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0EF73">
      <w:pPr>
        <w:pStyle w:val="32"/>
        <w:ind w:firstLine="0" w:firstLineChars="0"/>
        <w:rPr>
          <w:rFonts w:ascii="黑体" w:eastAsia="黑体"/>
          <w:sz w:val="32"/>
          <w:szCs w:val="32"/>
        </w:rPr>
      </w:pPr>
      <w:r>
        <w:rPr>
          <w:rFonts w:hint="eastAsia" w:ascii="黑体" w:eastAsia="黑体"/>
          <w:sz w:val="32"/>
          <w:szCs w:val="32"/>
        </w:rPr>
        <w:t>京环函〔</w:t>
      </w:r>
      <w:r>
        <w:rPr>
          <w:rFonts w:ascii="黑体" w:eastAsia="黑体"/>
          <w:sz w:val="32"/>
          <w:szCs w:val="32"/>
        </w:rPr>
        <w:t>2017</w:t>
      </w:r>
      <w:r>
        <w:rPr>
          <w:rFonts w:hint="eastAsia" w:ascii="黑体" w:eastAsia="黑体"/>
          <w:sz w:val="32"/>
          <w:szCs w:val="32"/>
        </w:rPr>
        <w:t>〕</w:t>
      </w:r>
      <w:r>
        <w:rPr>
          <w:rFonts w:ascii="黑体" w:eastAsia="黑体"/>
          <w:sz w:val="32"/>
          <w:szCs w:val="32"/>
        </w:rPr>
        <w:t>688</w:t>
      </w:r>
      <w:r>
        <w:rPr>
          <w:rFonts w:hint="eastAsia" w:ascii="黑体" w:eastAsia="黑体"/>
          <w:sz w:val="32"/>
          <w:szCs w:val="32"/>
        </w:rPr>
        <w:t>号附件</w:t>
      </w:r>
      <w:r>
        <w:rPr>
          <w:rFonts w:ascii="黑体" w:eastAsia="黑体"/>
          <w:sz w:val="32"/>
          <w:szCs w:val="32"/>
        </w:rPr>
        <w:t>3</w:t>
      </w:r>
    </w:p>
    <w:p w14:paraId="5B4810E7">
      <w:pPr>
        <w:pStyle w:val="32"/>
        <w:ind w:firstLine="0" w:firstLineChars="0"/>
        <w:rPr>
          <w:b/>
          <w:sz w:val="44"/>
          <w:szCs w:val="44"/>
        </w:rPr>
      </w:pPr>
    </w:p>
    <w:p w14:paraId="24AA5B8E">
      <w:pPr>
        <w:pStyle w:val="32"/>
        <w:ind w:firstLine="0" w:firstLineChars="0"/>
        <w:rPr>
          <w:b/>
          <w:sz w:val="44"/>
          <w:szCs w:val="44"/>
        </w:rPr>
      </w:pPr>
    </w:p>
    <w:p w14:paraId="2A774C51">
      <w:pPr>
        <w:pStyle w:val="32"/>
        <w:ind w:firstLine="0" w:firstLineChars="0"/>
        <w:rPr>
          <w:b/>
          <w:sz w:val="44"/>
          <w:szCs w:val="44"/>
        </w:rPr>
      </w:pPr>
    </w:p>
    <w:p w14:paraId="461A744A">
      <w:pPr>
        <w:pStyle w:val="32"/>
        <w:ind w:firstLine="0" w:firstLineChars="0"/>
        <w:rPr>
          <w:b/>
          <w:sz w:val="44"/>
          <w:szCs w:val="44"/>
        </w:rPr>
      </w:pPr>
    </w:p>
    <w:p w14:paraId="141A627D">
      <w:pPr>
        <w:pStyle w:val="32"/>
        <w:ind w:firstLine="0" w:firstLineChars="0"/>
        <w:jc w:val="center"/>
        <w:rPr>
          <w:sz w:val="44"/>
          <w:szCs w:val="44"/>
        </w:rPr>
      </w:pPr>
      <w:r>
        <w:rPr>
          <w:rFonts w:hint="eastAsia"/>
          <w:sz w:val="44"/>
          <w:szCs w:val="44"/>
        </w:rPr>
        <w:t>《餐饮业大气污染物排放标准》</w:t>
      </w:r>
    </w:p>
    <w:p w14:paraId="35983725">
      <w:pPr>
        <w:pStyle w:val="32"/>
        <w:ind w:firstLine="0" w:firstLineChars="0"/>
        <w:jc w:val="center"/>
        <w:rPr>
          <w:sz w:val="32"/>
          <w:szCs w:val="32"/>
        </w:rPr>
      </w:pPr>
      <w:r>
        <w:rPr>
          <w:rFonts w:hint="eastAsia"/>
          <w:sz w:val="32"/>
          <w:szCs w:val="32"/>
        </w:rPr>
        <w:t>编制说明</w:t>
      </w:r>
    </w:p>
    <w:p w14:paraId="0EC79EA2">
      <w:pPr>
        <w:pStyle w:val="32"/>
        <w:ind w:firstLine="0" w:firstLineChars="0"/>
        <w:jc w:val="center"/>
        <w:rPr>
          <w:sz w:val="32"/>
          <w:szCs w:val="32"/>
        </w:rPr>
      </w:pPr>
      <w:r>
        <w:rPr>
          <w:rFonts w:hint="eastAsia"/>
          <w:sz w:val="32"/>
          <w:szCs w:val="32"/>
        </w:rPr>
        <w:t>（三次征求意见稿）</w:t>
      </w:r>
    </w:p>
    <w:p w14:paraId="26003AB7">
      <w:pPr>
        <w:pStyle w:val="32"/>
        <w:ind w:firstLine="0" w:firstLineChars="0"/>
        <w:rPr>
          <w:sz w:val="28"/>
          <w:szCs w:val="28"/>
        </w:rPr>
      </w:pPr>
    </w:p>
    <w:p w14:paraId="5AAE1413">
      <w:pPr>
        <w:pStyle w:val="32"/>
        <w:ind w:firstLine="0" w:firstLineChars="0"/>
        <w:rPr>
          <w:sz w:val="28"/>
          <w:szCs w:val="28"/>
        </w:rPr>
      </w:pPr>
    </w:p>
    <w:p w14:paraId="28FBE90B">
      <w:pPr>
        <w:pStyle w:val="32"/>
        <w:ind w:firstLine="0" w:firstLineChars="0"/>
        <w:rPr>
          <w:sz w:val="28"/>
          <w:szCs w:val="28"/>
        </w:rPr>
      </w:pPr>
    </w:p>
    <w:p w14:paraId="1C9D9DA6">
      <w:pPr>
        <w:pStyle w:val="32"/>
        <w:ind w:firstLine="0" w:firstLineChars="0"/>
        <w:rPr>
          <w:sz w:val="28"/>
          <w:szCs w:val="28"/>
        </w:rPr>
      </w:pPr>
    </w:p>
    <w:p w14:paraId="1EF7470E">
      <w:pPr>
        <w:pStyle w:val="32"/>
        <w:ind w:firstLine="0" w:firstLineChars="0"/>
        <w:rPr>
          <w:sz w:val="28"/>
          <w:szCs w:val="28"/>
        </w:rPr>
      </w:pPr>
    </w:p>
    <w:p w14:paraId="7321FE20">
      <w:pPr>
        <w:pStyle w:val="32"/>
        <w:ind w:firstLine="0" w:firstLineChars="0"/>
        <w:rPr>
          <w:sz w:val="28"/>
          <w:szCs w:val="28"/>
        </w:rPr>
      </w:pPr>
    </w:p>
    <w:p w14:paraId="220EF56D">
      <w:pPr>
        <w:pStyle w:val="32"/>
        <w:ind w:firstLine="0" w:firstLineChars="0"/>
        <w:rPr>
          <w:sz w:val="28"/>
          <w:szCs w:val="28"/>
        </w:rPr>
      </w:pPr>
    </w:p>
    <w:p w14:paraId="584F3474">
      <w:pPr>
        <w:pStyle w:val="32"/>
        <w:ind w:firstLine="0" w:firstLineChars="0"/>
        <w:rPr>
          <w:sz w:val="28"/>
          <w:szCs w:val="28"/>
        </w:rPr>
      </w:pPr>
    </w:p>
    <w:p w14:paraId="6FB8AD85">
      <w:pPr>
        <w:pStyle w:val="32"/>
        <w:ind w:firstLine="0" w:firstLineChars="0"/>
        <w:rPr>
          <w:sz w:val="28"/>
          <w:szCs w:val="28"/>
        </w:rPr>
      </w:pPr>
    </w:p>
    <w:p w14:paraId="58855176">
      <w:pPr>
        <w:pStyle w:val="32"/>
        <w:ind w:firstLine="0" w:firstLineChars="0"/>
        <w:rPr>
          <w:sz w:val="28"/>
          <w:szCs w:val="28"/>
        </w:rPr>
      </w:pPr>
    </w:p>
    <w:p w14:paraId="17DB2D1F">
      <w:pPr>
        <w:pStyle w:val="32"/>
        <w:ind w:firstLine="0" w:firstLineChars="0"/>
        <w:rPr>
          <w:sz w:val="28"/>
          <w:szCs w:val="28"/>
        </w:rPr>
      </w:pPr>
    </w:p>
    <w:p w14:paraId="32D61ECF">
      <w:pPr>
        <w:pStyle w:val="32"/>
        <w:ind w:firstLine="0" w:firstLineChars="0"/>
        <w:rPr>
          <w:sz w:val="28"/>
          <w:szCs w:val="28"/>
        </w:rPr>
      </w:pPr>
    </w:p>
    <w:p w14:paraId="18614958">
      <w:pPr>
        <w:jc w:val="center"/>
        <w:rPr>
          <w:rFonts w:ascii="宋体"/>
          <w:sz w:val="28"/>
          <w:szCs w:val="28"/>
        </w:rPr>
      </w:pPr>
      <w:r>
        <w:rPr>
          <w:rFonts w:hint="eastAsia" w:ascii="宋体" w:hAnsi="宋体"/>
          <w:sz w:val="28"/>
          <w:szCs w:val="28"/>
        </w:rPr>
        <w:t>标准编制组</w:t>
      </w:r>
    </w:p>
    <w:p w14:paraId="2E5223A5">
      <w:pPr>
        <w:jc w:val="center"/>
        <w:rPr>
          <w:rFonts w:ascii="宋体"/>
          <w:sz w:val="28"/>
          <w:szCs w:val="28"/>
        </w:rPr>
      </w:pPr>
      <w:r>
        <w:rPr>
          <w:rFonts w:hint="eastAsia" w:ascii="宋体" w:hAnsi="宋体"/>
          <w:sz w:val="28"/>
          <w:szCs w:val="28"/>
        </w:rPr>
        <w:t>二零一七年九月</w:t>
      </w:r>
    </w:p>
    <w:p w14:paraId="486494AF">
      <w:pPr>
        <w:jc w:val="center"/>
        <w:rPr>
          <w:rFonts w:ascii="宋体"/>
          <w:sz w:val="28"/>
          <w:szCs w:val="28"/>
        </w:rPr>
      </w:pPr>
    </w:p>
    <w:p w14:paraId="47B1121F">
      <w:pPr>
        <w:jc w:val="center"/>
        <w:rPr>
          <w:rFonts w:ascii="宋体"/>
          <w:sz w:val="32"/>
          <w:szCs w:val="32"/>
        </w:rPr>
      </w:pPr>
    </w:p>
    <w:p w14:paraId="3445DAB6">
      <w:pPr>
        <w:autoSpaceDE w:val="0"/>
        <w:autoSpaceDN w:val="0"/>
        <w:adjustRightInd w:val="0"/>
        <w:rPr>
          <w:rFonts w:eastAsia="黑体"/>
          <w:sz w:val="28"/>
          <w:szCs w:val="28"/>
        </w:rPr>
      </w:pPr>
      <w:r>
        <w:rPr>
          <w:rFonts w:hint="eastAsia" w:eastAsia="黑体"/>
          <w:sz w:val="28"/>
          <w:szCs w:val="28"/>
        </w:rPr>
        <w:t>项目名称：餐饮业大气污染物排放标准</w:t>
      </w:r>
    </w:p>
    <w:p w14:paraId="6B0A4024">
      <w:pPr>
        <w:autoSpaceDE w:val="0"/>
        <w:autoSpaceDN w:val="0"/>
        <w:adjustRightInd w:val="0"/>
        <w:rPr>
          <w:rFonts w:eastAsia="黑体"/>
          <w:sz w:val="28"/>
          <w:szCs w:val="28"/>
        </w:rPr>
      </w:pPr>
      <w:r>
        <w:rPr>
          <w:rFonts w:hint="eastAsia" w:eastAsia="黑体"/>
          <w:sz w:val="28"/>
          <w:szCs w:val="28"/>
        </w:rPr>
        <w:t>提出单位：北京市环境保护局</w:t>
      </w:r>
    </w:p>
    <w:p w14:paraId="4DB767B0">
      <w:pPr>
        <w:autoSpaceDE w:val="0"/>
        <w:autoSpaceDN w:val="0"/>
        <w:adjustRightInd w:val="0"/>
        <w:rPr>
          <w:rFonts w:eastAsia="黑体"/>
          <w:sz w:val="28"/>
          <w:szCs w:val="28"/>
        </w:rPr>
      </w:pPr>
      <w:r>
        <w:rPr>
          <w:rFonts w:hint="eastAsia" w:eastAsia="黑体"/>
          <w:sz w:val="28"/>
          <w:szCs w:val="28"/>
        </w:rPr>
        <w:t>业务主管部门：大气环境管理处</w:t>
      </w:r>
    </w:p>
    <w:p w14:paraId="781D9DC4">
      <w:pPr>
        <w:autoSpaceDE w:val="0"/>
        <w:autoSpaceDN w:val="0"/>
        <w:adjustRightInd w:val="0"/>
        <w:rPr>
          <w:rFonts w:eastAsia="黑体"/>
          <w:sz w:val="28"/>
          <w:szCs w:val="28"/>
        </w:rPr>
      </w:pPr>
      <w:r>
        <w:rPr>
          <w:rFonts w:hint="eastAsia" w:eastAsia="黑体"/>
          <w:sz w:val="28"/>
          <w:szCs w:val="28"/>
        </w:rPr>
        <w:t>标准主管部门：科技和国际合作处</w:t>
      </w:r>
    </w:p>
    <w:p w14:paraId="4B76B44C">
      <w:pPr>
        <w:autoSpaceDE w:val="0"/>
        <w:autoSpaceDN w:val="0"/>
        <w:adjustRightInd w:val="0"/>
        <w:rPr>
          <w:rFonts w:eastAsia="黑体"/>
          <w:sz w:val="28"/>
          <w:szCs w:val="28"/>
        </w:rPr>
      </w:pPr>
      <w:r>
        <w:rPr>
          <w:rFonts w:hint="eastAsia" w:eastAsia="黑体"/>
          <w:sz w:val="28"/>
          <w:szCs w:val="28"/>
        </w:rPr>
        <w:t>承担单位：北京市环境保护科学研究院</w:t>
      </w:r>
    </w:p>
    <w:p w14:paraId="207E0577">
      <w:pPr>
        <w:autoSpaceDE w:val="0"/>
        <w:autoSpaceDN w:val="0"/>
        <w:adjustRightInd w:val="0"/>
        <w:rPr>
          <w:rFonts w:eastAsia="黑体"/>
          <w:sz w:val="28"/>
          <w:szCs w:val="28"/>
        </w:rPr>
      </w:pPr>
      <w:r>
        <w:rPr>
          <w:rFonts w:hint="eastAsia" w:eastAsia="黑体"/>
          <w:sz w:val="28"/>
          <w:szCs w:val="28"/>
        </w:rPr>
        <w:t>编制组主要成员：</w:t>
      </w:r>
    </w:p>
    <w:p w14:paraId="1E59C51B">
      <w:pPr>
        <w:autoSpaceDE w:val="0"/>
        <w:autoSpaceDN w:val="0"/>
        <w:adjustRightInd w:val="0"/>
        <w:rPr>
          <w:sz w:val="28"/>
          <w:szCs w:val="28"/>
        </w:rPr>
      </w:pPr>
    </w:p>
    <w:p w14:paraId="382AA984">
      <w:pPr>
        <w:rPr>
          <w:sz w:val="21"/>
          <w:szCs w:val="21"/>
        </w:rPr>
      </w:pPr>
    </w:p>
    <w:p w14:paraId="6649775C">
      <w:pPr>
        <w:widowControl/>
        <w:spacing w:line="240" w:lineRule="auto"/>
        <w:jc w:val="left"/>
        <w:rPr>
          <w:sz w:val="28"/>
          <w:szCs w:val="28"/>
        </w:rPr>
      </w:pPr>
      <w:r>
        <w:rPr>
          <w:sz w:val="28"/>
          <w:szCs w:val="28"/>
        </w:rPr>
        <w:br w:type="page"/>
      </w:r>
    </w:p>
    <w:p w14:paraId="09DA28C1">
      <w:pPr>
        <w:pStyle w:val="42"/>
        <w:jc w:val="center"/>
      </w:pPr>
      <w:r>
        <w:rPr>
          <w:rFonts w:hint="eastAsia"/>
          <w:lang w:val="zh-CN"/>
        </w:rPr>
        <w:t>目录</w:t>
      </w:r>
    </w:p>
    <w:p w14:paraId="00772CCF">
      <w:pPr>
        <w:pStyle w:val="15"/>
        <w:tabs>
          <w:tab w:val="left" w:pos="440"/>
          <w:tab w:val="right" w:leader="dot" w:pos="8296"/>
        </w:tabs>
        <w:rPr>
          <w:rFonts w:ascii="Calibri" w:hAnsi="Calibri"/>
          <w:kern w:val="2"/>
          <w:sz w:val="21"/>
        </w:rPr>
      </w:pPr>
      <w:r>
        <w:rPr>
          <w:rFonts w:ascii="Calibri" w:hAnsi="Calibri"/>
        </w:rPr>
        <w:fldChar w:fldCharType="begin"/>
      </w:r>
      <w:r>
        <w:rPr>
          <w:rFonts w:ascii="Calibri" w:hAnsi="Calibri"/>
        </w:rPr>
        <w:instrText xml:space="preserve"> TOC \o "1-2" \h \z \u </w:instrText>
      </w:r>
      <w:r>
        <w:rPr>
          <w:rFonts w:ascii="Calibri" w:hAnsi="Calibri"/>
        </w:rPr>
        <w:fldChar w:fldCharType="separate"/>
      </w:r>
      <w:r>
        <w:fldChar w:fldCharType="begin"/>
      </w:r>
      <w:r>
        <w:instrText xml:space="preserve"> HYPERLINK \l "_Toc492569861" </w:instrText>
      </w:r>
      <w:r>
        <w:fldChar w:fldCharType="separate"/>
      </w:r>
      <w:r>
        <w:rPr>
          <w:rStyle w:val="22"/>
        </w:rPr>
        <w:t>1</w:t>
      </w:r>
      <w:r>
        <w:rPr>
          <w:rFonts w:ascii="Calibri" w:hAnsi="Calibri"/>
          <w:kern w:val="2"/>
          <w:sz w:val="21"/>
        </w:rPr>
        <w:tab/>
      </w:r>
      <w:r>
        <w:rPr>
          <w:rStyle w:val="22"/>
          <w:rFonts w:hint="eastAsia"/>
        </w:rPr>
        <w:t>项目背景</w:t>
      </w:r>
      <w:r>
        <w:tab/>
      </w:r>
      <w:r>
        <w:fldChar w:fldCharType="begin"/>
      </w:r>
      <w:r>
        <w:instrText xml:space="preserve"> PAGEREF _Toc492569861 \h </w:instrText>
      </w:r>
      <w:r>
        <w:fldChar w:fldCharType="separate"/>
      </w:r>
      <w:r>
        <w:t>- 5 -</w:t>
      </w:r>
      <w:r>
        <w:fldChar w:fldCharType="end"/>
      </w:r>
      <w:r>
        <w:fldChar w:fldCharType="end"/>
      </w:r>
    </w:p>
    <w:p w14:paraId="188C02E0">
      <w:pPr>
        <w:pStyle w:val="16"/>
        <w:tabs>
          <w:tab w:val="left" w:pos="840"/>
          <w:tab w:val="right" w:leader="dot" w:pos="8296"/>
        </w:tabs>
        <w:rPr>
          <w:rFonts w:ascii="Calibri" w:hAnsi="Calibri"/>
          <w:kern w:val="2"/>
          <w:sz w:val="21"/>
        </w:rPr>
      </w:pPr>
      <w:r>
        <w:fldChar w:fldCharType="begin"/>
      </w:r>
      <w:r>
        <w:instrText xml:space="preserve"> HYPERLINK \l "_Toc492569862" </w:instrText>
      </w:r>
      <w:r>
        <w:fldChar w:fldCharType="separate"/>
      </w:r>
      <w:r>
        <w:rPr>
          <w:rStyle w:val="22"/>
        </w:rPr>
        <w:t>1.1</w:t>
      </w:r>
      <w:r>
        <w:rPr>
          <w:rFonts w:ascii="Calibri" w:hAnsi="Calibri"/>
          <w:kern w:val="2"/>
          <w:sz w:val="21"/>
        </w:rPr>
        <w:tab/>
      </w:r>
      <w:r>
        <w:rPr>
          <w:rStyle w:val="22"/>
          <w:rFonts w:hint="eastAsia"/>
        </w:rPr>
        <w:t>任务来源</w:t>
      </w:r>
      <w:r>
        <w:tab/>
      </w:r>
      <w:r>
        <w:fldChar w:fldCharType="begin"/>
      </w:r>
      <w:r>
        <w:instrText xml:space="preserve"> PAGEREF _Toc492569862 \h </w:instrText>
      </w:r>
      <w:r>
        <w:fldChar w:fldCharType="separate"/>
      </w:r>
      <w:r>
        <w:t>- 5 -</w:t>
      </w:r>
      <w:r>
        <w:fldChar w:fldCharType="end"/>
      </w:r>
      <w:r>
        <w:fldChar w:fldCharType="end"/>
      </w:r>
    </w:p>
    <w:p w14:paraId="0908DB14">
      <w:pPr>
        <w:pStyle w:val="16"/>
        <w:tabs>
          <w:tab w:val="left" w:pos="840"/>
          <w:tab w:val="right" w:leader="dot" w:pos="8296"/>
        </w:tabs>
        <w:rPr>
          <w:rFonts w:ascii="Calibri" w:hAnsi="Calibri"/>
          <w:kern w:val="2"/>
          <w:sz w:val="21"/>
        </w:rPr>
      </w:pPr>
      <w:r>
        <w:fldChar w:fldCharType="begin"/>
      </w:r>
      <w:r>
        <w:instrText xml:space="preserve"> HYPERLINK \l "_Toc492569863" </w:instrText>
      </w:r>
      <w:r>
        <w:fldChar w:fldCharType="separate"/>
      </w:r>
      <w:r>
        <w:rPr>
          <w:rStyle w:val="22"/>
        </w:rPr>
        <w:t>1.2</w:t>
      </w:r>
      <w:r>
        <w:rPr>
          <w:rFonts w:ascii="Calibri" w:hAnsi="Calibri"/>
          <w:kern w:val="2"/>
          <w:sz w:val="21"/>
        </w:rPr>
        <w:tab/>
      </w:r>
      <w:r>
        <w:rPr>
          <w:rStyle w:val="22"/>
          <w:rFonts w:hint="eastAsia"/>
        </w:rPr>
        <w:t>主要工作过程</w:t>
      </w:r>
      <w:r>
        <w:tab/>
      </w:r>
      <w:r>
        <w:fldChar w:fldCharType="begin"/>
      </w:r>
      <w:r>
        <w:instrText xml:space="preserve"> PAGEREF _Toc492569863 \h </w:instrText>
      </w:r>
      <w:r>
        <w:fldChar w:fldCharType="separate"/>
      </w:r>
      <w:r>
        <w:t>- 5 -</w:t>
      </w:r>
      <w:r>
        <w:fldChar w:fldCharType="end"/>
      </w:r>
      <w:r>
        <w:fldChar w:fldCharType="end"/>
      </w:r>
    </w:p>
    <w:p w14:paraId="374E62D2">
      <w:pPr>
        <w:pStyle w:val="15"/>
        <w:tabs>
          <w:tab w:val="left" w:pos="440"/>
          <w:tab w:val="right" w:leader="dot" w:pos="8296"/>
        </w:tabs>
        <w:rPr>
          <w:rFonts w:ascii="Calibri" w:hAnsi="Calibri"/>
          <w:kern w:val="2"/>
          <w:sz w:val="21"/>
        </w:rPr>
      </w:pPr>
      <w:r>
        <w:fldChar w:fldCharType="begin"/>
      </w:r>
      <w:r>
        <w:instrText xml:space="preserve"> HYPERLINK \l "_Toc492569864" </w:instrText>
      </w:r>
      <w:r>
        <w:fldChar w:fldCharType="separate"/>
      </w:r>
      <w:r>
        <w:rPr>
          <w:rStyle w:val="22"/>
        </w:rPr>
        <w:t>2</w:t>
      </w:r>
      <w:r>
        <w:rPr>
          <w:rFonts w:ascii="Calibri" w:hAnsi="Calibri"/>
          <w:kern w:val="2"/>
          <w:sz w:val="21"/>
        </w:rPr>
        <w:tab/>
      </w:r>
      <w:r>
        <w:rPr>
          <w:rStyle w:val="22"/>
          <w:rFonts w:hint="eastAsia"/>
        </w:rPr>
        <w:t>标准编制的必要性、原则和思路方法</w:t>
      </w:r>
      <w:r>
        <w:tab/>
      </w:r>
      <w:r>
        <w:fldChar w:fldCharType="begin"/>
      </w:r>
      <w:r>
        <w:instrText xml:space="preserve"> PAGEREF _Toc492569864 \h </w:instrText>
      </w:r>
      <w:r>
        <w:fldChar w:fldCharType="separate"/>
      </w:r>
      <w:r>
        <w:t>- 8 -</w:t>
      </w:r>
      <w:r>
        <w:fldChar w:fldCharType="end"/>
      </w:r>
      <w:r>
        <w:fldChar w:fldCharType="end"/>
      </w:r>
    </w:p>
    <w:p w14:paraId="7D5300E7">
      <w:pPr>
        <w:pStyle w:val="16"/>
        <w:tabs>
          <w:tab w:val="left" w:pos="840"/>
          <w:tab w:val="right" w:leader="dot" w:pos="8296"/>
        </w:tabs>
        <w:rPr>
          <w:rFonts w:ascii="Calibri" w:hAnsi="Calibri"/>
          <w:kern w:val="2"/>
          <w:sz w:val="21"/>
        </w:rPr>
      </w:pPr>
      <w:r>
        <w:fldChar w:fldCharType="begin"/>
      </w:r>
      <w:r>
        <w:instrText xml:space="preserve"> HYPERLINK \l "_Toc492569865" </w:instrText>
      </w:r>
      <w:r>
        <w:fldChar w:fldCharType="separate"/>
      </w:r>
      <w:r>
        <w:rPr>
          <w:rStyle w:val="22"/>
        </w:rPr>
        <w:t>2.1</w:t>
      </w:r>
      <w:r>
        <w:rPr>
          <w:rFonts w:ascii="Calibri" w:hAnsi="Calibri"/>
          <w:kern w:val="2"/>
          <w:sz w:val="21"/>
        </w:rPr>
        <w:tab/>
      </w:r>
      <w:r>
        <w:rPr>
          <w:rStyle w:val="22"/>
          <w:rFonts w:hint="eastAsia"/>
        </w:rPr>
        <w:t>标准编制的必要性</w:t>
      </w:r>
      <w:r>
        <w:tab/>
      </w:r>
      <w:r>
        <w:fldChar w:fldCharType="begin"/>
      </w:r>
      <w:r>
        <w:instrText xml:space="preserve"> PAGEREF _Toc492569865 \h </w:instrText>
      </w:r>
      <w:r>
        <w:fldChar w:fldCharType="separate"/>
      </w:r>
      <w:r>
        <w:t>- 8 -</w:t>
      </w:r>
      <w:r>
        <w:fldChar w:fldCharType="end"/>
      </w:r>
      <w:r>
        <w:fldChar w:fldCharType="end"/>
      </w:r>
    </w:p>
    <w:p w14:paraId="32933617">
      <w:pPr>
        <w:pStyle w:val="16"/>
        <w:tabs>
          <w:tab w:val="left" w:pos="840"/>
          <w:tab w:val="right" w:leader="dot" w:pos="8296"/>
        </w:tabs>
        <w:rPr>
          <w:rFonts w:ascii="Calibri" w:hAnsi="Calibri"/>
          <w:kern w:val="2"/>
          <w:sz w:val="21"/>
        </w:rPr>
      </w:pPr>
      <w:r>
        <w:fldChar w:fldCharType="begin"/>
      </w:r>
      <w:r>
        <w:instrText xml:space="preserve"> HYPERLINK \l "_Toc492569866" </w:instrText>
      </w:r>
      <w:r>
        <w:fldChar w:fldCharType="separate"/>
      </w:r>
      <w:r>
        <w:rPr>
          <w:rStyle w:val="22"/>
        </w:rPr>
        <w:t>2.2</w:t>
      </w:r>
      <w:r>
        <w:rPr>
          <w:rFonts w:ascii="Calibri" w:hAnsi="Calibri"/>
          <w:kern w:val="2"/>
          <w:sz w:val="21"/>
        </w:rPr>
        <w:tab/>
      </w:r>
      <w:r>
        <w:rPr>
          <w:rStyle w:val="22"/>
          <w:rFonts w:hint="eastAsia"/>
        </w:rPr>
        <w:t>编制原则</w:t>
      </w:r>
      <w:r>
        <w:tab/>
      </w:r>
      <w:r>
        <w:fldChar w:fldCharType="begin"/>
      </w:r>
      <w:r>
        <w:instrText xml:space="preserve"> PAGEREF _Toc492569866 \h </w:instrText>
      </w:r>
      <w:r>
        <w:fldChar w:fldCharType="separate"/>
      </w:r>
      <w:r>
        <w:t>- 10 -</w:t>
      </w:r>
      <w:r>
        <w:fldChar w:fldCharType="end"/>
      </w:r>
      <w:r>
        <w:fldChar w:fldCharType="end"/>
      </w:r>
    </w:p>
    <w:p w14:paraId="065CF25A">
      <w:pPr>
        <w:pStyle w:val="16"/>
        <w:tabs>
          <w:tab w:val="left" w:pos="840"/>
          <w:tab w:val="right" w:leader="dot" w:pos="8296"/>
        </w:tabs>
        <w:rPr>
          <w:rFonts w:ascii="Calibri" w:hAnsi="Calibri"/>
          <w:kern w:val="2"/>
          <w:sz w:val="21"/>
        </w:rPr>
      </w:pPr>
      <w:r>
        <w:fldChar w:fldCharType="begin"/>
      </w:r>
      <w:r>
        <w:instrText xml:space="preserve"> HYPERLINK \l "_Toc492569867" </w:instrText>
      </w:r>
      <w:r>
        <w:fldChar w:fldCharType="separate"/>
      </w:r>
      <w:r>
        <w:rPr>
          <w:rStyle w:val="22"/>
        </w:rPr>
        <w:t>2.3</w:t>
      </w:r>
      <w:r>
        <w:rPr>
          <w:rFonts w:ascii="Calibri" w:hAnsi="Calibri"/>
          <w:kern w:val="2"/>
          <w:sz w:val="21"/>
        </w:rPr>
        <w:tab/>
      </w:r>
      <w:r>
        <w:rPr>
          <w:rStyle w:val="22"/>
          <w:rFonts w:hint="eastAsia"/>
        </w:rPr>
        <w:t>编制思路与方法</w:t>
      </w:r>
      <w:r>
        <w:tab/>
      </w:r>
      <w:r>
        <w:fldChar w:fldCharType="begin"/>
      </w:r>
      <w:r>
        <w:instrText xml:space="preserve"> PAGEREF _Toc492569867 \h </w:instrText>
      </w:r>
      <w:r>
        <w:fldChar w:fldCharType="separate"/>
      </w:r>
      <w:r>
        <w:t>- 11 -</w:t>
      </w:r>
      <w:r>
        <w:fldChar w:fldCharType="end"/>
      </w:r>
      <w:r>
        <w:fldChar w:fldCharType="end"/>
      </w:r>
    </w:p>
    <w:p w14:paraId="414E39C5">
      <w:pPr>
        <w:pStyle w:val="15"/>
        <w:tabs>
          <w:tab w:val="left" w:pos="440"/>
          <w:tab w:val="right" w:leader="dot" w:pos="8296"/>
        </w:tabs>
        <w:rPr>
          <w:rFonts w:ascii="Calibri" w:hAnsi="Calibri"/>
          <w:kern w:val="2"/>
          <w:sz w:val="21"/>
        </w:rPr>
      </w:pPr>
      <w:r>
        <w:fldChar w:fldCharType="begin"/>
      </w:r>
      <w:r>
        <w:instrText xml:space="preserve"> HYPERLINK \l "_Toc492569868" </w:instrText>
      </w:r>
      <w:r>
        <w:fldChar w:fldCharType="separate"/>
      </w:r>
      <w:r>
        <w:rPr>
          <w:rStyle w:val="22"/>
        </w:rPr>
        <w:t>3</w:t>
      </w:r>
      <w:r>
        <w:rPr>
          <w:rFonts w:ascii="Calibri" w:hAnsi="Calibri"/>
          <w:kern w:val="2"/>
          <w:sz w:val="21"/>
        </w:rPr>
        <w:tab/>
      </w:r>
      <w:r>
        <w:rPr>
          <w:rStyle w:val="22"/>
          <w:rFonts w:hint="eastAsia"/>
        </w:rPr>
        <w:t>北京市餐饮业污染及治理状况调查</w:t>
      </w:r>
      <w:r>
        <w:tab/>
      </w:r>
      <w:r>
        <w:fldChar w:fldCharType="begin"/>
      </w:r>
      <w:r>
        <w:instrText xml:space="preserve"> PAGEREF _Toc492569868 \h </w:instrText>
      </w:r>
      <w:r>
        <w:fldChar w:fldCharType="separate"/>
      </w:r>
      <w:r>
        <w:t>- 12 -</w:t>
      </w:r>
      <w:r>
        <w:fldChar w:fldCharType="end"/>
      </w:r>
      <w:r>
        <w:fldChar w:fldCharType="end"/>
      </w:r>
    </w:p>
    <w:p w14:paraId="1C5F7F03">
      <w:pPr>
        <w:pStyle w:val="16"/>
        <w:tabs>
          <w:tab w:val="left" w:pos="840"/>
          <w:tab w:val="right" w:leader="dot" w:pos="8296"/>
        </w:tabs>
        <w:rPr>
          <w:rFonts w:ascii="Calibri" w:hAnsi="Calibri"/>
          <w:kern w:val="2"/>
          <w:sz w:val="21"/>
        </w:rPr>
      </w:pPr>
      <w:r>
        <w:fldChar w:fldCharType="begin"/>
      </w:r>
      <w:r>
        <w:instrText xml:space="preserve"> HYPERLINK \l "_Toc492569869" </w:instrText>
      </w:r>
      <w:r>
        <w:fldChar w:fldCharType="separate"/>
      </w:r>
      <w:r>
        <w:rPr>
          <w:rStyle w:val="22"/>
        </w:rPr>
        <w:t>3.1</w:t>
      </w:r>
      <w:r>
        <w:rPr>
          <w:rFonts w:ascii="Calibri" w:hAnsi="Calibri"/>
          <w:kern w:val="2"/>
          <w:sz w:val="21"/>
        </w:rPr>
        <w:tab/>
      </w:r>
      <w:r>
        <w:rPr>
          <w:rStyle w:val="22"/>
          <w:rFonts w:hint="eastAsia"/>
        </w:rPr>
        <w:t>北京市餐饮业概况</w:t>
      </w:r>
      <w:r>
        <w:tab/>
      </w:r>
      <w:r>
        <w:fldChar w:fldCharType="begin"/>
      </w:r>
      <w:r>
        <w:instrText xml:space="preserve"> PAGEREF _Toc492569869 \h </w:instrText>
      </w:r>
      <w:r>
        <w:fldChar w:fldCharType="separate"/>
      </w:r>
      <w:r>
        <w:t>- 12 -</w:t>
      </w:r>
      <w:r>
        <w:fldChar w:fldCharType="end"/>
      </w:r>
      <w:r>
        <w:fldChar w:fldCharType="end"/>
      </w:r>
    </w:p>
    <w:p w14:paraId="1D625CED">
      <w:pPr>
        <w:pStyle w:val="16"/>
        <w:tabs>
          <w:tab w:val="left" w:pos="840"/>
          <w:tab w:val="right" w:leader="dot" w:pos="8296"/>
        </w:tabs>
        <w:rPr>
          <w:rFonts w:ascii="Calibri" w:hAnsi="Calibri"/>
          <w:kern w:val="2"/>
          <w:sz w:val="21"/>
        </w:rPr>
      </w:pPr>
      <w:r>
        <w:fldChar w:fldCharType="begin"/>
      </w:r>
      <w:r>
        <w:instrText xml:space="preserve"> HYPERLINK \l "_Toc492569870" </w:instrText>
      </w:r>
      <w:r>
        <w:fldChar w:fldCharType="separate"/>
      </w:r>
      <w:r>
        <w:rPr>
          <w:rStyle w:val="22"/>
        </w:rPr>
        <w:t>3.2</w:t>
      </w:r>
      <w:r>
        <w:rPr>
          <w:rFonts w:ascii="Calibri" w:hAnsi="Calibri"/>
          <w:kern w:val="2"/>
          <w:sz w:val="21"/>
        </w:rPr>
        <w:tab/>
      </w:r>
      <w:r>
        <w:rPr>
          <w:rStyle w:val="22"/>
          <w:rFonts w:hint="eastAsia"/>
        </w:rPr>
        <w:t>北京市餐饮业大气污染治理状况</w:t>
      </w:r>
      <w:r>
        <w:tab/>
      </w:r>
      <w:r>
        <w:fldChar w:fldCharType="begin"/>
      </w:r>
      <w:r>
        <w:instrText xml:space="preserve"> PAGEREF _Toc492569870 \h </w:instrText>
      </w:r>
      <w:r>
        <w:fldChar w:fldCharType="separate"/>
      </w:r>
      <w:r>
        <w:t>- 16 -</w:t>
      </w:r>
      <w:r>
        <w:fldChar w:fldCharType="end"/>
      </w:r>
      <w:r>
        <w:fldChar w:fldCharType="end"/>
      </w:r>
    </w:p>
    <w:p w14:paraId="4F11638A">
      <w:pPr>
        <w:pStyle w:val="15"/>
        <w:tabs>
          <w:tab w:val="left" w:pos="440"/>
          <w:tab w:val="right" w:leader="dot" w:pos="8296"/>
        </w:tabs>
        <w:rPr>
          <w:rFonts w:ascii="Calibri" w:hAnsi="Calibri"/>
          <w:kern w:val="2"/>
          <w:sz w:val="21"/>
        </w:rPr>
      </w:pPr>
      <w:r>
        <w:fldChar w:fldCharType="begin"/>
      </w:r>
      <w:r>
        <w:instrText xml:space="preserve"> HYPERLINK \l "_Toc492569871" </w:instrText>
      </w:r>
      <w:r>
        <w:fldChar w:fldCharType="separate"/>
      </w:r>
      <w:r>
        <w:rPr>
          <w:rStyle w:val="22"/>
        </w:rPr>
        <w:t>4</w:t>
      </w:r>
      <w:r>
        <w:rPr>
          <w:rFonts w:ascii="Calibri" w:hAnsi="Calibri"/>
          <w:kern w:val="2"/>
          <w:sz w:val="21"/>
        </w:rPr>
        <w:tab/>
      </w:r>
      <w:r>
        <w:rPr>
          <w:rStyle w:val="22"/>
          <w:rFonts w:hint="eastAsia"/>
        </w:rPr>
        <w:t>国内外相关标准调研</w:t>
      </w:r>
      <w:r>
        <w:tab/>
      </w:r>
      <w:r>
        <w:fldChar w:fldCharType="begin"/>
      </w:r>
      <w:r>
        <w:instrText xml:space="preserve"> PAGEREF _Toc492569871 \h </w:instrText>
      </w:r>
      <w:r>
        <w:fldChar w:fldCharType="separate"/>
      </w:r>
      <w:r>
        <w:t>- 22 -</w:t>
      </w:r>
      <w:r>
        <w:fldChar w:fldCharType="end"/>
      </w:r>
      <w:r>
        <w:fldChar w:fldCharType="end"/>
      </w:r>
    </w:p>
    <w:p w14:paraId="72CE7E9D">
      <w:pPr>
        <w:pStyle w:val="16"/>
        <w:tabs>
          <w:tab w:val="left" w:pos="840"/>
          <w:tab w:val="right" w:leader="dot" w:pos="8296"/>
        </w:tabs>
        <w:rPr>
          <w:rFonts w:ascii="Calibri" w:hAnsi="Calibri"/>
          <w:kern w:val="2"/>
          <w:sz w:val="21"/>
        </w:rPr>
      </w:pPr>
      <w:r>
        <w:fldChar w:fldCharType="begin"/>
      </w:r>
      <w:r>
        <w:instrText xml:space="preserve"> HYPERLINK \l "_Toc492569872" </w:instrText>
      </w:r>
      <w:r>
        <w:fldChar w:fldCharType="separate"/>
      </w:r>
      <w:r>
        <w:rPr>
          <w:rStyle w:val="22"/>
        </w:rPr>
        <w:t>4.1</w:t>
      </w:r>
      <w:r>
        <w:rPr>
          <w:rFonts w:ascii="Calibri" w:hAnsi="Calibri"/>
          <w:kern w:val="2"/>
          <w:sz w:val="21"/>
        </w:rPr>
        <w:tab/>
      </w:r>
      <w:r>
        <w:rPr>
          <w:rStyle w:val="22"/>
          <w:rFonts w:hint="eastAsia"/>
        </w:rPr>
        <w:t>国外相关标准调研</w:t>
      </w:r>
      <w:r>
        <w:tab/>
      </w:r>
      <w:r>
        <w:fldChar w:fldCharType="begin"/>
      </w:r>
      <w:r>
        <w:instrText xml:space="preserve"> PAGEREF _Toc492569872 \h </w:instrText>
      </w:r>
      <w:r>
        <w:fldChar w:fldCharType="separate"/>
      </w:r>
      <w:r>
        <w:t>- 22 -</w:t>
      </w:r>
      <w:r>
        <w:fldChar w:fldCharType="end"/>
      </w:r>
      <w:r>
        <w:fldChar w:fldCharType="end"/>
      </w:r>
    </w:p>
    <w:p w14:paraId="3A32366C">
      <w:pPr>
        <w:pStyle w:val="16"/>
        <w:tabs>
          <w:tab w:val="left" w:pos="840"/>
          <w:tab w:val="right" w:leader="dot" w:pos="8296"/>
        </w:tabs>
        <w:rPr>
          <w:rFonts w:ascii="Calibri" w:hAnsi="Calibri"/>
          <w:kern w:val="2"/>
          <w:sz w:val="21"/>
        </w:rPr>
      </w:pPr>
      <w:r>
        <w:fldChar w:fldCharType="begin"/>
      </w:r>
      <w:r>
        <w:instrText xml:space="preserve"> HYPERLINK \l "_Toc492569873" </w:instrText>
      </w:r>
      <w:r>
        <w:fldChar w:fldCharType="separate"/>
      </w:r>
      <w:r>
        <w:rPr>
          <w:rStyle w:val="22"/>
        </w:rPr>
        <w:t>4.2</w:t>
      </w:r>
      <w:r>
        <w:rPr>
          <w:rFonts w:ascii="Calibri" w:hAnsi="Calibri"/>
          <w:kern w:val="2"/>
          <w:sz w:val="21"/>
        </w:rPr>
        <w:tab/>
      </w:r>
      <w:r>
        <w:rPr>
          <w:rStyle w:val="22"/>
          <w:rFonts w:hint="eastAsia"/>
        </w:rPr>
        <w:t>港澳台相关标准调研</w:t>
      </w:r>
      <w:r>
        <w:tab/>
      </w:r>
      <w:r>
        <w:fldChar w:fldCharType="begin"/>
      </w:r>
      <w:r>
        <w:instrText xml:space="preserve"> PAGEREF _Toc492569873 \h </w:instrText>
      </w:r>
      <w:r>
        <w:fldChar w:fldCharType="separate"/>
      </w:r>
      <w:r>
        <w:t>- 23 -</w:t>
      </w:r>
      <w:r>
        <w:fldChar w:fldCharType="end"/>
      </w:r>
      <w:r>
        <w:fldChar w:fldCharType="end"/>
      </w:r>
    </w:p>
    <w:p w14:paraId="6DAF4EC2">
      <w:pPr>
        <w:pStyle w:val="16"/>
        <w:tabs>
          <w:tab w:val="left" w:pos="840"/>
          <w:tab w:val="right" w:leader="dot" w:pos="8296"/>
        </w:tabs>
        <w:rPr>
          <w:rFonts w:ascii="Calibri" w:hAnsi="Calibri"/>
          <w:kern w:val="2"/>
          <w:sz w:val="21"/>
        </w:rPr>
      </w:pPr>
      <w:r>
        <w:fldChar w:fldCharType="begin"/>
      </w:r>
      <w:r>
        <w:instrText xml:space="preserve"> HYPERLINK \l "_Toc492569874" </w:instrText>
      </w:r>
      <w:r>
        <w:fldChar w:fldCharType="separate"/>
      </w:r>
      <w:r>
        <w:rPr>
          <w:rStyle w:val="22"/>
        </w:rPr>
        <w:t>4.3</w:t>
      </w:r>
      <w:r>
        <w:rPr>
          <w:rFonts w:ascii="Calibri" w:hAnsi="Calibri"/>
          <w:kern w:val="2"/>
          <w:sz w:val="21"/>
        </w:rPr>
        <w:tab/>
      </w:r>
      <w:r>
        <w:rPr>
          <w:rStyle w:val="22"/>
          <w:rFonts w:hint="eastAsia"/>
        </w:rPr>
        <w:t>各省市相关标准调研</w:t>
      </w:r>
      <w:r>
        <w:tab/>
      </w:r>
      <w:r>
        <w:fldChar w:fldCharType="begin"/>
      </w:r>
      <w:r>
        <w:instrText xml:space="preserve"> PAGEREF _Toc492569874 \h </w:instrText>
      </w:r>
      <w:r>
        <w:fldChar w:fldCharType="separate"/>
      </w:r>
      <w:r>
        <w:t>- 25 -</w:t>
      </w:r>
      <w:r>
        <w:fldChar w:fldCharType="end"/>
      </w:r>
      <w:r>
        <w:fldChar w:fldCharType="end"/>
      </w:r>
    </w:p>
    <w:p w14:paraId="6C179ECE">
      <w:pPr>
        <w:pStyle w:val="15"/>
        <w:tabs>
          <w:tab w:val="left" w:pos="440"/>
          <w:tab w:val="right" w:leader="dot" w:pos="8296"/>
        </w:tabs>
        <w:rPr>
          <w:rFonts w:ascii="Calibri" w:hAnsi="Calibri"/>
          <w:kern w:val="2"/>
          <w:sz w:val="21"/>
        </w:rPr>
      </w:pPr>
      <w:r>
        <w:fldChar w:fldCharType="begin"/>
      </w:r>
      <w:r>
        <w:instrText xml:space="preserve"> HYPERLINK \l "_Toc492569875" </w:instrText>
      </w:r>
      <w:r>
        <w:fldChar w:fldCharType="separate"/>
      </w:r>
      <w:r>
        <w:rPr>
          <w:rStyle w:val="22"/>
        </w:rPr>
        <w:t>5</w:t>
      </w:r>
      <w:r>
        <w:rPr>
          <w:rFonts w:ascii="Calibri" w:hAnsi="Calibri"/>
          <w:kern w:val="2"/>
          <w:sz w:val="21"/>
        </w:rPr>
        <w:tab/>
      </w:r>
      <w:r>
        <w:rPr>
          <w:rStyle w:val="22"/>
          <w:rFonts w:hint="eastAsia"/>
        </w:rPr>
        <w:t>标准主要技术内容说明</w:t>
      </w:r>
      <w:r>
        <w:tab/>
      </w:r>
      <w:r>
        <w:fldChar w:fldCharType="begin"/>
      </w:r>
      <w:r>
        <w:instrText xml:space="preserve"> PAGEREF _Toc492569875 \h </w:instrText>
      </w:r>
      <w:r>
        <w:fldChar w:fldCharType="separate"/>
      </w:r>
      <w:r>
        <w:t>- 29 -</w:t>
      </w:r>
      <w:r>
        <w:fldChar w:fldCharType="end"/>
      </w:r>
      <w:r>
        <w:fldChar w:fldCharType="end"/>
      </w:r>
    </w:p>
    <w:p w14:paraId="139FF692">
      <w:pPr>
        <w:pStyle w:val="16"/>
        <w:tabs>
          <w:tab w:val="left" w:pos="840"/>
          <w:tab w:val="right" w:leader="dot" w:pos="8296"/>
        </w:tabs>
        <w:rPr>
          <w:rFonts w:ascii="Calibri" w:hAnsi="Calibri"/>
          <w:kern w:val="2"/>
          <w:sz w:val="21"/>
        </w:rPr>
      </w:pPr>
      <w:r>
        <w:fldChar w:fldCharType="begin"/>
      </w:r>
      <w:r>
        <w:instrText xml:space="preserve"> HYPERLINK \l "_Toc492569876" </w:instrText>
      </w:r>
      <w:r>
        <w:fldChar w:fldCharType="separate"/>
      </w:r>
      <w:r>
        <w:rPr>
          <w:rStyle w:val="22"/>
        </w:rPr>
        <w:t>5.1</w:t>
      </w:r>
      <w:r>
        <w:rPr>
          <w:rFonts w:ascii="Calibri" w:hAnsi="Calibri"/>
          <w:kern w:val="2"/>
          <w:sz w:val="21"/>
        </w:rPr>
        <w:tab/>
      </w:r>
      <w:r>
        <w:rPr>
          <w:rStyle w:val="22"/>
          <w:rFonts w:hint="eastAsia"/>
        </w:rPr>
        <w:t>标准名称</w:t>
      </w:r>
      <w:r>
        <w:tab/>
      </w:r>
      <w:r>
        <w:fldChar w:fldCharType="begin"/>
      </w:r>
      <w:r>
        <w:instrText xml:space="preserve"> PAGEREF _Toc492569876 \h </w:instrText>
      </w:r>
      <w:r>
        <w:fldChar w:fldCharType="separate"/>
      </w:r>
      <w:r>
        <w:t>- 29 -</w:t>
      </w:r>
      <w:r>
        <w:fldChar w:fldCharType="end"/>
      </w:r>
      <w:r>
        <w:fldChar w:fldCharType="end"/>
      </w:r>
    </w:p>
    <w:p w14:paraId="7E278FCA">
      <w:pPr>
        <w:pStyle w:val="16"/>
        <w:tabs>
          <w:tab w:val="left" w:pos="840"/>
          <w:tab w:val="right" w:leader="dot" w:pos="8296"/>
        </w:tabs>
        <w:rPr>
          <w:rFonts w:ascii="Calibri" w:hAnsi="Calibri"/>
          <w:kern w:val="2"/>
          <w:sz w:val="21"/>
        </w:rPr>
      </w:pPr>
      <w:r>
        <w:fldChar w:fldCharType="begin"/>
      </w:r>
      <w:r>
        <w:instrText xml:space="preserve"> HYPERLINK \l "_Toc492569877" </w:instrText>
      </w:r>
      <w:r>
        <w:fldChar w:fldCharType="separate"/>
      </w:r>
      <w:r>
        <w:rPr>
          <w:rStyle w:val="22"/>
        </w:rPr>
        <w:t>5.2</w:t>
      </w:r>
      <w:r>
        <w:rPr>
          <w:rFonts w:ascii="Calibri" w:hAnsi="Calibri"/>
          <w:kern w:val="2"/>
          <w:sz w:val="21"/>
        </w:rPr>
        <w:tab/>
      </w:r>
      <w:r>
        <w:rPr>
          <w:rStyle w:val="22"/>
          <w:rFonts w:hint="eastAsia"/>
        </w:rPr>
        <w:t>标准结构框架</w:t>
      </w:r>
      <w:r>
        <w:tab/>
      </w:r>
      <w:r>
        <w:fldChar w:fldCharType="begin"/>
      </w:r>
      <w:r>
        <w:instrText xml:space="preserve"> PAGEREF _Toc492569877 \h </w:instrText>
      </w:r>
      <w:r>
        <w:fldChar w:fldCharType="separate"/>
      </w:r>
      <w:r>
        <w:t>- 30 -</w:t>
      </w:r>
      <w:r>
        <w:fldChar w:fldCharType="end"/>
      </w:r>
      <w:r>
        <w:fldChar w:fldCharType="end"/>
      </w:r>
    </w:p>
    <w:p w14:paraId="5C754C97">
      <w:pPr>
        <w:pStyle w:val="16"/>
        <w:tabs>
          <w:tab w:val="left" w:pos="840"/>
          <w:tab w:val="right" w:leader="dot" w:pos="8296"/>
        </w:tabs>
        <w:rPr>
          <w:rFonts w:ascii="Calibri" w:hAnsi="Calibri"/>
          <w:kern w:val="2"/>
          <w:sz w:val="21"/>
        </w:rPr>
      </w:pPr>
      <w:r>
        <w:fldChar w:fldCharType="begin"/>
      </w:r>
      <w:r>
        <w:instrText xml:space="preserve"> HYPERLINK \l "_Toc492569878" </w:instrText>
      </w:r>
      <w:r>
        <w:fldChar w:fldCharType="separate"/>
      </w:r>
      <w:r>
        <w:rPr>
          <w:rStyle w:val="22"/>
        </w:rPr>
        <w:t>5.3</w:t>
      </w:r>
      <w:r>
        <w:rPr>
          <w:rFonts w:ascii="Calibri" w:hAnsi="Calibri"/>
          <w:kern w:val="2"/>
          <w:sz w:val="21"/>
        </w:rPr>
        <w:tab/>
      </w:r>
      <w:r>
        <w:rPr>
          <w:rStyle w:val="22"/>
          <w:rFonts w:hint="eastAsia"/>
        </w:rPr>
        <w:t>标准适用范围</w:t>
      </w:r>
      <w:r>
        <w:tab/>
      </w:r>
      <w:r>
        <w:fldChar w:fldCharType="begin"/>
      </w:r>
      <w:r>
        <w:instrText xml:space="preserve"> PAGEREF _Toc492569878 \h </w:instrText>
      </w:r>
      <w:r>
        <w:fldChar w:fldCharType="separate"/>
      </w:r>
      <w:r>
        <w:t>- 30 -</w:t>
      </w:r>
      <w:r>
        <w:fldChar w:fldCharType="end"/>
      </w:r>
      <w:r>
        <w:fldChar w:fldCharType="end"/>
      </w:r>
    </w:p>
    <w:p w14:paraId="7E0E4203">
      <w:pPr>
        <w:pStyle w:val="16"/>
        <w:tabs>
          <w:tab w:val="left" w:pos="840"/>
          <w:tab w:val="right" w:leader="dot" w:pos="8296"/>
        </w:tabs>
        <w:rPr>
          <w:rFonts w:ascii="Calibri" w:hAnsi="Calibri"/>
          <w:kern w:val="2"/>
          <w:sz w:val="21"/>
        </w:rPr>
      </w:pPr>
      <w:r>
        <w:fldChar w:fldCharType="begin"/>
      </w:r>
      <w:r>
        <w:instrText xml:space="preserve"> HYPERLINK \l "_Toc492569879" </w:instrText>
      </w:r>
      <w:r>
        <w:fldChar w:fldCharType="separate"/>
      </w:r>
      <w:r>
        <w:rPr>
          <w:rStyle w:val="22"/>
        </w:rPr>
        <w:t>5.4</w:t>
      </w:r>
      <w:r>
        <w:rPr>
          <w:rFonts w:ascii="Calibri" w:hAnsi="Calibri"/>
          <w:kern w:val="2"/>
          <w:sz w:val="21"/>
        </w:rPr>
        <w:tab/>
      </w:r>
      <w:r>
        <w:rPr>
          <w:rStyle w:val="22"/>
          <w:rFonts w:hint="eastAsia"/>
        </w:rPr>
        <w:t>术语及定义</w:t>
      </w:r>
      <w:r>
        <w:tab/>
      </w:r>
      <w:r>
        <w:fldChar w:fldCharType="begin"/>
      </w:r>
      <w:r>
        <w:instrText xml:space="preserve"> PAGEREF _Toc492569879 \h </w:instrText>
      </w:r>
      <w:r>
        <w:fldChar w:fldCharType="separate"/>
      </w:r>
      <w:r>
        <w:t>- 30 -</w:t>
      </w:r>
      <w:r>
        <w:fldChar w:fldCharType="end"/>
      </w:r>
      <w:r>
        <w:fldChar w:fldCharType="end"/>
      </w:r>
    </w:p>
    <w:p w14:paraId="2B6D3AD7">
      <w:pPr>
        <w:pStyle w:val="16"/>
        <w:tabs>
          <w:tab w:val="left" w:pos="840"/>
          <w:tab w:val="right" w:leader="dot" w:pos="8296"/>
        </w:tabs>
        <w:rPr>
          <w:rFonts w:ascii="Calibri" w:hAnsi="Calibri"/>
          <w:kern w:val="2"/>
          <w:sz w:val="21"/>
        </w:rPr>
      </w:pPr>
      <w:r>
        <w:fldChar w:fldCharType="begin"/>
      </w:r>
      <w:r>
        <w:instrText xml:space="preserve"> HYPERLINK \l "_Toc492569880" </w:instrText>
      </w:r>
      <w:r>
        <w:fldChar w:fldCharType="separate"/>
      </w:r>
      <w:r>
        <w:rPr>
          <w:rStyle w:val="22"/>
        </w:rPr>
        <w:t>5.5</w:t>
      </w:r>
      <w:r>
        <w:rPr>
          <w:rFonts w:ascii="Calibri" w:hAnsi="Calibri"/>
          <w:kern w:val="2"/>
          <w:sz w:val="21"/>
        </w:rPr>
        <w:tab/>
      </w:r>
      <w:r>
        <w:rPr>
          <w:rStyle w:val="22"/>
          <w:rFonts w:hint="eastAsia"/>
        </w:rPr>
        <w:t>时段划分</w:t>
      </w:r>
      <w:r>
        <w:tab/>
      </w:r>
      <w:r>
        <w:fldChar w:fldCharType="begin"/>
      </w:r>
      <w:r>
        <w:instrText xml:space="preserve"> PAGEREF _Toc492569880 \h </w:instrText>
      </w:r>
      <w:r>
        <w:fldChar w:fldCharType="separate"/>
      </w:r>
      <w:r>
        <w:t>- 31 -</w:t>
      </w:r>
      <w:r>
        <w:fldChar w:fldCharType="end"/>
      </w:r>
      <w:r>
        <w:fldChar w:fldCharType="end"/>
      </w:r>
    </w:p>
    <w:p w14:paraId="5F28EF2F">
      <w:pPr>
        <w:pStyle w:val="16"/>
        <w:tabs>
          <w:tab w:val="left" w:pos="840"/>
          <w:tab w:val="right" w:leader="dot" w:pos="8296"/>
        </w:tabs>
        <w:rPr>
          <w:rFonts w:ascii="Calibri" w:hAnsi="Calibri"/>
          <w:kern w:val="2"/>
          <w:sz w:val="21"/>
        </w:rPr>
      </w:pPr>
      <w:r>
        <w:fldChar w:fldCharType="begin"/>
      </w:r>
      <w:r>
        <w:instrText xml:space="preserve"> HYPERLINK \l "_Toc492569881" </w:instrText>
      </w:r>
      <w:r>
        <w:fldChar w:fldCharType="separate"/>
      </w:r>
      <w:r>
        <w:rPr>
          <w:rStyle w:val="22"/>
        </w:rPr>
        <w:t>5.6</w:t>
      </w:r>
      <w:r>
        <w:rPr>
          <w:rFonts w:ascii="Calibri" w:hAnsi="Calibri"/>
          <w:kern w:val="2"/>
          <w:sz w:val="21"/>
        </w:rPr>
        <w:tab/>
      </w:r>
      <w:r>
        <w:rPr>
          <w:rStyle w:val="22"/>
          <w:rFonts w:hint="eastAsia"/>
        </w:rPr>
        <w:t>餐饮服务单位规模的划分</w:t>
      </w:r>
      <w:r>
        <w:tab/>
      </w:r>
      <w:r>
        <w:fldChar w:fldCharType="begin"/>
      </w:r>
      <w:r>
        <w:instrText xml:space="preserve"> PAGEREF _Toc492569881 \h </w:instrText>
      </w:r>
      <w:r>
        <w:fldChar w:fldCharType="separate"/>
      </w:r>
      <w:r>
        <w:t>- 32 -</w:t>
      </w:r>
      <w:r>
        <w:fldChar w:fldCharType="end"/>
      </w:r>
      <w:r>
        <w:fldChar w:fldCharType="end"/>
      </w:r>
    </w:p>
    <w:p w14:paraId="223E4085">
      <w:pPr>
        <w:pStyle w:val="16"/>
        <w:tabs>
          <w:tab w:val="left" w:pos="840"/>
          <w:tab w:val="right" w:leader="dot" w:pos="8296"/>
        </w:tabs>
        <w:rPr>
          <w:rFonts w:ascii="Calibri" w:hAnsi="Calibri"/>
          <w:kern w:val="2"/>
          <w:sz w:val="21"/>
        </w:rPr>
      </w:pPr>
      <w:r>
        <w:fldChar w:fldCharType="begin"/>
      </w:r>
      <w:r>
        <w:instrText xml:space="preserve"> HYPERLINK \l "_Toc492569882" </w:instrText>
      </w:r>
      <w:r>
        <w:fldChar w:fldCharType="separate"/>
      </w:r>
      <w:r>
        <w:rPr>
          <w:rStyle w:val="22"/>
        </w:rPr>
        <w:t>5.7</w:t>
      </w:r>
      <w:r>
        <w:rPr>
          <w:rFonts w:ascii="Calibri" w:hAnsi="Calibri"/>
          <w:kern w:val="2"/>
          <w:sz w:val="21"/>
        </w:rPr>
        <w:tab/>
      </w:r>
      <w:r>
        <w:rPr>
          <w:rStyle w:val="22"/>
          <w:rFonts w:hint="eastAsia"/>
        </w:rPr>
        <w:t>污染物项目的选择</w:t>
      </w:r>
      <w:r>
        <w:tab/>
      </w:r>
      <w:r>
        <w:fldChar w:fldCharType="begin"/>
      </w:r>
      <w:r>
        <w:instrText xml:space="preserve"> PAGEREF _Toc492569882 \h </w:instrText>
      </w:r>
      <w:r>
        <w:fldChar w:fldCharType="separate"/>
      </w:r>
      <w:r>
        <w:t>- 33 -</w:t>
      </w:r>
      <w:r>
        <w:fldChar w:fldCharType="end"/>
      </w:r>
      <w:r>
        <w:fldChar w:fldCharType="end"/>
      </w:r>
    </w:p>
    <w:p w14:paraId="29476A2F">
      <w:pPr>
        <w:pStyle w:val="16"/>
        <w:tabs>
          <w:tab w:val="left" w:pos="840"/>
          <w:tab w:val="right" w:leader="dot" w:pos="8296"/>
        </w:tabs>
        <w:rPr>
          <w:rFonts w:ascii="Calibri" w:hAnsi="Calibri"/>
          <w:kern w:val="2"/>
          <w:sz w:val="21"/>
        </w:rPr>
      </w:pPr>
      <w:r>
        <w:fldChar w:fldCharType="begin"/>
      </w:r>
      <w:r>
        <w:instrText xml:space="preserve"> HYPERLINK \l "_Toc492569883" </w:instrText>
      </w:r>
      <w:r>
        <w:fldChar w:fldCharType="separate"/>
      </w:r>
      <w:r>
        <w:rPr>
          <w:rStyle w:val="22"/>
        </w:rPr>
        <w:t>5.8</w:t>
      </w:r>
      <w:r>
        <w:rPr>
          <w:rFonts w:ascii="Calibri" w:hAnsi="Calibri"/>
          <w:kern w:val="2"/>
          <w:sz w:val="21"/>
        </w:rPr>
        <w:tab/>
      </w:r>
      <w:r>
        <w:rPr>
          <w:rStyle w:val="22"/>
          <w:rFonts w:hint="eastAsia"/>
        </w:rPr>
        <w:t>污染物排放限值</w:t>
      </w:r>
      <w:r>
        <w:tab/>
      </w:r>
      <w:r>
        <w:fldChar w:fldCharType="begin"/>
      </w:r>
      <w:r>
        <w:instrText xml:space="preserve"> PAGEREF _Toc492569883 \h </w:instrText>
      </w:r>
      <w:r>
        <w:fldChar w:fldCharType="separate"/>
      </w:r>
      <w:r>
        <w:t>- 37 -</w:t>
      </w:r>
      <w:r>
        <w:fldChar w:fldCharType="end"/>
      </w:r>
      <w:r>
        <w:fldChar w:fldCharType="end"/>
      </w:r>
    </w:p>
    <w:p w14:paraId="020CE5CB">
      <w:pPr>
        <w:pStyle w:val="16"/>
        <w:tabs>
          <w:tab w:val="left" w:pos="840"/>
          <w:tab w:val="right" w:leader="dot" w:pos="8296"/>
        </w:tabs>
        <w:rPr>
          <w:rFonts w:ascii="Calibri" w:hAnsi="Calibri"/>
          <w:kern w:val="2"/>
          <w:sz w:val="21"/>
        </w:rPr>
      </w:pPr>
      <w:r>
        <w:fldChar w:fldCharType="begin"/>
      </w:r>
      <w:r>
        <w:instrText xml:space="preserve"> HYPERLINK \l "_Toc492569884" </w:instrText>
      </w:r>
      <w:r>
        <w:fldChar w:fldCharType="separate"/>
      </w:r>
      <w:r>
        <w:rPr>
          <w:rStyle w:val="22"/>
        </w:rPr>
        <w:t>5.9</w:t>
      </w:r>
      <w:r>
        <w:rPr>
          <w:rFonts w:ascii="Calibri" w:hAnsi="Calibri"/>
          <w:kern w:val="2"/>
          <w:sz w:val="21"/>
        </w:rPr>
        <w:tab/>
      </w:r>
      <w:r>
        <w:rPr>
          <w:rStyle w:val="22"/>
          <w:rFonts w:hint="eastAsia"/>
        </w:rPr>
        <w:t>污染控制及运行操作要求</w:t>
      </w:r>
      <w:r>
        <w:tab/>
      </w:r>
      <w:r>
        <w:fldChar w:fldCharType="begin"/>
      </w:r>
      <w:r>
        <w:instrText xml:space="preserve"> PAGEREF _Toc492569884 \h </w:instrText>
      </w:r>
      <w:r>
        <w:fldChar w:fldCharType="separate"/>
      </w:r>
      <w:r>
        <w:t>- 38 -</w:t>
      </w:r>
      <w:r>
        <w:fldChar w:fldCharType="end"/>
      </w:r>
      <w:r>
        <w:fldChar w:fldCharType="end"/>
      </w:r>
    </w:p>
    <w:p w14:paraId="6C6A45F3">
      <w:pPr>
        <w:pStyle w:val="16"/>
        <w:tabs>
          <w:tab w:val="left" w:pos="1050"/>
          <w:tab w:val="right" w:leader="dot" w:pos="8296"/>
        </w:tabs>
        <w:rPr>
          <w:rFonts w:ascii="Calibri" w:hAnsi="Calibri"/>
          <w:kern w:val="2"/>
          <w:sz w:val="21"/>
        </w:rPr>
      </w:pPr>
      <w:r>
        <w:fldChar w:fldCharType="begin"/>
      </w:r>
      <w:r>
        <w:instrText xml:space="preserve"> HYPERLINK \l "_Toc492569885" </w:instrText>
      </w:r>
      <w:r>
        <w:fldChar w:fldCharType="separate"/>
      </w:r>
      <w:r>
        <w:rPr>
          <w:rStyle w:val="22"/>
        </w:rPr>
        <w:t>5.10</w:t>
      </w:r>
      <w:r>
        <w:rPr>
          <w:rFonts w:ascii="Calibri" w:hAnsi="Calibri"/>
          <w:kern w:val="2"/>
          <w:sz w:val="21"/>
        </w:rPr>
        <w:tab/>
      </w:r>
      <w:r>
        <w:rPr>
          <w:rStyle w:val="22"/>
          <w:rFonts w:hint="eastAsia"/>
        </w:rPr>
        <w:t>污染物监测要求</w:t>
      </w:r>
      <w:r>
        <w:tab/>
      </w:r>
      <w:r>
        <w:fldChar w:fldCharType="begin"/>
      </w:r>
      <w:r>
        <w:instrText xml:space="preserve"> PAGEREF _Toc492569885 \h </w:instrText>
      </w:r>
      <w:r>
        <w:fldChar w:fldCharType="separate"/>
      </w:r>
      <w:r>
        <w:t>- 40 -</w:t>
      </w:r>
      <w:r>
        <w:fldChar w:fldCharType="end"/>
      </w:r>
      <w:r>
        <w:fldChar w:fldCharType="end"/>
      </w:r>
    </w:p>
    <w:p w14:paraId="5E539B92">
      <w:pPr>
        <w:pStyle w:val="16"/>
        <w:tabs>
          <w:tab w:val="left" w:pos="1050"/>
          <w:tab w:val="right" w:leader="dot" w:pos="8296"/>
        </w:tabs>
        <w:rPr>
          <w:rFonts w:ascii="Calibri" w:hAnsi="Calibri"/>
          <w:kern w:val="2"/>
          <w:sz w:val="21"/>
        </w:rPr>
      </w:pPr>
      <w:r>
        <w:fldChar w:fldCharType="begin"/>
      </w:r>
      <w:r>
        <w:instrText xml:space="preserve"> HYPERLINK \l "_Toc492569886" </w:instrText>
      </w:r>
      <w:r>
        <w:fldChar w:fldCharType="separate"/>
      </w:r>
      <w:r>
        <w:rPr>
          <w:rStyle w:val="22"/>
        </w:rPr>
        <w:t>5.11</w:t>
      </w:r>
      <w:r>
        <w:rPr>
          <w:rFonts w:ascii="Calibri" w:hAnsi="Calibri"/>
          <w:kern w:val="2"/>
          <w:sz w:val="21"/>
        </w:rPr>
        <w:tab/>
      </w:r>
      <w:r>
        <w:rPr>
          <w:rStyle w:val="22"/>
          <w:rFonts w:hint="eastAsia"/>
        </w:rPr>
        <w:t>标准监督实施要求</w:t>
      </w:r>
      <w:r>
        <w:tab/>
      </w:r>
      <w:r>
        <w:fldChar w:fldCharType="begin"/>
      </w:r>
      <w:r>
        <w:instrText xml:space="preserve"> PAGEREF _Toc492569886 \h </w:instrText>
      </w:r>
      <w:r>
        <w:fldChar w:fldCharType="separate"/>
      </w:r>
      <w:r>
        <w:t>- 41 -</w:t>
      </w:r>
      <w:r>
        <w:fldChar w:fldCharType="end"/>
      </w:r>
      <w:r>
        <w:fldChar w:fldCharType="end"/>
      </w:r>
    </w:p>
    <w:p w14:paraId="7DC6188B">
      <w:pPr>
        <w:pStyle w:val="15"/>
        <w:tabs>
          <w:tab w:val="left" w:pos="440"/>
          <w:tab w:val="right" w:leader="dot" w:pos="8296"/>
        </w:tabs>
        <w:rPr>
          <w:rFonts w:ascii="Calibri" w:hAnsi="Calibri"/>
          <w:kern w:val="2"/>
          <w:sz w:val="21"/>
        </w:rPr>
      </w:pPr>
      <w:r>
        <w:fldChar w:fldCharType="begin"/>
      </w:r>
      <w:r>
        <w:instrText xml:space="preserve"> HYPERLINK \l "_Toc492569887" </w:instrText>
      </w:r>
      <w:r>
        <w:fldChar w:fldCharType="separate"/>
      </w:r>
      <w:r>
        <w:rPr>
          <w:rStyle w:val="22"/>
        </w:rPr>
        <w:t>6</w:t>
      </w:r>
      <w:r>
        <w:rPr>
          <w:rFonts w:ascii="Calibri" w:hAnsi="Calibri"/>
          <w:kern w:val="2"/>
          <w:sz w:val="21"/>
        </w:rPr>
        <w:tab/>
      </w:r>
      <w:r>
        <w:rPr>
          <w:rStyle w:val="22"/>
          <w:rFonts w:hint="eastAsia"/>
        </w:rPr>
        <w:t>排放限值论证</w:t>
      </w:r>
      <w:r>
        <w:tab/>
      </w:r>
      <w:r>
        <w:fldChar w:fldCharType="begin"/>
      </w:r>
      <w:r>
        <w:instrText xml:space="preserve"> PAGEREF _Toc492569887 \h </w:instrText>
      </w:r>
      <w:r>
        <w:fldChar w:fldCharType="separate"/>
      </w:r>
      <w:r>
        <w:t>- 41 -</w:t>
      </w:r>
      <w:r>
        <w:fldChar w:fldCharType="end"/>
      </w:r>
      <w:r>
        <w:fldChar w:fldCharType="end"/>
      </w:r>
    </w:p>
    <w:p w14:paraId="2CDAEBB2">
      <w:pPr>
        <w:pStyle w:val="16"/>
        <w:tabs>
          <w:tab w:val="left" w:pos="840"/>
          <w:tab w:val="right" w:leader="dot" w:pos="8296"/>
        </w:tabs>
        <w:rPr>
          <w:rFonts w:ascii="Calibri" w:hAnsi="Calibri"/>
          <w:kern w:val="2"/>
          <w:sz w:val="21"/>
        </w:rPr>
      </w:pPr>
      <w:r>
        <w:fldChar w:fldCharType="begin"/>
      </w:r>
      <w:r>
        <w:instrText xml:space="preserve"> HYPERLINK \l "_Toc492569888" </w:instrText>
      </w:r>
      <w:r>
        <w:fldChar w:fldCharType="separate"/>
      </w:r>
      <w:r>
        <w:rPr>
          <w:rStyle w:val="22"/>
        </w:rPr>
        <w:t>6.1</w:t>
      </w:r>
      <w:r>
        <w:rPr>
          <w:rFonts w:ascii="Calibri" w:hAnsi="Calibri"/>
          <w:kern w:val="2"/>
          <w:sz w:val="21"/>
        </w:rPr>
        <w:tab/>
      </w:r>
      <w:r>
        <w:rPr>
          <w:rStyle w:val="22"/>
          <w:rFonts w:hint="eastAsia"/>
        </w:rPr>
        <w:t>餐饮污染排放现状监测</w:t>
      </w:r>
      <w:r>
        <w:tab/>
      </w:r>
      <w:r>
        <w:fldChar w:fldCharType="begin"/>
      </w:r>
      <w:r>
        <w:instrText xml:space="preserve"> PAGEREF _Toc492569888 \h </w:instrText>
      </w:r>
      <w:r>
        <w:fldChar w:fldCharType="separate"/>
      </w:r>
      <w:r>
        <w:t>- 41 -</w:t>
      </w:r>
      <w:r>
        <w:fldChar w:fldCharType="end"/>
      </w:r>
      <w:r>
        <w:fldChar w:fldCharType="end"/>
      </w:r>
    </w:p>
    <w:p w14:paraId="2C725319">
      <w:pPr>
        <w:pStyle w:val="16"/>
        <w:tabs>
          <w:tab w:val="left" w:pos="840"/>
          <w:tab w:val="right" w:leader="dot" w:pos="8296"/>
        </w:tabs>
        <w:rPr>
          <w:rFonts w:ascii="Calibri" w:hAnsi="Calibri"/>
          <w:kern w:val="2"/>
          <w:sz w:val="21"/>
        </w:rPr>
      </w:pPr>
      <w:r>
        <w:fldChar w:fldCharType="begin"/>
      </w:r>
      <w:r>
        <w:instrText xml:space="preserve"> HYPERLINK \l "_Toc492569889" </w:instrText>
      </w:r>
      <w:r>
        <w:fldChar w:fldCharType="separate"/>
      </w:r>
      <w:r>
        <w:rPr>
          <w:rStyle w:val="22"/>
        </w:rPr>
        <w:t>6.2</w:t>
      </w:r>
      <w:r>
        <w:rPr>
          <w:rFonts w:ascii="Calibri" w:hAnsi="Calibri"/>
          <w:kern w:val="2"/>
          <w:sz w:val="21"/>
        </w:rPr>
        <w:tab/>
      </w:r>
      <w:r>
        <w:rPr>
          <w:rStyle w:val="22"/>
          <w:rFonts w:hint="eastAsia"/>
        </w:rPr>
        <w:t>污染治理技术检测评价与筛选</w:t>
      </w:r>
      <w:r>
        <w:tab/>
      </w:r>
      <w:r>
        <w:fldChar w:fldCharType="begin"/>
      </w:r>
      <w:r>
        <w:instrText xml:space="preserve"> PAGEREF _Toc492569889 \h </w:instrText>
      </w:r>
      <w:r>
        <w:fldChar w:fldCharType="separate"/>
      </w:r>
      <w:r>
        <w:t>- 48 -</w:t>
      </w:r>
      <w:r>
        <w:fldChar w:fldCharType="end"/>
      </w:r>
      <w:r>
        <w:fldChar w:fldCharType="end"/>
      </w:r>
    </w:p>
    <w:p w14:paraId="454A04CE">
      <w:pPr>
        <w:pStyle w:val="15"/>
        <w:tabs>
          <w:tab w:val="left" w:pos="440"/>
          <w:tab w:val="right" w:leader="dot" w:pos="8296"/>
        </w:tabs>
        <w:rPr>
          <w:rFonts w:ascii="Calibri" w:hAnsi="Calibri"/>
          <w:kern w:val="2"/>
          <w:sz w:val="21"/>
        </w:rPr>
      </w:pPr>
      <w:r>
        <w:fldChar w:fldCharType="begin"/>
      </w:r>
      <w:r>
        <w:instrText xml:space="preserve"> HYPERLINK \l "_Toc492569890" </w:instrText>
      </w:r>
      <w:r>
        <w:fldChar w:fldCharType="separate"/>
      </w:r>
      <w:r>
        <w:rPr>
          <w:rStyle w:val="22"/>
        </w:rPr>
        <w:t>7</w:t>
      </w:r>
      <w:r>
        <w:rPr>
          <w:rFonts w:ascii="Calibri" w:hAnsi="Calibri"/>
          <w:kern w:val="2"/>
          <w:sz w:val="21"/>
        </w:rPr>
        <w:tab/>
      </w:r>
      <w:r>
        <w:rPr>
          <w:rStyle w:val="22"/>
          <w:rFonts w:hint="eastAsia"/>
        </w:rPr>
        <w:t>实施本标准的技术经济环境分析</w:t>
      </w:r>
      <w:r>
        <w:tab/>
      </w:r>
      <w:r>
        <w:fldChar w:fldCharType="begin"/>
      </w:r>
      <w:r>
        <w:instrText xml:space="preserve"> PAGEREF _Toc492569890 \h </w:instrText>
      </w:r>
      <w:r>
        <w:fldChar w:fldCharType="separate"/>
      </w:r>
      <w:r>
        <w:t>- 52 -</w:t>
      </w:r>
      <w:r>
        <w:fldChar w:fldCharType="end"/>
      </w:r>
      <w:r>
        <w:fldChar w:fldCharType="end"/>
      </w:r>
    </w:p>
    <w:p w14:paraId="4A3E6907">
      <w:pPr>
        <w:pStyle w:val="16"/>
        <w:tabs>
          <w:tab w:val="left" w:pos="840"/>
          <w:tab w:val="right" w:leader="dot" w:pos="8296"/>
        </w:tabs>
        <w:rPr>
          <w:rFonts w:ascii="Calibri" w:hAnsi="Calibri"/>
          <w:kern w:val="2"/>
          <w:sz w:val="21"/>
        </w:rPr>
      </w:pPr>
      <w:r>
        <w:fldChar w:fldCharType="begin"/>
      </w:r>
      <w:r>
        <w:instrText xml:space="preserve"> HYPERLINK \l "_Toc492569891" </w:instrText>
      </w:r>
      <w:r>
        <w:fldChar w:fldCharType="separate"/>
      </w:r>
      <w:r>
        <w:rPr>
          <w:rStyle w:val="22"/>
        </w:rPr>
        <w:t>7.1</w:t>
      </w:r>
      <w:r>
        <w:rPr>
          <w:rFonts w:ascii="Calibri" w:hAnsi="Calibri"/>
          <w:kern w:val="2"/>
          <w:sz w:val="21"/>
        </w:rPr>
        <w:tab/>
      </w:r>
      <w:r>
        <w:rPr>
          <w:rStyle w:val="22"/>
          <w:rFonts w:hint="eastAsia"/>
        </w:rPr>
        <w:t>实施本标准的技术经济分析</w:t>
      </w:r>
      <w:r>
        <w:tab/>
      </w:r>
      <w:r>
        <w:fldChar w:fldCharType="begin"/>
      </w:r>
      <w:r>
        <w:instrText xml:space="preserve"> PAGEREF _Toc492569891 \h </w:instrText>
      </w:r>
      <w:r>
        <w:fldChar w:fldCharType="separate"/>
      </w:r>
      <w:r>
        <w:t>- 52 -</w:t>
      </w:r>
      <w:r>
        <w:fldChar w:fldCharType="end"/>
      </w:r>
      <w:r>
        <w:fldChar w:fldCharType="end"/>
      </w:r>
    </w:p>
    <w:p w14:paraId="07B6AB16">
      <w:pPr>
        <w:pStyle w:val="16"/>
        <w:tabs>
          <w:tab w:val="left" w:pos="840"/>
          <w:tab w:val="right" w:leader="dot" w:pos="8296"/>
        </w:tabs>
        <w:rPr>
          <w:rFonts w:ascii="Calibri" w:hAnsi="Calibri"/>
          <w:kern w:val="2"/>
          <w:sz w:val="21"/>
        </w:rPr>
      </w:pPr>
      <w:r>
        <w:fldChar w:fldCharType="begin"/>
      </w:r>
      <w:r>
        <w:instrText xml:space="preserve"> HYPERLINK \l "_Toc492569892" </w:instrText>
      </w:r>
      <w:r>
        <w:fldChar w:fldCharType="separate"/>
      </w:r>
      <w:r>
        <w:rPr>
          <w:rStyle w:val="22"/>
        </w:rPr>
        <w:t>7.2</w:t>
      </w:r>
      <w:r>
        <w:rPr>
          <w:rFonts w:ascii="Calibri" w:hAnsi="Calibri"/>
          <w:kern w:val="2"/>
          <w:sz w:val="21"/>
        </w:rPr>
        <w:tab/>
      </w:r>
      <w:r>
        <w:rPr>
          <w:rStyle w:val="22"/>
          <w:rFonts w:hint="eastAsia"/>
        </w:rPr>
        <w:t>实施本标准的环境效益分析</w:t>
      </w:r>
      <w:r>
        <w:tab/>
      </w:r>
      <w:r>
        <w:fldChar w:fldCharType="begin"/>
      </w:r>
      <w:r>
        <w:instrText xml:space="preserve"> PAGEREF _Toc492569892 \h </w:instrText>
      </w:r>
      <w:r>
        <w:fldChar w:fldCharType="separate"/>
      </w:r>
      <w:r>
        <w:t>- 53 -</w:t>
      </w:r>
      <w:r>
        <w:fldChar w:fldCharType="end"/>
      </w:r>
      <w:r>
        <w:fldChar w:fldCharType="end"/>
      </w:r>
    </w:p>
    <w:p w14:paraId="11D48008">
      <w:pPr>
        <w:pStyle w:val="15"/>
        <w:tabs>
          <w:tab w:val="left" w:pos="440"/>
          <w:tab w:val="right" w:leader="dot" w:pos="8296"/>
        </w:tabs>
        <w:rPr>
          <w:rFonts w:ascii="Calibri" w:hAnsi="Calibri"/>
          <w:kern w:val="2"/>
          <w:sz w:val="21"/>
        </w:rPr>
      </w:pPr>
      <w:r>
        <w:fldChar w:fldCharType="begin"/>
      </w:r>
      <w:r>
        <w:instrText xml:space="preserve"> HYPERLINK \l "_Toc492569893" </w:instrText>
      </w:r>
      <w:r>
        <w:fldChar w:fldCharType="separate"/>
      </w:r>
      <w:r>
        <w:rPr>
          <w:rStyle w:val="22"/>
        </w:rPr>
        <w:t>8</w:t>
      </w:r>
      <w:r>
        <w:rPr>
          <w:rFonts w:ascii="Calibri" w:hAnsi="Calibri"/>
          <w:kern w:val="2"/>
          <w:sz w:val="21"/>
        </w:rPr>
        <w:tab/>
      </w:r>
      <w:r>
        <w:rPr>
          <w:rStyle w:val="22"/>
          <w:rFonts w:hint="eastAsia"/>
        </w:rPr>
        <w:t>实施本标准的措施建议</w:t>
      </w:r>
      <w:r>
        <w:tab/>
      </w:r>
      <w:r>
        <w:fldChar w:fldCharType="begin"/>
      </w:r>
      <w:r>
        <w:instrText xml:space="preserve"> PAGEREF _Toc492569893 \h </w:instrText>
      </w:r>
      <w:r>
        <w:fldChar w:fldCharType="separate"/>
      </w:r>
      <w:r>
        <w:t>- 53 -</w:t>
      </w:r>
      <w:r>
        <w:fldChar w:fldCharType="end"/>
      </w:r>
      <w:r>
        <w:fldChar w:fldCharType="end"/>
      </w:r>
    </w:p>
    <w:p w14:paraId="591DE65A">
      <w:pPr>
        <w:pStyle w:val="16"/>
        <w:tabs>
          <w:tab w:val="left" w:pos="840"/>
          <w:tab w:val="right" w:leader="dot" w:pos="8296"/>
        </w:tabs>
        <w:rPr>
          <w:rFonts w:ascii="Calibri" w:hAnsi="Calibri"/>
          <w:kern w:val="2"/>
          <w:sz w:val="21"/>
        </w:rPr>
      </w:pPr>
      <w:r>
        <w:fldChar w:fldCharType="begin"/>
      </w:r>
      <w:r>
        <w:instrText xml:space="preserve"> HYPERLINK \l "_Toc492569894" </w:instrText>
      </w:r>
      <w:r>
        <w:fldChar w:fldCharType="separate"/>
      </w:r>
      <w:r>
        <w:rPr>
          <w:rStyle w:val="22"/>
        </w:rPr>
        <w:t>8.1</w:t>
      </w:r>
      <w:r>
        <w:rPr>
          <w:rFonts w:ascii="Calibri" w:hAnsi="Calibri"/>
          <w:kern w:val="2"/>
          <w:sz w:val="21"/>
        </w:rPr>
        <w:tab/>
      </w:r>
      <w:r>
        <w:rPr>
          <w:rStyle w:val="22"/>
          <w:rFonts w:hint="eastAsia"/>
        </w:rPr>
        <w:t>关于实施净化设备污染物去除效率评价的建议</w:t>
      </w:r>
      <w:r>
        <w:tab/>
      </w:r>
      <w:r>
        <w:fldChar w:fldCharType="begin"/>
      </w:r>
      <w:r>
        <w:instrText xml:space="preserve"> PAGEREF _Toc492569894 \h </w:instrText>
      </w:r>
      <w:r>
        <w:fldChar w:fldCharType="separate"/>
      </w:r>
      <w:r>
        <w:t>- 53 -</w:t>
      </w:r>
      <w:r>
        <w:fldChar w:fldCharType="end"/>
      </w:r>
      <w:r>
        <w:fldChar w:fldCharType="end"/>
      </w:r>
    </w:p>
    <w:p w14:paraId="0538ED7B">
      <w:pPr>
        <w:pStyle w:val="16"/>
        <w:tabs>
          <w:tab w:val="left" w:pos="840"/>
          <w:tab w:val="right" w:leader="dot" w:pos="8296"/>
        </w:tabs>
        <w:rPr>
          <w:rFonts w:ascii="Calibri" w:hAnsi="Calibri"/>
          <w:kern w:val="2"/>
          <w:sz w:val="21"/>
        </w:rPr>
      </w:pPr>
      <w:r>
        <w:fldChar w:fldCharType="begin"/>
      </w:r>
      <w:r>
        <w:instrText xml:space="preserve"> HYPERLINK \l "_Toc492569895" </w:instrText>
      </w:r>
      <w:r>
        <w:fldChar w:fldCharType="separate"/>
      </w:r>
      <w:r>
        <w:rPr>
          <w:rStyle w:val="22"/>
        </w:rPr>
        <w:t>8.2</w:t>
      </w:r>
      <w:r>
        <w:rPr>
          <w:rFonts w:ascii="Calibri" w:hAnsi="Calibri"/>
          <w:kern w:val="2"/>
          <w:sz w:val="21"/>
        </w:rPr>
        <w:tab/>
      </w:r>
      <w:r>
        <w:rPr>
          <w:rStyle w:val="22"/>
          <w:rFonts w:hint="eastAsia"/>
        </w:rPr>
        <w:t>各类餐饮源大气污染物防治工艺技术路线建议</w:t>
      </w:r>
      <w:r>
        <w:tab/>
      </w:r>
      <w:r>
        <w:fldChar w:fldCharType="begin"/>
      </w:r>
      <w:r>
        <w:instrText xml:space="preserve"> PAGEREF _Toc492569895 \h </w:instrText>
      </w:r>
      <w:r>
        <w:fldChar w:fldCharType="separate"/>
      </w:r>
      <w:r>
        <w:t>- 54 -</w:t>
      </w:r>
      <w:r>
        <w:fldChar w:fldCharType="end"/>
      </w:r>
      <w:r>
        <w:fldChar w:fldCharType="end"/>
      </w:r>
    </w:p>
    <w:p w14:paraId="21D5D60E">
      <w:r>
        <w:rPr>
          <w:rFonts w:ascii="Calibri" w:hAnsi="Calibri"/>
        </w:rPr>
        <w:fldChar w:fldCharType="end"/>
      </w:r>
    </w:p>
    <w:p w14:paraId="08AA06A2">
      <w:pPr>
        <w:pStyle w:val="32"/>
        <w:ind w:firstLine="0" w:firstLineChars="0"/>
        <w:rPr>
          <w:sz w:val="28"/>
          <w:szCs w:val="28"/>
        </w:rPr>
      </w:pPr>
    </w:p>
    <w:p w14:paraId="54F7CB8B">
      <w:pPr>
        <w:pStyle w:val="32"/>
        <w:ind w:firstLine="0" w:firstLineChars="0"/>
        <w:rPr>
          <w:sz w:val="28"/>
          <w:szCs w:val="28"/>
        </w:rPr>
      </w:pPr>
    </w:p>
    <w:p w14:paraId="3F32169A">
      <w:pPr>
        <w:pStyle w:val="32"/>
        <w:ind w:firstLine="0" w:firstLineChars="0"/>
        <w:rPr>
          <w:sz w:val="28"/>
          <w:szCs w:val="28"/>
        </w:rPr>
      </w:pPr>
    </w:p>
    <w:p w14:paraId="5A1C1902">
      <w:pPr>
        <w:pStyle w:val="32"/>
        <w:ind w:firstLine="0" w:firstLineChars="0"/>
        <w:rPr>
          <w:sz w:val="28"/>
          <w:szCs w:val="28"/>
        </w:rPr>
      </w:pPr>
    </w:p>
    <w:p w14:paraId="3ABD63F6">
      <w:pPr>
        <w:pStyle w:val="32"/>
        <w:ind w:firstLine="0" w:firstLineChars="0"/>
        <w:rPr>
          <w:sz w:val="28"/>
          <w:szCs w:val="28"/>
        </w:rPr>
      </w:pPr>
    </w:p>
    <w:p w14:paraId="23A94155">
      <w:pPr>
        <w:pStyle w:val="32"/>
        <w:ind w:firstLine="0" w:firstLineChars="0"/>
        <w:rPr>
          <w:sz w:val="28"/>
          <w:szCs w:val="28"/>
        </w:rPr>
      </w:pPr>
    </w:p>
    <w:p w14:paraId="45A3E7B1">
      <w:pPr>
        <w:pStyle w:val="32"/>
        <w:ind w:firstLine="0" w:firstLineChars="0"/>
        <w:rPr>
          <w:sz w:val="28"/>
          <w:szCs w:val="28"/>
        </w:rPr>
      </w:pPr>
    </w:p>
    <w:p w14:paraId="59F641EE">
      <w:pPr>
        <w:pStyle w:val="32"/>
        <w:ind w:firstLine="0" w:firstLineChars="0"/>
        <w:rPr>
          <w:sz w:val="28"/>
          <w:szCs w:val="28"/>
        </w:rPr>
      </w:pPr>
    </w:p>
    <w:p w14:paraId="7AC766FC">
      <w:pPr>
        <w:pStyle w:val="32"/>
        <w:ind w:firstLine="0" w:firstLineChars="0"/>
        <w:rPr>
          <w:sz w:val="28"/>
          <w:szCs w:val="28"/>
        </w:rPr>
      </w:pPr>
    </w:p>
    <w:p w14:paraId="6C6CF73B">
      <w:pPr>
        <w:pStyle w:val="32"/>
        <w:ind w:firstLine="0" w:firstLineChars="0"/>
        <w:rPr>
          <w:sz w:val="28"/>
          <w:szCs w:val="28"/>
        </w:rPr>
      </w:pPr>
    </w:p>
    <w:p w14:paraId="05FF2AC4">
      <w:pPr>
        <w:pStyle w:val="32"/>
        <w:ind w:firstLine="0" w:firstLineChars="0"/>
        <w:rPr>
          <w:sz w:val="28"/>
          <w:szCs w:val="28"/>
        </w:rPr>
      </w:pPr>
    </w:p>
    <w:p w14:paraId="34A14552">
      <w:pPr>
        <w:pStyle w:val="32"/>
        <w:ind w:firstLine="0" w:firstLineChars="0"/>
        <w:rPr>
          <w:sz w:val="28"/>
          <w:szCs w:val="28"/>
        </w:rPr>
      </w:pPr>
    </w:p>
    <w:p w14:paraId="62C148F1">
      <w:pPr>
        <w:pStyle w:val="32"/>
        <w:ind w:firstLine="0" w:firstLineChars="0"/>
        <w:rPr>
          <w:sz w:val="28"/>
          <w:szCs w:val="28"/>
        </w:rPr>
      </w:pPr>
    </w:p>
    <w:p w14:paraId="66F2576C">
      <w:pPr>
        <w:pStyle w:val="32"/>
        <w:ind w:firstLine="0" w:firstLineChars="0"/>
        <w:rPr>
          <w:sz w:val="28"/>
          <w:szCs w:val="28"/>
        </w:rPr>
      </w:pPr>
    </w:p>
    <w:p w14:paraId="0D0DE2F9">
      <w:pPr>
        <w:pStyle w:val="32"/>
        <w:ind w:firstLine="0" w:firstLineChars="0"/>
        <w:rPr>
          <w:sz w:val="28"/>
          <w:szCs w:val="28"/>
        </w:rPr>
      </w:pPr>
    </w:p>
    <w:p w14:paraId="2F468189">
      <w:pPr>
        <w:pStyle w:val="32"/>
        <w:ind w:firstLine="0" w:firstLineChars="0"/>
        <w:rPr>
          <w:sz w:val="28"/>
          <w:szCs w:val="28"/>
        </w:rPr>
      </w:pPr>
    </w:p>
    <w:p w14:paraId="5C5CA629">
      <w:pPr>
        <w:pStyle w:val="32"/>
        <w:ind w:firstLine="0" w:firstLineChars="0"/>
        <w:rPr>
          <w:sz w:val="28"/>
          <w:szCs w:val="28"/>
        </w:rPr>
      </w:pPr>
    </w:p>
    <w:p w14:paraId="637A997E">
      <w:pPr>
        <w:pStyle w:val="32"/>
        <w:ind w:firstLine="0" w:firstLineChars="0"/>
        <w:rPr>
          <w:sz w:val="28"/>
          <w:szCs w:val="28"/>
        </w:rPr>
      </w:pPr>
    </w:p>
    <w:p w14:paraId="57E01968">
      <w:pPr>
        <w:pStyle w:val="32"/>
        <w:ind w:firstLine="0" w:firstLineChars="0"/>
        <w:rPr>
          <w:sz w:val="28"/>
          <w:szCs w:val="28"/>
        </w:rPr>
      </w:pPr>
    </w:p>
    <w:p w14:paraId="4DB92F3F">
      <w:pPr>
        <w:pStyle w:val="2"/>
        <w:numPr>
          <w:numberingChange w:id="0" w:author="刘海英" w:date="2017-09-08T15:13:00Z" w:original="%1:1:0:"/>
        </w:numPr>
        <w:spacing w:before="163" w:after="163"/>
      </w:pPr>
      <w:bookmarkStart w:id="0" w:name="_Toc492569861"/>
      <w:r>
        <w:rPr>
          <w:rFonts w:hint="eastAsia"/>
        </w:rPr>
        <w:t>项目背景</w:t>
      </w:r>
      <w:bookmarkEnd w:id="0"/>
    </w:p>
    <w:p w14:paraId="0555B486">
      <w:pPr>
        <w:pStyle w:val="3"/>
        <w:numPr>
          <w:numberingChange w:id="1" w:author="刘海英" w:date="2017-09-08T15:13:00Z" w:original="%1:1:0:.%2:1:0:"/>
        </w:numPr>
        <w:spacing w:after="163"/>
      </w:pPr>
      <w:bookmarkStart w:id="1" w:name="_Toc492569862"/>
      <w:r>
        <w:rPr>
          <w:rFonts w:hint="eastAsia"/>
        </w:rPr>
        <w:t>任务来源</w:t>
      </w:r>
      <w:bookmarkEnd w:id="1"/>
    </w:p>
    <w:p w14:paraId="72BD75B0">
      <w:pPr>
        <w:ind w:firstLine="480" w:firstLineChars="200"/>
      </w:pPr>
      <w:r>
        <w:rPr>
          <w:rFonts w:hint="eastAsia"/>
        </w:rPr>
        <w:t>为深入贯彻落实市委市政府加强环境建设，改善空气质量，保障民众健康的要求，适应全市经济发展和环境保护工作的需要，加强全市餐饮业大气污染物排放控制，北京市环境保护局于</w:t>
      </w:r>
      <w:r>
        <w:t>2013</w:t>
      </w:r>
      <w:r>
        <w:rPr>
          <w:rFonts w:hint="eastAsia"/>
        </w:rPr>
        <w:t>年</w:t>
      </w:r>
      <w:r>
        <w:t>12</w:t>
      </w:r>
      <w:r>
        <w:rPr>
          <w:rFonts w:hint="eastAsia"/>
        </w:rPr>
        <w:t>月下达了制定《北京市餐饮业大气污染物排放标准》的计划任务，由北京市环境保护科学研究院负责制定。</w:t>
      </w:r>
    </w:p>
    <w:p w14:paraId="3FF8346A">
      <w:pPr>
        <w:pStyle w:val="3"/>
        <w:numPr>
          <w:numberingChange w:id="2" w:author="刘海英" w:date="2017-09-08T15:13:00Z" w:original="%1:1:0:.%2:2:0:"/>
        </w:numPr>
        <w:spacing w:after="163"/>
      </w:pPr>
      <w:bookmarkStart w:id="2" w:name="_Toc492569863"/>
      <w:r>
        <w:rPr>
          <w:rFonts w:hint="eastAsia"/>
        </w:rPr>
        <w:t>主要工作过程</w:t>
      </w:r>
      <w:bookmarkEnd w:id="2"/>
    </w:p>
    <w:p w14:paraId="3F767BB5">
      <w:pPr>
        <w:ind w:firstLine="480" w:firstLineChars="200"/>
      </w:pPr>
      <w:r>
        <w:t>2013</w:t>
      </w:r>
      <w:r>
        <w:rPr>
          <w:rFonts w:hint="eastAsia"/>
        </w:rPr>
        <w:t>年</w:t>
      </w:r>
      <w:r>
        <w:t>12</w:t>
      </w:r>
      <w:r>
        <w:rPr>
          <w:rFonts w:hint="eastAsia"/>
        </w:rPr>
        <w:t>月，接到北京市环保局下达的工作任务后，北京市环科院成立标准编制组（以下简称编制组），启动了标准编制工作。标准编制组对北京市餐饮业发展现状、大气污染物排放及控制现状、污染排放控制的相关要求和管理规定进行了系统调研和分析；详细调研了发达国家和东北亚地区餐饮业油烟污染控制的相关法律法规及标准等情况；组织召开了多次专家研讨会，研讨并细化标准编制方案，在此基础上形成了《标准征求意见稿》。</w:t>
      </w:r>
    </w:p>
    <w:p w14:paraId="628530D9">
      <w:pPr>
        <w:ind w:firstLine="480" w:firstLineChars="200"/>
      </w:pPr>
      <w:r>
        <w:rPr>
          <w:rFonts w:hint="eastAsia"/>
        </w:rPr>
        <w:t>具体工作过程包括：</w:t>
      </w:r>
    </w:p>
    <w:p w14:paraId="4CC499CB">
      <w:pPr>
        <w:ind w:firstLine="480" w:firstLineChars="200"/>
      </w:pPr>
      <w:r>
        <w:rPr>
          <w:rFonts w:hint="eastAsia"/>
        </w:rPr>
        <w:t>（</w:t>
      </w:r>
      <w:r>
        <w:t>1</w:t>
      </w:r>
      <w:r>
        <w:rPr>
          <w:rFonts w:hint="eastAsia"/>
        </w:rPr>
        <w:t>）</w:t>
      </w:r>
      <w:r>
        <w:t>2013</w:t>
      </w:r>
      <w:r>
        <w:rPr>
          <w:rFonts w:hint="eastAsia"/>
        </w:rPr>
        <w:t>年</w:t>
      </w:r>
      <w:r>
        <w:t>12</w:t>
      </w:r>
      <w:r>
        <w:rPr>
          <w:rFonts w:hint="eastAsia"/>
        </w:rPr>
        <w:t>月</w:t>
      </w:r>
      <w:r>
        <w:t>~2014</w:t>
      </w:r>
      <w:r>
        <w:rPr>
          <w:rFonts w:hint="eastAsia"/>
        </w:rPr>
        <w:t>年</w:t>
      </w:r>
      <w:r>
        <w:t>2</w:t>
      </w:r>
      <w:r>
        <w:rPr>
          <w:rFonts w:hint="eastAsia"/>
        </w:rPr>
        <w:t>月</w:t>
      </w:r>
    </w:p>
    <w:p w14:paraId="22044C75">
      <w:pPr>
        <w:ind w:firstLine="480" w:firstLineChars="200"/>
      </w:pPr>
      <w:r>
        <w:t>——</w:t>
      </w:r>
      <w:r>
        <w:rPr>
          <w:rFonts w:hint="eastAsia"/>
        </w:rPr>
        <w:t>资料整理和收集。主要内容包括：国内外餐饮业污染控制的相关法律法规及排放标准，油烟污染控制技术，北京市餐饮业的现状和发展趋势，北京市环境管理部门的管理要求等相关资料的收集整理和调研。</w:t>
      </w:r>
    </w:p>
    <w:p w14:paraId="09E94E29">
      <w:pPr>
        <w:ind w:firstLine="480" w:firstLineChars="200"/>
      </w:pPr>
      <w:r>
        <w:rPr>
          <w:rFonts w:hint="eastAsia"/>
        </w:rPr>
        <w:t>（</w:t>
      </w:r>
      <w:r>
        <w:t>2</w:t>
      </w:r>
      <w:r>
        <w:rPr>
          <w:rFonts w:hint="eastAsia"/>
        </w:rPr>
        <w:t>）</w:t>
      </w:r>
      <w:r>
        <w:t>2014</w:t>
      </w:r>
      <w:r>
        <w:rPr>
          <w:rFonts w:hint="eastAsia"/>
        </w:rPr>
        <w:t>年</w:t>
      </w:r>
      <w:r>
        <w:t>1</w:t>
      </w:r>
      <w:r>
        <w:rPr>
          <w:rFonts w:hint="eastAsia"/>
        </w:rPr>
        <w:t>月</w:t>
      </w:r>
      <w:r>
        <w:t>~2014</w:t>
      </w:r>
      <w:r>
        <w:rPr>
          <w:rFonts w:hint="eastAsia"/>
        </w:rPr>
        <w:t>年</w:t>
      </w:r>
      <w:r>
        <w:t>5</w:t>
      </w:r>
      <w:r>
        <w:rPr>
          <w:rFonts w:hint="eastAsia"/>
        </w:rPr>
        <w:t>月</w:t>
      </w:r>
    </w:p>
    <w:p w14:paraId="45302B9B">
      <w:pPr>
        <w:ind w:firstLine="480" w:firstLineChars="200"/>
      </w:pPr>
      <w:r>
        <w:t>——</w:t>
      </w:r>
      <w:r>
        <w:rPr>
          <w:rFonts w:hint="eastAsia"/>
        </w:rPr>
        <w:t>现场调研及专家咨询。编制组开展了北京市西城区、东城区、丰台区、通州区、海淀区、昌平区等区县餐饮企业的现场调研，掌握了餐饮企业的基本操作过程、大气污染状况、油烟控制和管理水平；同时对油烟净化设备生产企业进行调研，初步掌握了不同油烟净化技术的优劣势，不同油烟净化设备生产企业的技术水平及生产能力。向餐饮污染治理行业专家咨询了餐饮油烟污染治理技术发展趋势及存在问题，向编制国标饮食业油烟排放标准的专家就标准编制思路等方面开展咨询。</w:t>
      </w:r>
    </w:p>
    <w:p w14:paraId="18AA2803">
      <w:pPr>
        <w:ind w:firstLine="480" w:firstLineChars="200"/>
      </w:pPr>
      <w:r>
        <w:rPr>
          <w:rFonts w:hint="eastAsia"/>
        </w:rPr>
        <w:t>（</w:t>
      </w:r>
      <w:r>
        <w:t>3</w:t>
      </w:r>
      <w:r>
        <w:rPr>
          <w:rFonts w:hint="eastAsia"/>
        </w:rPr>
        <w:t>）</w:t>
      </w:r>
      <w:r>
        <w:t>2014</w:t>
      </w:r>
      <w:r>
        <w:rPr>
          <w:rFonts w:hint="eastAsia"/>
        </w:rPr>
        <w:t>年</w:t>
      </w:r>
      <w:r>
        <w:t>4</w:t>
      </w:r>
      <w:r>
        <w:rPr>
          <w:rFonts w:hint="eastAsia"/>
        </w:rPr>
        <w:t>月</w:t>
      </w:r>
      <w:r>
        <w:t>~2014</w:t>
      </w:r>
      <w:r>
        <w:rPr>
          <w:rFonts w:hint="eastAsia"/>
        </w:rPr>
        <w:t>年</w:t>
      </w:r>
      <w:r>
        <w:t>9</w:t>
      </w:r>
      <w:r>
        <w:rPr>
          <w:rFonts w:hint="eastAsia"/>
        </w:rPr>
        <w:t>月</w:t>
      </w:r>
    </w:p>
    <w:p w14:paraId="305CDF03">
      <w:pPr>
        <w:ind w:firstLine="480" w:firstLineChars="200"/>
      </w:pPr>
      <w:r>
        <w:t>——</w:t>
      </w:r>
      <w:r>
        <w:rPr>
          <w:rFonts w:hint="eastAsia"/>
        </w:rPr>
        <w:t>开展典型企业排放监测。为掌握北京市餐饮业大气污染物的排放现状，编制组选择了</w:t>
      </w:r>
      <w:r>
        <w:t>24</w:t>
      </w:r>
      <w:r>
        <w:rPr>
          <w:rFonts w:hint="eastAsia"/>
        </w:rPr>
        <w:t>家有代表性餐饮企业，开展现场采样监测工作，并对部分餐饮企业进行多次采样监测，主要检测了餐饮业排放的油烟浓度（国标法）、颗粒物浓度（光散射法）、非甲烷总烃浓度（</w:t>
      </w:r>
      <w:r>
        <w:t>HJ/T38</w:t>
      </w:r>
      <w:r>
        <w:rPr>
          <w:rFonts w:hint="eastAsia"/>
        </w:rPr>
        <w:t>），</w:t>
      </w:r>
      <w:r>
        <w:t>VOCs</w:t>
      </w:r>
      <w:r>
        <w:rPr>
          <w:rFonts w:hint="eastAsia"/>
        </w:rPr>
        <w:t>组分及浓度（</w:t>
      </w:r>
      <w:r>
        <w:t>TO-18</w:t>
      </w:r>
      <w:r>
        <w:rPr>
          <w:rFonts w:hint="eastAsia"/>
        </w:rPr>
        <w:t>方法采样</w:t>
      </w:r>
      <w:r>
        <w:t>GC-MS</w:t>
      </w:r>
      <w:r>
        <w:rPr>
          <w:rFonts w:hint="eastAsia"/>
        </w:rPr>
        <w:t>法），醛酮类组分及浓度（</w:t>
      </w:r>
      <w:r>
        <w:t>TO-11</w:t>
      </w:r>
      <w:r>
        <w:rPr>
          <w:rFonts w:hint="eastAsia"/>
        </w:rPr>
        <w:t>方法）。</w:t>
      </w:r>
    </w:p>
    <w:p w14:paraId="61120365">
      <w:pPr>
        <w:ind w:firstLine="480" w:firstLineChars="200"/>
      </w:pPr>
      <w:r>
        <w:rPr>
          <w:rFonts w:hint="eastAsia"/>
        </w:rPr>
        <w:t>（</w:t>
      </w:r>
      <w:r>
        <w:t>4</w:t>
      </w:r>
      <w:r>
        <w:rPr>
          <w:rFonts w:hint="eastAsia"/>
        </w:rPr>
        <w:t>）</w:t>
      </w:r>
      <w:r>
        <w:t>2014</w:t>
      </w:r>
      <w:r>
        <w:rPr>
          <w:rFonts w:hint="eastAsia"/>
        </w:rPr>
        <w:t>年</w:t>
      </w:r>
      <w:r>
        <w:t>9</w:t>
      </w:r>
      <w:r>
        <w:rPr>
          <w:rFonts w:hint="eastAsia"/>
        </w:rPr>
        <w:t>月</w:t>
      </w:r>
      <w:r>
        <w:t>~2014</w:t>
      </w:r>
      <w:r>
        <w:rPr>
          <w:rFonts w:hint="eastAsia"/>
        </w:rPr>
        <w:t>年</w:t>
      </w:r>
      <w:r>
        <w:t>10</w:t>
      </w:r>
      <w:r>
        <w:rPr>
          <w:rFonts w:hint="eastAsia"/>
        </w:rPr>
        <w:t>月</w:t>
      </w:r>
    </w:p>
    <w:p w14:paraId="68BE791A">
      <w:pPr>
        <w:ind w:firstLine="480" w:firstLineChars="200"/>
      </w:pPr>
      <w:r>
        <w:t>——</w:t>
      </w:r>
      <w:r>
        <w:rPr>
          <w:rFonts w:hint="eastAsia"/>
        </w:rPr>
        <w:t>形成《标准》（草案）。结合北京市实际情况，编制组多次组织召开研讨会，对《标准》框架及标准内容进行讨论，在此基础上编写形成了《标准》（草案）讨论稿及其编制说明。</w:t>
      </w:r>
    </w:p>
    <w:p w14:paraId="7947B665">
      <w:pPr>
        <w:ind w:firstLine="480" w:firstLineChars="200"/>
      </w:pPr>
      <w:r>
        <w:rPr>
          <w:rFonts w:hint="eastAsia"/>
        </w:rPr>
        <w:t>（</w:t>
      </w:r>
      <w:r>
        <w:t>5</w:t>
      </w:r>
      <w:r>
        <w:rPr>
          <w:rFonts w:hint="eastAsia"/>
        </w:rPr>
        <w:t>）</w:t>
      </w:r>
      <w:r>
        <w:t>2014</w:t>
      </w:r>
      <w:r>
        <w:rPr>
          <w:rFonts w:hint="eastAsia"/>
        </w:rPr>
        <w:t>年</w:t>
      </w:r>
      <w:r>
        <w:t>10</w:t>
      </w:r>
      <w:r>
        <w:rPr>
          <w:rFonts w:hint="eastAsia"/>
        </w:rPr>
        <w:t>月</w:t>
      </w:r>
      <w:r>
        <w:t>~2014</w:t>
      </w:r>
      <w:r>
        <w:rPr>
          <w:rFonts w:hint="eastAsia"/>
        </w:rPr>
        <w:t>年</w:t>
      </w:r>
      <w:r>
        <w:t>12</w:t>
      </w:r>
      <w:r>
        <w:rPr>
          <w:rFonts w:hint="eastAsia"/>
        </w:rPr>
        <w:t>月</w:t>
      </w:r>
    </w:p>
    <w:p w14:paraId="457B8ABA">
      <w:pPr>
        <w:ind w:firstLine="480" w:firstLineChars="200"/>
      </w:pPr>
      <w:r>
        <w:t>——</w:t>
      </w:r>
      <w:r>
        <w:rPr>
          <w:rFonts w:hint="eastAsia"/>
        </w:rPr>
        <w:t>召开专家讨论会，修改形成《标准（征求意见稿）》。编制组分别于</w:t>
      </w:r>
      <w:r>
        <w:t>9</w:t>
      </w:r>
      <w:r>
        <w:rPr>
          <w:rFonts w:hint="eastAsia"/>
        </w:rPr>
        <w:t>月</w:t>
      </w:r>
      <w:r>
        <w:t>19</w:t>
      </w:r>
      <w:r>
        <w:rPr>
          <w:rFonts w:hint="eastAsia"/>
        </w:rPr>
        <w:t>日和</w:t>
      </w:r>
      <w:r>
        <w:t>10</w:t>
      </w:r>
      <w:r>
        <w:rPr>
          <w:rFonts w:hint="eastAsia"/>
        </w:rPr>
        <w:t>月</w:t>
      </w:r>
      <w:r>
        <w:t>31</w:t>
      </w:r>
      <w:r>
        <w:rPr>
          <w:rFonts w:hint="eastAsia"/>
        </w:rPr>
        <w:t>日两次召开专家会，就《标准》（草案）征求专家意见，同时还征求了相关管理部门及部分企业的意见，经反复修改后形成《标准（征求意见稿）》及其编制说明。</w:t>
      </w:r>
    </w:p>
    <w:p w14:paraId="294A39C1">
      <w:pPr>
        <w:ind w:firstLine="480" w:firstLineChars="200"/>
      </w:pPr>
      <w:r>
        <w:rPr>
          <w:rFonts w:hint="eastAsia"/>
        </w:rPr>
        <w:t>（</w:t>
      </w:r>
      <w:r>
        <w:t>6</w:t>
      </w:r>
      <w:r>
        <w:rPr>
          <w:rFonts w:hint="eastAsia"/>
        </w:rPr>
        <w:t>）</w:t>
      </w:r>
      <w:r>
        <w:t>2015</w:t>
      </w:r>
      <w:r>
        <w:rPr>
          <w:rFonts w:hint="eastAsia"/>
        </w:rPr>
        <w:t>年</w:t>
      </w:r>
      <w:r>
        <w:t>1</w:t>
      </w:r>
      <w:r>
        <w:rPr>
          <w:rFonts w:hint="eastAsia"/>
        </w:rPr>
        <w:t>月</w:t>
      </w:r>
      <w:r>
        <w:t>~2015</w:t>
      </w:r>
      <w:r>
        <w:rPr>
          <w:rFonts w:hint="eastAsia"/>
        </w:rPr>
        <w:t>年</w:t>
      </w:r>
      <w:r>
        <w:t>4</w:t>
      </w:r>
      <w:r>
        <w:rPr>
          <w:rFonts w:hint="eastAsia"/>
        </w:rPr>
        <w:t>月</w:t>
      </w:r>
    </w:p>
    <w:p w14:paraId="52130DF2">
      <w:pPr>
        <w:ind w:firstLine="480" w:firstLineChars="200"/>
      </w:pPr>
      <w:r>
        <w:t>——</w:t>
      </w:r>
      <w:r>
        <w:rPr>
          <w:rFonts w:hint="eastAsia"/>
        </w:rPr>
        <w:t>公开征求意见，并召开讨论会。</w:t>
      </w:r>
      <w:r>
        <w:t>2015</w:t>
      </w:r>
      <w:r>
        <w:rPr>
          <w:rFonts w:hint="eastAsia"/>
        </w:rPr>
        <w:t>年</w:t>
      </w:r>
      <w:r>
        <w:t>1</w:t>
      </w:r>
      <w:r>
        <w:rPr>
          <w:rFonts w:hint="eastAsia"/>
        </w:rPr>
        <w:t>月公开征求意见。征求意见后，召开了讨论会，根据部分专家和管理部门意见，认为本次征求意见稿中采用光散射法测颗粒物科学性严谨性不够，建议改为国标法油烟或建立其他方法。</w:t>
      </w:r>
    </w:p>
    <w:p w14:paraId="692C81BF">
      <w:pPr>
        <w:ind w:firstLine="480" w:firstLineChars="200"/>
      </w:pPr>
      <w:r>
        <w:rPr>
          <w:rFonts w:hint="eastAsia"/>
        </w:rPr>
        <w:t>（</w:t>
      </w:r>
      <w:r>
        <w:t>7</w:t>
      </w:r>
      <w:r>
        <w:rPr>
          <w:rFonts w:hint="eastAsia"/>
        </w:rPr>
        <w:t>）</w:t>
      </w:r>
      <w:r>
        <w:t>2016</w:t>
      </w:r>
      <w:r>
        <w:rPr>
          <w:rFonts w:hint="eastAsia"/>
        </w:rPr>
        <w:t>年</w:t>
      </w:r>
      <w:r>
        <w:t>2</w:t>
      </w:r>
      <w:r>
        <w:rPr>
          <w:rFonts w:hint="eastAsia"/>
        </w:rPr>
        <w:t>月，北京市环保局科技标准处组织标准编制组和北京市环境监测中心召开标准编制讨论会，就标准中餐饮业颗粒物应采用的监测方法进行讨论。北京市环境监测中心建议餐饮业颗粒物的测定应回归到基准方法重量法上来，建议研究建立以重量法原理为基础的餐饮业颗粒物的检测方法，开展重量法颗粒物与国标法油烟测试方法的实际比对测试工作。</w:t>
      </w:r>
    </w:p>
    <w:p w14:paraId="5AAF2942">
      <w:pPr>
        <w:ind w:firstLine="480" w:firstLineChars="200"/>
      </w:pPr>
      <w:r>
        <w:rPr>
          <w:rFonts w:hint="eastAsia"/>
        </w:rPr>
        <w:t>（</w:t>
      </w:r>
      <w:r>
        <w:t>8</w:t>
      </w:r>
      <w:r>
        <w:rPr>
          <w:rFonts w:hint="eastAsia"/>
        </w:rPr>
        <w:t>）</w:t>
      </w:r>
      <w:r>
        <w:t>2016</w:t>
      </w:r>
      <w:r>
        <w:rPr>
          <w:rFonts w:hint="eastAsia"/>
        </w:rPr>
        <w:t>年</w:t>
      </w:r>
      <w:r>
        <w:t>3</w:t>
      </w:r>
      <w:r>
        <w:rPr>
          <w:rFonts w:hint="eastAsia"/>
        </w:rPr>
        <w:t>月</w:t>
      </w:r>
      <w:r>
        <w:t>~5</w:t>
      </w:r>
      <w:r>
        <w:rPr>
          <w:rFonts w:hint="eastAsia"/>
        </w:rPr>
        <w:t>月</w:t>
      </w:r>
    </w:p>
    <w:p w14:paraId="4AD6111B">
      <w:pPr>
        <w:ind w:firstLine="480" w:firstLineChars="200"/>
      </w:pPr>
      <w:r>
        <w:t>——</w:t>
      </w:r>
      <w:r>
        <w:rPr>
          <w:rFonts w:hint="eastAsia"/>
        </w:rPr>
        <w:t>以重量法（手工称重）原理为基础的餐饮业颗粒物的检测方法的研究。北京市环境监测中心对现有油烟采样枪的采样头部分进行设计改造，设计了一体化的颗粒物检测滤芯，模拟计算了新采样头结构对</w:t>
      </w:r>
      <w:r>
        <w:t>S</w:t>
      </w:r>
      <w:r>
        <w:rPr>
          <w:rFonts w:hint="eastAsia"/>
        </w:rPr>
        <w:t>型皮托管的影响，开展颗粒物检测滤芯吸水和干燥速率实验，确定了干燥条件和方式，选取了</w:t>
      </w:r>
      <w:r>
        <w:t>6</w:t>
      </w:r>
      <w:r>
        <w:rPr>
          <w:rFonts w:hint="eastAsia"/>
        </w:rPr>
        <w:t>家有资质的实验室开展了方法检出限比对测试工作。</w:t>
      </w:r>
    </w:p>
    <w:p w14:paraId="0DFC11EB">
      <w:pPr>
        <w:ind w:firstLine="480" w:firstLineChars="200"/>
      </w:pPr>
      <w:r>
        <w:rPr>
          <w:rFonts w:hint="eastAsia"/>
        </w:rPr>
        <w:t>（</w:t>
      </w:r>
      <w:r>
        <w:t>9</w:t>
      </w:r>
      <w:r>
        <w:rPr>
          <w:rFonts w:hint="eastAsia"/>
        </w:rPr>
        <w:t>）</w:t>
      </w:r>
      <w:r>
        <w:t>2016</w:t>
      </w:r>
      <w:r>
        <w:rPr>
          <w:rFonts w:hint="eastAsia"/>
        </w:rPr>
        <w:t>年</w:t>
      </w:r>
      <w:r>
        <w:t>3</w:t>
      </w:r>
      <w:r>
        <w:rPr>
          <w:rFonts w:hint="eastAsia"/>
        </w:rPr>
        <w:t>月</w:t>
      </w:r>
      <w:r>
        <w:t>~10</w:t>
      </w:r>
      <w:r>
        <w:rPr>
          <w:rFonts w:hint="eastAsia"/>
        </w:rPr>
        <w:t>月</w:t>
      </w:r>
    </w:p>
    <w:p w14:paraId="64C80FA1">
      <w:pPr>
        <w:ind w:firstLine="480" w:firstLineChars="200"/>
      </w:pPr>
      <w:r>
        <w:t>——</w:t>
      </w:r>
      <w:r>
        <w:rPr>
          <w:rFonts w:hint="eastAsia"/>
        </w:rPr>
        <w:t>开展重量法颗粒物与国标法油烟测试方法的实际比对测试工作。编制组选取了具有采样条件的</w:t>
      </w:r>
      <w:r>
        <w:t>24</w:t>
      </w:r>
      <w:r>
        <w:rPr>
          <w:rFonts w:hint="eastAsia"/>
        </w:rPr>
        <w:t>家典型餐饮企业，开展重量法颗粒物与国标法油烟测试方法的实际比对测试工作，对</w:t>
      </w:r>
      <w:r>
        <w:t>VOCs</w:t>
      </w:r>
      <w:r>
        <w:rPr>
          <w:rFonts w:hint="eastAsia"/>
        </w:rPr>
        <w:t>的实际排放和治理现状进行补充测试，进一步补充标准限值的制定依据。</w:t>
      </w:r>
    </w:p>
    <w:p w14:paraId="377BE446">
      <w:pPr>
        <w:ind w:firstLine="480" w:firstLineChars="200"/>
      </w:pPr>
      <w:r>
        <w:rPr>
          <w:rFonts w:hint="eastAsia"/>
        </w:rPr>
        <w:t>（</w:t>
      </w:r>
      <w:r>
        <w:t>10</w:t>
      </w:r>
      <w:r>
        <w:rPr>
          <w:rFonts w:hint="eastAsia"/>
        </w:rPr>
        <w:t>）</w:t>
      </w:r>
      <w:r>
        <w:t>2016</w:t>
      </w:r>
      <w:r>
        <w:rPr>
          <w:rFonts w:hint="eastAsia"/>
        </w:rPr>
        <w:t>年</w:t>
      </w:r>
      <w:r>
        <w:t>11</w:t>
      </w:r>
      <w:r>
        <w:rPr>
          <w:rFonts w:hint="eastAsia"/>
        </w:rPr>
        <w:t>月</w:t>
      </w:r>
      <w:r>
        <w:t>-2017</w:t>
      </w:r>
      <w:r>
        <w:rPr>
          <w:rFonts w:hint="eastAsia"/>
        </w:rPr>
        <w:t>年</w:t>
      </w:r>
      <w:r>
        <w:t>1</w:t>
      </w:r>
      <w:r>
        <w:rPr>
          <w:rFonts w:hint="eastAsia"/>
        </w:rPr>
        <w:t>月</w:t>
      </w:r>
    </w:p>
    <w:p w14:paraId="580F40F4">
      <w:pPr>
        <w:ind w:firstLine="480" w:firstLineChars="200"/>
        <w:rPr>
          <w:szCs w:val="21"/>
        </w:rPr>
      </w:pPr>
      <w:r>
        <w:t>——</w:t>
      </w:r>
      <w:r>
        <w:rPr>
          <w:szCs w:val="21"/>
        </w:rPr>
        <w:t>2016</w:t>
      </w:r>
      <w:r>
        <w:rPr>
          <w:rFonts w:hint="eastAsia"/>
          <w:szCs w:val="21"/>
        </w:rPr>
        <w:t>年</w:t>
      </w:r>
      <w:r>
        <w:rPr>
          <w:szCs w:val="21"/>
        </w:rPr>
        <w:t>11</w:t>
      </w:r>
      <w:r>
        <w:rPr>
          <w:rFonts w:hint="eastAsia"/>
          <w:szCs w:val="21"/>
        </w:rPr>
        <w:t>月，编制组向北京市环保局汇报了基于重量法的餐饮颗粒物检测方法的相关研究工作和结果。</w:t>
      </w:r>
      <w:r>
        <w:rPr>
          <w:szCs w:val="21"/>
        </w:rPr>
        <w:t>2017</w:t>
      </w:r>
      <w:r>
        <w:rPr>
          <w:rFonts w:hint="eastAsia"/>
          <w:szCs w:val="21"/>
        </w:rPr>
        <w:t>年</w:t>
      </w:r>
      <w:r>
        <w:rPr>
          <w:szCs w:val="21"/>
        </w:rPr>
        <w:t>1</w:t>
      </w:r>
      <w:r>
        <w:rPr>
          <w:rFonts w:hint="eastAsia"/>
          <w:szCs w:val="21"/>
        </w:rPr>
        <w:t>月，编制组组织召开《餐饮业大气污染物排放标准》的专家讨论会，重点介绍了基于重量法的颗粒物检测方法的相关研究工作和结果，及检测方法的改变导致标准中颗粒物排放限值的变化情况。与会专家讨论并明确了重量法的全面性、代表性、易用性和可行性。</w:t>
      </w:r>
    </w:p>
    <w:p w14:paraId="1170B318">
      <w:pPr>
        <w:ind w:firstLine="480" w:firstLineChars="200"/>
      </w:pPr>
      <w:r>
        <w:rPr>
          <w:rFonts w:hint="eastAsia"/>
          <w:szCs w:val="21"/>
        </w:rPr>
        <w:t>（</w:t>
      </w:r>
      <w:r>
        <w:rPr>
          <w:szCs w:val="21"/>
        </w:rPr>
        <w:t>11</w:t>
      </w:r>
      <w:r>
        <w:rPr>
          <w:rFonts w:hint="eastAsia"/>
          <w:szCs w:val="21"/>
        </w:rPr>
        <w:t>）</w:t>
      </w:r>
      <w:r>
        <w:rPr>
          <w:szCs w:val="21"/>
        </w:rPr>
        <w:t>2017</w:t>
      </w:r>
      <w:r>
        <w:rPr>
          <w:rFonts w:hint="eastAsia"/>
          <w:szCs w:val="21"/>
        </w:rPr>
        <w:t>年</w:t>
      </w:r>
      <w:r>
        <w:rPr>
          <w:szCs w:val="21"/>
        </w:rPr>
        <w:t>2</w:t>
      </w:r>
      <w:r>
        <w:rPr>
          <w:rFonts w:hint="eastAsia"/>
          <w:szCs w:val="21"/>
        </w:rPr>
        <w:t>月</w:t>
      </w:r>
      <w:r>
        <w:rPr>
          <w:szCs w:val="21"/>
        </w:rPr>
        <w:t>~2017</w:t>
      </w:r>
      <w:r>
        <w:rPr>
          <w:rFonts w:hint="eastAsia"/>
          <w:szCs w:val="21"/>
        </w:rPr>
        <w:t>年</w:t>
      </w:r>
      <w:r>
        <w:rPr>
          <w:szCs w:val="21"/>
        </w:rPr>
        <w:t>5</w:t>
      </w:r>
      <w:r>
        <w:rPr>
          <w:rFonts w:hint="eastAsia"/>
          <w:szCs w:val="21"/>
        </w:rPr>
        <w:t>月</w:t>
      </w:r>
    </w:p>
    <w:p w14:paraId="489DC03F">
      <w:pPr>
        <w:ind w:firstLine="480" w:firstLineChars="200"/>
      </w:pPr>
      <w:r>
        <w:t>——</w:t>
      </w:r>
      <w:r>
        <w:rPr>
          <w:rFonts w:hint="eastAsia"/>
        </w:rPr>
        <w:t>根据实际测试结果，编制组对《标准（征求意见稿）》关于餐饮业排放颗粒物的检测方法和限值进行修订，形成第二稿，之后召开专家讨论会，在听取相关领导和部分专家意见和建议的基础上，明确了几个关键问题，如效率指标的取舍，控制污染物项目及检测方法的可行性确定等，对《标准（征求意见稿）》进行修订完善，形成了《标准（征求意见稿）</w:t>
      </w:r>
      <w:bookmarkStart w:id="50" w:name="_GoBack"/>
      <w:bookmarkEnd w:id="50"/>
      <w:r>
        <w:rPr>
          <w:rFonts w:hint="eastAsia"/>
        </w:rPr>
        <w:t>》第二稿，并于</w:t>
      </w:r>
      <w:r>
        <w:t>2017</w:t>
      </w:r>
      <w:r>
        <w:rPr>
          <w:rFonts w:hint="eastAsia"/>
        </w:rPr>
        <w:t>年</w:t>
      </w:r>
      <w:r>
        <w:t>5</w:t>
      </w:r>
      <w:r>
        <w:rPr>
          <w:rFonts w:hint="eastAsia"/>
        </w:rPr>
        <w:t>月</w:t>
      </w:r>
      <w:r>
        <w:t>15</w:t>
      </w:r>
      <w:r>
        <w:rPr>
          <w:rFonts w:hint="eastAsia"/>
        </w:rPr>
        <w:t>日第二次公开征求意见。</w:t>
      </w:r>
    </w:p>
    <w:p w14:paraId="6ED9870A">
      <w:pPr>
        <w:ind w:firstLine="480" w:firstLineChars="200"/>
      </w:pPr>
      <w:r>
        <w:rPr>
          <w:rFonts w:hint="eastAsia"/>
        </w:rPr>
        <w:t>（</w:t>
      </w:r>
      <w:r>
        <w:t>12</w:t>
      </w:r>
      <w:r>
        <w:rPr>
          <w:rFonts w:hint="eastAsia"/>
        </w:rPr>
        <w:t>）</w:t>
      </w:r>
      <w:r>
        <w:t>2017</w:t>
      </w:r>
      <w:r>
        <w:rPr>
          <w:rFonts w:hint="eastAsia"/>
        </w:rPr>
        <w:t>年</w:t>
      </w:r>
      <w:r>
        <w:t>6</w:t>
      </w:r>
      <w:r>
        <w:rPr>
          <w:rFonts w:hint="eastAsia"/>
        </w:rPr>
        <w:t>月</w:t>
      </w:r>
      <w:r>
        <w:t>~2017</w:t>
      </w:r>
      <w:r>
        <w:rPr>
          <w:rFonts w:hint="eastAsia"/>
        </w:rPr>
        <w:t>年</w:t>
      </w:r>
      <w:r>
        <w:t>7</w:t>
      </w:r>
      <w:r>
        <w:rPr>
          <w:rFonts w:hint="eastAsia"/>
        </w:rPr>
        <w:t>月</w:t>
      </w:r>
    </w:p>
    <w:p w14:paraId="38E018BC">
      <w:pPr>
        <w:ind w:firstLine="480" w:firstLineChars="200"/>
      </w:pPr>
      <w:r>
        <w:t>——</w:t>
      </w:r>
      <w:r>
        <w:rPr>
          <w:rFonts w:hint="eastAsia"/>
        </w:rPr>
        <w:t>对第二次的反馈意见进行汇总和处理。</w:t>
      </w:r>
      <w:r>
        <w:t>2017</w:t>
      </w:r>
      <w:r>
        <w:rPr>
          <w:rFonts w:hint="eastAsia"/>
        </w:rPr>
        <w:t>年</w:t>
      </w:r>
      <w:r>
        <w:t>6</w:t>
      </w:r>
      <w:r>
        <w:rPr>
          <w:rFonts w:hint="eastAsia"/>
        </w:rPr>
        <w:t>月</w:t>
      </w:r>
      <w:r>
        <w:t>7</w:t>
      </w:r>
      <w:r>
        <w:rPr>
          <w:rFonts w:hint="eastAsia"/>
        </w:rPr>
        <w:t>日，在标准第二次公开征求意见期间，召开《标准》二次征求意见稿的讨论会，主要是听取各净化设备生产企业对《标准》内容的意见。公开征求意见结束后，对第二次的反馈意见进行汇总和初步处理，并分别于</w:t>
      </w:r>
      <w:r>
        <w:t>2017</w:t>
      </w:r>
      <w:r>
        <w:rPr>
          <w:rFonts w:hint="eastAsia"/>
        </w:rPr>
        <w:t>年</w:t>
      </w:r>
      <w:r>
        <w:t>7</w:t>
      </w:r>
      <w:r>
        <w:rPr>
          <w:rFonts w:hint="eastAsia"/>
        </w:rPr>
        <w:t>月</w:t>
      </w:r>
      <w:r>
        <w:t>4</w:t>
      </w:r>
      <w:r>
        <w:rPr>
          <w:rFonts w:hint="eastAsia"/>
        </w:rPr>
        <w:t>日、</w:t>
      </w:r>
      <w:r>
        <w:t>7</w:t>
      </w:r>
      <w:r>
        <w:rPr>
          <w:rFonts w:hint="eastAsia"/>
        </w:rPr>
        <w:t>月</w:t>
      </w:r>
      <w:r>
        <w:t>7</w:t>
      </w:r>
      <w:r>
        <w:rPr>
          <w:rFonts w:hint="eastAsia"/>
        </w:rPr>
        <w:t>日、</w:t>
      </w:r>
      <w:r>
        <w:t>7</w:t>
      </w:r>
      <w:r>
        <w:rPr>
          <w:rFonts w:hint="eastAsia"/>
        </w:rPr>
        <w:t>月</w:t>
      </w:r>
      <w:r>
        <w:t>12</w:t>
      </w:r>
      <w:r>
        <w:rPr>
          <w:rFonts w:hint="eastAsia"/>
        </w:rPr>
        <w:t>日，</w:t>
      </w:r>
      <w:r>
        <w:t>7</w:t>
      </w:r>
      <w:r>
        <w:rPr>
          <w:rFonts w:hint="eastAsia"/>
        </w:rPr>
        <w:t>月</w:t>
      </w:r>
      <w:r>
        <w:t>17</w:t>
      </w:r>
      <w:r>
        <w:rPr>
          <w:rFonts w:hint="eastAsia"/>
        </w:rPr>
        <w:t>、</w:t>
      </w:r>
      <w:r>
        <w:t>8</w:t>
      </w:r>
      <w:r>
        <w:rPr>
          <w:rFonts w:hint="eastAsia"/>
        </w:rPr>
        <w:t>月</w:t>
      </w:r>
      <w:r>
        <w:t>4</w:t>
      </w:r>
      <w:r>
        <w:rPr>
          <w:rFonts w:hint="eastAsia"/>
        </w:rPr>
        <w:t>日、</w:t>
      </w:r>
      <w:r>
        <w:t>8</w:t>
      </w:r>
      <w:r>
        <w:rPr>
          <w:rFonts w:hint="eastAsia"/>
        </w:rPr>
        <w:t>月</w:t>
      </w:r>
      <w:r>
        <w:t>11</w:t>
      </w:r>
      <w:r>
        <w:rPr>
          <w:rFonts w:hint="eastAsia"/>
        </w:rPr>
        <w:t>日，向市环保局有关处室汇报了《标准》反馈见的处理情况，对《标准》中一些重大分歧进行汇报和讨论。</w:t>
      </w:r>
      <w:r>
        <w:t xml:space="preserve"> 8</w:t>
      </w:r>
      <w:r>
        <w:rPr>
          <w:rFonts w:hint="eastAsia"/>
        </w:rPr>
        <w:t>月</w:t>
      </w:r>
      <w:r>
        <w:t>24</w:t>
      </w:r>
      <w:r>
        <w:rPr>
          <w:rFonts w:hint="eastAsia"/>
        </w:rPr>
        <w:t>日市环保局组织召开专题会，对标准的编制思路和内容提出修改意见如下：</w:t>
      </w:r>
    </w:p>
    <w:p w14:paraId="0417CA32">
      <w:pPr>
        <w:ind w:firstLine="480" w:firstLineChars="200"/>
      </w:pPr>
      <w:r>
        <w:t>1</w:t>
      </w:r>
      <w:r>
        <w:rPr>
          <w:rFonts w:hint="eastAsia"/>
        </w:rPr>
        <w:t>）加严油烟排放限值。</w:t>
      </w:r>
    </w:p>
    <w:p w14:paraId="6B0D56FB">
      <w:pPr>
        <w:ind w:firstLine="480" w:firstLineChars="200"/>
      </w:pPr>
      <w:r>
        <w:t>2</w:t>
      </w:r>
      <w:r>
        <w:rPr>
          <w:rFonts w:hint="eastAsia"/>
        </w:rPr>
        <w:t>）为避免与国标中油烟指标混淆，将第二次征求意见稿中“油烟颗粒物”术语改为“颗粒物”。</w:t>
      </w:r>
    </w:p>
    <w:p w14:paraId="05053579">
      <w:pPr>
        <w:ind w:firstLine="480" w:firstLineChars="200"/>
        <w:rPr>
          <w:rFonts w:ascii="宋体"/>
        </w:rPr>
      </w:pPr>
      <w:r>
        <w:t>3</w:t>
      </w:r>
      <w:r>
        <w:rPr>
          <w:rFonts w:hint="eastAsia"/>
        </w:rPr>
        <w:t>）餐饮业无组织排放的异味对餐馆周边居民的居住环境影响明显，根据国家有关标准，增加无组织排放的臭气浓度限值</w:t>
      </w:r>
      <w:r>
        <w:rPr>
          <w:rFonts w:hint="eastAsia" w:ascii="宋体" w:hAnsi="宋体"/>
        </w:rPr>
        <w:t>。</w:t>
      </w:r>
    </w:p>
    <w:p w14:paraId="5BD98D31">
      <w:pPr>
        <w:ind w:firstLine="480" w:firstLineChars="200"/>
        <w:rPr>
          <w:rFonts w:ascii="宋体"/>
        </w:rPr>
      </w:pPr>
      <w:r>
        <w:rPr>
          <w:rFonts w:ascii="宋体" w:hAnsi="宋体"/>
        </w:rPr>
        <w:t>4</w:t>
      </w:r>
      <w:r>
        <w:rPr>
          <w:rFonts w:hint="eastAsia" w:ascii="宋体" w:hAnsi="宋体"/>
        </w:rPr>
        <w:t>）结合《大气污染防治法》相关规定及餐饮业的污染排放管理特点，修改并完善排放控制和运行操作要求</w:t>
      </w:r>
      <w:r>
        <w:rPr>
          <w:rFonts w:ascii="宋体"/>
        </w:rPr>
        <w:t>,</w:t>
      </w:r>
      <w:r>
        <w:rPr>
          <w:rFonts w:hint="eastAsia" w:ascii="宋体" w:hAnsi="宋体"/>
        </w:rPr>
        <w:t>删除自行监测要求和净化设备环保产品认证要求。</w:t>
      </w:r>
    </w:p>
    <w:p w14:paraId="2CA21822">
      <w:pPr>
        <w:ind w:firstLine="480" w:firstLineChars="200"/>
      </w:pPr>
      <w:r>
        <w:rPr>
          <w:rFonts w:ascii="宋体" w:hAnsi="宋体"/>
        </w:rPr>
        <w:t>5</w:t>
      </w:r>
      <w:r>
        <w:rPr>
          <w:rFonts w:hint="eastAsia" w:ascii="宋体" w:hAnsi="宋体"/>
        </w:rPr>
        <w:t>）完善编制说明的内容，细化对主要污染物的排放限值和治理技术论证说明，并对编制说明进行编辑性修改。</w:t>
      </w:r>
    </w:p>
    <w:p w14:paraId="7840586F">
      <w:pPr>
        <w:ind w:firstLine="480" w:firstLineChars="200"/>
      </w:pPr>
      <w:r>
        <w:rPr>
          <w:rFonts w:hint="eastAsia"/>
        </w:rPr>
        <w:t>（</w:t>
      </w:r>
      <w:r>
        <w:t>13</w:t>
      </w:r>
      <w:r>
        <w:rPr>
          <w:rFonts w:hint="eastAsia"/>
        </w:rPr>
        <w:t>）</w:t>
      </w:r>
      <w:r>
        <w:t>2017</w:t>
      </w:r>
      <w:r>
        <w:rPr>
          <w:rFonts w:hint="eastAsia"/>
        </w:rPr>
        <w:t>年</w:t>
      </w:r>
      <w:r>
        <w:t>9</w:t>
      </w:r>
      <w:r>
        <w:rPr>
          <w:rFonts w:hint="eastAsia"/>
        </w:rPr>
        <w:t>月</w:t>
      </w:r>
    </w:p>
    <w:p w14:paraId="73375390">
      <w:pPr>
        <w:ind w:firstLine="480" w:firstLineChars="200"/>
      </w:pPr>
      <w:r>
        <w:t>——</w:t>
      </w:r>
      <w:r>
        <w:rPr>
          <w:rFonts w:hint="eastAsia" w:hAnsi="宋体"/>
        </w:rPr>
        <w:t>根据反馈意见和局相关处室及领导多次讨论意见对标准进行修改，形成标准第三次征求意见稿。</w:t>
      </w:r>
    </w:p>
    <w:p w14:paraId="11251929">
      <w:pPr>
        <w:pStyle w:val="2"/>
        <w:numPr>
          <w:numberingChange w:id="3" w:author="刘海英" w:date="2017-09-08T15:13:00Z" w:original="%1:2:0:"/>
        </w:numPr>
        <w:spacing w:before="163" w:after="163"/>
      </w:pPr>
      <w:bookmarkStart w:id="3" w:name="_Toc492569864"/>
      <w:r>
        <w:rPr>
          <w:rFonts w:hint="eastAsia"/>
        </w:rPr>
        <w:t>标准编制的必要性、原则和思路方法</w:t>
      </w:r>
      <w:bookmarkEnd w:id="3"/>
    </w:p>
    <w:p w14:paraId="4D6229A3">
      <w:pPr>
        <w:pStyle w:val="3"/>
        <w:numPr>
          <w:numberingChange w:id="4" w:author="刘海英" w:date="2017-09-08T15:13:00Z" w:original="%1:2:0:.%2:1:0:"/>
        </w:numPr>
        <w:spacing w:after="163"/>
      </w:pPr>
      <w:bookmarkStart w:id="4" w:name="_Toc492569865"/>
      <w:r>
        <w:rPr>
          <w:rFonts w:hint="eastAsia"/>
        </w:rPr>
        <w:t>标准编制的必要性</w:t>
      </w:r>
      <w:bookmarkEnd w:id="4"/>
    </w:p>
    <w:p w14:paraId="08FDFD89">
      <w:pPr>
        <w:pStyle w:val="32"/>
        <w:numPr>
          <w:ilvl w:val="0"/>
          <w:numId w:val="3"/>
          <w:numberingChange w:id="5" w:author="刘海英" w:date="2017-09-08T15:13:00Z" w:original="（%1:1:0:）"/>
        </w:numPr>
        <w:ind w:firstLineChars="0"/>
      </w:pPr>
      <w:r>
        <w:rPr>
          <w:rFonts w:hint="eastAsia"/>
        </w:rPr>
        <w:t>控制餐饮油烟污染是改善居民居住环境的需要。</w:t>
      </w:r>
    </w:p>
    <w:p w14:paraId="318ACAC5">
      <w:pPr>
        <w:ind w:firstLine="480" w:firstLineChars="200"/>
      </w:pPr>
      <w:r>
        <w:rPr>
          <w:rFonts w:hint="eastAsia"/>
        </w:rPr>
        <w:t>随着社会经济的发展和居民生活水平的提高，北京市餐饮业发展状况良好，特别是中心城区，与居民生活息息相关的餐饮业排放</w:t>
      </w:r>
      <w:r>
        <w:t>VOCs</w:t>
      </w:r>
      <w:r>
        <w:rPr>
          <w:rFonts w:hint="eastAsia"/>
        </w:rPr>
        <w:t>和颗粒物总量将会逐年增加，所占的比重逐步提高。且餐饮污染对周边居民的影响较为显著，一方面餐饮产生的油烟气溶胶会附着在周围建筑物体上，成为火灾隐患；另一方面，餐饮产生的油烟和异味对周边居民的感官产生影响，是餐饮投诉的主要原因之一。因此，必须通过制定《餐饮业大气污染物排放标准》，引导餐饮服务单位采取有效措施控制餐饮油烟、颗粒物及</w:t>
      </w:r>
      <w:r>
        <w:t>VOCs</w:t>
      </w:r>
      <w:r>
        <w:rPr>
          <w:rFonts w:hint="eastAsia"/>
        </w:rPr>
        <w:t>的排放总量，改善餐馆周边居民的居住环境。</w:t>
      </w:r>
    </w:p>
    <w:p w14:paraId="78E7E4D3">
      <w:pPr>
        <w:pStyle w:val="32"/>
        <w:numPr>
          <w:ilvl w:val="0"/>
          <w:numId w:val="3"/>
          <w:numberingChange w:id="6" w:author="刘海英" w:date="2017-09-08T15:13:00Z" w:original="（%1:2:0:）"/>
        </w:numPr>
        <w:ind w:firstLineChars="0"/>
      </w:pPr>
      <w:r>
        <w:rPr>
          <w:rFonts w:hint="eastAsia"/>
        </w:rPr>
        <w:t>是应对大气复合型污染控制、促进大气环境质量改善的需要。</w:t>
      </w:r>
    </w:p>
    <w:p w14:paraId="268A4BC2">
      <w:pPr>
        <w:ind w:firstLine="480" w:firstLineChars="200"/>
      </w:pPr>
      <w:r>
        <w:rPr>
          <w:rFonts w:hint="eastAsia"/>
        </w:rPr>
        <w:t>目前，北京市大气污染日益呈现复合型的特点，主要表现在细颗粒物（</w:t>
      </w:r>
      <w:r>
        <w:t>PM</w:t>
      </w:r>
      <w:r>
        <w:rPr>
          <w:vertAlign w:val="subscript"/>
        </w:rPr>
        <w:t>2.5</w:t>
      </w:r>
      <w:r>
        <w:rPr>
          <w:rFonts w:hint="eastAsia"/>
        </w:rPr>
        <w:t>）污染较重、夏季臭氧浓度较高（大气氧化性强）等问题。如何有效控制大气复合型污染，已成为北京市各级环境管理部门面临的重点任务之一。</w:t>
      </w:r>
    </w:p>
    <w:p w14:paraId="400F1976">
      <w:pPr>
        <w:ind w:firstLine="480" w:firstLineChars="200"/>
      </w:pPr>
      <w:r>
        <w:rPr>
          <w:rFonts w:hint="eastAsia"/>
        </w:rPr>
        <w:t>根据环保部公益项目</w:t>
      </w:r>
      <w:r>
        <w:t>——</w:t>
      </w:r>
      <w:r>
        <w:rPr>
          <w:rFonts w:hint="eastAsia"/>
        </w:rPr>
        <w:t>《餐饮业挥发性有机物和颗粒物排放特征及污染控制对策研究》（以下简称“公益专项”）的研究成果表明，餐饮源污染主要表征为油烟、颗粒物和挥发性有机物的污染。餐饮源对大气复合型污染的贡献是多方面的，首先餐饮业排放烟气中的细颗粒物是</w:t>
      </w:r>
      <w:r>
        <w:t>PM</w:t>
      </w:r>
      <w:r>
        <w:rPr>
          <w:vertAlign w:val="subscript"/>
        </w:rPr>
        <w:t>2.5</w:t>
      </w:r>
      <w:r>
        <w:rPr>
          <w:rFonts w:hint="eastAsia"/>
        </w:rPr>
        <w:t>的一次排放源；其次烹饪会产生多种挥发性有机物，其中烯烃类、芳香烃和烷烃类等组分可与大气中的氮氧化物发生反应，增强大气氧化性，有利于臭氧和二次颗粒物的形成。此外，随着北京市大气污染防治措施和行动计划的落实，清洁能源替换、工业大气污染治理、机动车污染控制措施的大力实施，这些主要排放源的贡献将逐步降低。</w:t>
      </w:r>
    </w:p>
    <w:p w14:paraId="2B97ECBC">
      <w:pPr>
        <w:ind w:firstLine="480" w:firstLineChars="200"/>
      </w:pPr>
      <w:r>
        <w:rPr>
          <w:rFonts w:hint="eastAsia"/>
        </w:rPr>
        <w:t>（</w:t>
      </w:r>
      <w:r>
        <w:t>3</w:t>
      </w:r>
      <w:r>
        <w:rPr>
          <w:rFonts w:hint="eastAsia"/>
        </w:rPr>
        <w:t>）制定餐饮业大气污染物排放标准，增加颗粒物和</w:t>
      </w:r>
      <w:r>
        <w:t>VOCs</w:t>
      </w:r>
      <w:r>
        <w:rPr>
          <w:rFonts w:hint="eastAsia"/>
        </w:rPr>
        <w:t>指标，是提高北京市餐饮污染源治理水平的需要。</w:t>
      </w:r>
    </w:p>
    <w:p w14:paraId="5B6A6254">
      <w:pPr>
        <w:ind w:firstLine="480" w:firstLineChars="200"/>
      </w:pPr>
      <w:r>
        <w:rPr>
          <w:rFonts w:hint="eastAsia"/>
        </w:rPr>
        <w:t>餐饮业大气污染的治理和监管一直是北京市大气环境管理中的薄弱环节，主要困难是现有的国标中油烟指标的监测操作复杂，尚未将餐饮企业排放的颗粒物和</w:t>
      </w:r>
      <w:r>
        <w:t>VOCs</w:t>
      </w:r>
      <w:r>
        <w:rPr>
          <w:rFonts w:hint="eastAsia"/>
        </w:rPr>
        <w:t>污染物纳入监管；部分监测技术方法的易用性和可操作性较差，导致环境监管部门在对餐饮企业实施监管时缺乏依据和手段。因此，能否依据餐饮污染源污染物排放特征，建立有针对性的、较为完善的、可操作性强的大气污染物排放标准，是提高我市餐饮污染源管理水平，解决城市群区域餐饮业污染问题的关键。</w:t>
      </w:r>
    </w:p>
    <w:p w14:paraId="704B3087">
      <w:pPr>
        <w:ind w:firstLine="480" w:firstLineChars="200"/>
      </w:pPr>
      <w:r>
        <w:rPr>
          <w:rFonts w:hint="eastAsia"/>
        </w:rPr>
        <w:t>（</w:t>
      </w:r>
      <w:r>
        <w:t>4</w:t>
      </w:r>
      <w:r>
        <w:rPr>
          <w:rFonts w:hint="eastAsia"/>
        </w:rPr>
        <w:t>）制定餐饮业大气污染物排放标准是完善环境标准体系，提升行业污染控制管理水平的需要。</w:t>
      </w:r>
    </w:p>
    <w:p w14:paraId="64512F1C">
      <w:pPr>
        <w:ind w:firstLine="480" w:firstLineChars="200"/>
      </w:pPr>
      <w:r>
        <w:rPr>
          <w:rFonts w:hint="eastAsia"/>
        </w:rPr>
        <w:t>为加强对饮食业排放油烟的控制，</w:t>
      </w:r>
      <w:r>
        <w:t>1999</w:t>
      </w:r>
      <w:r>
        <w:rPr>
          <w:rFonts w:hint="eastAsia"/>
        </w:rPr>
        <w:t>年国家出台了</w:t>
      </w:r>
      <w:r>
        <w:t>GWPB5-2000</w:t>
      </w:r>
      <w:r>
        <w:rPr>
          <w:rFonts w:hint="eastAsia"/>
        </w:rPr>
        <w:t>《饮食业油烟排放标准（试行）》，之后于</w:t>
      </w:r>
      <w:r>
        <w:t>2001</w:t>
      </w:r>
      <w:r>
        <w:rPr>
          <w:rFonts w:hint="eastAsia"/>
        </w:rPr>
        <w:t>年颁布了正式的中华人民共和国国家标准</w:t>
      </w:r>
      <w:r>
        <w:t>GB18483-2001</w:t>
      </w:r>
      <w:r>
        <w:rPr>
          <w:rFonts w:hint="eastAsia"/>
        </w:rPr>
        <w:t>《饮食业油烟排放标准（试行）》。为贯彻实施</w:t>
      </w:r>
      <w:r>
        <w:t>GB18483-2001</w:t>
      </w:r>
      <w:r>
        <w:rPr>
          <w:rFonts w:hint="eastAsia"/>
        </w:rPr>
        <w:t>《饮食业油烟排放标准（试行）》，国家环保总局同年发布了</w:t>
      </w:r>
      <w:r>
        <w:rPr>
          <w:szCs w:val="24"/>
        </w:rPr>
        <w:t>HJ/T 62-2001</w:t>
      </w:r>
      <w:r>
        <w:rPr>
          <w:rFonts w:hint="eastAsia"/>
        </w:rPr>
        <w:t>《饮食业油烟净化设备技术方法及检测技术规范（试行）》。标准和规范分别对餐饮污染源排放的油烟浓度和所采用油烟净化设施的技术要求进行了规定。近二十年来，</w:t>
      </w:r>
      <w:r>
        <w:t>GB18483</w:t>
      </w:r>
      <w:r>
        <w:rPr>
          <w:rFonts w:hint="eastAsia"/>
        </w:rPr>
        <w:t>和</w:t>
      </w:r>
      <w:r>
        <w:t>HJ/T62</w:t>
      </w:r>
      <w:r>
        <w:rPr>
          <w:rFonts w:hint="eastAsia"/>
        </w:rPr>
        <w:t>标准的实施，在餐饮油烟污染预防和排放控制方面发挥了良好的作用，促成并推进了油烟净化产业的发展。</w:t>
      </w:r>
    </w:p>
    <w:p w14:paraId="0A7C8959">
      <w:pPr>
        <w:ind w:firstLine="480" w:firstLineChars="200"/>
      </w:pPr>
      <w:r>
        <w:rPr>
          <w:rFonts w:hint="eastAsia"/>
        </w:rPr>
        <w:t>然而，随着北京市餐饮业的迅猛发展，行业规模不断扩大，尤其是中心城区餐饮污染成为主要的环保和投诉焦点。公益专项研究表明，现有标准中仅管控餐饮油烟，未涵盖餐饮其他特征污染物颗粒物和</w:t>
      </w:r>
      <w:r>
        <w:t>VOCs</w:t>
      </w:r>
      <w:r>
        <w:rPr>
          <w:rFonts w:hint="eastAsia"/>
        </w:rPr>
        <w:t>，需要增加相关污染物指标，提高运行控制要求，有效控制餐饮业大气污染物的排放。另一方面，我国在大气颗粒物、</w:t>
      </w:r>
      <w:r>
        <w:t>VOCs</w:t>
      </w:r>
      <w:r>
        <w:rPr>
          <w:rFonts w:hint="eastAsia"/>
        </w:rPr>
        <w:t>治理技术和监测技术方面积累了丰富的经验，并发布了相关标准和技术规范，也为北京市餐饮业排放标准的制定和实施奠定了良好的技术基础。</w:t>
      </w:r>
    </w:p>
    <w:p w14:paraId="3507DD86">
      <w:pPr>
        <w:ind w:firstLine="480" w:firstLineChars="200"/>
      </w:pPr>
      <w:r>
        <w:t>GB18483</w:t>
      </w:r>
      <w:r>
        <w:rPr>
          <w:rFonts w:hint="eastAsia"/>
        </w:rPr>
        <w:t>已不能满足北京市餐饮业污染控制需求，应根据新技术的发展现状和新形势下的管理需求，制定适合北京市餐饮业监管需求的餐饮业大气污染物排放标准。标准的实施不仅可以促进餐饮业大气污染物的减排，而且可以引导全国餐饮业的烟气治理技术的发展方向。</w:t>
      </w:r>
    </w:p>
    <w:p w14:paraId="6099175F">
      <w:pPr>
        <w:ind w:firstLine="480" w:firstLineChars="200"/>
      </w:pPr>
      <w:r>
        <w:rPr>
          <w:rFonts w:hint="eastAsia"/>
        </w:rPr>
        <w:t>综上所述，制定北京市《餐饮业大气污染物排放标准》，可将其他行业大气污染物的先进防治技术或净化设施引入到餐饮业，促进餐饮业减少颗粒物、</w:t>
      </w:r>
      <w:r>
        <w:t>VOCs</w:t>
      </w:r>
      <w:r>
        <w:rPr>
          <w:rFonts w:hint="eastAsia"/>
        </w:rPr>
        <w:t>的排放。标准的发布和实施，将为改善北京市的居住环境和大气环境，建设一流宜居城市提供重要的管理和技术依据。</w:t>
      </w:r>
    </w:p>
    <w:p w14:paraId="6B4BB62E">
      <w:pPr>
        <w:pStyle w:val="3"/>
        <w:numPr>
          <w:numberingChange w:id="7" w:author="刘海英" w:date="2017-09-08T15:13:00Z" w:original="%1:2:0:.%2:2:0:"/>
        </w:numPr>
        <w:spacing w:after="163"/>
      </w:pPr>
      <w:bookmarkStart w:id="5" w:name="_Toc492569866"/>
      <w:r>
        <w:rPr>
          <w:rFonts w:hint="eastAsia"/>
        </w:rPr>
        <w:t>编制原则</w:t>
      </w:r>
      <w:bookmarkEnd w:id="5"/>
    </w:p>
    <w:p w14:paraId="32FB6EED">
      <w:pPr>
        <w:ind w:firstLine="480" w:firstLineChars="200"/>
      </w:pPr>
      <w:r>
        <w:rPr>
          <w:rFonts w:hint="eastAsia"/>
        </w:rPr>
        <w:t>（</w:t>
      </w:r>
      <w:r>
        <w:t>1</w:t>
      </w:r>
      <w:r>
        <w:rPr>
          <w:rFonts w:hint="eastAsia"/>
        </w:rPr>
        <w:t>）科学性和可操作性兼顾的原则</w:t>
      </w:r>
    </w:p>
    <w:p w14:paraId="0C679098">
      <w:pPr>
        <w:ind w:firstLine="480" w:firstLineChars="200"/>
      </w:pPr>
      <w:r>
        <w:rPr>
          <w:rFonts w:hint="eastAsia"/>
        </w:rPr>
        <w:t>标准制定过程中，体现了科学性、可操作性兼顾的原则，在充分调研和参考借鉴国外餐饮业大气污染物排放标准和先进的污染物控制技术的基础上，基于公益专项的研究成果，结合北京市餐饮源的排放特征和大气污染物总量控制的要求，提出科学的大气污染物排放限值。考虑到新建和现有餐饮源的实际情况，提出现有和新建餐饮源分时段实施建议，为现有餐饮源留有一定的改造时间，对新建餐饮源则限值从严，体现了标准的可操作性原则。</w:t>
      </w:r>
    </w:p>
    <w:p w14:paraId="22ADBC0E">
      <w:pPr>
        <w:ind w:firstLine="480" w:firstLineChars="200"/>
      </w:pPr>
      <w:r>
        <w:rPr>
          <w:rFonts w:hint="eastAsia"/>
        </w:rPr>
        <w:t>（</w:t>
      </w:r>
      <w:r>
        <w:t>2</w:t>
      </w:r>
      <w:r>
        <w:rPr>
          <w:rFonts w:hint="eastAsia"/>
        </w:rPr>
        <w:t>）先进性和前瞻性兼顾的原则</w:t>
      </w:r>
    </w:p>
    <w:p w14:paraId="76FD47DF">
      <w:pPr>
        <w:ind w:firstLine="480" w:firstLineChars="200"/>
      </w:pPr>
      <w:r>
        <w:rPr>
          <w:rFonts w:hint="eastAsia"/>
        </w:rPr>
        <w:t>考虑到北京市大气污染的防治需求，在充分调研现有控制技术的基础上，科学借鉴其他行业的污染物控制技术发展水平，在标准制定过程中，增加</w:t>
      </w:r>
      <w:r>
        <w:t>VOCs</w:t>
      </w:r>
      <w:r>
        <w:rPr>
          <w:rFonts w:hint="eastAsia"/>
        </w:rPr>
        <w:t>的排放限值，首次提出了颗粒物排放限值及配套监测方法，并设置了较为严格的排放限值，充分体现标准的先进性和前瞻性的原则。</w:t>
      </w:r>
      <w:bookmarkStart w:id="6" w:name="_Toc492305986"/>
      <w:bookmarkEnd w:id="6"/>
    </w:p>
    <w:p w14:paraId="57987ED0">
      <w:pPr>
        <w:ind w:firstLine="480" w:firstLineChars="200"/>
      </w:pPr>
      <w:r>
        <w:rPr>
          <w:rFonts w:hint="eastAsia"/>
        </w:rPr>
        <w:t>（</w:t>
      </w:r>
      <w:r>
        <w:t>3</w:t>
      </w:r>
      <w:r>
        <w:rPr>
          <w:rFonts w:hint="eastAsia"/>
        </w:rPr>
        <w:t>）全面性和技术可行性原则</w:t>
      </w:r>
    </w:p>
    <w:p w14:paraId="1B82450B">
      <w:pPr>
        <w:ind w:firstLine="480" w:firstLineChars="200"/>
      </w:pPr>
      <w:r>
        <w:rPr>
          <w:rFonts w:hint="eastAsia"/>
        </w:rPr>
        <w:t>经过近</w:t>
      </w:r>
      <w:r>
        <w:t>20</w:t>
      </w:r>
      <w:r>
        <w:rPr>
          <w:rFonts w:hint="eastAsia"/>
        </w:rPr>
        <w:t>年的发展，我国的餐饮油烟治理技术取得长足进步，但现行标准未涵盖餐饮其他特征污染物颗粒物和</w:t>
      </w:r>
      <w:r>
        <w:t>VOCs</w:t>
      </w:r>
      <w:r>
        <w:rPr>
          <w:rFonts w:hint="eastAsia"/>
        </w:rPr>
        <w:t>，需要增加相关污染物指标，标准限值的确定综合了考虑现有治理技术的可行性和适当的前瞻性，有利于全面控制餐饮业大气污染物的排放。颗粒物和</w:t>
      </w:r>
      <w:r>
        <w:t>VOCs</w:t>
      </w:r>
      <w:r>
        <w:rPr>
          <w:rFonts w:hint="eastAsia"/>
        </w:rPr>
        <w:t>的防治技术和装备水平进步明显，可满足北京市餐饮业排放标准制定和实施的技术需求，技术上具有可行性。</w:t>
      </w:r>
    </w:p>
    <w:p w14:paraId="3A2A0426">
      <w:pPr>
        <w:pStyle w:val="3"/>
        <w:numPr>
          <w:numberingChange w:id="8" w:author="刘海英" w:date="2017-09-08T15:13:00Z" w:original="%1:2:0:.%2:3:0:"/>
        </w:numPr>
        <w:spacing w:after="163"/>
      </w:pPr>
      <w:bookmarkStart w:id="7" w:name="_Toc492569867"/>
      <w:r>
        <w:rPr>
          <w:rFonts w:hint="eastAsia"/>
        </w:rPr>
        <w:t>编制思路与方法</w:t>
      </w:r>
      <w:bookmarkEnd w:id="7"/>
    </w:p>
    <w:p w14:paraId="1C411033">
      <w:pPr>
        <w:pStyle w:val="4"/>
        <w:spacing w:before="163" w:after="163"/>
      </w:pPr>
      <w:r>
        <w:t>2.3.1</w:t>
      </w:r>
      <w:r>
        <w:rPr>
          <w:rFonts w:hint="eastAsia"/>
        </w:rPr>
        <w:t>编制思路</w:t>
      </w:r>
    </w:p>
    <w:p w14:paraId="3AE9F0EE">
      <w:pPr>
        <w:ind w:firstLine="480" w:firstLineChars="200"/>
      </w:pPr>
      <w:r>
        <w:rPr>
          <w:rFonts w:hint="eastAsia"/>
        </w:rPr>
        <w:t>（</w:t>
      </w:r>
      <w:r>
        <w:t>1</w:t>
      </w:r>
      <w:r>
        <w:rPr>
          <w:rFonts w:hint="eastAsia"/>
        </w:rPr>
        <w:t>）实现对北京市餐饮业多项大气污染物的综合控制。以国家标准</w:t>
      </w:r>
      <w:r>
        <w:t>GB18483</w:t>
      </w:r>
      <w:r>
        <w:rPr>
          <w:rFonts w:hint="eastAsia"/>
        </w:rPr>
        <w:t>为基础，直接采用油烟指标并加严限值。借鉴国际先进经验，跟踪</w:t>
      </w:r>
      <w:r>
        <w:t>GB18483</w:t>
      </w:r>
      <w:r>
        <w:rPr>
          <w:rFonts w:hint="eastAsia"/>
        </w:rPr>
        <w:t>的修订进展，参考上海深圳等省市的标准制定经验，结合北京市大气污染管理的新需求，增加颗粒物和</w:t>
      </w:r>
      <w:r>
        <w:t>VOCs</w:t>
      </w:r>
      <w:r>
        <w:rPr>
          <w:rFonts w:hint="eastAsia"/>
        </w:rPr>
        <w:t>污染物，最大限度地降低餐饮业油烟、颗粒物和</w:t>
      </w:r>
      <w:r>
        <w:t>VOCs</w:t>
      </w:r>
      <w:r>
        <w:rPr>
          <w:rFonts w:hint="eastAsia"/>
        </w:rPr>
        <w:t>的排放量。</w:t>
      </w:r>
    </w:p>
    <w:p w14:paraId="17BD2CC8">
      <w:pPr>
        <w:ind w:firstLine="480" w:firstLineChars="200"/>
      </w:pPr>
      <w:r>
        <w:rPr>
          <w:rFonts w:hint="eastAsia"/>
        </w:rPr>
        <w:t>（</w:t>
      </w:r>
      <w:r>
        <w:t>2</w:t>
      </w:r>
      <w:r>
        <w:rPr>
          <w:rFonts w:hint="eastAsia"/>
        </w:rPr>
        <w:t>）引导餐饮业污染治理技术的发展。通过新标准的实施，引导餐饮企业积极治理其排放的油烟、颗粒物和</w:t>
      </w:r>
      <w:r>
        <w:t>VOCs</w:t>
      </w:r>
      <w:r>
        <w:rPr>
          <w:rFonts w:hint="eastAsia"/>
        </w:rPr>
        <w:t>，引导油烟净化行业由传统的油烟净化向颗粒物和</w:t>
      </w:r>
      <w:r>
        <w:t>VOCs</w:t>
      </w:r>
      <w:r>
        <w:rPr>
          <w:rFonts w:hint="eastAsia"/>
        </w:rPr>
        <w:t>协同去除的方向发展。</w:t>
      </w:r>
    </w:p>
    <w:p w14:paraId="4D98AE7E">
      <w:pPr>
        <w:ind w:firstLine="480" w:firstLineChars="200"/>
      </w:pPr>
      <w:r>
        <w:rPr>
          <w:rFonts w:hint="eastAsia"/>
        </w:rPr>
        <w:t>（</w:t>
      </w:r>
      <w:r>
        <w:t>3</w:t>
      </w:r>
      <w:r>
        <w:rPr>
          <w:rFonts w:hint="eastAsia"/>
        </w:rPr>
        <w:t>）提高标准实施的可操作性。餐饮企业量大面广，实现大气污染物达标排放的关键是科学选用净化设施，并保证稳定运行。为使标准便于实施，在提出常规排放限值要求的同时，还提出具体的运行操作要求，为餐饮业选取净化设施的提供科学指导，并明确了经济合理的维护保养要求。</w:t>
      </w:r>
    </w:p>
    <w:p w14:paraId="5244AA9E">
      <w:pPr>
        <w:pStyle w:val="4"/>
        <w:spacing w:before="163" w:after="163"/>
      </w:pPr>
      <w:r>
        <w:t>2.3.2</w:t>
      </w:r>
      <w:r>
        <w:rPr>
          <w:rFonts w:hint="eastAsia"/>
        </w:rPr>
        <w:t>编制方法</w:t>
      </w:r>
    </w:p>
    <w:p w14:paraId="6A2EAC9C">
      <w:pPr>
        <w:ind w:firstLine="480" w:firstLineChars="200"/>
      </w:pPr>
      <w:r>
        <w:rPr>
          <w:rFonts w:hint="eastAsia"/>
        </w:rPr>
        <w:t>在国内外餐饮业大气污染排放管理相关政策法规和标准调研的基础上，结合北京的实际情况和监测技术的进步，确定污染物指标，提出标准制定的可行方案；对北京市餐饮业的污染及治理现状进行调查，开展北京市典型餐饮服务单位污染排放现场实测工作，掌握餐饮污染排放的特征污染物；研究基于重量法的颗粒物检测技术在餐饮颗粒物检测的适用性，提出适合餐饮业排放特性的颗粒物测定方法；对现有油烟净化技术进行实验室检测评价。依据《环境保护标准原理方法及应用》中的技术原则，对本标准各指标的最高允许排放浓度及其治理技术进行论证，开展标准实施的成本效益分析，提出治理技术可行路线的选择建议；针对餐饮排放扰民、监管执法、油烟在线监测系统应用等问题组织专家和执法监管人员开展交流讨论，提出标准中污染排放控制、运行操作及污染物监测要求。</w:t>
      </w:r>
    </w:p>
    <w:p w14:paraId="0239E491">
      <w:pPr>
        <w:pStyle w:val="2"/>
        <w:numPr>
          <w:numberingChange w:id="9" w:author="刘海英" w:date="2017-09-08T15:13:00Z" w:original="%1:3:0:"/>
        </w:numPr>
        <w:spacing w:before="163" w:after="163"/>
      </w:pPr>
      <w:bookmarkStart w:id="8" w:name="_Toc492569868"/>
      <w:r>
        <w:rPr>
          <w:rFonts w:hint="eastAsia"/>
        </w:rPr>
        <w:t>北京市餐饮业污染及治理状况调查</w:t>
      </w:r>
      <w:bookmarkEnd w:id="8"/>
    </w:p>
    <w:p w14:paraId="4BCC38E0">
      <w:pPr>
        <w:pStyle w:val="3"/>
        <w:numPr>
          <w:numberingChange w:id="10" w:author="刘海英" w:date="2017-09-08T15:13:00Z" w:original="%1:3:0:.%2:1:0:"/>
        </w:numPr>
        <w:spacing w:after="163"/>
      </w:pPr>
      <w:bookmarkStart w:id="9" w:name="_Toc492569869"/>
      <w:r>
        <w:rPr>
          <w:rFonts w:hint="eastAsia"/>
        </w:rPr>
        <w:t>北京市餐饮业概况</w:t>
      </w:r>
      <w:bookmarkEnd w:id="9"/>
    </w:p>
    <w:p w14:paraId="07170D97">
      <w:pPr>
        <w:pStyle w:val="4"/>
        <w:spacing w:before="163" w:after="163"/>
      </w:pPr>
      <w:r>
        <w:t>3.1.1</w:t>
      </w:r>
      <w:r>
        <w:rPr>
          <w:rFonts w:hint="eastAsia"/>
        </w:rPr>
        <w:t>北京市餐饮业的发展趋势</w:t>
      </w:r>
    </w:p>
    <w:p w14:paraId="6879CF57">
      <w:pPr>
        <w:ind w:firstLine="480" w:firstLineChars="200"/>
      </w:pPr>
      <w:r>
        <w:rPr>
          <w:rFonts w:hint="eastAsia"/>
        </w:rPr>
        <w:t>近年来，随着我国社会经济的快速发展以及居民生活水平的提高，餐饮服务业发展态势稳定。由北京市《统计年鉴》显示，食用植物油销售量由</w:t>
      </w:r>
      <w:r>
        <w:t>2005</w:t>
      </w:r>
      <w:r>
        <w:rPr>
          <w:rFonts w:hint="eastAsia"/>
        </w:rPr>
        <w:t>年的</w:t>
      </w:r>
      <w:r>
        <w:t>160.3</w:t>
      </w:r>
      <w:r>
        <w:rPr>
          <w:rFonts w:hint="eastAsia"/>
        </w:rPr>
        <w:t>万吨增长到</w:t>
      </w:r>
      <w:r>
        <w:t>2015</w:t>
      </w:r>
      <w:r>
        <w:rPr>
          <w:rFonts w:hint="eastAsia"/>
        </w:rPr>
        <w:t>年的</w:t>
      </w:r>
      <w:r>
        <w:t>376.8</w:t>
      </w:r>
      <w:r>
        <w:rPr>
          <w:rFonts w:hint="eastAsia"/>
        </w:rPr>
        <w:t>万吨，增长了</w:t>
      </w:r>
      <w:r>
        <w:t>235%</w:t>
      </w:r>
      <w:r>
        <w:rPr>
          <w:rFonts w:hint="eastAsia"/>
        </w:rPr>
        <w:t>以上。北京市《统计年鉴》显示，限额以上餐饮业（年主营业务收入</w:t>
      </w:r>
      <w:r>
        <w:t>200</w:t>
      </w:r>
      <w:r>
        <w:rPr>
          <w:rFonts w:hint="eastAsia"/>
        </w:rPr>
        <w:t>万以上）的销售额从</w:t>
      </w:r>
      <w:r>
        <w:t>2009</w:t>
      </w:r>
      <w:r>
        <w:rPr>
          <w:rFonts w:hint="eastAsia"/>
        </w:rPr>
        <w:t>年的</w:t>
      </w:r>
      <w:r>
        <w:t>341</w:t>
      </w:r>
      <w:r>
        <w:rPr>
          <w:rFonts w:hint="eastAsia"/>
        </w:rPr>
        <w:t>亿元上升到</w:t>
      </w:r>
      <w:r>
        <w:t>2015</w:t>
      </w:r>
      <w:r>
        <w:rPr>
          <w:rFonts w:hint="eastAsia"/>
        </w:rPr>
        <w:t>年的</w:t>
      </w:r>
      <w:r>
        <w:t>540</w:t>
      </w:r>
      <w:r>
        <w:rPr>
          <w:rFonts w:hint="eastAsia"/>
        </w:rPr>
        <w:t>亿元，增长了</w:t>
      </w:r>
      <w:r>
        <w:t>50%</w:t>
      </w:r>
      <w:r>
        <w:rPr>
          <w:rFonts w:hint="eastAsia"/>
        </w:rPr>
        <w:t>以上。限额以上餐饮业的营业额和企业数增长情况如图</w:t>
      </w:r>
      <w:r>
        <w:t>3-1</w:t>
      </w:r>
      <w:r>
        <w:rPr>
          <w:rFonts w:hint="eastAsia"/>
        </w:rPr>
        <w:t>所示。从</w:t>
      </w:r>
      <w:r>
        <w:t>2009</w:t>
      </w:r>
      <w:r>
        <w:rPr>
          <w:rFonts w:hint="eastAsia"/>
        </w:rPr>
        <w:t>年到</w:t>
      </w:r>
      <w:r>
        <w:t>2012</w:t>
      </w:r>
      <w:r>
        <w:rPr>
          <w:rFonts w:hint="eastAsia"/>
        </w:rPr>
        <w:t>年，餐饮企业的营业额增长迅速。</w:t>
      </w:r>
      <w:r>
        <w:t>2012</w:t>
      </w:r>
      <w:r>
        <w:rPr>
          <w:rFonts w:hint="eastAsia"/>
        </w:rPr>
        <w:t>年以后，由于餐饮业类型和组成结构的调整，餐饮业的营业额平稳中略有下降。总体而言，随着城市的不断发展。</w:t>
      </w:r>
    </w:p>
    <w:p w14:paraId="68EB27E0">
      <w:pPr>
        <w:jc w:val="center"/>
      </w:pPr>
      <w:r>
        <w:pict>
          <v:shape id="_x0000_i1025" o:spt="75" type="#_x0000_t75" style="height:183pt;width:372.75pt;" filled="f" o:preferrelative="t" stroked="f" coordsize="21600,21600">
            <v:path/>
            <v:fill on="f" focussize="0,0"/>
            <v:stroke on="f" joinstyle="miter"/>
            <v:imagedata r:id="rId7" o:title=""/>
            <o:lock v:ext="edit" aspectratio="f"/>
            <w10:wrap type="none"/>
            <w10:anchorlock/>
          </v:shape>
        </w:pict>
      </w:r>
    </w:p>
    <w:p w14:paraId="1A67534B">
      <w:pPr>
        <w:jc w:val="center"/>
      </w:pPr>
      <w:r>
        <w:rPr>
          <w:rFonts w:hint="eastAsia"/>
        </w:rPr>
        <w:t>图</w:t>
      </w:r>
      <w:r>
        <w:t>3-1  2009-2015</w:t>
      </w:r>
      <w:r>
        <w:rPr>
          <w:rFonts w:hint="eastAsia"/>
        </w:rPr>
        <w:t>年北京市餐饮业营业额及企业数</w:t>
      </w:r>
    </w:p>
    <w:p w14:paraId="507359E4">
      <w:pPr>
        <w:pStyle w:val="4"/>
        <w:spacing w:before="163" w:after="163"/>
      </w:pPr>
      <w:r>
        <w:t>3.1.2</w:t>
      </w:r>
      <w:r>
        <w:rPr>
          <w:rFonts w:hint="eastAsia"/>
        </w:rPr>
        <w:t>北京市餐饮企业分布特征</w:t>
      </w:r>
    </w:p>
    <w:p w14:paraId="0B00EADB">
      <w:pPr>
        <w:ind w:firstLine="480" w:firstLineChars="200"/>
        <w:rPr>
          <w:color w:val="000000"/>
          <w:szCs w:val="21"/>
        </w:rPr>
      </w:pPr>
      <w:r>
        <w:rPr>
          <w:rFonts w:hint="eastAsia"/>
          <w:color w:val="000000"/>
          <w:szCs w:val="21"/>
        </w:rPr>
        <w:t>（</w:t>
      </w:r>
      <w:r>
        <w:rPr>
          <w:color w:val="000000"/>
          <w:szCs w:val="21"/>
        </w:rPr>
        <w:t>1</w:t>
      </w:r>
      <w:r>
        <w:rPr>
          <w:rFonts w:hint="eastAsia"/>
          <w:color w:val="000000"/>
          <w:szCs w:val="21"/>
        </w:rPr>
        <w:t>）北京市餐饮企业分布特征</w:t>
      </w:r>
    </w:p>
    <w:p w14:paraId="5CC909CD">
      <w:pPr>
        <w:ind w:firstLine="480" w:firstLineChars="200"/>
        <w:rPr>
          <w:szCs w:val="24"/>
        </w:rPr>
      </w:pPr>
      <w:r>
        <w:rPr>
          <w:rFonts w:hint="eastAsia"/>
          <w:color w:val="000000"/>
          <w:szCs w:val="21"/>
        </w:rPr>
        <w:t>根据</w:t>
      </w:r>
      <w:r>
        <w:rPr>
          <w:color w:val="000000"/>
          <w:szCs w:val="21"/>
        </w:rPr>
        <w:t>2014</w:t>
      </w:r>
      <w:r>
        <w:rPr>
          <w:rFonts w:hint="eastAsia"/>
          <w:color w:val="000000"/>
          <w:szCs w:val="21"/>
        </w:rPr>
        <w:t>年北京市食品药品监督管理局统计显示，</w:t>
      </w:r>
      <w:r>
        <w:rPr>
          <w:rFonts w:hint="eastAsia"/>
          <w:szCs w:val="24"/>
        </w:rPr>
        <w:t>北京市具有餐饮服务许可的餐饮企业总数为</w:t>
      </w:r>
      <w:r>
        <w:rPr>
          <w:szCs w:val="24"/>
        </w:rPr>
        <w:t>64010</w:t>
      </w:r>
      <w:r>
        <w:rPr>
          <w:rFonts w:hint="eastAsia"/>
          <w:szCs w:val="24"/>
        </w:rPr>
        <w:t>，从规模上看，中型、小型和小吃店占餐饮企业总数的</w:t>
      </w:r>
      <w:r>
        <w:rPr>
          <w:szCs w:val="24"/>
        </w:rPr>
        <w:t>52%</w:t>
      </w:r>
      <w:r>
        <w:rPr>
          <w:rFonts w:hint="eastAsia"/>
          <w:szCs w:val="24"/>
        </w:rPr>
        <w:t>，从经营业态上看，食堂占比达到</w:t>
      </w:r>
      <w:r>
        <w:rPr>
          <w:szCs w:val="24"/>
        </w:rPr>
        <w:t>21.08%</w:t>
      </w:r>
      <w:r>
        <w:rPr>
          <w:rFonts w:hint="eastAsia"/>
          <w:szCs w:val="24"/>
        </w:rPr>
        <w:t>，是占比最大的业态。北京市餐饮行业以中小型餐馆和食堂为主。北京市不同业态餐饮企业的分布情况如图</w:t>
      </w:r>
      <w:r>
        <w:rPr>
          <w:szCs w:val="24"/>
        </w:rPr>
        <w:t>3-2</w:t>
      </w:r>
      <w:r>
        <w:rPr>
          <w:rFonts w:hint="eastAsia"/>
          <w:szCs w:val="24"/>
        </w:rPr>
        <w:t>所示。</w:t>
      </w:r>
    </w:p>
    <w:p w14:paraId="3DEFEC44">
      <w:pPr>
        <w:jc w:val="center"/>
      </w:pPr>
      <w:r>
        <w:pict>
          <v:shape id="_x0000_i1026" o:spt="75" type="#_x0000_t75" style="height:220.5pt;width:375.75pt;" filled="f" o:preferrelative="t" stroked="f" coordsize="21600,21600">
            <v:path/>
            <v:fill on="f" focussize="0,0"/>
            <v:stroke on="f" joinstyle="miter"/>
            <v:imagedata r:id="rId8" cropbottom="-15f" o:title=""/>
            <o:lock v:ext="edit" aspectratio="f"/>
            <w10:wrap type="none"/>
            <w10:anchorlock/>
          </v:shape>
        </w:pict>
      </w:r>
    </w:p>
    <w:p w14:paraId="02B5D9F2">
      <w:pPr>
        <w:jc w:val="center"/>
        <w:rPr>
          <w:color w:val="000000"/>
          <w:szCs w:val="21"/>
          <w:shd w:val="clear" w:color="auto" w:fill="F8F8F8"/>
        </w:rPr>
      </w:pPr>
      <w:r>
        <w:rPr>
          <w:rFonts w:hint="eastAsia"/>
          <w:szCs w:val="21"/>
        </w:rPr>
        <w:t>图</w:t>
      </w:r>
      <w:r>
        <w:rPr>
          <w:szCs w:val="21"/>
        </w:rPr>
        <w:t>3-2</w:t>
      </w:r>
      <w:r>
        <w:rPr>
          <w:rFonts w:hint="eastAsia"/>
          <w:szCs w:val="21"/>
        </w:rPr>
        <w:t>北京市不同业态餐饮企业分布图</w:t>
      </w:r>
    </w:p>
    <w:p w14:paraId="6C7FDD66">
      <w:pPr>
        <w:ind w:firstLine="480" w:firstLineChars="200"/>
        <w:rPr>
          <w:szCs w:val="24"/>
        </w:rPr>
      </w:pPr>
      <w:r>
        <w:rPr>
          <w:rFonts w:hint="eastAsia"/>
          <w:szCs w:val="24"/>
        </w:rPr>
        <w:t>北京市各区县餐饮企业分布情况如图</w:t>
      </w:r>
      <w:r>
        <w:rPr>
          <w:szCs w:val="24"/>
        </w:rPr>
        <w:t>3-3</w:t>
      </w:r>
      <w:r>
        <w:rPr>
          <w:rFonts w:hint="eastAsia"/>
          <w:szCs w:val="24"/>
        </w:rPr>
        <w:t>所示。其中朝阳区、海淀区和昌平区的餐饮企业数量排前三名，分别占比</w:t>
      </w:r>
      <w:r>
        <w:rPr>
          <w:szCs w:val="24"/>
        </w:rPr>
        <w:t>16.58%</w:t>
      </w:r>
      <w:r>
        <w:rPr>
          <w:rFonts w:hint="eastAsia"/>
          <w:szCs w:val="24"/>
        </w:rPr>
        <w:t>、</w:t>
      </w:r>
      <w:r>
        <w:rPr>
          <w:szCs w:val="24"/>
        </w:rPr>
        <w:t>11.86%</w:t>
      </w:r>
      <w:r>
        <w:rPr>
          <w:rFonts w:hint="eastAsia"/>
          <w:szCs w:val="24"/>
        </w:rPr>
        <w:t>和</w:t>
      </w:r>
      <w:r>
        <w:rPr>
          <w:szCs w:val="24"/>
        </w:rPr>
        <w:t>8.45%</w:t>
      </w:r>
      <w:r>
        <w:rPr>
          <w:rFonts w:hint="eastAsia"/>
          <w:szCs w:val="24"/>
        </w:rPr>
        <w:t>；中心城区西城和东城的餐饮企业的规模较小，数量较多，占比</w:t>
      </w:r>
      <w:r>
        <w:rPr>
          <w:szCs w:val="24"/>
        </w:rPr>
        <w:t>7.03%</w:t>
      </w:r>
      <w:r>
        <w:rPr>
          <w:rFonts w:hint="eastAsia"/>
          <w:szCs w:val="24"/>
        </w:rPr>
        <w:t>和</w:t>
      </w:r>
      <w:r>
        <w:rPr>
          <w:szCs w:val="24"/>
        </w:rPr>
        <w:t>7.21%</w:t>
      </w:r>
      <w:r>
        <w:rPr>
          <w:rFonts w:hint="eastAsia"/>
          <w:szCs w:val="24"/>
        </w:rPr>
        <w:t>。</w:t>
      </w:r>
    </w:p>
    <w:p w14:paraId="616891B8">
      <w:pPr>
        <w:jc w:val="center"/>
      </w:pPr>
      <w:r>
        <w:pict>
          <v:shape id="_x0000_i1027" o:spt="75" type="#_x0000_t75" style="height:232.5pt;width:375.75pt;" filled="f" o:preferrelative="t" stroked="f" coordsize="21600,21600">
            <v:path/>
            <v:fill on="f" focussize="0,0"/>
            <v:stroke on="f" joinstyle="miter"/>
            <v:imagedata r:id="rId9" o:title=""/>
            <o:lock v:ext="edit" aspectratio="f"/>
            <w10:wrap type="none"/>
            <w10:anchorlock/>
          </v:shape>
        </w:pict>
      </w:r>
    </w:p>
    <w:p w14:paraId="1785F9E4">
      <w:pPr>
        <w:jc w:val="center"/>
      </w:pPr>
      <w:r>
        <w:rPr>
          <w:rFonts w:hint="eastAsia"/>
        </w:rPr>
        <w:t>图</w:t>
      </w:r>
      <w:r>
        <w:t xml:space="preserve">3-3 </w:t>
      </w:r>
      <w:r>
        <w:rPr>
          <w:rFonts w:hint="eastAsia"/>
        </w:rPr>
        <w:t>北京市不同区县餐饮企业分布情况</w:t>
      </w:r>
    </w:p>
    <w:p w14:paraId="6378E534">
      <w:pPr>
        <w:ind w:firstLine="480" w:firstLineChars="200"/>
      </w:pPr>
      <w:r>
        <w:rPr>
          <w:rFonts w:hint="eastAsia"/>
        </w:rPr>
        <w:t>此外，北京市餐饮企业的分布很不均匀，</w:t>
      </w:r>
      <w:r>
        <w:rPr>
          <w:rFonts w:hint="eastAsia" w:ascii="Calibri" w:hAnsi="Calibri"/>
        </w:rPr>
        <w:t>全市餐饮企</w:t>
      </w:r>
      <w:r>
        <w:rPr>
          <w:rFonts w:hint="eastAsia"/>
        </w:rPr>
        <w:t>业的平均密度为</w:t>
      </w:r>
      <w:r>
        <w:t>3.9</w:t>
      </w:r>
      <w:r>
        <w:rPr>
          <w:rFonts w:hint="eastAsia"/>
        </w:rPr>
        <w:t>家</w:t>
      </w:r>
      <w:r>
        <w:t>/km</w:t>
      </w:r>
      <w:r>
        <w:rPr>
          <w:vertAlign w:val="superscript"/>
        </w:rPr>
        <w:t>2</w:t>
      </w:r>
      <w:r>
        <w:rPr>
          <w:rFonts w:hint="eastAsia"/>
        </w:rPr>
        <w:t>，而密度最高的东城区为</w:t>
      </w:r>
      <w:r>
        <w:t>110.6</w:t>
      </w:r>
      <w:r>
        <w:rPr>
          <w:rFonts w:hint="eastAsia"/>
        </w:rPr>
        <w:t>家</w:t>
      </w:r>
      <w:r>
        <w:t>/km</w:t>
      </w:r>
      <w:r>
        <w:rPr>
          <w:vertAlign w:val="superscript"/>
        </w:rPr>
        <w:t>2</w:t>
      </w:r>
      <w:r>
        <w:rPr>
          <w:rFonts w:hint="eastAsia"/>
        </w:rPr>
        <w:t>，是平均密度的</w:t>
      </w:r>
      <w:r>
        <w:t>28</w:t>
      </w:r>
      <w:r>
        <w:rPr>
          <w:rFonts w:hint="eastAsia"/>
        </w:rPr>
        <w:t>倍，其次是西城区餐饮企业密度为</w:t>
      </w:r>
      <w:r>
        <w:t>89.2</w:t>
      </w:r>
      <w:r>
        <w:rPr>
          <w:rFonts w:hint="eastAsia"/>
        </w:rPr>
        <w:t>家</w:t>
      </w:r>
      <w:r>
        <w:t>/km</w:t>
      </w:r>
      <w:r>
        <w:rPr>
          <w:vertAlign w:val="superscript"/>
        </w:rPr>
        <w:t>2</w:t>
      </w:r>
      <w:r>
        <w:rPr>
          <w:rFonts w:hint="eastAsia"/>
        </w:rPr>
        <w:t>。其他城四区朝阳、海淀、石景山和丰台，餐饮企业密度分别为</w:t>
      </w:r>
      <w:r>
        <w:t>23.33</w:t>
      </w:r>
      <w:r>
        <w:rPr>
          <w:rFonts w:hint="eastAsia"/>
        </w:rPr>
        <w:t>家</w:t>
      </w:r>
      <w:r>
        <w:t>/km</w:t>
      </w:r>
      <w:r>
        <w:rPr>
          <w:vertAlign w:val="superscript"/>
        </w:rPr>
        <w:t>2</w:t>
      </w:r>
      <w:r>
        <w:rPr>
          <w:rFonts w:hint="eastAsia"/>
        </w:rPr>
        <w:t>、</w:t>
      </w:r>
      <w:r>
        <w:t>17.64</w:t>
      </w:r>
      <w:r>
        <w:rPr>
          <w:rFonts w:hint="eastAsia"/>
        </w:rPr>
        <w:t>家</w:t>
      </w:r>
      <w:r>
        <w:t>/km</w:t>
      </w:r>
      <w:r>
        <w:rPr>
          <w:vertAlign w:val="superscript"/>
        </w:rPr>
        <w:t>2</w:t>
      </w:r>
      <w:r>
        <w:rPr>
          <w:rFonts w:hint="eastAsia"/>
        </w:rPr>
        <w:t>、</w:t>
      </w:r>
      <w:r>
        <w:t>14.86</w:t>
      </w:r>
      <w:r>
        <w:rPr>
          <w:rFonts w:hint="eastAsia"/>
        </w:rPr>
        <w:t>家</w:t>
      </w:r>
      <w:r>
        <w:t>/km</w:t>
      </w:r>
      <w:r>
        <w:rPr>
          <w:vertAlign w:val="superscript"/>
        </w:rPr>
        <w:t>2</w:t>
      </w:r>
      <w:r>
        <w:rPr>
          <w:rFonts w:hint="eastAsia"/>
        </w:rPr>
        <w:t>和</w:t>
      </w:r>
      <w:r>
        <w:t>11.56</w:t>
      </w:r>
      <w:r>
        <w:rPr>
          <w:rFonts w:hint="eastAsia"/>
        </w:rPr>
        <w:t>家</w:t>
      </w:r>
      <w:r>
        <w:t>/km</w:t>
      </w:r>
      <w:r>
        <w:rPr>
          <w:vertAlign w:val="superscript"/>
        </w:rPr>
        <w:t>2</w:t>
      </w:r>
      <w:r>
        <w:rPr>
          <w:rFonts w:hint="eastAsia"/>
        </w:rPr>
        <w:t>，远郊区县的密度都小于</w:t>
      </w:r>
      <w:r>
        <w:t>5</w:t>
      </w:r>
      <w:r>
        <w:rPr>
          <w:rFonts w:hint="eastAsia"/>
        </w:rPr>
        <w:t>家</w:t>
      </w:r>
      <w:r>
        <w:t>/km</w:t>
      </w:r>
      <w:r>
        <w:rPr>
          <w:vertAlign w:val="superscript"/>
        </w:rPr>
        <w:t>2</w:t>
      </w:r>
      <w:r>
        <w:rPr>
          <w:rFonts w:hint="eastAsia"/>
        </w:rPr>
        <w:t>。各区县餐饮业分布密度如图</w:t>
      </w:r>
      <w:r>
        <w:t>3-4</w:t>
      </w:r>
      <w:r>
        <w:rPr>
          <w:rFonts w:hint="eastAsia"/>
        </w:rPr>
        <w:t>所示。</w:t>
      </w:r>
    </w:p>
    <w:p w14:paraId="27FAB4D8">
      <w:pPr>
        <w:jc w:val="center"/>
      </w:pPr>
      <w:r>
        <w:pict>
          <v:shape id="_x0000_i1028" o:spt="75" type="#_x0000_t75" style="height:184.5pt;width:334.5pt;" filled="f" o:preferrelative="t" stroked="f" coordsize="21600,21600">
            <v:path/>
            <v:fill on="f" focussize="0,0"/>
            <v:stroke on="f" joinstyle="miter"/>
            <v:imagedata r:id="rId10" cropleft="-3055f" croptop="-890f" cropright="-1433f" cropbottom="-4192f" o:title=""/>
            <o:lock v:ext="edit" aspectratio="f"/>
            <w10:wrap type="none"/>
            <w10:anchorlock/>
          </v:shape>
        </w:pict>
      </w:r>
    </w:p>
    <w:p w14:paraId="7C02EE7D">
      <w:pPr>
        <w:jc w:val="center"/>
      </w:pPr>
      <w:r>
        <w:rPr>
          <w:rFonts w:hint="eastAsia"/>
        </w:rPr>
        <w:t>图</w:t>
      </w:r>
      <w:r>
        <w:t xml:space="preserve">3-4  </w:t>
      </w:r>
      <w:r>
        <w:rPr>
          <w:rFonts w:hint="eastAsia"/>
        </w:rPr>
        <w:t>各区县餐饮企业密度图</w:t>
      </w:r>
    </w:p>
    <w:p w14:paraId="1AD199EE">
      <w:pPr>
        <w:ind w:firstLine="480" w:firstLineChars="200"/>
      </w:pPr>
      <w:r>
        <w:rPr>
          <w:rFonts w:hint="eastAsia"/>
        </w:rPr>
        <w:t>（</w:t>
      </w:r>
      <w:r>
        <w:t>2</w:t>
      </w:r>
      <w:r>
        <w:rPr>
          <w:rFonts w:hint="eastAsia"/>
        </w:rPr>
        <w:t>）餐饮业的许可管理及分类</w:t>
      </w:r>
    </w:p>
    <w:p w14:paraId="35CCCF22">
      <w:pPr>
        <w:ind w:firstLine="480" w:firstLineChars="200"/>
      </w:pPr>
      <w:r>
        <w:rPr>
          <w:rFonts w:hint="eastAsia"/>
        </w:rPr>
        <w:t>根据《中华人民共和国食品安全法实施条例》和《餐饮服务许可管理办法》（卫生部令第</w:t>
      </w:r>
      <w:r>
        <w:t>70</w:t>
      </w:r>
      <w:r>
        <w:rPr>
          <w:rFonts w:hint="eastAsia"/>
        </w:rPr>
        <w:t>号）的相关要求，</w:t>
      </w:r>
      <w:r>
        <w:t>2014</w:t>
      </w:r>
      <w:r>
        <w:rPr>
          <w:rFonts w:hint="eastAsia"/>
        </w:rPr>
        <w:t>年</w:t>
      </w:r>
      <w:r>
        <w:t>1</w:t>
      </w:r>
      <w:r>
        <w:rPr>
          <w:rFonts w:hint="eastAsia"/>
        </w:rPr>
        <w:t>月</w:t>
      </w:r>
      <w:r>
        <w:t>3</w:t>
      </w:r>
      <w:r>
        <w:rPr>
          <w:rFonts w:hint="eastAsia"/>
        </w:rPr>
        <w:t>日，北京市食品药品监督管理局发布并实施《北京市餐饮服务许可管理办法（试行）》，办法中将北京市餐饮业划分为</w:t>
      </w:r>
      <w:r>
        <w:t>12</w:t>
      </w:r>
      <w:r>
        <w:rPr>
          <w:rFonts w:hint="eastAsia"/>
        </w:rPr>
        <w:t>个类别，分别为：（</w:t>
      </w:r>
      <w:r>
        <w:t>1</w:t>
      </w:r>
      <w:r>
        <w:rPr>
          <w:rFonts w:hint="eastAsia"/>
        </w:rPr>
        <w:t>）特大型餐馆；（</w:t>
      </w:r>
      <w:r>
        <w:t>2</w:t>
      </w:r>
      <w:r>
        <w:rPr>
          <w:rFonts w:hint="eastAsia"/>
        </w:rPr>
        <w:t>）大型餐馆；（</w:t>
      </w:r>
      <w:r>
        <w:t>3</w:t>
      </w:r>
      <w:r>
        <w:rPr>
          <w:rFonts w:hint="eastAsia"/>
        </w:rPr>
        <w:t>）中型餐馆；（</w:t>
      </w:r>
      <w:r>
        <w:t>4</w:t>
      </w:r>
      <w:r>
        <w:rPr>
          <w:rFonts w:hint="eastAsia"/>
        </w:rPr>
        <w:t>）小型餐馆；（</w:t>
      </w:r>
      <w:r>
        <w:t>5</w:t>
      </w:r>
      <w:r>
        <w:rPr>
          <w:rFonts w:hint="eastAsia"/>
        </w:rPr>
        <w:t>）快餐店；（</w:t>
      </w:r>
      <w:r>
        <w:t>6</w:t>
      </w:r>
      <w:r>
        <w:rPr>
          <w:rFonts w:hint="eastAsia"/>
        </w:rPr>
        <w:t>）小吃店（</w:t>
      </w:r>
      <w:r>
        <w:t>7</w:t>
      </w:r>
      <w:r>
        <w:rPr>
          <w:rFonts w:hint="eastAsia"/>
        </w:rPr>
        <w:t>）饮品店、饮品店（甜品站）；（</w:t>
      </w:r>
      <w:r>
        <w:t>8</w:t>
      </w:r>
      <w:r>
        <w:rPr>
          <w:rFonts w:hint="eastAsia"/>
        </w:rPr>
        <w:t>）食堂；（</w:t>
      </w:r>
      <w:r>
        <w:t>9</w:t>
      </w:r>
      <w:r>
        <w:rPr>
          <w:rFonts w:hint="eastAsia"/>
        </w:rPr>
        <w:t>）集体用餐配送单位；（</w:t>
      </w:r>
      <w:r>
        <w:t>10</w:t>
      </w:r>
      <w:r>
        <w:rPr>
          <w:rFonts w:hint="eastAsia"/>
        </w:rPr>
        <w:t>）中央厨房；（</w:t>
      </w:r>
      <w:r>
        <w:t>11</w:t>
      </w:r>
      <w:r>
        <w:rPr>
          <w:rFonts w:hint="eastAsia"/>
        </w:rPr>
        <w:t>）夜市餐饮服务；（</w:t>
      </w:r>
      <w:r>
        <w:t>12</w:t>
      </w:r>
      <w:r>
        <w:rPr>
          <w:rFonts w:hint="eastAsia"/>
        </w:rPr>
        <w:t>）乡村民俗旅游户。</w:t>
      </w:r>
    </w:p>
    <w:p w14:paraId="2FE9ACAB">
      <w:pPr>
        <w:ind w:firstLine="480" w:firstLineChars="200"/>
      </w:pPr>
      <w:r>
        <w:rPr>
          <w:rFonts w:hint="eastAsia"/>
        </w:rPr>
        <w:t>各类型餐饮服务单位的具体含义指：餐馆（含酒家、酒楼、酒店、饭庄等），是指以饭菜（包括中餐、西餐、日餐、韩餐等）为主要经营项目的单位，包括火锅店、烧烤店等。（一）特大型餐馆：是指经营场所使用面积在</w:t>
      </w:r>
      <w:r>
        <w:t>3000</w:t>
      </w:r>
      <w:r>
        <w:rPr>
          <w:rFonts w:hint="eastAsia"/>
        </w:rPr>
        <w:t>㎡以上（不含</w:t>
      </w:r>
      <w:r>
        <w:t>3000</w:t>
      </w:r>
      <w:r>
        <w:rPr>
          <w:rFonts w:hint="eastAsia"/>
        </w:rPr>
        <w:t>㎡），或者就餐座位数在</w:t>
      </w:r>
      <w:r>
        <w:t>1000</w:t>
      </w:r>
      <w:r>
        <w:rPr>
          <w:rFonts w:hint="eastAsia"/>
        </w:rPr>
        <w:t>座以上（不含</w:t>
      </w:r>
      <w:r>
        <w:t>1000</w:t>
      </w:r>
      <w:r>
        <w:rPr>
          <w:rFonts w:hint="eastAsia"/>
        </w:rPr>
        <w:t>座）的餐馆。（二）大型餐馆：是指经营场所使用面积在</w:t>
      </w:r>
      <w:r>
        <w:t>500</w:t>
      </w:r>
      <w:r>
        <w:rPr>
          <w:rFonts w:hint="eastAsia"/>
        </w:rPr>
        <w:t>～</w:t>
      </w:r>
      <w:r>
        <w:t>3000</w:t>
      </w:r>
      <w:r>
        <w:rPr>
          <w:rFonts w:hint="eastAsia"/>
        </w:rPr>
        <w:t>㎡（不含</w:t>
      </w:r>
      <w:r>
        <w:t>500</w:t>
      </w:r>
      <w:r>
        <w:rPr>
          <w:rFonts w:hint="eastAsia"/>
        </w:rPr>
        <w:t>㎡，含</w:t>
      </w:r>
      <w:r>
        <w:t>3000</w:t>
      </w:r>
      <w:r>
        <w:rPr>
          <w:rFonts w:hint="eastAsia"/>
        </w:rPr>
        <w:t>㎡），或者就餐座位数在</w:t>
      </w:r>
      <w:r>
        <w:t>250</w:t>
      </w:r>
      <w:r>
        <w:rPr>
          <w:rFonts w:hint="eastAsia"/>
        </w:rPr>
        <w:t>～</w:t>
      </w:r>
      <w:r>
        <w:t>1000</w:t>
      </w:r>
      <w:r>
        <w:rPr>
          <w:rFonts w:hint="eastAsia"/>
        </w:rPr>
        <w:t>座（不含</w:t>
      </w:r>
      <w:r>
        <w:t>250</w:t>
      </w:r>
      <w:r>
        <w:rPr>
          <w:rFonts w:hint="eastAsia"/>
        </w:rPr>
        <w:t>座，含</w:t>
      </w:r>
      <w:r>
        <w:t>1000</w:t>
      </w:r>
      <w:r>
        <w:rPr>
          <w:rFonts w:hint="eastAsia"/>
        </w:rPr>
        <w:t>座）的餐馆。（三）中型餐馆：是指经营场所使用面积在</w:t>
      </w:r>
      <w:r>
        <w:t>150</w:t>
      </w:r>
      <w:r>
        <w:rPr>
          <w:rFonts w:hint="eastAsia"/>
        </w:rPr>
        <w:t>～</w:t>
      </w:r>
      <w:r>
        <w:t>500</w:t>
      </w:r>
      <w:r>
        <w:rPr>
          <w:rFonts w:hint="eastAsia"/>
        </w:rPr>
        <w:t>㎡（不含</w:t>
      </w:r>
      <w:r>
        <w:t>150</w:t>
      </w:r>
      <w:r>
        <w:rPr>
          <w:rFonts w:hint="eastAsia"/>
        </w:rPr>
        <w:t>㎡，含</w:t>
      </w:r>
      <w:r>
        <w:t>500</w:t>
      </w:r>
      <w:r>
        <w:rPr>
          <w:rFonts w:hint="eastAsia"/>
        </w:rPr>
        <w:t>㎡），或者就餐座位数在</w:t>
      </w:r>
      <w:r>
        <w:t>75</w:t>
      </w:r>
      <w:r>
        <w:rPr>
          <w:rFonts w:hint="eastAsia"/>
        </w:rPr>
        <w:t>～</w:t>
      </w:r>
      <w:r>
        <w:t>250</w:t>
      </w:r>
      <w:r>
        <w:rPr>
          <w:rFonts w:hint="eastAsia"/>
        </w:rPr>
        <w:t>座（不含</w:t>
      </w:r>
      <w:r>
        <w:t>75</w:t>
      </w:r>
      <w:r>
        <w:rPr>
          <w:rFonts w:hint="eastAsia"/>
        </w:rPr>
        <w:t>座，含</w:t>
      </w:r>
      <w:r>
        <w:t>250</w:t>
      </w:r>
      <w:r>
        <w:rPr>
          <w:rFonts w:hint="eastAsia"/>
        </w:rPr>
        <w:t>座）的餐馆。（四）小型餐馆：是指经营场所使用面积在</w:t>
      </w:r>
      <w:r>
        <w:t>150</w:t>
      </w:r>
      <w:r>
        <w:rPr>
          <w:rFonts w:hint="eastAsia"/>
        </w:rPr>
        <w:t>㎡以下（含</w:t>
      </w:r>
      <w:r>
        <w:t>150</w:t>
      </w:r>
      <w:r>
        <w:rPr>
          <w:rFonts w:hint="eastAsia"/>
        </w:rPr>
        <w:t>㎡），或者就餐座位数在</w:t>
      </w:r>
      <w:r>
        <w:t>75</w:t>
      </w:r>
      <w:r>
        <w:rPr>
          <w:rFonts w:hint="eastAsia"/>
        </w:rPr>
        <w:t>人以下（含</w:t>
      </w:r>
      <w:r>
        <w:t>75</w:t>
      </w:r>
      <w:r>
        <w:rPr>
          <w:rFonts w:hint="eastAsia"/>
        </w:rPr>
        <w:t>座）以下的餐馆。如面积与就餐座位数分属两类的，餐馆类别以其中规模较大者计。</w:t>
      </w:r>
    </w:p>
    <w:p w14:paraId="304D4E2F">
      <w:pPr>
        <w:ind w:firstLine="480" w:firstLineChars="200"/>
      </w:pPr>
      <w:r>
        <w:rPr>
          <w:rFonts w:hint="eastAsia"/>
        </w:rPr>
        <w:t>快餐店，是指以集中加工配送、当场分餐食用并快速提供就餐服务为主要加工供应形式的单位。</w:t>
      </w:r>
    </w:p>
    <w:p w14:paraId="0643274A">
      <w:pPr>
        <w:ind w:firstLine="480" w:firstLineChars="200"/>
      </w:pPr>
      <w:r>
        <w:rPr>
          <w:rFonts w:hint="eastAsia"/>
        </w:rPr>
        <w:t>小吃店，是指以点心、小吃为主要经营项目的单位。</w:t>
      </w:r>
    </w:p>
    <w:p w14:paraId="3A3B820C">
      <w:pPr>
        <w:ind w:firstLine="480" w:firstLineChars="200"/>
      </w:pPr>
      <w:r>
        <w:rPr>
          <w:rFonts w:hint="eastAsia"/>
        </w:rPr>
        <w:t>饮品店，是指以供应酒类、咖啡、茶水或者饮料为主的单位。</w:t>
      </w:r>
    </w:p>
    <w:p w14:paraId="7222D603">
      <w:pPr>
        <w:ind w:firstLine="480" w:firstLineChars="200"/>
      </w:pPr>
      <w:r>
        <w:rPr>
          <w:rFonts w:hint="eastAsia"/>
        </w:rPr>
        <w:t>食堂，是指设于机关、学校、企事业单位、工地等地点（场所），供内部职工、学生等就餐的单位。</w:t>
      </w:r>
    </w:p>
    <w:p w14:paraId="322B675F">
      <w:pPr>
        <w:ind w:firstLine="480" w:firstLineChars="200"/>
      </w:pPr>
      <w:r>
        <w:rPr>
          <w:rFonts w:hint="eastAsia"/>
        </w:rPr>
        <w:t>集体用餐配送单位，指根据集体服务对象订购要求，集中加工、分送食品但不提供就餐场所的餐饮服务提供者。</w:t>
      </w:r>
    </w:p>
    <w:p w14:paraId="71BB0425">
      <w:pPr>
        <w:ind w:firstLine="480" w:firstLineChars="200"/>
      </w:pPr>
      <w:r>
        <w:rPr>
          <w:rFonts w:hint="eastAsia"/>
        </w:rPr>
        <w:t>中央厨房，指由餐饮连锁企业建立的，具有独立场所及设备设施，集中完成食品成品或半成品加工制作，并直接配送给本餐饮连锁企业所属餐饮服务提供者的单位。</w:t>
      </w:r>
    </w:p>
    <w:p w14:paraId="694ECE1F">
      <w:pPr>
        <w:ind w:firstLine="480" w:firstLineChars="200"/>
      </w:pPr>
      <w:r>
        <w:rPr>
          <w:rFonts w:hint="eastAsia"/>
        </w:rPr>
        <w:t>夜市餐饮服务，指举办者经所在地区县人民政府及其有关部门批准，在其指定区域内，在夜间时段仅集中经营餐饮服务的行为，但不含依托门店经营餐饮服务的行为。</w:t>
      </w:r>
    </w:p>
    <w:p w14:paraId="694C275B">
      <w:pPr>
        <w:ind w:firstLine="480" w:firstLineChars="200"/>
      </w:pPr>
      <w:r>
        <w:rPr>
          <w:rFonts w:hint="eastAsia"/>
        </w:rPr>
        <w:t>乡村民俗旅游户，指经市或区、县旅游委评定，以乡村自然人文旅游资源为依托，以田园风光和农家生活方式为特色，提供餐饮服务的农户，并具有以下特征：（一）以家庭为单位、以家庭成员为主要从业人员；（二）餐饮服务经营使用面积不超过</w:t>
      </w:r>
      <w:r>
        <w:t>150</w:t>
      </w:r>
      <w:r>
        <w:rPr>
          <w:rFonts w:hint="eastAsia"/>
        </w:rPr>
        <w:t>平方米；（三）具有《餐饮服务许可证》。</w:t>
      </w:r>
    </w:p>
    <w:p w14:paraId="4F22F91D">
      <w:pPr>
        <w:ind w:firstLine="480" w:firstLineChars="200"/>
        <w:rPr>
          <w:color w:val="000000"/>
        </w:rPr>
      </w:pPr>
      <w:r>
        <w:rPr>
          <w:rFonts w:hint="eastAsia"/>
          <w:color w:val="000000"/>
        </w:rPr>
        <w:t>因此本标准将餐饮业定义为</w:t>
      </w:r>
      <w:r>
        <w:rPr>
          <w:rFonts w:hint="eastAsia"/>
        </w:rPr>
        <w:t>在一定场所，利用餐饮设施对食物进行现场烹饪（包括调制加工），为社会生活提供饮食服务的行业。餐饮服务单位的主要类型：（一）独立经营的餐饮服务机构；（二）宾馆、酒店、度假村等场所内经营性餐饮部门，（三）设于机关、事业单位、社会团体、民办非企业单位、企业等供应内部职工、学生等集中就餐的单位食堂，（四）中央厨房等集体用餐加工服务机构。</w:t>
      </w:r>
      <w:r>
        <w:rPr>
          <w:rFonts w:hint="eastAsia"/>
          <w:color w:val="000000"/>
          <w:szCs w:val="21"/>
          <w:shd w:val="clear" w:color="auto" w:fill="F8F8F8"/>
        </w:rPr>
        <w:t>包含了北京市餐饮服务许可管理办法包含的类型。</w:t>
      </w:r>
    </w:p>
    <w:p w14:paraId="693935C6">
      <w:pPr>
        <w:pStyle w:val="3"/>
        <w:numPr>
          <w:numberingChange w:id="11" w:author="刘海英" w:date="2017-09-08T15:13:00Z" w:original="%1:3:0:.%2:2:0:"/>
        </w:numPr>
        <w:spacing w:after="163"/>
      </w:pPr>
      <w:bookmarkStart w:id="10" w:name="_Toc492305990"/>
      <w:bookmarkEnd w:id="10"/>
      <w:bookmarkStart w:id="11" w:name="_Toc492305995"/>
      <w:bookmarkEnd w:id="11"/>
      <w:bookmarkStart w:id="12" w:name="_Toc492305994"/>
      <w:bookmarkEnd w:id="12"/>
      <w:bookmarkStart w:id="13" w:name="_Toc492305999"/>
      <w:bookmarkEnd w:id="13"/>
      <w:bookmarkStart w:id="14" w:name="_Toc492305996"/>
      <w:bookmarkEnd w:id="14"/>
      <w:bookmarkStart w:id="15" w:name="_Toc492305992"/>
      <w:bookmarkEnd w:id="15"/>
      <w:bookmarkStart w:id="16" w:name="_Toc492305991"/>
      <w:bookmarkEnd w:id="16"/>
      <w:bookmarkStart w:id="17" w:name="_Toc492305997"/>
      <w:bookmarkEnd w:id="17"/>
      <w:bookmarkStart w:id="18" w:name="_Toc492305993"/>
      <w:bookmarkEnd w:id="18"/>
      <w:bookmarkStart w:id="19" w:name="_Toc492305998"/>
      <w:bookmarkEnd w:id="19"/>
      <w:bookmarkStart w:id="20" w:name="_Toc492569870"/>
      <w:r>
        <w:rPr>
          <w:rFonts w:hint="eastAsia"/>
        </w:rPr>
        <w:t>北京市餐饮业大气污染治理状况</w:t>
      </w:r>
      <w:bookmarkEnd w:id="20"/>
    </w:p>
    <w:p w14:paraId="1E62858C">
      <w:pPr>
        <w:pStyle w:val="4"/>
        <w:spacing w:before="163" w:after="163"/>
      </w:pPr>
      <w:r>
        <w:t>3.2.1</w:t>
      </w:r>
      <w:r>
        <w:rPr>
          <w:rFonts w:hint="eastAsia"/>
        </w:rPr>
        <w:t>餐饮业大气污染引发的主要环境问题</w:t>
      </w:r>
    </w:p>
    <w:p w14:paraId="0A579864">
      <w:pPr>
        <w:ind w:firstLine="480" w:firstLineChars="200"/>
      </w:pPr>
      <w:r>
        <w:rPr>
          <w:rFonts w:hint="eastAsia"/>
          <w:color w:val="000000"/>
        </w:rPr>
        <w:t>餐饮业大气污染物以油烟气的形式排入环境，它是食材、食用油和调料在烹饪、加工过程中排放出来的油脂、有机质及其加热分解或裂解产物组成的气、固、液三相混合物。</w:t>
      </w:r>
      <w:r>
        <w:rPr>
          <w:rFonts w:hint="eastAsia"/>
        </w:rPr>
        <w:t>油烟对局地环境的直观影响，主要表现为排放出黏性较强的油类物质会粘结在周边建筑表面，并发出霉味，使建筑表面发黑、清洗极为困难，既破坏环境卫生，又影响城市景观。另外，油烟为气溶胶，其中的液态颗粒物在排气筒及出口处遇冷凝聚，形成粘稠的油滴，油滴又与环境中的泥沙、尘土混合形成难以消除的油渍，附着在排气筒内壁和管道接口外壁上，天长日久成为火灾隐患。</w:t>
      </w:r>
    </w:p>
    <w:p w14:paraId="39937EA4">
      <w:pPr>
        <w:ind w:firstLine="480" w:firstLineChars="200"/>
        <w:rPr>
          <w:color w:val="000000"/>
        </w:rPr>
      </w:pPr>
      <w:r>
        <w:rPr>
          <w:rFonts w:hint="eastAsia"/>
        </w:rPr>
        <w:t>从对大气环境的影响来说，餐饮业排放是大气中挥发性有机物</w:t>
      </w:r>
      <w:r>
        <w:t>(VOCs)</w:t>
      </w:r>
      <w:r>
        <w:rPr>
          <w:rFonts w:hint="eastAsia"/>
        </w:rPr>
        <w:t>和</w:t>
      </w:r>
      <w:r>
        <w:t>PM</w:t>
      </w:r>
      <w:r>
        <w:rPr>
          <w:vertAlign w:val="subscript"/>
        </w:rPr>
        <w:t>2.5</w:t>
      </w:r>
      <w:r>
        <w:t>(</w:t>
      </w:r>
      <w:r>
        <w:rPr>
          <w:rFonts w:hint="eastAsia"/>
        </w:rPr>
        <w:t>颗粒小于</w:t>
      </w:r>
      <w:r>
        <w:t>2.5μm</w:t>
      </w:r>
      <w:r>
        <w:rPr>
          <w:rFonts w:hint="eastAsia"/>
        </w:rPr>
        <w:t>的可吸入颗粒物</w:t>
      </w:r>
      <w:r>
        <w:t>)</w:t>
      </w:r>
      <w:r>
        <w:rPr>
          <w:rFonts w:hint="eastAsia"/>
        </w:rPr>
        <w:t>的来源之一。首先，餐饮业是大气中</w:t>
      </w:r>
      <w:r>
        <w:t>PM</w:t>
      </w:r>
      <w:r>
        <w:rPr>
          <w:vertAlign w:val="subscript"/>
        </w:rPr>
        <w:t>2.5</w:t>
      </w:r>
      <w:r>
        <w:rPr>
          <w:rFonts w:hint="eastAsia"/>
        </w:rPr>
        <w:t>的直接排放源；其次，烟气中的一些挥发性有机物与大气中的二氧化氮发生光化学反应，不仅可增强了</w:t>
      </w:r>
      <w:r>
        <w:rPr>
          <w:rFonts w:hint="eastAsia"/>
          <w:color w:val="000000"/>
        </w:rPr>
        <w:t>大气的氧化性，而且为二次颗粒物的生产提供了原料</w:t>
      </w:r>
      <w:r>
        <w:rPr>
          <w:rFonts w:hint="eastAsia"/>
        </w:rPr>
        <w:t>；第三，烟气中的部分挥发性有机物具有异味，会直接干扰周边居民的生活</w:t>
      </w:r>
      <w:r>
        <w:rPr>
          <w:rFonts w:hint="eastAsia"/>
          <w:color w:val="000000"/>
        </w:rPr>
        <w:t>。</w:t>
      </w:r>
    </w:p>
    <w:p w14:paraId="75F248CB">
      <w:pPr>
        <w:pStyle w:val="4"/>
        <w:spacing w:before="163" w:after="163"/>
        <w:ind w:left="0" w:leftChars="0" w:firstLine="0" w:firstLineChars="0"/>
      </w:pPr>
      <w:r>
        <w:t>3.2.2</w:t>
      </w:r>
      <w:r>
        <w:rPr>
          <w:rFonts w:hint="eastAsia"/>
        </w:rPr>
        <w:t>餐饮业油烟控制技术调查分析</w:t>
      </w:r>
    </w:p>
    <w:p w14:paraId="7341E90F">
      <w:pPr>
        <w:pStyle w:val="5"/>
        <w:numPr>
          <w:ilvl w:val="0"/>
          <w:numId w:val="0"/>
        </w:numPr>
        <w:spacing w:before="163"/>
      </w:pPr>
      <w:r>
        <w:t xml:space="preserve">3.2.2.1 </w:t>
      </w:r>
      <w:r>
        <w:rPr>
          <w:rFonts w:hint="eastAsia"/>
        </w:rPr>
        <w:t>常见油烟净化技术</w:t>
      </w:r>
    </w:p>
    <w:p w14:paraId="41AFF1C3">
      <w:pPr>
        <w:adjustRightInd w:val="0"/>
        <w:snapToGrid w:val="0"/>
        <w:ind w:firstLine="480" w:firstLineChars="200"/>
      </w:pPr>
      <w:r>
        <w:rPr>
          <w:rFonts w:hint="eastAsia"/>
        </w:rPr>
        <w:t>目前环境管理部门主要依据</w:t>
      </w:r>
      <w:r>
        <w:t>GB18483</w:t>
      </w:r>
      <w:r>
        <w:rPr>
          <w:rFonts w:hint="eastAsia"/>
        </w:rPr>
        <w:t>对餐饮企业排放的油烟进行管控，现有油烟净化设备主要是为去除烟气中的油烟（油雾）研发。</w:t>
      </w:r>
      <w:r>
        <w:rPr>
          <w:rFonts w:hint="eastAsia"/>
          <w:szCs w:val="21"/>
        </w:rPr>
        <w:t>编制组对</w:t>
      </w:r>
      <w:r>
        <w:rPr>
          <w:szCs w:val="21"/>
        </w:rPr>
        <w:t>2012</w:t>
      </w:r>
      <w:r>
        <w:rPr>
          <w:rFonts w:hint="eastAsia"/>
          <w:szCs w:val="21"/>
        </w:rPr>
        <w:t>年</w:t>
      </w:r>
      <w:r>
        <w:rPr>
          <w:szCs w:val="21"/>
        </w:rPr>
        <w:t>-2014</w:t>
      </w:r>
      <w:r>
        <w:rPr>
          <w:rFonts w:hint="eastAsia"/>
          <w:szCs w:val="21"/>
        </w:rPr>
        <w:t>年通过中国环保产业协会环保产品认证的饮食业油烟净化设备生产企业进行了统计分析，油烟净化设备生产企业主要集中在餐饮业发达的东南沿海城市、旅游城市、省会以上城市。通过认证的油烟净化设备生产企业，主要集中在北京、江苏、广东、上海、浙江、山东等省市，认证设备占比近</w:t>
      </w:r>
      <w:r>
        <w:rPr>
          <w:szCs w:val="21"/>
        </w:rPr>
        <w:t>80%</w:t>
      </w:r>
      <w:r>
        <w:rPr>
          <w:rFonts w:hint="eastAsia"/>
          <w:szCs w:val="21"/>
        </w:rPr>
        <w:t>，其中北京市</w:t>
      </w:r>
      <w:r>
        <w:rPr>
          <w:szCs w:val="21"/>
        </w:rPr>
        <w:t>2012</w:t>
      </w:r>
      <w:r>
        <w:rPr>
          <w:rFonts w:hint="eastAsia"/>
          <w:szCs w:val="21"/>
        </w:rPr>
        <w:t>年</w:t>
      </w:r>
      <w:r>
        <w:rPr>
          <w:szCs w:val="21"/>
        </w:rPr>
        <w:t>~2014</w:t>
      </w:r>
      <w:r>
        <w:rPr>
          <w:rFonts w:hint="eastAsia"/>
          <w:szCs w:val="21"/>
        </w:rPr>
        <w:t>年通过认证的油烟净化设备生产企业有</w:t>
      </w:r>
      <w:r>
        <w:rPr>
          <w:szCs w:val="21"/>
        </w:rPr>
        <w:t>41</w:t>
      </w:r>
      <w:r>
        <w:rPr>
          <w:rFonts w:hint="eastAsia"/>
          <w:szCs w:val="21"/>
        </w:rPr>
        <w:t>家。</w:t>
      </w:r>
    </w:p>
    <w:p w14:paraId="4302A201">
      <w:pPr>
        <w:ind w:firstLine="480" w:firstLineChars="200"/>
      </w:pPr>
      <w:r>
        <w:rPr>
          <w:rFonts w:hint="eastAsia"/>
        </w:rPr>
        <w:t>市场上流行的油烟净化设备主要分为机械式、湿式、静电式和复合式，基本可以满足</w:t>
      </w:r>
      <w:r>
        <w:t>GB18483</w:t>
      </w:r>
      <w:r>
        <w:rPr>
          <w:rFonts w:hint="eastAsia"/>
        </w:rPr>
        <w:t>排放标准对治理技术的要求。但是，由于受物理去除方法自身的局限性，以上设备与技术对烟气中</w:t>
      </w:r>
      <w:r>
        <w:t>VOCs</w:t>
      </w:r>
      <w:r>
        <w:rPr>
          <w:rFonts w:hint="eastAsia"/>
        </w:rPr>
        <w:t>的去除效果十分有限。常用油烟净化设备的性能如表</w:t>
      </w:r>
      <w:r>
        <w:t>3-1</w:t>
      </w:r>
      <w:r>
        <w:rPr>
          <w:rFonts w:hint="eastAsia"/>
        </w:rPr>
        <w:t>所示。</w:t>
      </w:r>
    </w:p>
    <w:p w14:paraId="425A8659">
      <w:pPr>
        <w:jc w:val="center"/>
      </w:pPr>
      <w:r>
        <w:rPr>
          <w:rFonts w:hint="eastAsia"/>
        </w:rPr>
        <w:t>表</w:t>
      </w:r>
      <w:r>
        <w:t xml:space="preserve">3-1   </w:t>
      </w:r>
      <w:r>
        <w:rPr>
          <w:rFonts w:hint="eastAsia"/>
        </w:rPr>
        <w:t>常用油烟净化设备性能比较</w:t>
      </w:r>
    </w:p>
    <w:tbl>
      <w:tblPr>
        <w:tblStyle w:val="18"/>
        <w:tblW w:w="869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59"/>
        <w:gridCol w:w="1134"/>
        <w:gridCol w:w="2268"/>
        <w:gridCol w:w="2602"/>
      </w:tblGrid>
      <w:tr w14:paraId="435AF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0C24F449">
            <w:pPr>
              <w:autoSpaceDE w:val="0"/>
              <w:autoSpaceDN w:val="0"/>
              <w:adjustRightInd w:val="0"/>
              <w:rPr>
                <w:rFonts w:ascii="宋体"/>
                <w:b/>
                <w:sz w:val="21"/>
                <w:szCs w:val="21"/>
              </w:rPr>
            </w:pPr>
            <w:r>
              <w:rPr>
                <w:rFonts w:hint="eastAsia" w:ascii="宋体" w:hAnsi="宋体"/>
                <w:b/>
                <w:sz w:val="21"/>
                <w:szCs w:val="21"/>
              </w:rPr>
              <w:t>设备类型</w:t>
            </w:r>
          </w:p>
        </w:tc>
        <w:tc>
          <w:tcPr>
            <w:tcW w:w="1559" w:type="dxa"/>
          </w:tcPr>
          <w:p w14:paraId="70D8522C">
            <w:pPr>
              <w:autoSpaceDE w:val="0"/>
              <w:autoSpaceDN w:val="0"/>
              <w:adjustRightInd w:val="0"/>
              <w:ind w:left="422" w:hanging="422" w:hangingChars="200"/>
              <w:rPr>
                <w:rFonts w:ascii="宋体"/>
                <w:b/>
                <w:sz w:val="21"/>
                <w:szCs w:val="21"/>
              </w:rPr>
            </w:pPr>
            <w:r>
              <w:rPr>
                <w:rFonts w:hint="eastAsia" w:ascii="宋体" w:hAnsi="宋体"/>
                <w:b/>
                <w:sz w:val="21"/>
                <w:szCs w:val="21"/>
              </w:rPr>
              <w:t>油烟去除效率（</w:t>
            </w:r>
            <w:r>
              <w:rPr>
                <w:rFonts w:ascii="宋体" w:hAnsi="宋体"/>
                <w:b/>
                <w:sz w:val="21"/>
                <w:szCs w:val="21"/>
              </w:rPr>
              <w:t>%</w:t>
            </w:r>
            <w:r>
              <w:rPr>
                <w:rFonts w:hint="eastAsia" w:ascii="宋体" w:hAnsi="宋体"/>
                <w:b/>
                <w:sz w:val="21"/>
                <w:szCs w:val="21"/>
              </w:rPr>
              <w:t>）</w:t>
            </w:r>
          </w:p>
        </w:tc>
        <w:tc>
          <w:tcPr>
            <w:tcW w:w="1134" w:type="dxa"/>
          </w:tcPr>
          <w:p w14:paraId="01856436">
            <w:pPr>
              <w:autoSpaceDE w:val="0"/>
              <w:autoSpaceDN w:val="0"/>
              <w:adjustRightInd w:val="0"/>
              <w:rPr>
                <w:rFonts w:ascii="宋体"/>
                <w:b/>
                <w:sz w:val="21"/>
                <w:szCs w:val="21"/>
              </w:rPr>
            </w:pPr>
            <w:r>
              <w:rPr>
                <w:rFonts w:hint="eastAsia" w:ascii="宋体" w:hAnsi="宋体"/>
                <w:b/>
                <w:sz w:val="21"/>
                <w:szCs w:val="21"/>
              </w:rPr>
              <w:t>本体阻力（</w:t>
            </w:r>
            <w:r>
              <w:rPr>
                <w:rFonts w:ascii="宋体" w:hAnsi="宋体"/>
                <w:b/>
                <w:sz w:val="21"/>
                <w:szCs w:val="21"/>
              </w:rPr>
              <w:t>Pa</w:t>
            </w:r>
            <w:r>
              <w:rPr>
                <w:rFonts w:hint="eastAsia" w:ascii="宋体" w:hAnsi="宋体"/>
                <w:b/>
                <w:sz w:val="21"/>
                <w:szCs w:val="21"/>
              </w:rPr>
              <w:t>）</w:t>
            </w:r>
          </w:p>
        </w:tc>
        <w:tc>
          <w:tcPr>
            <w:tcW w:w="2268" w:type="dxa"/>
          </w:tcPr>
          <w:p w14:paraId="610D4676">
            <w:pPr>
              <w:autoSpaceDE w:val="0"/>
              <w:autoSpaceDN w:val="0"/>
              <w:adjustRightInd w:val="0"/>
              <w:rPr>
                <w:rFonts w:ascii="宋体"/>
                <w:b/>
                <w:sz w:val="21"/>
                <w:szCs w:val="21"/>
              </w:rPr>
            </w:pPr>
            <w:r>
              <w:rPr>
                <w:rFonts w:hint="eastAsia" w:ascii="宋体" w:hAnsi="宋体"/>
                <w:b/>
                <w:sz w:val="21"/>
                <w:szCs w:val="21"/>
              </w:rPr>
              <w:t>设备保养要求</w:t>
            </w:r>
          </w:p>
        </w:tc>
        <w:tc>
          <w:tcPr>
            <w:tcW w:w="2602" w:type="dxa"/>
          </w:tcPr>
          <w:p w14:paraId="0285389B">
            <w:pPr>
              <w:autoSpaceDE w:val="0"/>
              <w:autoSpaceDN w:val="0"/>
              <w:adjustRightInd w:val="0"/>
              <w:rPr>
                <w:rFonts w:ascii="宋体"/>
                <w:b/>
                <w:sz w:val="21"/>
                <w:szCs w:val="21"/>
              </w:rPr>
            </w:pPr>
            <w:r>
              <w:rPr>
                <w:rFonts w:hint="eastAsia" w:ascii="宋体" w:hAnsi="宋体"/>
                <w:b/>
                <w:sz w:val="21"/>
                <w:szCs w:val="21"/>
              </w:rPr>
              <w:t>单位处理风量本体投资（万元</w:t>
            </w:r>
            <w:r>
              <w:rPr>
                <w:rFonts w:ascii="宋体" w:hAnsi="宋体"/>
                <w:b/>
                <w:sz w:val="21"/>
                <w:szCs w:val="21"/>
              </w:rPr>
              <w:t>/</w:t>
            </w:r>
            <w:r>
              <w:rPr>
                <w:rFonts w:hint="eastAsia" w:ascii="宋体" w:hAnsi="宋体"/>
                <w:b/>
                <w:sz w:val="21"/>
                <w:szCs w:val="21"/>
              </w:rPr>
              <w:t>处理</w:t>
            </w:r>
            <w:r>
              <w:rPr>
                <w:rFonts w:ascii="宋体" w:hAnsi="宋体"/>
                <w:b/>
                <w:sz w:val="21"/>
                <w:szCs w:val="21"/>
              </w:rPr>
              <w:t>2000m</w:t>
            </w:r>
            <w:r>
              <w:rPr>
                <w:rFonts w:ascii="宋体" w:hAnsi="宋体"/>
                <w:b/>
                <w:sz w:val="21"/>
                <w:szCs w:val="21"/>
                <w:vertAlign w:val="superscript"/>
              </w:rPr>
              <w:t>3</w:t>
            </w:r>
            <w:r>
              <w:rPr>
                <w:rFonts w:hint="eastAsia" w:ascii="宋体" w:hAnsi="宋体"/>
                <w:b/>
                <w:sz w:val="21"/>
                <w:szCs w:val="21"/>
              </w:rPr>
              <w:t>风量）</w:t>
            </w:r>
          </w:p>
        </w:tc>
      </w:tr>
      <w:tr w14:paraId="17FDA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3BE3FA43">
            <w:pPr>
              <w:autoSpaceDE w:val="0"/>
              <w:autoSpaceDN w:val="0"/>
              <w:adjustRightInd w:val="0"/>
              <w:rPr>
                <w:rFonts w:ascii="宋体"/>
                <w:sz w:val="21"/>
                <w:szCs w:val="21"/>
              </w:rPr>
            </w:pPr>
            <w:r>
              <w:rPr>
                <w:rFonts w:hint="eastAsia" w:ascii="宋体" w:hAnsi="宋体"/>
                <w:sz w:val="21"/>
                <w:szCs w:val="21"/>
              </w:rPr>
              <w:t>机械式</w:t>
            </w:r>
          </w:p>
        </w:tc>
        <w:tc>
          <w:tcPr>
            <w:tcW w:w="1559" w:type="dxa"/>
          </w:tcPr>
          <w:p w14:paraId="3821BBEA">
            <w:pPr>
              <w:autoSpaceDE w:val="0"/>
              <w:autoSpaceDN w:val="0"/>
              <w:adjustRightInd w:val="0"/>
              <w:rPr>
                <w:rFonts w:ascii="宋体" w:hAnsi="宋体"/>
                <w:sz w:val="21"/>
                <w:szCs w:val="21"/>
              </w:rPr>
            </w:pPr>
            <w:r>
              <w:rPr>
                <w:rFonts w:ascii="宋体" w:hAnsi="宋体"/>
                <w:sz w:val="21"/>
                <w:szCs w:val="21"/>
              </w:rPr>
              <w:t>60</w:t>
            </w:r>
            <w:r>
              <w:rPr>
                <w:rFonts w:hint="eastAsia" w:ascii="宋体" w:hAnsi="宋体"/>
                <w:sz w:val="21"/>
                <w:szCs w:val="21"/>
              </w:rPr>
              <w:t>～</w:t>
            </w:r>
            <w:r>
              <w:rPr>
                <w:rFonts w:ascii="宋体" w:hAnsi="宋体"/>
                <w:sz w:val="21"/>
                <w:szCs w:val="21"/>
              </w:rPr>
              <w:t>65</w:t>
            </w:r>
          </w:p>
        </w:tc>
        <w:tc>
          <w:tcPr>
            <w:tcW w:w="1134" w:type="dxa"/>
          </w:tcPr>
          <w:p w14:paraId="500089D7">
            <w:pPr>
              <w:autoSpaceDE w:val="0"/>
              <w:autoSpaceDN w:val="0"/>
              <w:adjustRightInd w:val="0"/>
              <w:rPr>
                <w:rFonts w:ascii="宋体" w:hAnsi="宋体"/>
                <w:sz w:val="21"/>
                <w:szCs w:val="21"/>
              </w:rPr>
            </w:pPr>
            <w:r>
              <w:rPr>
                <w:rFonts w:ascii="宋体" w:hAnsi="宋体"/>
                <w:sz w:val="21"/>
                <w:szCs w:val="21"/>
              </w:rPr>
              <w:t>100</w:t>
            </w:r>
            <w:r>
              <w:rPr>
                <w:rFonts w:hint="eastAsia" w:ascii="宋体" w:hAnsi="宋体"/>
                <w:sz w:val="21"/>
                <w:szCs w:val="21"/>
              </w:rPr>
              <w:t>～</w:t>
            </w:r>
            <w:r>
              <w:rPr>
                <w:rFonts w:ascii="宋体" w:hAnsi="宋体"/>
                <w:sz w:val="21"/>
                <w:szCs w:val="21"/>
              </w:rPr>
              <w:t>500</w:t>
            </w:r>
          </w:p>
        </w:tc>
        <w:tc>
          <w:tcPr>
            <w:tcW w:w="2268" w:type="dxa"/>
          </w:tcPr>
          <w:p w14:paraId="255A3B75">
            <w:pPr>
              <w:autoSpaceDE w:val="0"/>
              <w:autoSpaceDN w:val="0"/>
              <w:adjustRightInd w:val="0"/>
              <w:rPr>
                <w:rFonts w:ascii="宋体"/>
                <w:sz w:val="21"/>
                <w:szCs w:val="21"/>
              </w:rPr>
            </w:pPr>
            <w:r>
              <w:rPr>
                <w:rFonts w:hint="eastAsia" w:ascii="宋体" w:hAnsi="宋体"/>
                <w:sz w:val="21"/>
                <w:szCs w:val="21"/>
              </w:rPr>
              <w:t>麻烦（每月清洗一次）</w:t>
            </w:r>
          </w:p>
        </w:tc>
        <w:tc>
          <w:tcPr>
            <w:tcW w:w="2602" w:type="dxa"/>
          </w:tcPr>
          <w:p w14:paraId="1EB2318F">
            <w:pPr>
              <w:autoSpaceDE w:val="0"/>
              <w:autoSpaceDN w:val="0"/>
              <w:adjustRightInd w:val="0"/>
              <w:rPr>
                <w:rFonts w:ascii="宋体" w:hAnsi="宋体"/>
                <w:sz w:val="21"/>
                <w:szCs w:val="21"/>
              </w:rPr>
            </w:pPr>
            <w:r>
              <w:rPr>
                <w:rFonts w:ascii="宋体" w:hAnsi="宋体"/>
                <w:sz w:val="21"/>
                <w:szCs w:val="21"/>
              </w:rPr>
              <w:t>0.1</w:t>
            </w:r>
            <w:r>
              <w:rPr>
                <w:rFonts w:hint="eastAsia" w:ascii="宋体" w:hAnsi="宋体"/>
                <w:sz w:val="21"/>
                <w:szCs w:val="21"/>
              </w:rPr>
              <w:t>～</w:t>
            </w:r>
            <w:r>
              <w:rPr>
                <w:rFonts w:ascii="宋体" w:hAnsi="宋体"/>
                <w:sz w:val="21"/>
                <w:szCs w:val="21"/>
              </w:rPr>
              <w:t>0.15</w:t>
            </w:r>
          </w:p>
        </w:tc>
      </w:tr>
      <w:tr w14:paraId="7B9D3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34079D9E">
            <w:pPr>
              <w:autoSpaceDE w:val="0"/>
              <w:autoSpaceDN w:val="0"/>
              <w:adjustRightInd w:val="0"/>
              <w:rPr>
                <w:rFonts w:ascii="宋体"/>
                <w:sz w:val="21"/>
                <w:szCs w:val="21"/>
              </w:rPr>
            </w:pPr>
            <w:r>
              <w:rPr>
                <w:rFonts w:hint="eastAsia" w:ascii="宋体" w:hAnsi="宋体"/>
                <w:sz w:val="21"/>
                <w:szCs w:val="21"/>
              </w:rPr>
              <w:t>过滤式</w:t>
            </w:r>
          </w:p>
        </w:tc>
        <w:tc>
          <w:tcPr>
            <w:tcW w:w="1559" w:type="dxa"/>
          </w:tcPr>
          <w:p w14:paraId="28C60E7A">
            <w:pPr>
              <w:autoSpaceDE w:val="0"/>
              <w:autoSpaceDN w:val="0"/>
              <w:adjustRightInd w:val="0"/>
              <w:rPr>
                <w:rFonts w:ascii="宋体" w:hAnsi="宋体"/>
                <w:sz w:val="21"/>
                <w:szCs w:val="21"/>
              </w:rPr>
            </w:pPr>
            <w:r>
              <w:rPr>
                <w:rFonts w:ascii="宋体" w:hAnsi="宋体"/>
                <w:sz w:val="21"/>
                <w:szCs w:val="21"/>
              </w:rPr>
              <w:t>60</w:t>
            </w:r>
            <w:r>
              <w:rPr>
                <w:rFonts w:hint="eastAsia" w:ascii="宋体" w:hAnsi="宋体"/>
                <w:sz w:val="21"/>
                <w:szCs w:val="21"/>
              </w:rPr>
              <w:t>～</w:t>
            </w:r>
            <w:r>
              <w:rPr>
                <w:rFonts w:ascii="宋体" w:hAnsi="宋体"/>
                <w:sz w:val="21"/>
                <w:szCs w:val="21"/>
              </w:rPr>
              <w:t>75</w:t>
            </w:r>
          </w:p>
        </w:tc>
        <w:tc>
          <w:tcPr>
            <w:tcW w:w="1134" w:type="dxa"/>
          </w:tcPr>
          <w:p w14:paraId="73CFD1AA">
            <w:pPr>
              <w:autoSpaceDE w:val="0"/>
              <w:autoSpaceDN w:val="0"/>
              <w:adjustRightInd w:val="0"/>
              <w:rPr>
                <w:rFonts w:ascii="宋体" w:hAnsi="宋体"/>
                <w:sz w:val="21"/>
                <w:szCs w:val="21"/>
              </w:rPr>
            </w:pPr>
            <w:r>
              <w:rPr>
                <w:rFonts w:ascii="宋体" w:hAnsi="宋体"/>
                <w:sz w:val="21"/>
                <w:szCs w:val="21"/>
              </w:rPr>
              <w:t>300</w:t>
            </w:r>
            <w:r>
              <w:rPr>
                <w:rFonts w:hint="eastAsia" w:ascii="宋体" w:hAnsi="宋体"/>
                <w:sz w:val="21"/>
                <w:szCs w:val="21"/>
              </w:rPr>
              <w:t>～</w:t>
            </w:r>
            <w:r>
              <w:rPr>
                <w:rFonts w:ascii="宋体" w:hAnsi="宋体"/>
                <w:sz w:val="21"/>
                <w:szCs w:val="21"/>
              </w:rPr>
              <w:t>500</w:t>
            </w:r>
          </w:p>
        </w:tc>
        <w:tc>
          <w:tcPr>
            <w:tcW w:w="2268" w:type="dxa"/>
          </w:tcPr>
          <w:p w14:paraId="33220430">
            <w:pPr>
              <w:autoSpaceDE w:val="0"/>
              <w:autoSpaceDN w:val="0"/>
              <w:adjustRightInd w:val="0"/>
              <w:rPr>
                <w:rFonts w:ascii="宋体"/>
                <w:sz w:val="21"/>
                <w:szCs w:val="21"/>
              </w:rPr>
            </w:pPr>
            <w:r>
              <w:rPr>
                <w:rFonts w:hint="eastAsia" w:ascii="宋体" w:hAnsi="宋体"/>
                <w:sz w:val="21"/>
                <w:szCs w:val="21"/>
              </w:rPr>
              <w:t>麻烦（</w:t>
            </w:r>
            <w:r>
              <w:rPr>
                <w:rFonts w:ascii="宋体" w:hAnsi="宋体"/>
                <w:sz w:val="21"/>
                <w:szCs w:val="21"/>
              </w:rPr>
              <w:t>3</w:t>
            </w:r>
            <w:r>
              <w:rPr>
                <w:rFonts w:hint="eastAsia" w:ascii="宋体" w:hAnsi="宋体"/>
                <w:sz w:val="21"/>
                <w:szCs w:val="21"/>
              </w:rPr>
              <w:t>、</w:t>
            </w:r>
            <w:r>
              <w:rPr>
                <w:rFonts w:ascii="宋体" w:hAnsi="宋体"/>
                <w:sz w:val="21"/>
                <w:szCs w:val="21"/>
              </w:rPr>
              <w:t>4</w:t>
            </w:r>
            <w:r>
              <w:rPr>
                <w:rFonts w:hint="eastAsia" w:ascii="宋体" w:hAnsi="宋体"/>
                <w:sz w:val="21"/>
                <w:szCs w:val="21"/>
              </w:rPr>
              <w:t>个月更换一次滤料）</w:t>
            </w:r>
          </w:p>
        </w:tc>
        <w:tc>
          <w:tcPr>
            <w:tcW w:w="2602" w:type="dxa"/>
          </w:tcPr>
          <w:p w14:paraId="43033DEF">
            <w:pPr>
              <w:autoSpaceDE w:val="0"/>
              <w:autoSpaceDN w:val="0"/>
              <w:adjustRightInd w:val="0"/>
              <w:rPr>
                <w:rFonts w:ascii="宋体" w:hAnsi="宋体"/>
                <w:sz w:val="21"/>
                <w:szCs w:val="21"/>
              </w:rPr>
            </w:pPr>
            <w:r>
              <w:rPr>
                <w:rFonts w:ascii="宋体" w:hAnsi="宋体"/>
                <w:sz w:val="21"/>
                <w:szCs w:val="21"/>
              </w:rPr>
              <w:t>0.2</w:t>
            </w:r>
            <w:r>
              <w:rPr>
                <w:rFonts w:hint="eastAsia" w:ascii="宋体" w:hAnsi="宋体"/>
                <w:sz w:val="21"/>
                <w:szCs w:val="21"/>
              </w:rPr>
              <w:t>～</w:t>
            </w:r>
            <w:r>
              <w:rPr>
                <w:rFonts w:ascii="宋体" w:hAnsi="宋体"/>
                <w:sz w:val="21"/>
                <w:szCs w:val="21"/>
              </w:rPr>
              <w:t>0.3</w:t>
            </w:r>
          </w:p>
        </w:tc>
      </w:tr>
      <w:tr w14:paraId="72224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290B1DAA">
            <w:pPr>
              <w:autoSpaceDE w:val="0"/>
              <w:autoSpaceDN w:val="0"/>
              <w:adjustRightInd w:val="0"/>
              <w:rPr>
                <w:rFonts w:ascii="宋体"/>
                <w:sz w:val="21"/>
                <w:szCs w:val="21"/>
              </w:rPr>
            </w:pPr>
            <w:r>
              <w:rPr>
                <w:rFonts w:hint="eastAsia" w:ascii="宋体" w:hAnsi="宋体"/>
                <w:sz w:val="21"/>
                <w:szCs w:val="21"/>
              </w:rPr>
              <w:t>湿式</w:t>
            </w:r>
          </w:p>
        </w:tc>
        <w:tc>
          <w:tcPr>
            <w:tcW w:w="1559" w:type="dxa"/>
          </w:tcPr>
          <w:p w14:paraId="47600B31">
            <w:pPr>
              <w:autoSpaceDE w:val="0"/>
              <w:autoSpaceDN w:val="0"/>
              <w:adjustRightInd w:val="0"/>
              <w:rPr>
                <w:rFonts w:ascii="宋体" w:hAnsi="宋体"/>
                <w:sz w:val="21"/>
                <w:szCs w:val="21"/>
              </w:rPr>
            </w:pPr>
            <w:r>
              <w:rPr>
                <w:rFonts w:ascii="宋体" w:hAnsi="宋体"/>
                <w:sz w:val="21"/>
                <w:szCs w:val="21"/>
              </w:rPr>
              <w:t>75</w:t>
            </w:r>
            <w:r>
              <w:rPr>
                <w:rFonts w:hint="eastAsia" w:ascii="宋体" w:hAnsi="宋体"/>
                <w:sz w:val="21"/>
                <w:szCs w:val="21"/>
              </w:rPr>
              <w:t>～</w:t>
            </w:r>
            <w:r>
              <w:rPr>
                <w:rFonts w:ascii="宋体" w:hAnsi="宋体"/>
                <w:sz w:val="21"/>
                <w:szCs w:val="21"/>
              </w:rPr>
              <w:t>85</w:t>
            </w:r>
          </w:p>
        </w:tc>
        <w:tc>
          <w:tcPr>
            <w:tcW w:w="1134" w:type="dxa"/>
          </w:tcPr>
          <w:p w14:paraId="113A8C0E">
            <w:pPr>
              <w:autoSpaceDE w:val="0"/>
              <w:autoSpaceDN w:val="0"/>
              <w:adjustRightInd w:val="0"/>
              <w:rPr>
                <w:rFonts w:ascii="宋体" w:hAnsi="宋体"/>
                <w:sz w:val="21"/>
                <w:szCs w:val="21"/>
              </w:rPr>
            </w:pPr>
            <w:r>
              <w:rPr>
                <w:rFonts w:ascii="宋体" w:hAnsi="宋体"/>
                <w:sz w:val="21"/>
                <w:szCs w:val="21"/>
              </w:rPr>
              <w:t>200</w:t>
            </w:r>
            <w:r>
              <w:rPr>
                <w:rFonts w:hint="eastAsia" w:ascii="宋体" w:hAnsi="宋体"/>
                <w:sz w:val="21"/>
                <w:szCs w:val="21"/>
              </w:rPr>
              <w:t>～</w:t>
            </w:r>
            <w:r>
              <w:rPr>
                <w:rFonts w:ascii="宋体" w:hAnsi="宋体"/>
                <w:sz w:val="21"/>
                <w:szCs w:val="21"/>
              </w:rPr>
              <w:t>300</w:t>
            </w:r>
          </w:p>
        </w:tc>
        <w:tc>
          <w:tcPr>
            <w:tcW w:w="2268" w:type="dxa"/>
          </w:tcPr>
          <w:p w14:paraId="02FEA004">
            <w:pPr>
              <w:autoSpaceDE w:val="0"/>
              <w:autoSpaceDN w:val="0"/>
              <w:adjustRightInd w:val="0"/>
              <w:rPr>
                <w:rFonts w:ascii="宋体"/>
                <w:sz w:val="21"/>
                <w:szCs w:val="21"/>
              </w:rPr>
            </w:pPr>
            <w:r>
              <w:rPr>
                <w:rFonts w:hint="eastAsia" w:ascii="宋体" w:hAnsi="宋体"/>
                <w:sz w:val="21"/>
                <w:szCs w:val="21"/>
              </w:rPr>
              <w:t>无要求</w:t>
            </w:r>
          </w:p>
        </w:tc>
        <w:tc>
          <w:tcPr>
            <w:tcW w:w="2602" w:type="dxa"/>
          </w:tcPr>
          <w:p w14:paraId="2120504E">
            <w:pPr>
              <w:autoSpaceDE w:val="0"/>
              <w:autoSpaceDN w:val="0"/>
              <w:adjustRightInd w:val="0"/>
              <w:rPr>
                <w:rFonts w:ascii="宋体" w:hAnsi="宋体"/>
                <w:sz w:val="21"/>
                <w:szCs w:val="21"/>
              </w:rPr>
            </w:pPr>
            <w:r>
              <w:rPr>
                <w:rFonts w:ascii="宋体" w:hAnsi="宋体"/>
                <w:sz w:val="21"/>
                <w:szCs w:val="21"/>
              </w:rPr>
              <w:t>0.3</w:t>
            </w:r>
            <w:r>
              <w:rPr>
                <w:rFonts w:hint="eastAsia" w:ascii="宋体" w:hAnsi="宋体"/>
                <w:sz w:val="21"/>
                <w:szCs w:val="21"/>
              </w:rPr>
              <w:t>～</w:t>
            </w:r>
            <w:r>
              <w:rPr>
                <w:rFonts w:ascii="宋体" w:hAnsi="宋体"/>
                <w:sz w:val="21"/>
                <w:szCs w:val="21"/>
              </w:rPr>
              <w:t>0.4</w:t>
            </w:r>
          </w:p>
        </w:tc>
      </w:tr>
      <w:tr w14:paraId="174BE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7A901688">
            <w:pPr>
              <w:autoSpaceDE w:val="0"/>
              <w:autoSpaceDN w:val="0"/>
              <w:adjustRightInd w:val="0"/>
              <w:rPr>
                <w:rFonts w:ascii="宋体"/>
                <w:sz w:val="21"/>
                <w:szCs w:val="21"/>
              </w:rPr>
            </w:pPr>
            <w:r>
              <w:rPr>
                <w:rFonts w:hint="eastAsia" w:ascii="宋体" w:hAnsi="宋体"/>
                <w:sz w:val="21"/>
                <w:szCs w:val="21"/>
              </w:rPr>
              <w:t>静电式</w:t>
            </w:r>
          </w:p>
        </w:tc>
        <w:tc>
          <w:tcPr>
            <w:tcW w:w="1559" w:type="dxa"/>
          </w:tcPr>
          <w:p w14:paraId="7483C6D0">
            <w:pPr>
              <w:autoSpaceDE w:val="0"/>
              <w:autoSpaceDN w:val="0"/>
              <w:adjustRightInd w:val="0"/>
              <w:rPr>
                <w:rFonts w:ascii="宋体" w:hAnsi="宋体"/>
                <w:sz w:val="21"/>
                <w:szCs w:val="21"/>
              </w:rPr>
            </w:pPr>
            <w:r>
              <w:rPr>
                <w:rFonts w:ascii="宋体" w:hAnsi="宋体"/>
                <w:sz w:val="21"/>
                <w:szCs w:val="21"/>
              </w:rPr>
              <w:t>80</w:t>
            </w:r>
            <w:r>
              <w:rPr>
                <w:rFonts w:hint="eastAsia" w:ascii="宋体" w:hAnsi="宋体"/>
                <w:sz w:val="21"/>
                <w:szCs w:val="21"/>
              </w:rPr>
              <w:t>～</w:t>
            </w:r>
            <w:r>
              <w:rPr>
                <w:rFonts w:ascii="宋体" w:hAnsi="宋体"/>
                <w:sz w:val="21"/>
                <w:szCs w:val="21"/>
              </w:rPr>
              <w:t>90</w:t>
            </w:r>
          </w:p>
        </w:tc>
        <w:tc>
          <w:tcPr>
            <w:tcW w:w="1134" w:type="dxa"/>
          </w:tcPr>
          <w:p w14:paraId="5C4562E9">
            <w:pPr>
              <w:autoSpaceDE w:val="0"/>
              <w:autoSpaceDN w:val="0"/>
              <w:adjustRightInd w:val="0"/>
              <w:rPr>
                <w:rFonts w:ascii="宋体" w:hAnsi="宋体"/>
                <w:sz w:val="21"/>
                <w:szCs w:val="21"/>
              </w:rPr>
            </w:pPr>
            <w:r>
              <w:rPr>
                <w:rFonts w:ascii="宋体" w:hAnsi="宋体"/>
                <w:sz w:val="21"/>
                <w:szCs w:val="21"/>
              </w:rPr>
              <w:t>100</w:t>
            </w:r>
            <w:r>
              <w:rPr>
                <w:rFonts w:hint="eastAsia" w:ascii="宋体" w:hAnsi="宋体"/>
                <w:sz w:val="21"/>
                <w:szCs w:val="21"/>
              </w:rPr>
              <w:t>～</w:t>
            </w:r>
            <w:r>
              <w:rPr>
                <w:rFonts w:ascii="宋体" w:hAnsi="宋体"/>
                <w:sz w:val="21"/>
                <w:szCs w:val="21"/>
              </w:rPr>
              <w:t>150</w:t>
            </w:r>
          </w:p>
        </w:tc>
        <w:tc>
          <w:tcPr>
            <w:tcW w:w="2268" w:type="dxa"/>
          </w:tcPr>
          <w:p w14:paraId="5E024060">
            <w:pPr>
              <w:autoSpaceDE w:val="0"/>
              <w:autoSpaceDN w:val="0"/>
              <w:adjustRightInd w:val="0"/>
              <w:rPr>
                <w:rFonts w:ascii="宋体"/>
                <w:sz w:val="21"/>
                <w:szCs w:val="21"/>
              </w:rPr>
            </w:pPr>
            <w:r>
              <w:rPr>
                <w:rFonts w:hint="eastAsia" w:ascii="宋体" w:hAnsi="宋体"/>
                <w:sz w:val="21"/>
                <w:szCs w:val="21"/>
              </w:rPr>
              <w:t>一般（每半年清洗一次电极）</w:t>
            </w:r>
          </w:p>
        </w:tc>
        <w:tc>
          <w:tcPr>
            <w:tcW w:w="2602" w:type="dxa"/>
          </w:tcPr>
          <w:p w14:paraId="569B9AD1">
            <w:pPr>
              <w:autoSpaceDE w:val="0"/>
              <w:autoSpaceDN w:val="0"/>
              <w:adjustRightInd w:val="0"/>
              <w:rPr>
                <w:rFonts w:ascii="宋体" w:hAnsi="宋体"/>
                <w:sz w:val="21"/>
                <w:szCs w:val="21"/>
              </w:rPr>
            </w:pPr>
            <w:r>
              <w:rPr>
                <w:rFonts w:ascii="宋体" w:hAnsi="宋体"/>
                <w:sz w:val="21"/>
                <w:szCs w:val="21"/>
              </w:rPr>
              <w:t>0.25</w:t>
            </w:r>
            <w:r>
              <w:rPr>
                <w:rFonts w:hint="eastAsia" w:ascii="宋体" w:hAnsi="宋体"/>
                <w:sz w:val="21"/>
                <w:szCs w:val="21"/>
              </w:rPr>
              <w:t>～</w:t>
            </w:r>
            <w:r>
              <w:rPr>
                <w:rFonts w:ascii="宋体" w:hAnsi="宋体"/>
                <w:sz w:val="21"/>
                <w:szCs w:val="21"/>
              </w:rPr>
              <w:t>0.5</w:t>
            </w:r>
          </w:p>
        </w:tc>
      </w:tr>
      <w:tr w14:paraId="2C9B9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tcPr>
          <w:p w14:paraId="117711C5">
            <w:pPr>
              <w:autoSpaceDE w:val="0"/>
              <w:autoSpaceDN w:val="0"/>
              <w:adjustRightInd w:val="0"/>
              <w:rPr>
                <w:rFonts w:ascii="宋体"/>
                <w:sz w:val="21"/>
                <w:szCs w:val="21"/>
              </w:rPr>
            </w:pPr>
            <w:r>
              <w:rPr>
                <w:rFonts w:hint="eastAsia" w:ascii="宋体" w:hAnsi="宋体"/>
                <w:sz w:val="21"/>
                <w:szCs w:val="21"/>
              </w:rPr>
              <w:t>复合式</w:t>
            </w:r>
          </w:p>
        </w:tc>
        <w:tc>
          <w:tcPr>
            <w:tcW w:w="1559" w:type="dxa"/>
          </w:tcPr>
          <w:p w14:paraId="10A010AB">
            <w:pPr>
              <w:autoSpaceDE w:val="0"/>
              <w:autoSpaceDN w:val="0"/>
              <w:adjustRightInd w:val="0"/>
              <w:rPr>
                <w:rFonts w:ascii="宋体" w:hAnsi="宋体"/>
                <w:sz w:val="21"/>
                <w:szCs w:val="21"/>
              </w:rPr>
            </w:pPr>
            <w:r>
              <w:rPr>
                <w:rFonts w:ascii="宋体" w:hAnsi="宋体"/>
                <w:sz w:val="21"/>
                <w:szCs w:val="21"/>
              </w:rPr>
              <w:t>85</w:t>
            </w:r>
            <w:r>
              <w:rPr>
                <w:rFonts w:hint="eastAsia" w:ascii="宋体" w:hAnsi="宋体"/>
                <w:sz w:val="21"/>
                <w:szCs w:val="21"/>
              </w:rPr>
              <w:t>～</w:t>
            </w:r>
            <w:r>
              <w:rPr>
                <w:rFonts w:ascii="宋体" w:hAnsi="宋体"/>
                <w:sz w:val="21"/>
                <w:szCs w:val="21"/>
              </w:rPr>
              <w:t>95</w:t>
            </w:r>
          </w:p>
        </w:tc>
        <w:tc>
          <w:tcPr>
            <w:tcW w:w="1134" w:type="dxa"/>
          </w:tcPr>
          <w:p w14:paraId="09EA2378">
            <w:pPr>
              <w:autoSpaceDE w:val="0"/>
              <w:autoSpaceDN w:val="0"/>
              <w:adjustRightInd w:val="0"/>
              <w:rPr>
                <w:rFonts w:ascii="宋体" w:hAnsi="宋体"/>
                <w:sz w:val="21"/>
                <w:szCs w:val="21"/>
              </w:rPr>
            </w:pPr>
            <w:r>
              <w:rPr>
                <w:rFonts w:ascii="宋体" w:hAnsi="宋体"/>
                <w:sz w:val="21"/>
                <w:szCs w:val="21"/>
              </w:rPr>
              <w:t>150</w:t>
            </w:r>
            <w:r>
              <w:rPr>
                <w:rFonts w:hint="eastAsia" w:ascii="宋体" w:hAnsi="宋体"/>
                <w:sz w:val="21"/>
                <w:szCs w:val="21"/>
              </w:rPr>
              <w:t>～</w:t>
            </w:r>
            <w:r>
              <w:rPr>
                <w:rFonts w:ascii="宋体" w:hAnsi="宋体"/>
                <w:sz w:val="21"/>
                <w:szCs w:val="21"/>
              </w:rPr>
              <w:t>500</w:t>
            </w:r>
          </w:p>
        </w:tc>
        <w:tc>
          <w:tcPr>
            <w:tcW w:w="2268" w:type="dxa"/>
          </w:tcPr>
          <w:p w14:paraId="77E90F3A">
            <w:pPr>
              <w:autoSpaceDE w:val="0"/>
              <w:autoSpaceDN w:val="0"/>
              <w:adjustRightInd w:val="0"/>
              <w:rPr>
                <w:rFonts w:ascii="宋体"/>
                <w:sz w:val="21"/>
                <w:szCs w:val="21"/>
              </w:rPr>
            </w:pPr>
            <w:r>
              <w:rPr>
                <w:rFonts w:hint="eastAsia" w:ascii="宋体" w:hAnsi="宋体"/>
                <w:sz w:val="21"/>
                <w:szCs w:val="21"/>
              </w:rPr>
              <w:t>一般（每半年清洗一次电极或滤料）</w:t>
            </w:r>
          </w:p>
        </w:tc>
        <w:tc>
          <w:tcPr>
            <w:tcW w:w="2602" w:type="dxa"/>
          </w:tcPr>
          <w:p w14:paraId="6E2762E8">
            <w:pPr>
              <w:autoSpaceDE w:val="0"/>
              <w:autoSpaceDN w:val="0"/>
              <w:adjustRightInd w:val="0"/>
              <w:rPr>
                <w:rFonts w:ascii="宋体" w:hAnsi="宋体"/>
                <w:sz w:val="21"/>
                <w:szCs w:val="21"/>
              </w:rPr>
            </w:pPr>
            <w:r>
              <w:rPr>
                <w:rFonts w:ascii="宋体" w:hAnsi="宋体"/>
                <w:sz w:val="21"/>
                <w:szCs w:val="21"/>
              </w:rPr>
              <w:t>0.4</w:t>
            </w:r>
            <w:r>
              <w:rPr>
                <w:rFonts w:hint="eastAsia" w:ascii="宋体" w:hAnsi="宋体"/>
                <w:sz w:val="21"/>
                <w:szCs w:val="21"/>
              </w:rPr>
              <w:t>～</w:t>
            </w:r>
            <w:r>
              <w:rPr>
                <w:rFonts w:ascii="宋体" w:hAnsi="宋体"/>
                <w:sz w:val="21"/>
                <w:szCs w:val="21"/>
              </w:rPr>
              <w:t>0.6</w:t>
            </w:r>
          </w:p>
        </w:tc>
      </w:tr>
    </w:tbl>
    <w:p w14:paraId="039C1E3C">
      <w:pPr>
        <w:rPr>
          <w:color w:val="000000"/>
        </w:rPr>
      </w:pPr>
      <w:r>
        <w:rPr>
          <w:rFonts w:hint="eastAsia"/>
          <w:sz w:val="21"/>
          <w:szCs w:val="21"/>
        </w:rPr>
        <w:t>注：本体阻力仅指油烟净化器本身阻力，不包括排烟气道压降，本体投资不含风机及其他配件。</w:t>
      </w:r>
    </w:p>
    <w:p w14:paraId="0A871EEC">
      <w:pPr>
        <w:ind w:firstLine="480" w:firstLineChars="200"/>
        <w:rPr>
          <w:color w:val="000000"/>
        </w:rPr>
      </w:pPr>
      <w:r>
        <w:rPr>
          <w:rFonts w:hint="eastAsia"/>
          <w:color w:val="000000"/>
        </w:rPr>
        <w:t>（</w:t>
      </w:r>
      <w:r>
        <w:rPr>
          <w:color w:val="000000"/>
        </w:rPr>
        <w:t>1</w:t>
      </w:r>
      <w:r>
        <w:rPr>
          <w:rFonts w:hint="eastAsia"/>
          <w:color w:val="000000"/>
        </w:rPr>
        <w:t>）</w:t>
      </w:r>
      <w:r>
        <w:rPr>
          <w:rFonts w:hint="eastAsia"/>
        </w:rPr>
        <w:t>静电油烟净化技术</w:t>
      </w:r>
    </w:p>
    <w:p w14:paraId="5A227FAE">
      <w:pPr>
        <w:ind w:firstLine="480" w:firstLineChars="200"/>
        <w:rPr>
          <w:color w:val="000000"/>
        </w:rPr>
      </w:pPr>
      <w:r>
        <w:rPr>
          <w:rFonts w:hint="eastAsia"/>
          <w:color w:val="000000"/>
        </w:rPr>
        <w:t>该技术原理与静电除尘器原理相同，利用电场力去除油烟中颗粒物和。其基本过程包括气体分子电离、油烟（油雾）粒子荷电、荷电粒子在电场力作用下向极板运动并最终到达极板从而达到与气体相分离的目的。</w:t>
      </w:r>
    </w:p>
    <w:p w14:paraId="12D2BCEF">
      <w:pPr>
        <w:ind w:firstLine="420"/>
        <w:rPr>
          <w:color w:val="000000"/>
        </w:rPr>
      </w:pPr>
      <w:r>
        <w:rPr>
          <w:rFonts w:hint="eastAsia"/>
          <w:color w:val="000000"/>
        </w:rPr>
        <w:t>静电油烟净化器如设计和维修妥善，可获得高的油烟收集效率。静电技术对亚微米颗粒物有很高的捕集效率，可有效去除细微的油烟颗粒；同时，气体放电过程中产生的臭氧对于气味的去除也有一定的效果。但带有粘性的油滴附着在电极和集尘板上，会使电除尘器在运行一段时间后效果明显劣化，特别是对于所收集油烟流动性差的情况，这个问题更为突出。为了解决这个问题，必须要对静电油烟净化器经常清洗，维护工作量较大。若不及时进行维护和清理，其油烟去除效率快速下降。</w:t>
      </w:r>
    </w:p>
    <w:p w14:paraId="0A32BFEE">
      <w:pPr>
        <w:ind w:firstLine="480" w:firstLineChars="200"/>
        <w:rPr>
          <w:color w:val="000000"/>
        </w:rPr>
      </w:pPr>
      <w:r>
        <w:rPr>
          <w:rFonts w:hint="eastAsia"/>
          <w:color w:val="000000"/>
        </w:rPr>
        <w:t>在中国静电收尘技术应用于饮食业油烟的净化始于</w:t>
      </w:r>
      <w:r>
        <w:rPr>
          <w:color w:val="000000"/>
        </w:rPr>
        <w:t>20</w:t>
      </w:r>
      <w:r>
        <w:rPr>
          <w:rFonts w:hint="eastAsia"/>
          <w:color w:val="000000"/>
        </w:rPr>
        <w:t>世纪</w:t>
      </w:r>
      <w:r>
        <w:rPr>
          <w:color w:val="000000"/>
        </w:rPr>
        <w:t>90</w:t>
      </w:r>
      <w:r>
        <w:rPr>
          <w:rFonts w:hint="eastAsia"/>
          <w:color w:val="000000"/>
        </w:rPr>
        <w:t>年代，特别是《饮食业油烟排放标准》于</w:t>
      </w:r>
      <w:r>
        <w:rPr>
          <w:color w:val="000000"/>
        </w:rPr>
        <w:t>2002</w:t>
      </w:r>
      <w:r>
        <w:rPr>
          <w:rFonts w:hint="eastAsia"/>
          <w:color w:val="000000"/>
        </w:rPr>
        <w:t>年</w:t>
      </w:r>
      <w:r>
        <w:rPr>
          <w:color w:val="000000"/>
        </w:rPr>
        <w:t>1</w:t>
      </w:r>
      <w:r>
        <w:rPr>
          <w:rFonts w:hint="eastAsia"/>
          <w:color w:val="000000"/>
        </w:rPr>
        <w:t>月</w:t>
      </w:r>
      <w:r>
        <w:rPr>
          <w:color w:val="000000"/>
        </w:rPr>
        <w:t>1</w:t>
      </w:r>
      <w:r>
        <w:rPr>
          <w:rFonts w:hint="eastAsia"/>
          <w:color w:val="000000"/>
        </w:rPr>
        <w:t>日开始实施后，各地掀起了开发研究油烟净化设备的高潮，静电设备以其体积小、去除效率高、能耗小的显著特点而成为油烟净化市场上的主力设备之一。目前，在大规模商业应用中暴露出的最大问题是静电极板的清理问题，在使用初期各种静电设备的净化效果普遍很好，但运行一段时期后（通常为</w:t>
      </w:r>
      <w:r>
        <w:rPr>
          <w:color w:val="000000"/>
        </w:rPr>
        <w:t>1~4</w:t>
      </w:r>
      <w:r>
        <w:rPr>
          <w:rFonts w:hint="eastAsia"/>
          <w:color w:val="000000"/>
        </w:rPr>
        <w:t>个月不等，有些甚至不到一个月），效果会明显恶化。为维持油烟净化效果，解决极板清理的问题，目前各厂家采用最普遍的做法是加强售后服务，定期清理极板。</w:t>
      </w:r>
    </w:p>
    <w:p w14:paraId="5BBF0311">
      <w:pPr>
        <w:ind w:firstLine="480" w:firstLineChars="200"/>
        <w:rPr>
          <w:color w:val="000000"/>
        </w:rPr>
      </w:pPr>
      <w:r>
        <w:rPr>
          <w:rFonts w:hint="eastAsia"/>
          <w:color w:val="000000"/>
        </w:rPr>
        <w:t>部分静电油烟净化设备在应用中暴露出的问题还包括在高潮湿恶劣环境下绝缘子的性能差和高压电源与本体不相匹配等。由于电源与本体不能很好地匹配，两极间所施加电压不够，或净化器整机电晕功率低，从而严重影响到净化器的性能。对于颗粒物排放浓度高，流动性极差的烧烤类餐饮业排放的烟气，静电油烟净化器的应用受到限制。</w:t>
      </w:r>
    </w:p>
    <w:p w14:paraId="5F2D21FD">
      <w:pPr>
        <w:ind w:firstLine="480" w:firstLineChars="200"/>
        <w:rPr>
          <w:bCs/>
          <w:color w:val="000000"/>
        </w:rPr>
      </w:pPr>
      <w:r>
        <w:rPr>
          <w:rFonts w:hint="eastAsia"/>
          <w:bCs/>
          <w:color w:val="000000"/>
        </w:rPr>
        <w:t>（</w:t>
      </w:r>
      <w:r>
        <w:rPr>
          <w:bCs/>
          <w:color w:val="000000"/>
        </w:rPr>
        <w:t>2</w:t>
      </w:r>
      <w:r>
        <w:rPr>
          <w:rFonts w:hint="eastAsia"/>
          <w:bCs/>
          <w:color w:val="000000"/>
        </w:rPr>
        <w:t>）湿式油烟净化技术</w:t>
      </w:r>
    </w:p>
    <w:p w14:paraId="6B028045">
      <w:pPr>
        <w:ind w:firstLine="480" w:firstLineChars="200"/>
        <w:rPr>
          <w:color w:val="000000"/>
        </w:rPr>
      </w:pPr>
      <w:r>
        <w:rPr>
          <w:rFonts w:hint="eastAsia"/>
          <w:color w:val="000000"/>
        </w:rPr>
        <w:t>湿法技术是一类比较成熟的餐饮烟气技术。湿式净化设备指用水膜、喷雾、冲击等液体吸收原理去除油烟的净化设备，主要是利用液体与油烟的逆向接触，通过洗涤作用去除烟气中的颗粒物和油烟。总的说来，其技术类型较多，主要包括旋流塔、填料塔、文丘里洗涤器、水膜式、冲旋式、冲击式、喷淋过滤式等。湿式设备的特点是对于较大油烟颗粒的去除效率较高，对小颗粒去除效率则较差。由于油烟雾滴的疏水性，需在洗涤液体中加入各种表面活性剂、乳化剂等改善油水的亲水性。加入适当的化学药品还可以同时去除油烟中的气味和部分挥发性有机气体。</w:t>
      </w:r>
    </w:p>
    <w:p w14:paraId="25EBA60E">
      <w:pPr>
        <w:ind w:firstLine="480" w:firstLineChars="200"/>
        <w:rPr>
          <w:color w:val="000000"/>
        </w:rPr>
      </w:pPr>
      <w:r>
        <w:rPr>
          <w:rFonts w:hint="eastAsia"/>
          <w:color w:val="000000"/>
        </w:rPr>
        <w:t>湿法油烟净化技术的优点是日常维护相对简便且消防隐患少。缺点是投资和运行成本较高，洗涤废液不宜直接排入下水道，否则会出现二次污染问题。此外，由于烟气净化设备多安装在室外，在北方冬季使用需要解决防冻问题。主要存在的技术问题是设备供应市场存在低价竞争，设备性能参差不齐，部分设备没有明确的液气比指标参数，无液位显示和自动补偿控制。</w:t>
      </w:r>
    </w:p>
    <w:p w14:paraId="3329F5C8">
      <w:pPr>
        <w:ind w:firstLine="480" w:firstLineChars="200"/>
        <w:rPr>
          <w:color w:val="000000"/>
        </w:rPr>
      </w:pPr>
      <w:r>
        <w:rPr>
          <w:rFonts w:hint="eastAsia"/>
          <w:color w:val="000000"/>
        </w:rPr>
        <w:t>（</w:t>
      </w:r>
      <w:r>
        <w:rPr>
          <w:color w:val="000000"/>
        </w:rPr>
        <w:t>3</w:t>
      </w:r>
      <w:r>
        <w:rPr>
          <w:rFonts w:hint="eastAsia"/>
          <w:color w:val="000000"/>
        </w:rPr>
        <w:t>）过滤吸附式油烟净化技术</w:t>
      </w:r>
    </w:p>
    <w:p w14:paraId="5534EEE7">
      <w:pPr>
        <w:ind w:firstLine="480" w:firstLineChars="200"/>
        <w:rPr>
          <w:color w:val="000000"/>
        </w:rPr>
      </w:pPr>
      <w:r>
        <w:rPr>
          <w:rFonts w:hint="eastAsia"/>
          <w:color w:val="000000"/>
        </w:rPr>
        <w:t>原理是当油烟通过过滤材料时，通过拦截、碰撞、筛分、吸附等作用从而去除颗粒物和挥发性有机气体。过滤材料包括活性炭颗粒、活性炭纤维毡、金属丝网、多孔陶瓷颗粒、织物过滤材料等。</w:t>
      </w:r>
    </w:p>
    <w:p w14:paraId="446EA6FB">
      <w:pPr>
        <w:ind w:firstLine="480" w:firstLineChars="200"/>
        <w:rPr>
          <w:color w:val="000000"/>
        </w:rPr>
      </w:pPr>
      <w:r>
        <w:rPr>
          <w:rFonts w:hint="eastAsia"/>
          <w:color w:val="000000"/>
        </w:rPr>
        <w:t>过滤法的优点是运行稳定可靠，但不同的过滤介质其性能具有较大差异。实际应用中受滤料易燃、吸附容量、易清理性、重复使用性、阻力等多重因素影响，要同时满足多个方面特性的要求，使得在选择滤料时受到一定局限。例如高湿度的烟气或高浓度油烟会堵塞滤料的吸附空间，降低</w:t>
      </w:r>
      <w:r>
        <w:rPr>
          <w:rFonts w:hint="eastAsia"/>
          <w:color w:val="000000"/>
          <w:lang w:val="en-US" w:eastAsia="zh-CN"/>
        </w:rPr>
        <w:t>活性炭</w:t>
      </w:r>
      <w:r>
        <w:rPr>
          <w:rFonts w:hint="eastAsia"/>
          <w:color w:val="000000"/>
        </w:rPr>
        <w:t>等滤料的性能和吸附介质寿命；高溫时气体分子活动加速，吸附能力减弱；气流中如含有油烟粒子，会堵塞吸附空间，减低</w:t>
      </w:r>
      <w:r>
        <w:rPr>
          <w:rFonts w:hint="eastAsia"/>
          <w:color w:val="000000"/>
          <w:lang w:val="en-US" w:eastAsia="zh-CN"/>
        </w:rPr>
        <w:t>活性炭</w:t>
      </w:r>
      <w:r>
        <w:rPr>
          <w:rFonts w:hint="eastAsia"/>
          <w:color w:val="000000"/>
        </w:rPr>
        <w:t>的性能和吸附介质寿命，并增加维修费用等。</w:t>
      </w:r>
    </w:p>
    <w:p w14:paraId="2B0B84F3">
      <w:pPr>
        <w:ind w:firstLine="480" w:firstLineChars="200"/>
        <w:rPr>
          <w:color w:val="000000"/>
        </w:rPr>
      </w:pPr>
      <w:r>
        <w:rPr>
          <w:rFonts w:hint="eastAsia"/>
          <w:color w:val="000000"/>
        </w:rPr>
        <w:t>在使用活性炭或其它吸附剂控制饮食油烟的气味时，需与其它控制油烟的装置配合使用。另外，过滤材料使用后的处理处置也是需要考虑的。当系统阻力较大时，风机的噪声污染问题会突显出来。</w:t>
      </w:r>
    </w:p>
    <w:p w14:paraId="46ACF8D9">
      <w:pPr>
        <w:ind w:firstLine="480" w:firstLineChars="200"/>
        <w:rPr>
          <w:color w:val="000000"/>
        </w:rPr>
      </w:pPr>
      <w:r>
        <w:rPr>
          <w:rFonts w:hint="eastAsia"/>
          <w:color w:val="000000"/>
        </w:rPr>
        <w:t>（</w:t>
      </w:r>
      <w:r>
        <w:rPr>
          <w:color w:val="000000"/>
        </w:rPr>
        <w:t>4</w:t>
      </w:r>
      <w:r>
        <w:rPr>
          <w:rFonts w:hint="eastAsia"/>
          <w:color w:val="000000"/>
        </w:rPr>
        <w:t>）机械式油烟净化技术</w:t>
      </w:r>
    </w:p>
    <w:p w14:paraId="568E5E7B">
      <w:pPr>
        <w:ind w:firstLine="480" w:firstLineChars="200"/>
        <w:rPr>
          <w:color w:val="000000"/>
        </w:rPr>
      </w:pPr>
      <w:r>
        <w:rPr>
          <w:rFonts w:hint="eastAsia"/>
          <w:color w:val="000000"/>
        </w:rPr>
        <w:t>目前机械式技术因产品价格相对便宜而在小型饮食业点应用较多。市场上应用较多的金属网过滤板等技术，去除效率较低，这类技术宜作为预处理手段，与其他技术（如静电、湿法）组合使用，构成优化合理的油烟净化系统。油烟负荷在不同净化段得到合理分配，会取得更好的净化效果，同时延长后段设备的清理周期。</w:t>
      </w:r>
    </w:p>
    <w:p w14:paraId="6B15FC8A">
      <w:pPr>
        <w:ind w:firstLine="480" w:firstLineChars="200"/>
        <w:rPr>
          <w:color w:val="000000"/>
        </w:rPr>
      </w:pPr>
      <w:r>
        <w:rPr>
          <w:rFonts w:hint="eastAsia"/>
          <w:color w:val="000000"/>
        </w:rPr>
        <w:t>新研发的离心转盘油烟净化技术是机械式油烟净化的一种。它是利用高速旋转的放射状网盘的切割和离心作用将油烟从气流中分离出来，可以在油烟管道的前端实现油烟的分离和回收。该技术的一大特点是适于各种风量烟气的净化，因此，目前已用于餐饮业和家庭油烟的净化，进一步加强该技术研发和应用，用于前置控制餐饮业的油烟排放具有较好的应用前景。</w:t>
      </w:r>
    </w:p>
    <w:p w14:paraId="67844293">
      <w:pPr>
        <w:ind w:firstLine="480" w:firstLineChars="200"/>
        <w:rPr>
          <w:color w:val="000000"/>
        </w:rPr>
      </w:pPr>
      <w:r>
        <w:rPr>
          <w:rFonts w:hint="eastAsia"/>
          <w:color w:val="000000"/>
        </w:rPr>
        <w:t>（</w:t>
      </w:r>
      <w:r>
        <w:rPr>
          <w:color w:val="000000"/>
        </w:rPr>
        <w:t>5</w:t>
      </w:r>
      <w:r>
        <w:rPr>
          <w:rFonts w:hint="eastAsia"/>
          <w:color w:val="000000"/>
        </w:rPr>
        <w:t>）低温等离子油烟净化技术</w:t>
      </w:r>
    </w:p>
    <w:p w14:paraId="6D825055">
      <w:pPr>
        <w:ind w:firstLine="480" w:firstLineChars="200"/>
        <w:rPr>
          <w:color w:val="000000"/>
        </w:rPr>
      </w:pPr>
      <w:r>
        <w:rPr>
          <w:rFonts w:hint="eastAsia"/>
          <w:color w:val="000000"/>
        </w:rPr>
        <w:t>原理是在高电场强度作用下，烟气产生大量等离子，等离子由电子、离子、自由基等组成，被加速的电子可直接打破大分子结构使污染物得到降解；对污染物进行自由基氧化、强化分子离解，在此过程中还将产生部分臭氧，强化了等离子的降解作用。低温等离子是多个单位正在研究和开发新型技术，在油烟净化领域中也得到部分应用，等离子对挥发性有机物作用较好，编制组的测试研究表明：低温等离子净化技术能将烟气中的部分油烟长链分子离解为气态</w:t>
      </w:r>
      <w:r>
        <w:rPr>
          <w:color w:val="000000"/>
        </w:rPr>
        <w:t>VOCs</w:t>
      </w:r>
      <w:r>
        <w:rPr>
          <w:rFonts w:hint="eastAsia"/>
          <w:color w:val="000000"/>
        </w:rPr>
        <w:t>，因反应停留时间不足，导致出口烟气中</w:t>
      </w:r>
      <w:r>
        <w:rPr>
          <w:color w:val="000000"/>
        </w:rPr>
        <w:t>VOCs</w:t>
      </w:r>
      <w:r>
        <w:rPr>
          <w:rFonts w:hint="eastAsia"/>
          <w:color w:val="000000"/>
        </w:rPr>
        <w:t>浓度的升高。</w:t>
      </w:r>
    </w:p>
    <w:p w14:paraId="013FAB9B">
      <w:pPr>
        <w:ind w:firstLine="480" w:firstLineChars="200"/>
        <w:rPr>
          <w:color w:val="000000"/>
        </w:rPr>
      </w:pPr>
      <w:r>
        <w:rPr>
          <w:rFonts w:hint="eastAsia"/>
          <w:color w:val="000000"/>
        </w:rPr>
        <w:t>（</w:t>
      </w:r>
      <w:r>
        <w:rPr>
          <w:color w:val="000000"/>
        </w:rPr>
        <w:t>6</w:t>
      </w:r>
      <w:r>
        <w:rPr>
          <w:rFonts w:hint="eastAsia"/>
          <w:color w:val="000000"/>
        </w:rPr>
        <w:t>）光解式油烟净化技术</w:t>
      </w:r>
    </w:p>
    <w:p w14:paraId="5D3BCF15">
      <w:pPr>
        <w:ind w:firstLine="480" w:firstLineChars="200"/>
        <w:rPr>
          <w:color w:val="000000"/>
        </w:rPr>
      </w:pPr>
      <w:r>
        <w:rPr>
          <w:rFonts w:hint="eastAsia"/>
          <w:color w:val="000000"/>
        </w:rPr>
        <w:t>原理是使用特定波长的高强度紫外线照射来分解油烟，将油雾和异味有机物分解为小分子化合物，从而有效解决油烟和异味污染问题。该技术与低温等离子技术相似，该技术用于油烟净化时，因停留时间不足，有可能增加排气中的</w:t>
      </w:r>
      <w:r>
        <w:rPr>
          <w:color w:val="000000"/>
        </w:rPr>
        <w:t>VOCs</w:t>
      </w:r>
      <w:r>
        <w:rPr>
          <w:rFonts w:hint="eastAsia"/>
          <w:color w:val="000000"/>
        </w:rPr>
        <w:t>，而增加停留时间，则会导致净化设施体积过大。因此，低温等离子技术和光解技术用于餐饮业烟气净化时，应利用其它技术将油雾净化，然后在利用其</w:t>
      </w:r>
      <w:r>
        <w:rPr>
          <w:color w:val="000000"/>
        </w:rPr>
        <w:t>VOCs</w:t>
      </w:r>
      <w:r>
        <w:rPr>
          <w:rFonts w:hint="eastAsia"/>
          <w:color w:val="000000"/>
        </w:rPr>
        <w:t>净化有效区分，科学计算烟气停留时间，增强其</w:t>
      </w:r>
      <w:r>
        <w:rPr>
          <w:color w:val="000000"/>
        </w:rPr>
        <w:t>VOCs</w:t>
      </w:r>
      <w:r>
        <w:rPr>
          <w:rFonts w:hint="eastAsia"/>
          <w:color w:val="000000"/>
        </w:rPr>
        <w:t>和异味净化效率。</w:t>
      </w:r>
    </w:p>
    <w:p w14:paraId="04B462B5">
      <w:pPr>
        <w:ind w:firstLine="480" w:firstLineChars="200"/>
        <w:rPr>
          <w:color w:val="000000"/>
        </w:rPr>
      </w:pPr>
      <w:r>
        <w:rPr>
          <w:rFonts w:hint="eastAsia"/>
          <w:color w:val="000000"/>
        </w:rPr>
        <w:t>（</w:t>
      </w:r>
      <w:r>
        <w:rPr>
          <w:color w:val="000000"/>
        </w:rPr>
        <w:t>7</w:t>
      </w:r>
      <w:r>
        <w:rPr>
          <w:rFonts w:hint="eastAsia"/>
          <w:color w:val="000000"/>
        </w:rPr>
        <w:t>）复合式油烟净化技术</w:t>
      </w:r>
    </w:p>
    <w:p w14:paraId="21BD7C38">
      <w:pPr>
        <w:ind w:firstLine="480" w:firstLineChars="200"/>
      </w:pPr>
      <w:r>
        <w:rPr>
          <w:rFonts w:hint="eastAsia"/>
        </w:rPr>
        <w:t>复合式油烟净化设备指</w:t>
      </w:r>
      <w:r>
        <w:rPr>
          <w:rFonts w:hint="eastAsia"/>
          <w:color w:val="000000"/>
        </w:rPr>
        <w:t>将不同技术的优势进行互补，组合成为一个系统，成为高效的控制设备。</w:t>
      </w:r>
      <w:r>
        <w:rPr>
          <w:rFonts w:hint="eastAsia"/>
        </w:rPr>
        <w:t>从治理效果来看，复合式油烟净化设计是今后的发展方向。目前常见的有机械、静电相结合；湿式、静电相结合等方式，其中又以湿式与静电组合式居多。从油烟去除效率来看，机械式油烟净化设备、过滤式油烟净化设备与湿式油烟净化设备作为独立的处理手段往往满足不了大中型宾馆饭店油烟处理要求，处理后的油烟浓度难以达标排放。静电式及复合式油烟净化技术趋于成熟并得到了广泛的应用，处理后的洁净烟气完全可以达到国家饮食业油烟排放标准要求。</w:t>
      </w:r>
    </w:p>
    <w:p w14:paraId="02E8A6D5">
      <w:pPr>
        <w:pStyle w:val="5"/>
        <w:numPr>
          <w:ilvl w:val="0"/>
          <w:numId w:val="0"/>
        </w:numPr>
        <w:spacing w:before="163"/>
        <w:ind w:left="864" w:hanging="864"/>
      </w:pPr>
      <w:r>
        <w:t xml:space="preserve">3.2.2.2 </w:t>
      </w:r>
      <w:r>
        <w:rPr>
          <w:rFonts w:hint="eastAsia"/>
        </w:rPr>
        <w:t>餐饮业油烟净化设备存在的问题</w:t>
      </w:r>
    </w:p>
    <w:p w14:paraId="5605205F">
      <w:pPr>
        <w:ind w:firstLine="480" w:firstLineChars="200"/>
      </w:pPr>
      <w:r>
        <w:rPr>
          <w:rFonts w:hint="eastAsia"/>
        </w:rPr>
        <w:t>（</w:t>
      </w:r>
      <w:r>
        <w:t>1</w:t>
      </w:r>
      <w:r>
        <w:rPr>
          <w:rFonts w:hint="eastAsia"/>
        </w:rPr>
        <w:t>）油烟净化设备行业门槛低，管理不规范，市场混乱</w:t>
      </w:r>
    </w:p>
    <w:p w14:paraId="5032CAC4">
      <w:pPr>
        <w:ind w:firstLine="480" w:firstLineChars="200"/>
      </w:pPr>
      <w:r>
        <w:rPr>
          <w:rFonts w:hint="eastAsia"/>
        </w:rPr>
        <w:t>油烟净化技术及设备行业门槛低，存在市场混乱，劣质产品充斥市场的现象主要原因如下：餐饮服务单位环保意识不高，只买便宜设备对付标准的安装使用要求；行业部门管理不到位，部分管理要求过于粗放；现场监督检测技术过于复杂，导致监管困难。</w:t>
      </w:r>
    </w:p>
    <w:p w14:paraId="1140ABBC">
      <w:pPr>
        <w:ind w:firstLine="480" w:firstLineChars="200"/>
      </w:pPr>
      <w:r>
        <w:rPr>
          <w:rFonts w:hint="eastAsia"/>
        </w:rPr>
        <w:t>由于油烟净化设备技术门槛低，存在个别不法厂家通过临时增加过滤材料等措施，大幅度提高去除效率来通过认证检测；一部分企业以低价竞争、以次充优去争夺市场，恶化市场环境；部分企业以小充大、贴牌假冒优质设备。这些急功近利行为，不仅扰乱了餐饮油烟净化治理技术和设备市场，而且没有达到油烟净化的环境管理目标，进而阻碍了餐饮行业的健康、稳定发展。</w:t>
      </w:r>
    </w:p>
    <w:p w14:paraId="70F76908">
      <w:pPr>
        <w:ind w:firstLine="480" w:firstLineChars="200"/>
      </w:pPr>
      <w:r>
        <w:rPr>
          <w:rFonts w:hint="eastAsia"/>
        </w:rPr>
        <w:t>（</w:t>
      </w:r>
      <w:r>
        <w:t>2</w:t>
      </w:r>
      <w:r>
        <w:rPr>
          <w:rFonts w:hint="eastAsia"/>
        </w:rPr>
        <w:t>）缺乏有效的监管手段，企业治理积极性不高</w:t>
      </w:r>
    </w:p>
    <w:p w14:paraId="73B3E414">
      <w:pPr>
        <w:ind w:firstLine="480" w:firstLineChars="200"/>
      </w:pPr>
      <w:r>
        <w:rPr>
          <w:rFonts w:hint="eastAsia"/>
        </w:rPr>
        <w:t>按照</w:t>
      </w:r>
      <w:r>
        <w:t>GB 18483-2001</w:t>
      </w:r>
      <w:r>
        <w:rPr>
          <w:rFonts w:hint="eastAsia"/>
        </w:rPr>
        <w:t>的油烟采样监测方法，油烟监测的技术复杂且要求高。每次现场采样至少需要</w:t>
      </w:r>
      <w:r>
        <w:t>2</w:t>
      </w:r>
      <w:r>
        <w:rPr>
          <w:rFonts w:hint="eastAsia"/>
        </w:rPr>
        <w:t>名监测人员，餐饮业的排放特点是排放浓度不稳定，排放时间不固定，与客流和点菜类型密切相关；时间上一般均是中午</w:t>
      </w:r>
      <w:r>
        <w:t>2~3</w:t>
      </w:r>
      <w:r>
        <w:rPr>
          <w:rFonts w:hint="eastAsia"/>
        </w:rPr>
        <w:t>个小时，晚上</w:t>
      </w:r>
      <w:r>
        <w:t>3~4</w:t>
      </w:r>
      <w:r>
        <w:rPr>
          <w:rFonts w:hint="eastAsia"/>
        </w:rPr>
        <w:t>个小时；每次采样要求在</w:t>
      </w:r>
      <w:r>
        <w:t>1</w:t>
      </w:r>
      <w:r>
        <w:rPr>
          <w:rFonts w:hint="eastAsia"/>
        </w:rPr>
        <w:t>个小时内采集</w:t>
      </w:r>
      <w:r>
        <w:t>5</w:t>
      </w:r>
      <w:r>
        <w:rPr>
          <w:rFonts w:hint="eastAsia"/>
        </w:rPr>
        <w:t>个滤筒，实验室对样品分析测试后，编制并报出检测报告一般需要一个星期；这严重影响了监管部门对油烟排放单位的执法效率以及对超标排放单位的管理。除此之外，还有二个方面的问题：一是净化设施的排放浓度不能快速检测，不能及时促进设备的维护改进；二是，每次油烟监测需使用</w:t>
      </w:r>
      <w:r>
        <w:t>200~250ml</w:t>
      </w:r>
      <w:r>
        <w:rPr>
          <w:rFonts w:hint="eastAsia"/>
        </w:rPr>
        <w:t>的四氯化碳，导致其检测成本较高且已用试剂的二次污染严重（包括经济成本和时间成本），行业监管部门无法开展对餐饮服务单位的净化效果定期监测，最终导致低价的伪劣产品充斥市场。</w:t>
      </w:r>
    </w:p>
    <w:p w14:paraId="63952431">
      <w:pPr>
        <w:ind w:firstLine="360" w:firstLineChars="150"/>
      </w:pPr>
      <w:r>
        <w:rPr>
          <w:rFonts w:hint="eastAsia"/>
        </w:rPr>
        <w:t>（</w:t>
      </w:r>
      <w:r>
        <w:t>3</w:t>
      </w:r>
      <w:r>
        <w:rPr>
          <w:rFonts w:hint="eastAsia"/>
        </w:rPr>
        <w:t>）</w:t>
      </w:r>
      <w:r>
        <w:rPr>
          <w:rFonts w:hint="eastAsia" w:hAnsi="宋体"/>
        </w:rPr>
        <w:t>控制技术总体水平不高，</w:t>
      </w:r>
      <w:r>
        <w:rPr>
          <w:rFonts w:hint="eastAsia"/>
        </w:rPr>
        <w:t>行业技术力量薄弱</w:t>
      </w:r>
    </w:p>
    <w:p w14:paraId="36990A54">
      <w:pPr>
        <w:ind w:firstLine="480" w:firstLineChars="200"/>
      </w:pPr>
      <w:r>
        <w:rPr>
          <w:rFonts w:hint="eastAsia"/>
        </w:rPr>
        <w:t>行业的技术实力不够，在一百多家拥有国家认证产品的企业中，大部分不具备自主研发能力。大部分餐饮油烟净化设备制造企业属于小型环保企业，缺少创新所需要的人才和资金，没有建立起完善的自主创新机制，严重制约了技术的开发和提高。大部分生产企业没有专职研发人员，少数企业虽有专职研发人员，但研发能力弱、形成不了研发团队，以致技术研发能力不强，技术和产品更新周期长，新技术和新产品储备严重不足，不能满足市场对环保产品不断升级的需求。同时，行业的低价竞争使得产品利润微薄，加上产品容易仿造等原因，使得企业对研发投入失去信心，一定程度上挫伤了企业自主研发的积极性。政府应通过制定强制标准，提高技术要求来规范市场，促进并引导餐饮业大气污染物防治技术的发展，才能真正促进行业健康稳定的发展。</w:t>
      </w:r>
    </w:p>
    <w:p w14:paraId="56E868C1">
      <w:pPr>
        <w:pStyle w:val="2"/>
        <w:numPr>
          <w:numberingChange w:id="12" w:author="刘海英" w:date="2017-09-08T15:13:00Z" w:original="%1:4:0:"/>
        </w:numPr>
        <w:spacing w:before="163" w:after="163"/>
      </w:pPr>
      <w:bookmarkStart w:id="21" w:name="_Toc492569871"/>
      <w:r>
        <w:rPr>
          <w:rFonts w:hint="eastAsia"/>
        </w:rPr>
        <w:t>国内外相关标准调研</w:t>
      </w:r>
      <w:bookmarkEnd w:id="21"/>
    </w:p>
    <w:p w14:paraId="029F3E83">
      <w:pPr>
        <w:pStyle w:val="3"/>
        <w:numPr>
          <w:numberingChange w:id="13" w:author="刘海英" w:date="2017-09-08T15:13:00Z" w:original="%1:4:0:.%2:1:0:"/>
        </w:numPr>
        <w:spacing w:after="163"/>
      </w:pPr>
      <w:bookmarkStart w:id="22" w:name="_Toc492569872"/>
      <w:r>
        <w:rPr>
          <w:rFonts w:hint="eastAsia"/>
        </w:rPr>
        <w:t>国外相关标准调研</w:t>
      </w:r>
      <w:bookmarkEnd w:id="22"/>
    </w:p>
    <w:p w14:paraId="1AEEE66E">
      <w:pPr>
        <w:ind w:firstLine="480" w:firstLineChars="200"/>
      </w:pPr>
      <w:r>
        <w:rPr>
          <w:rFonts w:hint="eastAsia"/>
        </w:rPr>
        <w:t>由于饮食习惯和食品烹调方式的差异，国外餐饮业油烟浓度较低，因此，世界各国并没有针对饮食业空气污染物制定排放标准，仅有美、日基于消防立场以消防法规来进行管制。</w:t>
      </w:r>
    </w:p>
    <w:p w14:paraId="438F033D">
      <w:pPr>
        <w:ind w:firstLine="480" w:firstLineChars="200"/>
      </w:pPr>
      <w:r>
        <w:rPr>
          <w:rFonts w:hint="eastAsia"/>
        </w:rPr>
        <w:t>（</w:t>
      </w:r>
      <w:r>
        <w:t>1</w:t>
      </w:r>
      <w:r>
        <w:rPr>
          <w:rFonts w:hint="eastAsia"/>
        </w:rPr>
        <w:t>）美国</w:t>
      </w:r>
    </w:p>
    <w:p w14:paraId="3B46C441">
      <w:pPr>
        <w:ind w:firstLine="480" w:firstLineChars="200"/>
      </w:pPr>
      <w:r>
        <w:rPr>
          <w:rFonts w:hint="eastAsia"/>
        </w:rPr>
        <w:t>美国消防署基于消防立场制订了“商业烹饪设备油烟去除装置设置标准”</w:t>
      </w:r>
      <w:r>
        <w:t>(Standard for the Installation of Equipment for Removal of Smoke and Grease-Laden Vapors from Commercial Cooking Equipment)</w:t>
      </w:r>
      <w:r>
        <w:rPr>
          <w:rFonts w:hint="eastAsia"/>
        </w:rPr>
        <w:t>，该标准于</w:t>
      </w:r>
      <w:r>
        <w:t>1990</w:t>
      </w:r>
      <w:r>
        <w:rPr>
          <w:rFonts w:hint="eastAsia"/>
        </w:rPr>
        <w:t>年立法通过，</w:t>
      </w:r>
      <w:r>
        <w:t>1991</w:t>
      </w:r>
      <w:r>
        <w:rPr>
          <w:rFonts w:hint="eastAsia"/>
        </w:rPr>
        <w:t>年</w:t>
      </w:r>
      <w:r>
        <w:t>2</w:t>
      </w:r>
      <w:r>
        <w:rPr>
          <w:rFonts w:hint="eastAsia"/>
        </w:rPr>
        <w:t>月</w:t>
      </w:r>
      <w:r>
        <w:t>8</w:t>
      </w:r>
      <w:r>
        <w:rPr>
          <w:rFonts w:hint="eastAsia"/>
        </w:rPr>
        <w:t>日生效。其管辖对象为商业营利用烹饪设备（不含住宅厨房），主要管制重点以安全、防火为主，其管制方式是制定设备规范使从业者遵循，但并未指明空气污染物排放标准。</w:t>
      </w:r>
    </w:p>
    <w:p w14:paraId="18307C80">
      <w:pPr>
        <w:ind w:firstLine="480" w:firstLineChars="200"/>
      </w:pPr>
      <w:r>
        <w:rPr>
          <w:rFonts w:hint="eastAsia"/>
        </w:rPr>
        <w:t>此外，美国南海岸空气质量管理局于</w:t>
      </w:r>
      <w:r>
        <w:t>1997</w:t>
      </w:r>
      <w:r>
        <w:rPr>
          <w:rFonts w:hint="eastAsia"/>
        </w:rPr>
        <w:t>年制定了《经营性餐馆污染排放控制规范》，并于</w:t>
      </w:r>
      <w:r>
        <w:t>2009</w:t>
      </w:r>
      <w:r>
        <w:rPr>
          <w:rFonts w:hint="eastAsia"/>
        </w:rPr>
        <w:t>年进行了修订。该控制规范主要针对链式烤炉和下烧式烤炉做规定。对链式烤炉，现有的和新建的链式烤炉优先推荐使用按照规定方法测试并获得认证的催化氧化控制设备，而要使用其他控制设备的话，需要按照规定方法测得比催化氧化法具有更好的</w:t>
      </w:r>
      <w:r>
        <w:t>PM</w:t>
      </w:r>
      <w:r>
        <w:rPr>
          <w:rFonts w:hint="eastAsia"/>
        </w:rPr>
        <w:t>和</w:t>
      </w:r>
      <w:r>
        <w:t>VOCs</w:t>
      </w:r>
      <w:r>
        <w:rPr>
          <w:rFonts w:hint="eastAsia"/>
        </w:rPr>
        <w:t>削减率，并获得认证。对下烧式烤炉，则按照烤炉安装的时间和烹饪牛肉的量的不同（具体见表</w:t>
      </w:r>
      <w:r>
        <w:t>4-1</w:t>
      </w:r>
      <w:r>
        <w:rPr>
          <w:rFonts w:hint="eastAsia"/>
        </w:rPr>
        <w:t>），要求在不同时间内安装</w:t>
      </w:r>
      <w:r>
        <w:t>PM</w:t>
      </w:r>
      <w:r>
        <w:rPr>
          <w:rFonts w:hint="eastAsia"/>
        </w:rPr>
        <w:t>削减率达</w:t>
      </w:r>
      <w:r>
        <w:t>85%</w:t>
      </w:r>
      <w:r>
        <w:rPr>
          <w:rFonts w:hint="eastAsia"/>
        </w:rPr>
        <w:t>以上的控制设备。</w:t>
      </w:r>
    </w:p>
    <w:p w14:paraId="2FEB89D2">
      <w:pPr>
        <w:ind w:firstLine="480" w:firstLineChars="200"/>
      </w:pPr>
      <w:r>
        <w:rPr>
          <w:rFonts w:hint="eastAsia"/>
        </w:rPr>
        <w:t>另外，该控制规范还对餐饮企业的记录保存、豁免情况以及</w:t>
      </w:r>
      <w:r>
        <w:t>PM</w:t>
      </w:r>
      <w:r>
        <w:rPr>
          <w:rFonts w:hint="eastAsia"/>
        </w:rPr>
        <w:t>和</w:t>
      </w:r>
      <w:r>
        <w:t>VOCs</w:t>
      </w:r>
      <w:r>
        <w:rPr>
          <w:rFonts w:hint="eastAsia"/>
        </w:rPr>
        <w:t>的分析测试方法做了详细规定。</w:t>
      </w:r>
    </w:p>
    <w:p w14:paraId="1CEA6EF4">
      <w:pPr>
        <w:jc w:val="center"/>
      </w:pPr>
      <w:r>
        <w:rPr>
          <w:rFonts w:hint="eastAsia"/>
        </w:rPr>
        <w:t>表</w:t>
      </w:r>
      <w:r>
        <w:t xml:space="preserve">4-1  </w:t>
      </w:r>
      <w:r>
        <w:rPr>
          <w:rFonts w:hint="eastAsia"/>
        </w:rPr>
        <w:t>下烧式烤炉合格时间</w:t>
      </w:r>
    </w:p>
    <w:tbl>
      <w:tblPr>
        <w:tblStyle w:val="18"/>
        <w:tblW w:w="7560"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2700"/>
      </w:tblGrid>
      <w:tr w14:paraId="1902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14:paraId="28523C23">
            <w:pPr>
              <w:pStyle w:val="36"/>
              <w:ind w:firstLine="0"/>
              <w:rPr>
                <w:color w:val="auto"/>
                <w:sz w:val="21"/>
                <w:szCs w:val="21"/>
              </w:rPr>
            </w:pPr>
            <w:r>
              <w:rPr>
                <w:rFonts w:hint="eastAsia"/>
                <w:color w:val="auto"/>
                <w:sz w:val="21"/>
                <w:szCs w:val="21"/>
              </w:rPr>
              <w:t>下烧式烤炉安装时间和烹饪牛肉数量</w:t>
            </w:r>
          </w:p>
        </w:tc>
        <w:tc>
          <w:tcPr>
            <w:tcW w:w="2700" w:type="dxa"/>
          </w:tcPr>
          <w:p w14:paraId="702E51CD">
            <w:pPr>
              <w:pStyle w:val="36"/>
              <w:ind w:firstLine="0"/>
              <w:rPr>
                <w:color w:val="auto"/>
                <w:sz w:val="21"/>
                <w:szCs w:val="21"/>
              </w:rPr>
            </w:pPr>
            <w:r>
              <w:rPr>
                <w:rFonts w:hint="eastAsia"/>
                <w:color w:val="auto"/>
                <w:sz w:val="21"/>
                <w:szCs w:val="21"/>
              </w:rPr>
              <w:t>合格日期</w:t>
            </w:r>
          </w:p>
        </w:tc>
      </w:tr>
      <w:tr w14:paraId="5374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14:paraId="614702BC">
            <w:pPr>
              <w:pStyle w:val="36"/>
              <w:ind w:firstLine="0"/>
              <w:rPr>
                <w:color w:val="auto"/>
                <w:sz w:val="21"/>
                <w:szCs w:val="21"/>
              </w:rPr>
            </w:pPr>
            <w:r>
              <w:rPr>
                <w:rFonts w:hint="eastAsia"/>
                <w:color w:val="auto"/>
                <w:sz w:val="21"/>
                <w:szCs w:val="21"/>
              </w:rPr>
              <w:t>采用日期之前</w:t>
            </w:r>
          </w:p>
          <w:p w14:paraId="6A84D0CF">
            <w:pPr>
              <w:pStyle w:val="36"/>
              <w:ind w:firstLine="0"/>
              <w:rPr>
                <w:color w:val="auto"/>
                <w:sz w:val="21"/>
                <w:szCs w:val="21"/>
              </w:rPr>
            </w:pPr>
            <w:r>
              <w:rPr>
                <w:color w:val="auto"/>
                <w:sz w:val="21"/>
                <w:szCs w:val="21"/>
              </w:rPr>
              <w:t>&gt;1500lbs/</w:t>
            </w:r>
            <w:r>
              <w:rPr>
                <w:rFonts w:hint="eastAsia"/>
                <w:color w:val="auto"/>
                <w:sz w:val="21"/>
                <w:szCs w:val="21"/>
              </w:rPr>
              <w:t>周（以</w:t>
            </w:r>
            <w:r>
              <w:rPr>
                <w:color w:val="auto"/>
                <w:sz w:val="21"/>
                <w:szCs w:val="21"/>
              </w:rPr>
              <w:t>3</w:t>
            </w:r>
            <w:r>
              <w:rPr>
                <w:rFonts w:hint="eastAsia"/>
                <w:color w:val="auto"/>
                <w:sz w:val="21"/>
                <w:szCs w:val="21"/>
              </w:rPr>
              <w:t>个月的滚动平均计算）</w:t>
            </w:r>
          </w:p>
          <w:p w14:paraId="19BB4BA9">
            <w:pPr>
              <w:pStyle w:val="36"/>
              <w:ind w:firstLine="0"/>
              <w:rPr>
                <w:color w:val="auto"/>
                <w:sz w:val="21"/>
                <w:szCs w:val="21"/>
              </w:rPr>
            </w:pPr>
            <w:r>
              <w:rPr>
                <w:color w:val="auto"/>
                <w:sz w:val="21"/>
                <w:szCs w:val="21"/>
              </w:rPr>
              <w:t>&gt;1250lbs/</w:t>
            </w:r>
            <w:r>
              <w:rPr>
                <w:rFonts w:hint="eastAsia"/>
                <w:color w:val="auto"/>
                <w:sz w:val="21"/>
                <w:szCs w:val="21"/>
              </w:rPr>
              <w:t>周（以</w:t>
            </w:r>
            <w:r>
              <w:rPr>
                <w:color w:val="auto"/>
                <w:sz w:val="21"/>
                <w:szCs w:val="21"/>
              </w:rPr>
              <w:t>3</w:t>
            </w:r>
            <w:r>
              <w:rPr>
                <w:rFonts w:hint="eastAsia"/>
                <w:color w:val="auto"/>
                <w:sz w:val="21"/>
                <w:szCs w:val="21"/>
              </w:rPr>
              <w:t>个月的滚动平均计算）</w:t>
            </w:r>
          </w:p>
        </w:tc>
        <w:tc>
          <w:tcPr>
            <w:tcW w:w="2700" w:type="dxa"/>
          </w:tcPr>
          <w:p w14:paraId="51664C02">
            <w:pPr>
              <w:pStyle w:val="36"/>
              <w:ind w:firstLine="0"/>
              <w:rPr>
                <w:color w:val="auto"/>
                <w:sz w:val="21"/>
                <w:szCs w:val="21"/>
              </w:rPr>
            </w:pPr>
          </w:p>
          <w:p w14:paraId="2C8331DD">
            <w:pPr>
              <w:pStyle w:val="36"/>
              <w:ind w:firstLine="0"/>
              <w:rPr>
                <w:color w:val="auto"/>
                <w:sz w:val="21"/>
                <w:szCs w:val="21"/>
              </w:rPr>
            </w:pPr>
            <w:r>
              <w:rPr>
                <w:color w:val="auto"/>
                <w:sz w:val="21"/>
                <w:szCs w:val="21"/>
              </w:rPr>
              <w:t>2013</w:t>
            </w:r>
            <w:r>
              <w:rPr>
                <w:rFonts w:hint="eastAsia"/>
                <w:color w:val="auto"/>
                <w:sz w:val="21"/>
                <w:szCs w:val="21"/>
              </w:rPr>
              <w:t>年</w:t>
            </w:r>
            <w:r>
              <w:rPr>
                <w:color w:val="auto"/>
                <w:sz w:val="21"/>
                <w:szCs w:val="21"/>
              </w:rPr>
              <w:t>1</w:t>
            </w:r>
            <w:r>
              <w:rPr>
                <w:rFonts w:hint="eastAsia"/>
                <w:color w:val="auto"/>
                <w:sz w:val="21"/>
                <w:szCs w:val="21"/>
              </w:rPr>
              <w:t>月</w:t>
            </w:r>
            <w:r>
              <w:rPr>
                <w:color w:val="auto"/>
                <w:sz w:val="21"/>
                <w:szCs w:val="21"/>
              </w:rPr>
              <w:t>1</w:t>
            </w:r>
            <w:r>
              <w:rPr>
                <w:rFonts w:hint="eastAsia"/>
                <w:color w:val="auto"/>
                <w:sz w:val="21"/>
                <w:szCs w:val="21"/>
              </w:rPr>
              <w:t>日</w:t>
            </w:r>
          </w:p>
          <w:p w14:paraId="097A3886">
            <w:pPr>
              <w:pStyle w:val="36"/>
              <w:ind w:firstLine="0"/>
              <w:rPr>
                <w:color w:val="auto"/>
                <w:sz w:val="21"/>
                <w:szCs w:val="21"/>
              </w:rPr>
            </w:pPr>
            <w:r>
              <w:rPr>
                <w:color w:val="auto"/>
                <w:sz w:val="21"/>
                <w:szCs w:val="21"/>
              </w:rPr>
              <w:t>2013</w:t>
            </w:r>
            <w:r>
              <w:rPr>
                <w:rFonts w:hint="eastAsia"/>
                <w:color w:val="auto"/>
                <w:sz w:val="21"/>
                <w:szCs w:val="21"/>
              </w:rPr>
              <w:t>年</w:t>
            </w:r>
            <w:r>
              <w:rPr>
                <w:color w:val="auto"/>
                <w:sz w:val="21"/>
                <w:szCs w:val="21"/>
              </w:rPr>
              <w:t>7</w:t>
            </w:r>
            <w:r>
              <w:rPr>
                <w:rFonts w:hint="eastAsia"/>
                <w:color w:val="auto"/>
                <w:sz w:val="21"/>
                <w:szCs w:val="21"/>
              </w:rPr>
              <w:t>月</w:t>
            </w:r>
            <w:r>
              <w:rPr>
                <w:color w:val="auto"/>
                <w:sz w:val="21"/>
                <w:szCs w:val="21"/>
              </w:rPr>
              <w:t>1</w:t>
            </w:r>
            <w:r>
              <w:rPr>
                <w:rFonts w:hint="eastAsia"/>
                <w:color w:val="auto"/>
                <w:sz w:val="21"/>
                <w:szCs w:val="21"/>
              </w:rPr>
              <w:t>日</w:t>
            </w:r>
          </w:p>
        </w:tc>
      </w:tr>
      <w:tr w14:paraId="5F172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0" w:type="dxa"/>
          </w:tcPr>
          <w:p w14:paraId="7FAEFB73">
            <w:pPr>
              <w:pStyle w:val="36"/>
              <w:ind w:firstLine="0"/>
              <w:rPr>
                <w:color w:val="auto"/>
                <w:sz w:val="21"/>
                <w:szCs w:val="21"/>
              </w:rPr>
            </w:pPr>
            <w:r>
              <w:rPr>
                <w:rFonts w:hint="eastAsia"/>
                <w:color w:val="auto"/>
                <w:sz w:val="21"/>
                <w:szCs w:val="21"/>
              </w:rPr>
              <w:t>采用日期之后（包括采用日期）</w:t>
            </w:r>
          </w:p>
          <w:p w14:paraId="592FD4E3">
            <w:pPr>
              <w:pStyle w:val="36"/>
              <w:ind w:firstLine="0"/>
              <w:rPr>
                <w:color w:val="auto"/>
                <w:sz w:val="21"/>
                <w:szCs w:val="21"/>
              </w:rPr>
            </w:pPr>
            <w:r>
              <w:rPr>
                <w:color w:val="auto"/>
                <w:sz w:val="21"/>
                <w:szCs w:val="21"/>
              </w:rPr>
              <w:t>&gt;1500lbs/</w:t>
            </w:r>
            <w:r>
              <w:rPr>
                <w:rFonts w:hint="eastAsia"/>
                <w:color w:val="auto"/>
                <w:sz w:val="21"/>
                <w:szCs w:val="21"/>
              </w:rPr>
              <w:t>周（以</w:t>
            </w:r>
            <w:r>
              <w:rPr>
                <w:color w:val="auto"/>
                <w:sz w:val="21"/>
                <w:szCs w:val="21"/>
              </w:rPr>
              <w:t>3</w:t>
            </w:r>
            <w:r>
              <w:rPr>
                <w:rFonts w:hint="eastAsia"/>
                <w:color w:val="auto"/>
                <w:sz w:val="21"/>
                <w:szCs w:val="21"/>
              </w:rPr>
              <w:t>个月的滚动平均计算）</w:t>
            </w:r>
          </w:p>
          <w:p w14:paraId="2FFD2D15">
            <w:pPr>
              <w:pStyle w:val="36"/>
              <w:ind w:firstLine="0"/>
              <w:rPr>
                <w:color w:val="auto"/>
                <w:sz w:val="21"/>
                <w:szCs w:val="21"/>
              </w:rPr>
            </w:pPr>
            <w:r>
              <w:rPr>
                <w:color w:val="auto"/>
                <w:sz w:val="21"/>
                <w:szCs w:val="21"/>
              </w:rPr>
              <w:t>&gt;1250lbs/</w:t>
            </w:r>
            <w:r>
              <w:rPr>
                <w:rFonts w:hint="eastAsia"/>
                <w:color w:val="auto"/>
                <w:sz w:val="21"/>
                <w:szCs w:val="21"/>
              </w:rPr>
              <w:t>周（以</w:t>
            </w:r>
            <w:r>
              <w:rPr>
                <w:color w:val="auto"/>
                <w:sz w:val="21"/>
                <w:szCs w:val="21"/>
              </w:rPr>
              <w:t>3</w:t>
            </w:r>
            <w:r>
              <w:rPr>
                <w:rFonts w:hint="eastAsia"/>
                <w:color w:val="auto"/>
                <w:sz w:val="21"/>
                <w:szCs w:val="21"/>
              </w:rPr>
              <w:t>个月的滚动平均计算）</w:t>
            </w:r>
          </w:p>
        </w:tc>
        <w:tc>
          <w:tcPr>
            <w:tcW w:w="2700" w:type="dxa"/>
          </w:tcPr>
          <w:p w14:paraId="4E5A516D">
            <w:pPr>
              <w:pStyle w:val="36"/>
              <w:ind w:firstLine="0"/>
              <w:rPr>
                <w:color w:val="auto"/>
                <w:sz w:val="21"/>
                <w:szCs w:val="21"/>
              </w:rPr>
            </w:pPr>
          </w:p>
          <w:p w14:paraId="6F806DCB">
            <w:pPr>
              <w:pStyle w:val="36"/>
              <w:ind w:firstLine="0"/>
              <w:rPr>
                <w:color w:val="auto"/>
                <w:sz w:val="21"/>
                <w:szCs w:val="21"/>
              </w:rPr>
            </w:pPr>
            <w:r>
              <w:rPr>
                <w:color w:val="auto"/>
                <w:sz w:val="21"/>
                <w:szCs w:val="21"/>
              </w:rPr>
              <w:t>2010</w:t>
            </w:r>
            <w:r>
              <w:rPr>
                <w:rFonts w:hint="eastAsia"/>
                <w:color w:val="auto"/>
                <w:sz w:val="21"/>
                <w:szCs w:val="21"/>
              </w:rPr>
              <w:t>年</w:t>
            </w:r>
            <w:r>
              <w:rPr>
                <w:color w:val="auto"/>
                <w:sz w:val="21"/>
                <w:szCs w:val="21"/>
              </w:rPr>
              <w:t>7</w:t>
            </w:r>
            <w:r>
              <w:rPr>
                <w:rFonts w:hint="eastAsia"/>
                <w:color w:val="auto"/>
                <w:sz w:val="21"/>
                <w:szCs w:val="21"/>
              </w:rPr>
              <w:t>月</w:t>
            </w:r>
            <w:r>
              <w:rPr>
                <w:color w:val="auto"/>
                <w:sz w:val="21"/>
                <w:szCs w:val="21"/>
              </w:rPr>
              <w:t>1</w:t>
            </w:r>
            <w:r>
              <w:rPr>
                <w:rFonts w:hint="eastAsia"/>
                <w:color w:val="auto"/>
                <w:sz w:val="21"/>
                <w:szCs w:val="21"/>
              </w:rPr>
              <w:t>日</w:t>
            </w:r>
          </w:p>
          <w:p w14:paraId="1481D498">
            <w:pPr>
              <w:pStyle w:val="36"/>
              <w:ind w:firstLine="0"/>
              <w:rPr>
                <w:color w:val="auto"/>
                <w:sz w:val="21"/>
                <w:szCs w:val="21"/>
              </w:rPr>
            </w:pPr>
            <w:r>
              <w:rPr>
                <w:color w:val="auto"/>
                <w:sz w:val="21"/>
                <w:szCs w:val="21"/>
              </w:rPr>
              <w:t>2011</w:t>
            </w:r>
            <w:r>
              <w:rPr>
                <w:rFonts w:hint="eastAsia"/>
                <w:color w:val="auto"/>
                <w:sz w:val="21"/>
                <w:szCs w:val="21"/>
              </w:rPr>
              <w:t>年</w:t>
            </w:r>
            <w:r>
              <w:rPr>
                <w:color w:val="auto"/>
                <w:sz w:val="21"/>
                <w:szCs w:val="21"/>
              </w:rPr>
              <w:t>1</w:t>
            </w:r>
            <w:r>
              <w:rPr>
                <w:rFonts w:hint="eastAsia"/>
                <w:color w:val="auto"/>
                <w:sz w:val="21"/>
                <w:szCs w:val="21"/>
              </w:rPr>
              <w:t>月</w:t>
            </w:r>
            <w:r>
              <w:rPr>
                <w:color w:val="auto"/>
                <w:sz w:val="21"/>
                <w:szCs w:val="21"/>
              </w:rPr>
              <w:t>1</w:t>
            </w:r>
            <w:r>
              <w:rPr>
                <w:rFonts w:hint="eastAsia"/>
                <w:color w:val="auto"/>
                <w:sz w:val="21"/>
                <w:szCs w:val="21"/>
              </w:rPr>
              <w:t>日</w:t>
            </w:r>
          </w:p>
        </w:tc>
      </w:tr>
    </w:tbl>
    <w:p w14:paraId="03880C3B">
      <w:pPr>
        <w:ind w:firstLine="480" w:firstLineChars="200"/>
      </w:pPr>
      <w:r>
        <w:rPr>
          <w:rFonts w:hint="eastAsia"/>
        </w:rPr>
        <w:t>（</w:t>
      </w:r>
      <w:r>
        <w:t>2</w:t>
      </w:r>
      <w:r>
        <w:rPr>
          <w:rFonts w:hint="eastAsia"/>
        </w:rPr>
        <w:t>）日本</w:t>
      </w:r>
    </w:p>
    <w:p w14:paraId="2BEC407D">
      <w:pPr>
        <w:ind w:firstLine="480" w:firstLineChars="200"/>
      </w:pPr>
      <w:r>
        <w:rPr>
          <w:rFonts w:hint="eastAsia"/>
        </w:rPr>
        <w:t>日本中央政府环保法规中，对于油烟没有明确的行业空气污染排放标准或管制规范，在日本“大气污染防治法”中仅规定“有污染事实者，当地环保主管机关可由行政命令要求公私场所解决污染问题”。此外日本地方政府也基于消防立场以消防法规加以管制，如东京消防厅制定的“业务用厨房设备附属油烟去除装置技术基准”（</w:t>
      </w:r>
      <w:r>
        <w:t>1993</w:t>
      </w:r>
      <w:r>
        <w:rPr>
          <w:rFonts w:hint="eastAsia"/>
        </w:rPr>
        <w:t>年修正版），实施油烟去除装置性能检查，并指明符合该基准的产品则被认定为“财团法人日本厨房工业会合格品”，贴印认证，以证明厨房设备能确保防灾及安全，其认证主要内容包括油烟去除装置基准、油烟去除装置的油烟去除效率要求、油烟去除装置的认证制度等。</w:t>
      </w:r>
    </w:p>
    <w:p w14:paraId="2136BDBE">
      <w:pPr>
        <w:ind w:firstLine="480" w:firstLineChars="200"/>
      </w:pPr>
      <w:r>
        <w:rPr>
          <w:rFonts w:hint="eastAsia"/>
        </w:rPr>
        <w:t>此外，日本环境省水、大气环境局大气生活环境室制定了《饮食业恶臭控制导则》文件（非强制性），目的是为指导日本的饮食业恶臭排放满足国家环境保护条例及恶臭防治法。该导则分餐饮类型推荐最优控制技术与对策，特别地，如油烟和恶臭控制，会根据油烟量多少及恶臭强度推荐最合适的控制技术。</w:t>
      </w:r>
    </w:p>
    <w:p w14:paraId="18A530A1">
      <w:pPr>
        <w:pStyle w:val="3"/>
        <w:numPr>
          <w:numberingChange w:id="14" w:author="刘海英" w:date="2017-09-08T15:13:00Z" w:original="%1:4:0:.%2:2:0:"/>
        </w:numPr>
        <w:spacing w:after="163"/>
      </w:pPr>
      <w:bookmarkStart w:id="23" w:name="_Toc492569873"/>
      <w:r>
        <w:rPr>
          <w:rFonts w:hint="eastAsia"/>
        </w:rPr>
        <w:t>港澳台相关标准调研</w:t>
      </w:r>
      <w:bookmarkEnd w:id="23"/>
    </w:p>
    <w:p w14:paraId="3704B66B">
      <w:pPr>
        <w:ind w:firstLine="480" w:firstLineChars="200"/>
      </w:pPr>
      <w:r>
        <w:rPr>
          <w:rFonts w:hint="eastAsia"/>
        </w:rPr>
        <w:t>（</w:t>
      </w:r>
      <w:r>
        <w:t>1</w:t>
      </w:r>
      <w:r>
        <w:rPr>
          <w:rFonts w:hint="eastAsia"/>
        </w:rPr>
        <w:t>）香港</w:t>
      </w:r>
    </w:p>
    <w:p w14:paraId="63C260CE">
      <w:pPr>
        <w:ind w:firstLine="480" w:firstLineChars="200"/>
      </w:pPr>
      <w:r>
        <w:rPr>
          <w:rFonts w:hint="eastAsia"/>
        </w:rPr>
        <w:t>香港没有专门针对餐饮油烟的排放标准，只有针对饮食业的环保法例要求，没有制定油烟的排放限值。</w:t>
      </w:r>
      <w:r>
        <w:t>2009</w:t>
      </w:r>
      <w:r>
        <w:rPr>
          <w:rFonts w:hint="eastAsia"/>
        </w:rPr>
        <w:t>年，环保署颁布了《饮食业的环保法例要求》，该要求针对空气污染、噪音污染、污水排放以及废物处理都提出了相应的环保要求。其中空气污染方面，主要是控制由烹饪产生的油烟及难闻气味的排放，规定厨房排放的废气不得有肉眼可见的油烟，而排放物不得对临近处所造成气味污染。因此，香港环保署向饮食业主及经营者发放了《控制食肆及饮食业的油烟及煮食气味》小册子，旨在帮助他们认识和应用最好的切实可行控制措施。这本小册子的主要内容包括：空气污染问题控制标准、排气口位置、油烟及煮食气味的控制等。另外，香港环保署出台了《评估煮食油烟控制设备的除油烟性能标准测试技术规范》，对餐饮油烟净化设备的去除效率的评估方法做了详细的规定。该技术规范提供一套标准的测试程序，让煮食油烟控制设备的供货商和制造商，进行测试的试验所和其他有关机构，据以测试煮食油烟控制设备的性能。这套测试技术规范，详列采样及分析程序，可用以同位评估煮食油烟控制设备的油烟去除效率。</w:t>
      </w:r>
    </w:p>
    <w:p w14:paraId="2CA7BA42">
      <w:pPr>
        <w:ind w:firstLine="480" w:firstLineChars="200"/>
      </w:pPr>
      <w:r>
        <w:rPr>
          <w:rFonts w:hint="eastAsia"/>
        </w:rPr>
        <w:t>（</w:t>
      </w:r>
      <w:r>
        <w:t>2</w:t>
      </w:r>
      <w:r>
        <w:rPr>
          <w:rFonts w:hint="eastAsia"/>
        </w:rPr>
        <w:t>）澳门</w:t>
      </w:r>
    </w:p>
    <w:p w14:paraId="77714042">
      <w:pPr>
        <w:ind w:firstLine="480" w:firstLineChars="200"/>
      </w:pPr>
      <w:r>
        <w:rPr>
          <w:rFonts w:hint="eastAsia"/>
        </w:rPr>
        <w:t>“澳门食肆及同类场所油烟、黑烟和气味污染控制指引”主要由一般原则、污染控制设备的设计、排放口的设计、污染控制设备的运作及管理、静电除油烟机、燃料的使用、二次污染的控制和投诉处理机制几大部分组成。指引中油烟浓度排放限值规定为</w:t>
      </w:r>
      <w:r>
        <w:t xml:space="preserve"> 2.0mg/m</w:t>
      </w:r>
      <w:r>
        <w:rPr>
          <w:vertAlign w:val="superscript"/>
        </w:rPr>
        <w:t>3</w:t>
      </w:r>
      <w:r>
        <w:rPr>
          <w:rFonts w:hint="eastAsia"/>
        </w:rPr>
        <w:t>，与我国标准相同，但要求加装静电或其他同类设备的控制效率≥</w:t>
      </w:r>
      <w:r>
        <w:t>90%</w:t>
      </w:r>
      <w:r>
        <w:rPr>
          <w:rFonts w:hint="eastAsia"/>
        </w:rPr>
        <w:t>，加装复合式（油隔</w:t>
      </w:r>
      <w:r>
        <w:t>+</w:t>
      </w:r>
      <w:r>
        <w:rPr>
          <w:rFonts w:hint="eastAsia"/>
        </w:rPr>
        <w:t>运水烟罩</w:t>
      </w:r>
      <w:r>
        <w:t>+</w:t>
      </w:r>
      <w:r>
        <w:rPr>
          <w:rFonts w:hint="eastAsia"/>
        </w:rPr>
        <w:t>静电机）的控制效率≥</w:t>
      </w:r>
      <w:r>
        <w:t>95%</w:t>
      </w:r>
      <w:r>
        <w:rPr>
          <w:rFonts w:hint="eastAsia"/>
        </w:rPr>
        <w:t>，高于我国标准要求。澳门还出台了《关于餐饮业场所加装油烟控制设备与设置烟囱等的建议技术规范》，该规范规定了餐饮场所油烟控制装置系统的性能与要求等。</w:t>
      </w:r>
    </w:p>
    <w:p w14:paraId="2C7BBCF0">
      <w:pPr>
        <w:ind w:firstLine="480" w:firstLineChars="200"/>
      </w:pPr>
      <w:r>
        <w:rPr>
          <w:rFonts w:hint="eastAsia"/>
        </w:rPr>
        <w:t>（</w:t>
      </w:r>
      <w:r>
        <w:t>3</w:t>
      </w:r>
      <w:r>
        <w:rPr>
          <w:rFonts w:hint="eastAsia"/>
        </w:rPr>
        <w:t>）台湾</w:t>
      </w:r>
    </w:p>
    <w:p w14:paraId="14D82966">
      <w:pPr>
        <w:ind w:firstLine="480" w:firstLineChars="200"/>
      </w:pPr>
      <w:r>
        <w:rPr>
          <w:rFonts w:hint="eastAsia"/>
        </w:rPr>
        <w:t>台湾环保署于</w:t>
      </w:r>
      <w:r>
        <w:t>1997</w:t>
      </w:r>
      <w:r>
        <w:rPr>
          <w:rFonts w:hint="eastAsia"/>
        </w:rPr>
        <w:t>年起针对省内饮食业空气污染防治进行了饮食基本资料调查，并于</w:t>
      </w:r>
      <w:r>
        <w:t>2000</w:t>
      </w:r>
      <w:r>
        <w:rPr>
          <w:rFonts w:hint="eastAsia"/>
        </w:rPr>
        <w:t>年完成“饮食业空气污染物管制规范及排放标准草案”。该草案主要规定了饮食业作业场所空气污染物产生区应设置集排气系统，并对集排气系统的性能与要求做了细致规定。同时该草案还要求符合管制要求的餐饮作业场所应设置排放削减率应达</w:t>
      </w:r>
      <w:r>
        <w:t>90%</w:t>
      </w:r>
      <w:r>
        <w:rPr>
          <w:rFonts w:hint="eastAsia"/>
        </w:rPr>
        <w:t>以上的污染防治设施，优先推荐使用静电净化设备，并对静电净化设备的性能和维护作出具体规定。但一直没有正式发布。</w:t>
      </w:r>
    </w:p>
    <w:p w14:paraId="2055EA6A">
      <w:pPr>
        <w:ind w:firstLine="420"/>
      </w:pPr>
      <w:r>
        <w:rPr>
          <w:rFonts w:hint="eastAsia"/>
        </w:rPr>
        <w:t>高雄市的餐饮业管理参照高雄市环境维护管理自治条例第</w:t>
      </w:r>
      <w:r>
        <w:t>15</w:t>
      </w:r>
      <w:r>
        <w:rPr>
          <w:rFonts w:hint="eastAsia"/>
        </w:rPr>
        <w:t>条进行，主要管制餐饮业的臭气排放，以及扰民问题。高雄环保局每年制定列管对象（主要是一定规模以上的餐饮企业）进行定期检查，对群众举报的餐馆，环保局强制整改或加装净化设备，以达到臭气排放限值之内。高雄市餐饮业油烟管制作业流程如图</w:t>
      </w:r>
      <w:r>
        <w:t>4-1</w:t>
      </w:r>
      <w:r>
        <w:rPr>
          <w:rFonts w:hint="eastAsia"/>
        </w:rPr>
        <w:t>所示。</w:t>
      </w:r>
    </w:p>
    <w:p w14:paraId="784A8CE7">
      <w:pPr>
        <w:ind w:firstLine="480" w:firstLineChars="200"/>
        <w:jc w:val="center"/>
      </w:pPr>
      <w:r>
        <w:rPr>
          <w:szCs w:val="24"/>
        </w:rPr>
        <w:object>
          <v:shape id="_x0000_i1029" o:spt="75" type="#_x0000_t75" style="height:341.25pt;width:423pt;" o:ole="t" filled="f" o:preferrelative="t" stroked="f" coordsize="21600,21600">
            <v:path/>
            <v:fill on="f" focussize="0,0"/>
            <v:stroke on="f" joinstyle="miter"/>
            <v:imagedata r:id="rId12" o:title=""/>
            <o:lock v:ext="edit" aspectratio="t"/>
            <w10:wrap type="none"/>
            <w10:anchorlock/>
          </v:shape>
          <o:OLEObject Type="Embed" ProgID="Visio.Drawing.11" ShapeID="_x0000_i1029" DrawAspect="Content" ObjectID="_1468075725" r:id="rId11">
            <o:LockedField>false</o:LockedField>
          </o:OLEObject>
        </w:object>
      </w:r>
      <w:r>
        <w:rPr>
          <w:rFonts w:hint="eastAsia"/>
        </w:rPr>
        <w:t>图</w:t>
      </w:r>
      <w:r>
        <w:t>4-1</w:t>
      </w:r>
      <w:r>
        <w:rPr>
          <w:rFonts w:hint="eastAsia"/>
        </w:rPr>
        <w:t>高雄市餐饮业油烟管制作业流程图</w:t>
      </w:r>
    </w:p>
    <w:p w14:paraId="426A6292">
      <w:pPr>
        <w:pStyle w:val="3"/>
        <w:numPr>
          <w:numberingChange w:id="15" w:author="刘海英" w:date="2017-09-08T15:13:00Z" w:original="%1:4:0:.%2:3:0:"/>
        </w:numPr>
        <w:spacing w:after="163"/>
      </w:pPr>
      <w:bookmarkStart w:id="24" w:name="_Toc492569874"/>
      <w:r>
        <w:rPr>
          <w:rFonts w:hint="eastAsia"/>
        </w:rPr>
        <w:t>各省市相关标准调研</w:t>
      </w:r>
      <w:bookmarkEnd w:id="24"/>
    </w:p>
    <w:p w14:paraId="5EBDB6D7">
      <w:pPr>
        <w:ind w:firstLine="480" w:firstLineChars="200"/>
      </w:pPr>
      <w:r>
        <w:rPr>
          <w:rFonts w:hint="eastAsia"/>
        </w:rPr>
        <w:t>我国最早有关饮食业方面的文件是</w:t>
      </w:r>
      <w:r>
        <w:t>1989</w:t>
      </w:r>
      <w:r>
        <w:rPr>
          <w:rFonts w:hint="eastAsia"/>
        </w:rPr>
        <w:t>年颁布实施的《饮食建筑设计规范》</w:t>
      </w:r>
      <w:r>
        <w:t>(JGJ 64-89)</w:t>
      </w:r>
      <w:r>
        <w:rPr>
          <w:rFonts w:hint="eastAsia"/>
        </w:rPr>
        <w:t>，规范共分四章，对饮食业总平面、建筑设计、建筑设备等作了规定。整个规范主要强调建筑设计方面，如规定了餐厨比、餐厅高度、物流通道、加工间设备材质等，但整个规范基本未涉及环境保护方面的内容。</w:t>
      </w:r>
    </w:p>
    <w:p w14:paraId="430F66BE">
      <w:pPr>
        <w:ind w:firstLine="480" w:firstLineChars="200"/>
      </w:pPr>
      <w:r>
        <w:rPr>
          <w:rFonts w:hint="eastAsia"/>
        </w:rPr>
        <w:t>之后，国家环保总局和国家工商局于</w:t>
      </w:r>
      <w:r>
        <w:t>1995</w:t>
      </w:r>
      <w:r>
        <w:rPr>
          <w:rFonts w:hint="eastAsia"/>
        </w:rPr>
        <w:t>年</w:t>
      </w:r>
      <w:r>
        <w:t>2</w:t>
      </w:r>
      <w:r>
        <w:rPr>
          <w:rFonts w:hint="eastAsia"/>
        </w:rPr>
        <w:t>月</w:t>
      </w:r>
      <w:r>
        <w:t>21</w:t>
      </w:r>
      <w:r>
        <w:rPr>
          <w:rFonts w:hint="eastAsia"/>
        </w:rPr>
        <w:t>日发布的《关于加强饮食娱乐服务业企业环境管理的通知》规定</w:t>
      </w:r>
      <w:r>
        <w:t xml:space="preserve">, </w:t>
      </w:r>
      <w:r>
        <w:rPr>
          <w:rFonts w:hint="eastAsia"/>
        </w:rPr>
        <w:t>饮食服务企业的选址要符合要求、配置防治污染的设施</w:t>
      </w:r>
      <w:r>
        <w:t xml:space="preserve">, </w:t>
      </w:r>
      <w:r>
        <w:rPr>
          <w:rFonts w:hint="eastAsia"/>
        </w:rPr>
        <w:t>保护周围的生活环境，防止环境污染。饮食服务企业必须设置收集油烟的装置，并且通过专门的烟囱排放油烟污染物</w:t>
      </w:r>
      <w:r>
        <w:t xml:space="preserve">, </w:t>
      </w:r>
      <w:r>
        <w:rPr>
          <w:rFonts w:hint="eastAsia"/>
        </w:rPr>
        <w:t>专用烟囱排放的高度和位置</w:t>
      </w:r>
      <w:r>
        <w:t xml:space="preserve">, </w:t>
      </w:r>
      <w:r>
        <w:rPr>
          <w:rFonts w:hint="eastAsia"/>
        </w:rPr>
        <w:t>应以不影响周围的居民生活环境为原则。</w:t>
      </w:r>
    </w:p>
    <w:p w14:paraId="060E1C29">
      <w:pPr>
        <w:ind w:firstLine="480" w:firstLineChars="200"/>
      </w:pPr>
      <w:r>
        <w:t>1996</w:t>
      </w:r>
      <w:r>
        <w:rPr>
          <w:rFonts w:hint="eastAsia"/>
        </w:rPr>
        <w:t>年国务院颁布的《中华人民共和国大气污染防治法》，其中第四十四条规定：城市饮食服务业的经营者</w:t>
      </w:r>
      <w:r>
        <w:t xml:space="preserve">, </w:t>
      </w:r>
      <w:r>
        <w:rPr>
          <w:rFonts w:hint="eastAsia"/>
        </w:rPr>
        <w:t>必须采取措施</w:t>
      </w:r>
      <w:r>
        <w:t xml:space="preserve">, </w:t>
      </w:r>
      <w:r>
        <w:rPr>
          <w:rFonts w:hint="eastAsia"/>
        </w:rPr>
        <w:t>防治油烟对附近居民的居住环境造成污染。该条款的规定具有原则性，不具有可操作性。我国环境保护法对饮食业的油烟污染防治没有具体的规定。</w:t>
      </w:r>
    </w:p>
    <w:p w14:paraId="07660BB6">
      <w:pPr>
        <w:ind w:firstLine="480" w:firstLineChars="200"/>
      </w:pPr>
      <w:r>
        <w:rPr>
          <w:rFonts w:hint="eastAsia"/>
        </w:rPr>
        <w:t>因此，国家环境保护总局于</w:t>
      </w:r>
      <w:r>
        <w:t>2000</w:t>
      </w:r>
      <w:r>
        <w:rPr>
          <w:rFonts w:hint="eastAsia"/>
        </w:rPr>
        <w:t>年后相继发布了饮食业污染排放标准及设备技术规范等，主要有《饮食业油烟排放标准（试行）》</w:t>
      </w:r>
      <w:r>
        <w:t xml:space="preserve">GB18483-2001 </w:t>
      </w:r>
      <w:r>
        <w:rPr>
          <w:rFonts w:hint="eastAsia"/>
        </w:rPr>
        <w:t>、《饮食业油烟净化设备技术要求及检测技术规范（试行）》</w:t>
      </w:r>
      <w:r>
        <w:t>HJ/T62-2001</w:t>
      </w:r>
      <w:r>
        <w:rPr>
          <w:rFonts w:hint="eastAsia"/>
        </w:rPr>
        <w:t>、行业标准《饮食业环境保护技术规范》</w:t>
      </w:r>
      <w:r>
        <w:t>HJ554-2010</w:t>
      </w:r>
      <w:r>
        <w:rPr>
          <w:rFonts w:hint="eastAsia"/>
        </w:rPr>
        <w:t>和《环境保护产品技术要求便携式饮食油烟检测仪》</w:t>
      </w:r>
      <w:r>
        <w:t>HJ2526-2012</w:t>
      </w:r>
      <w:r>
        <w:rPr>
          <w:rFonts w:hint="eastAsia"/>
        </w:rPr>
        <w:t>。</w:t>
      </w:r>
      <w:r>
        <w:t>GB18483-2001</w:t>
      </w:r>
      <w:r>
        <w:rPr>
          <w:rFonts w:hint="eastAsia"/>
        </w:rPr>
        <w:t>规定了饮食业油烟的排放限值和油烟的采样检测方法，而</w:t>
      </w:r>
      <w:r>
        <w:t>HJ/T62-2001</w:t>
      </w:r>
      <w:r>
        <w:rPr>
          <w:rFonts w:hint="eastAsia"/>
        </w:rPr>
        <w:t>对饮食业油烟净化设备提出了合理的技术要求以及评估净化设备所应遵守的检测技术规范，这两个标准成为了饮食业环境管理和环境执法的最主要技术依据。同年，国家环境保护总局发布了《关于加强饮食业油烟污染防治监督管理的通知》，通知要求所有新建或改建、扩建的饮食业单位</w:t>
      </w:r>
      <w:r>
        <w:t xml:space="preserve">, </w:t>
      </w:r>
      <w:r>
        <w:rPr>
          <w:rFonts w:hint="eastAsia"/>
        </w:rPr>
        <w:t>必须按照标准（指《饮食业油烟排放标准》）安装符合要求的油烟净化设备</w:t>
      </w:r>
      <w:r>
        <w:t xml:space="preserve">, </w:t>
      </w:r>
      <w:r>
        <w:rPr>
          <w:rFonts w:hint="eastAsia"/>
        </w:rPr>
        <w:t>严格执行环境保护“三同时”制度。对现有饮食业单位采取示范试点，逐步推开的方式，分批整改治理。对逾期不能达标的单位，依据《大气污染防治法》的规定实施处罚。</w:t>
      </w:r>
    </w:p>
    <w:p w14:paraId="41A52D61">
      <w:pPr>
        <w:ind w:firstLine="480" w:firstLineChars="200"/>
      </w:pPr>
      <w:r>
        <w:rPr>
          <w:rFonts w:hint="eastAsia"/>
        </w:rPr>
        <w:t>山东省在</w:t>
      </w:r>
      <w:r>
        <w:t>2006</w:t>
      </w:r>
      <w:r>
        <w:rPr>
          <w:rFonts w:hint="eastAsia"/>
        </w:rPr>
        <w:t>年颁布了山东省地方标准《饮食业油烟排放标准》</w:t>
      </w:r>
      <w:r>
        <w:t xml:space="preserve"> DB37/597-2006</w:t>
      </w:r>
      <w:r>
        <w:rPr>
          <w:rFonts w:hint="eastAsia"/>
        </w:rPr>
        <w:t>，该标准在国标的基础上加严了油烟的最高允许排放浓度，提高了油烟净化设备的最低去除效率，规定了臭气浓度排放限值为</w:t>
      </w:r>
      <w:r>
        <w:t>70</w:t>
      </w:r>
      <w:r>
        <w:rPr>
          <w:rFonts w:hint="eastAsia"/>
        </w:rPr>
        <w:t>（无量纲），对排气筒出口周围</w:t>
      </w:r>
      <w:r>
        <w:t>20cm</w:t>
      </w:r>
      <w:r>
        <w:rPr>
          <w:rFonts w:hint="eastAsia"/>
        </w:rPr>
        <w:t>半径范围内有高于排气筒出口的易受影响的建筑物时规定了更加严格的特别排放限值。</w:t>
      </w:r>
    </w:p>
    <w:p w14:paraId="2470C669">
      <w:pPr>
        <w:ind w:firstLine="480" w:firstLineChars="200"/>
      </w:pPr>
      <w:r>
        <w:rPr>
          <w:rFonts w:hint="eastAsia"/>
        </w:rPr>
        <w:t>上海在</w:t>
      </w:r>
      <w:r>
        <w:t>2002</w:t>
      </w:r>
      <w:r>
        <w:rPr>
          <w:rFonts w:hint="eastAsia"/>
        </w:rPr>
        <w:t>年颁布了《饮食业油烟快速检测检气管法》</w:t>
      </w:r>
      <w:r>
        <w:t xml:space="preserve"> DB31/T287-2002 </w:t>
      </w:r>
      <w:r>
        <w:rPr>
          <w:rFonts w:hint="eastAsia"/>
        </w:rPr>
        <w:t>应用于油烟气排放达标快速检测，便于管理部门开展监督工作。</w:t>
      </w:r>
      <w:r>
        <w:t>2014</w:t>
      </w:r>
      <w:r>
        <w:rPr>
          <w:rFonts w:hint="eastAsia"/>
        </w:rPr>
        <w:t>年</w:t>
      </w:r>
      <w:r>
        <w:t>11</w:t>
      </w:r>
      <w:r>
        <w:rPr>
          <w:rFonts w:hint="eastAsia"/>
        </w:rPr>
        <w:t>月，上海市发布了《上海市餐饮业油烟排放标准》（</w:t>
      </w:r>
      <w:r>
        <w:t>DB31/844-2014</w:t>
      </w:r>
      <w:r>
        <w:rPr>
          <w:rFonts w:hint="eastAsia"/>
        </w:rPr>
        <w:t>），该标准对国标油烟排放浓度加严到</w:t>
      </w:r>
      <w:r>
        <w:t>1.0mg/m</w:t>
      </w:r>
      <w:r>
        <w:rPr>
          <w:vertAlign w:val="superscript"/>
        </w:rPr>
        <w:t>3</w:t>
      </w:r>
      <w:r>
        <w:rPr>
          <w:rFonts w:hint="eastAsia"/>
        </w:rPr>
        <w:t>，要求餐饮企业安装使用经环境保护产品认证的油烟净化设备，新建企业应安装使用在认证检验中餐饮油烟去除效率≥</w:t>
      </w:r>
      <w:r>
        <w:t>90%</w:t>
      </w:r>
      <w:r>
        <w:rPr>
          <w:rFonts w:hint="eastAsia"/>
        </w:rPr>
        <w:t>的设备，去除效率要求统一提高到</w:t>
      </w:r>
      <w:r>
        <w:t>90%</w:t>
      </w:r>
      <w:r>
        <w:rPr>
          <w:rFonts w:hint="eastAsia"/>
        </w:rPr>
        <w:t>，还规定了臭气排放浓度不能超过</w:t>
      </w:r>
      <w:r>
        <w:t>60</w:t>
      </w:r>
      <w:r>
        <w:rPr>
          <w:rFonts w:hint="eastAsia"/>
        </w:rPr>
        <w:t>（无量纲）。</w:t>
      </w:r>
    </w:p>
    <w:p w14:paraId="4F952931">
      <w:pPr>
        <w:ind w:firstLine="480" w:firstLineChars="200"/>
      </w:pPr>
      <w:r>
        <w:t>2017</w:t>
      </w:r>
      <w:r>
        <w:rPr>
          <w:rFonts w:hint="eastAsia"/>
        </w:rPr>
        <w:t>年</w:t>
      </w:r>
      <w:r>
        <w:t>6</w:t>
      </w:r>
      <w:r>
        <w:rPr>
          <w:rFonts w:hint="eastAsia"/>
        </w:rPr>
        <w:t>月底，标准编制组对《上海市餐饮业油烟排放标准》（</w:t>
      </w:r>
      <w:r>
        <w:t>DB31/844-2014</w:t>
      </w:r>
      <w:r>
        <w:rPr>
          <w:rFonts w:hint="eastAsia"/>
        </w:rPr>
        <w:t>）的执行情况及效果进行了调研，上海市新标准颁布实施后，上海市餐饮管理和监测执法情况如下：（</w:t>
      </w:r>
      <w:r>
        <w:t>1</w:t>
      </w:r>
      <w:r>
        <w:rPr>
          <w:rFonts w:hint="eastAsia"/>
        </w:rPr>
        <w:t>）上海市餐饮监测执法主要由各区负责。对于中心城区而言，餐饮管理已是主要任务；（</w:t>
      </w:r>
      <w:r>
        <w:t>2</w:t>
      </w:r>
      <w:r>
        <w:rPr>
          <w:rFonts w:hint="eastAsia"/>
        </w:rPr>
        <w:t>）中心城区餐饮企业一般在四、五千家左右。监管对象的选择一般以大中型企业餐饮为主，对于小型企业，一般在涉及信访投诉的时候进行具体的监管；（</w:t>
      </w:r>
      <w:r>
        <w:t>3</w:t>
      </w:r>
      <w:r>
        <w:rPr>
          <w:rFonts w:hint="eastAsia"/>
        </w:rPr>
        <w:t>）日常监管有以下几种形式：一是对大中型企业安装在线，但在线结果只有管理功能，不能用于执法；二是某中心城区开展了</w:t>
      </w:r>
      <w:r>
        <w:t>“</w:t>
      </w:r>
      <w:r>
        <w:rPr>
          <w:rFonts w:hint="eastAsia"/>
        </w:rPr>
        <w:t>综合楼宇监督性监测</w:t>
      </w:r>
      <w:r>
        <w:t>”</w:t>
      </w:r>
      <w:r>
        <w:rPr>
          <w:rFonts w:hint="eastAsia"/>
        </w:rPr>
        <w:t>，对大楼内噪声、餐饮、废水等统一进行监管，对象为大楼物业；三是编制预算，委托第三方进行监测；四是信访监测；（</w:t>
      </w:r>
      <w:r>
        <w:t>4</w:t>
      </w:r>
      <w:r>
        <w:rPr>
          <w:rFonts w:hint="eastAsia"/>
        </w:rPr>
        <w:t>）按照现有测试结果，餐饮企业油烟达标率较好，在</w:t>
      </w:r>
      <w:r>
        <w:t>90%</w:t>
      </w:r>
      <w:r>
        <w:rPr>
          <w:rFonts w:hint="eastAsia"/>
        </w:rPr>
        <w:t>以上。监察部门在监管时以行为罚为主，如未安装高效净化器、净化设备没有认证等（</w:t>
      </w:r>
      <w:r>
        <w:t>5</w:t>
      </w:r>
      <w:r>
        <w:rPr>
          <w:rFonts w:hint="eastAsia"/>
        </w:rPr>
        <w:t>）</w:t>
      </w:r>
      <w:r>
        <w:t>2015</w:t>
      </w:r>
      <w:r>
        <w:rPr>
          <w:rFonts w:hint="eastAsia"/>
        </w:rPr>
        <w:t>年，上海市地标实施以来，符合上海地标要求的经环境保护产品认证在上海市场销售使用产品总数有</w:t>
      </w:r>
      <w:r>
        <w:t>65</w:t>
      </w:r>
      <w:r>
        <w:rPr>
          <w:rFonts w:hint="eastAsia"/>
        </w:rPr>
        <w:t>个型号，其中静电式</w:t>
      </w:r>
      <w:r>
        <w:t>25</w:t>
      </w:r>
      <w:r>
        <w:rPr>
          <w:rFonts w:hint="eastAsia"/>
        </w:rPr>
        <w:t>个型号，占比</w:t>
      </w:r>
      <w:r>
        <w:t>38.46%</w:t>
      </w:r>
      <w:r>
        <w:rPr>
          <w:rFonts w:hint="eastAsia"/>
        </w:rPr>
        <w:t>，复合式</w:t>
      </w:r>
      <w:r>
        <w:t>28</w:t>
      </w:r>
      <w:r>
        <w:rPr>
          <w:rFonts w:hint="eastAsia"/>
        </w:rPr>
        <w:t>个型号，占比</w:t>
      </w:r>
      <w:r>
        <w:t>43.08%</w:t>
      </w:r>
      <w:r>
        <w:rPr>
          <w:rFonts w:hint="eastAsia"/>
        </w:rPr>
        <w:t>，机械式</w:t>
      </w:r>
      <w:r>
        <w:t>8</w:t>
      </w:r>
      <w:r>
        <w:rPr>
          <w:rFonts w:hint="eastAsia"/>
        </w:rPr>
        <w:t>个型号，占比</w:t>
      </w:r>
      <w:r>
        <w:t>12.31%</w:t>
      </w:r>
      <w:r>
        <w:rPr>
          <w:rFonts w:hint="eastAsia"/>
        </w:rPr>
        <w:t>，光解式</w:t>
      </w:r>
      <w:r>
        <w:t>3</w:t>
      </w:r>
      <w:r>
        <w:rPr>
          <w:rFonts w:hint="eastAsia"/>
        </w:rPr>
        <w:t>个型号，占比</w:t>
      </w:r>
      <w:r>
        <w:t>4.62%</w:t>
      </w:r>
      <w:r>
        <w:rPr>
          <w:rFonts w:hint="eastAsia"/>
        </w:rPr>
        <w:t>。</w:t>
      </w:r>
    </w:p>
    <w:p w14:paraId="22579AEE">
      <w:pPr>
        <w:ind w:firstLine="480" w:firstLineChars="200"/>
      </w:pPr>
      <w:r>
        <w:t>2016</w:t>
      </w:r>
      <w:r>
        <w:rPr>
          <w:rFonts w:hint="eastAsia"/>
        </w:rPr>
        <w:t>年</w:t>
      </w:r>
      <w:r>
        <w:t>7</w:t>
      </w:r>
      <w:r>
        <w:rPr>
          <w:rFonts w:hint="eastAsia"/>
        </w:rPr>
        <w:t>月，天津市发布了《天津市餐饮业油烟排放标准》，将油烟排放限值由国标的</w:t>
      </w:r>
      <w:r>
        <w:t>2.0mg/m3</w:t>
      </w:r>
      <w:r>
        <w:rPr>
          <w:rFonts w:hint="eastAsia"/>
        </w:rPr>
        <w:t>调整为</w:t>
      </w:r>
      <w:r>
        <w:t>1.0mg/m3</w:t>
      </w:r>
      <w:r>
        <w:rPr>
          <w:rFonts w:hint="eastAsia"/>
        </w:rPr>
        <w:t>，同时将国标对净化设备最低油烟去除效率的要求删除，其他要求与国标相一致。</w:t>
      </w:r>
    </w:p>
    <w:p w14:paraId="61846820">
      <w:pPr>
        <w:ind w:firstLine="480" w:firstLineChars="200"/>
      </w:pPr>
      <w:r>
        <w:rPr>
          <w:rFonts w:hint="eastAsia"/>
        </w:rPr>
        <w:t>深圳市于</w:t>
      </w:r>
      <w:r>
        <w:t>2017</w:t>
      </w:r>
      <w:r>
        <w:rPr>
          <w:rFonts w:hint="eastAsia"/>
        </w:rPr>
        <w:t>年</w:t>
      </w:r>
      <w:r>
        <w:t>7</w:t>
      </w:r>
      <w:r>
        <w:rPr>
          <w:rFonts w:hint="eastAsia"/>
        </w:rPr>
        <w:t>月</w:t>
      </w:r>
      <w:r>
        <w:t>17</w:t>
      </w:r>
      <w:r>
        <w:rPr>
          <w:rFonts w:hint="eastAsia"/>
        </w:rPr>
        <w:t>日发布了《饮食业油烟排放控制规范》，该《控制规范》将油烟的最高允许排放浓度由国标的</w:t>
      </w:r>
      <w:r>
        <w:t>2.0mg/m3</w:t>
      </w:r>
      <w:r>
        <w:rPr>
          <w:rFonts w:hint="eastAsia"/>
        </w:rPr>
        <w:t>调整为</w:t>
      </w:r>
      <w:r>
        <w:t>1.0mg/m3</w:t>
      </w:r>
      <w:r>
        <w:rPr>
          <w:rFonts w:hint="eastAsia"/>
        </w:rPr>
        <w:t>，对油烟净化设备的去除效率统一提高到</w:t>
      </w:r>
      <w:r>
        <w:t>90%</w:t>
      </w:r>
      <w:r>
        <w:rPr>
          <w:rFonts w:hint="eastAsia"/>
        </w:rPr>
        <w:t>，增加了非甲烷总烃的排放限值为</w:t>
      </w:r>
      <w:r>
        <w:t>10mg/m3</w:t>
      </w:r>
      <w:r>
        <w:rPr>
          <w:rFonts w:hint="eastAsia"/>
        </w:rPr>
        <w:t>，同时还增加了臭气的浓度限值。该《规范》还规定了可以采用粒子集合光散射法作为等效方法来进行油烟现场和在线监测，对等效监测方法的原理、仪器和设备、采样、监测报告和结果一一做了详细规定。</w:t>
      </w:r>
    </w:p>
    <w:p w14:paraId="12213F20">
      <w:pPr>
        <w:ind w:firstLine="480" w:firstLineChars="200"/>
      </w:pPr>
      <w:r>
        <w:rPr>
          <w:rFonts w:hint="eastAsia"/>
        </w:rPr>
        <w:t>我国饮食业相关法律、标准及规范归纳见表</w:t>
      </w:r>
      <w:r>
        <w:t xml:space="preserve"> 4-2</w:t>
      </w:r>
      <w:r>
        <w:rPr>
          <w:rFonts w:hint="eastAsia"/>
        </w:rPr>
        <w:t>。</w:t>
      </w:r>
    </w:p>
    <w:p w14:paraId="213ED136">
      <w:pPr>
        <w:jc w:val="center"/>
      </w:pPr>
      <w:r>
        <w:rPr>
          <w:rFonts w:hint="eastAsia"/>
        </w:rPr>
        <w:t>表</w:t>
      </w:r>
      <w:r>
        <w:t xml:space="preserve">4-2 </w:t>
      </w:r>
      <w:r>
        <w:rPr>
          <w:rFonts w:hint="eastAsia"/>
        </w:rPr>
        <w:t>我国饮食业相关法律、标准及规范列表</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977"/>
        <w:gridCol w:w="1559"/>
        <w:gridCol w:w="3311"/>
      </w:tblGrid>
      <w:tr w14:paraId="615B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539994D7">
            <w:pPr>
              <w:rPr>
                <w:kern w:val="0"/>
                <w:sz w:val="21"/>
                <w:szCs w:val="21"/>
              </w:rPr>
            </w:pPr>
            <w:r>
              <w:rPr>
                <w:rFonts w:hint="eastAsia"/>
                <w:kern w:val="0"/>
                <w:sz w:val="21"/>
                <w:szCs w:val="21"/>
              </w:rPr>
              <w:t>地区</w:t>
            </w:r>
          </w:p>
        </w:tc>
        <w:tc>
          <w:tcPr>
            <w:tcW w:w="2977" w:type="dxa"/>
          </w:tcPr>
          <w:p w14:paraId="7D306881">
            <w:pPr>
              <w:rPr>
                <w:kern w:val="0"/>
                <w:sz w:val="21"/>
                <w:szCs w:val="21"/>
              </w:rPr>
            </w:pPr>
            <w:r>
              <w:rPr>
                <w:rFonts w:hint="eastAsia"/>
                <w:kern w:val="0"/>
                <w:sz w:val="21"/>
                <w:szCs w:val="21"/>
              </w:rPr>
              <w:t>法律、标准及规范名称</w:t>
            </w:r>
          </w:p>
        </w:tc>
        <w:tc>
          <w:tcPr>
            <w:tcW w:w="1559" w:type="dxa"/>
          </w:tcPr>
          <w:p w14:paraId="0072F0BB">
            <w:pPr>
              <w:rPr>
                <w:kern w:val="0"/>
                <w:sz w:val="21"/>
                <w:szCs w:val="21"/>
              </w:rPr>
            </w:pPr>
            <w:r>
              <w:rPr>
                <w:rFonts w:hint="eastAsia"/>
                <w:kern w:val="0"/>
                <w:sz w:val="21"/>
                <w:szCs w:val="21"/>
              </w:rPr>
              <w:t>标准代码</w:t>
            </w:r>
          </w:p>
        </w:tc>
        <w:tc>
          <w:tcPr>
            <w:tcW w:w="3311" w:type="dxa"/>
          </w:tcPr>
          <w:p w14:paraId="2D6F3A32">
            <w:pPr>
              <w:rPr>
                <w:kern w:val="0"/>
                <w:sz w:val="21"/>
                <w:szCs w:val="21"/>
              </w:rPr>
            </w:pPr>
            <w:r>
              <w:rPr>
                <w:rFonts w:hint="eastAsia"/>
                <w:kern w:val="0"/>
                <w:sz w:val="21"/>
                <w:szCs w:val="21"/>
              </w:rPr>
              <w:t>备注</w:t>
            </w:r>
          </w:p>
        </w:tc>
      </w:tr>
      <w:tr w14:paraId="41E1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14:paraId="707E6A7C">
            <w:pPr>
              <w:rPr>
                <w:kern w:val="0"/>
                <w:sz w:val="21"/>
                <w:szCs w:val="21"/>
              </w:rPr>
            </w:pPr>
            <w:r>
              <w:rPr>
                <w:rFonts w:hint="eastAsia"/>
                <w:kern w:val="0"/>
                <w:sz w:val="21"/>
                <w:szCs w:val="21"/>
              </w:rPr>
              <w:t>国家</w:t>
            </w:r>
          </w:p>
        </w:tc>
        <w:tc>
          <w:tcPr>
            <w:tcW w:w="2977" w:type="dxa"/>
          </w:tcPr>
          <w:p w14:paraId="6126EE36">
            <w:pPr>
              <w:rPr>
                <w:kern w:val="0"/>
                <w:sz w:val="21"/>
                <w:szCs w:val="21"/>
              </w:rPr>
            </w:pPr>
            <w:r>
              <w:rPr>
                <w:rFonts w:hint="eastAsia"/>
                <w:kern w:val="0"/>
                <w:sz w:val="21"/>
                <w:szCs w:val="21"/>
              </w:rPr>
              <w:t>《中华人民共和国大气污染防治法》</w:t>
            </w:r>
          </w:p>
        </w:tc>
        <w:tc>
          <w:tcPr>
            <w:tcW w:w="1559" w:type="dxa"/>
          </w:tcPr>
          <w:p w14:paraId="492D29AA">
            <w:pPr>
              <w:rPr>
                <w:kern w:val="0"/>
                <w:sz w:val="21"/>
                <w:szCs w:val="21"/>
              </w:rPr>
            </w:pPr>
          </w:p>
        </w:tc>
        <w:tc>
          <w:tcPr>
            <w:tcW w:w="3311" w:type="dxa"/>
          </w:tcPr>
          <w:p w14:paraId="36EAED49">
            <w:pPr>
              <w:rPr>
                <w:kern w:val="0"/>
                <w:sz w:val="21"/>
                <w:szCs w:val="21"/>
              </w:rPr>
            </w:pPr>
            <w:r>
              <w:rPr>
                <w:rFonts w:hint="eastAsia"/>
                <w:kern w:val="0"/>
                <w:sz w:val="21"/>
                <w:szCs w:val="21"/>
              </w:rPr>
              <w:t>对饮食业油烟提出控制要求</w:t>
            </w:r>
          </w:p>
        </w:tc>
      </w:tr>
      <w:tr w14:paraId="1FFDE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FE3EDF0">
            <w:pPr>
              <w:rPr>
                <w:kern w:val="0"/>
                <w:sz w:val="21"/>
                <w:szCs w:val="21"/>
              </w:rPr>
            </w:pPr>
          </w:p>
        </w:tc>
        <w:tc>
          <w:tcPr>
            <w:tcW w:w="2977" w:type="dxa"/>
          </w:tcPr>
          <w:p w14:paraId="5AA1D162">
            <w:pPr>
              <w:rPr>
                <w:kern w:val="0"/>
                <w:sz w:val="21"/>
                <w:szCs w:val="21"/>
              </w:rPr>
            </w:pPr>
            <w:r>
              <w:rPr>
                <w:rFonts w:hint="eastAsia"/>
                <w:kern w:val="0"/>
                <w:sz w:val="21"/>
                <w:szCs w:val="21"/>
              </w:rPr>
              <w:t>《饮食业油烟排放标准（试行）》</w:t>
            </w:r>
          </w:p>
        </w:tc>
        <w:tc>
          <w:tcPr>
            <w:tcW w:w="1559" w:type="dxa"/>
          </w:tcPr>
          <w:p w14:paraId="1C4216BE">
            <w:pPr>
              <w:rPr>
                <w:kern w:val="0"/>
                <w:sz w:val="21"/>
                <w:szCs w:val="21"/>
              </w:rPr>
            </w:pPr>
            <w:r>
              <w:rPr>
                <w:kern w:val="0"/>
                <w:sz w:val="21"/>
                <w:szCs w:val="21"/>
              </w:rPr>
              <w:t>GB18483-2001</w:t>
            </w:r>
          </w:p>
        </w:tc>
        <w:tc>
          <w:tcPr>
            <w:tcW w:w="3311" w:type="dxa"/>
          </w:tcPr>
          <w:p w14:paraId="7EC04F48">
            <w:pPr>
              <w:rPr>
                <w:kern w:val="0"/>
                <w:sz w:val="21"/>
                <w:szCs w:val="21"/>
              </w:rPr>
            </w:pPr>
            <w:r>
              <w:rPr>
                <w:rFonts w:hint="eastAsia"/>
                <w:kern w:val="0"/>
                <w:sz w:val="21"/>
                <w:szCs w:val="21"/>
              </w:rPr>
              <w:t>规定了最高允许排放浓度和油烟净化设施的最低去除效率，规定了油烟的采样和分析方法</w:t>
            </w:r>
          </w:p>
        </w:tc>
      </w:tr>
      <w:tr w14:paraId="79440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E25C4BA">
            <w:pPr>
              <w:rPr>
                <w:kern w:val="0"/>
                <w:sz w:val="21"/>
                <w:szCs w:val="21"/>
              </w:rPr>
            </w:pPr>
          </w:p>
        </w:tc>
        <w:tc>
          <w:tcPr>
            <w:tcW w:w="2977" w:type="dxa"/>
          </w:tcPr>
          <w:p w14:paraId="166CD9AE">
            <w:pPr>
              <w:rPr>
                <w:kern w:val="0"/>
                <w:sz w:val="21"/>
                <w:szCs w:val="21"/>
              </w:rPr>
            </w:pPr>
            <w:r>
              <w:rPr>
                <w:rFonts w:hint="eastAsia"/>
                <w:kern w:val="0"/>
                <w:sz w:val="21"/>
                <w:szCs w:val="21"/>
              </w:rPr>
              <w:t>《饮食业油烟净化设备技术要求及检测技术规范（试行）》</w:t>
            </w:r>
          </w:p>
        </w:tc>
        <w:tc>
          <w:tcPr>
            <w:tcW w:w="1559" w:type="dxa"/>
          </w:tcPr>
          <w:p w14:paraId="31AEE592">
            <w:pPr>
              <w:rPr>
                <w:kern w:val="0"/>
                <w:sz w:val="21"/>
                <w:szCs w:val="21"/>
              </w:rPr>
            </w:pPr>
            <w:r>
              <w:rPr>
                <w:kern w:val="0"/>
                <w:sz w:val="21"/>
                <w:szCs w:val="21"/>
              </w:rPr>
              <w:t>HJ/T 62-2001</w:t>
            </w:r>
          </w:p>
        </w:tc>
        <w:tc>
          <w:tcPr>
            <w:tcW w:w="3311" w:type="dxa"/>
          </w:tcPr>
          <w:p w14:paraId="4975489D">
            <w:pPr>
              <w:rPr>
                <w:kern w:val="0"/>
                <w:sz w:val="21"/>
                <w:szCs w:val="21"/>
              </w:rPr>
            </w:pPr>
            <w:r>
              <w:rPr>
                <w:rFonts w:hint="eastAsia"/>
                <w:kern w:val="0"/>
                <w:sz w:val="21"/>
                <w:szCs w:val="21"/>
              </w:rPr>
              <w:t>为检测油烟净化设备去除效率及其它性能进行规范</w:t>
            </w:r>
          </w:p>
        </w:tc>
      </w:tr>
      <w:tr w14:paraId="3B82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4572068">
            <w:pPr>
              <w:rPr>
                <w:kern w:val="0"/>
                <w:sz w:val="21"/>
                <w:szCs w:val="21"/>
              </w:rPr>
            </w:pPr>
          </w:p>
        </w:tc>
        <w:tc>
          <w:tcPr>
            <w:tcW w:w="2977" w:type="dxa"/>
          </w:tcPr>
          <w:p w14:paraId="0CBBA1EE">
            <w:pPr>
              <w:rPr>
                <w:kern w:val="0"/>
                <w:sz w:val="21"/>
                <w:szCs w:val="21"/>
              </w:rPr>
            </w:pPr>
            <w:r>
              <w:rPr>
                <w:rFonts w:hint="eastAsia"/>
                <w:kern w:val="0"/>
                <w:sz w:val="21"/>
                <w:szCs w:val="21"/>
              </w:rPr>
              <w:t>环境空气质量标准</w:t>
            </w:r>
          </w:p>
        </w:tc>
        <w:tc>
          <w:tcPr>
            <w:tcW w:w="1559" w:type="dxa"/>
          </w:tcPr>
          <w:p w14:paraId="78F07A7F">
            <w:pPr>
              <w:rPr>
                <w:kern w:val="0"/>
                <w:sz w:val="21"/>
                <w:szCs w:val="21"/>
              </w:rPr>
            </w:pPr>
            <w:r>
              <w:rPr>
                <w:kern w:val="0"/>
                <w:sz w:val="21"/>
                <w:szCs w:val="21"/>
              </w:rPr>
              <w:t>GB3095-2012</w:t>
            </w:r>
          </w:p>
        </w:tc>
        <w:tc>
          <w:tcPr>
            <w:tcW w:w="3311" w:type="dxa"/>
          </w:tcPr>
          <w:p w14:paraId="117F90E6">
            <w:pPr>
              <w:rPr>
                <w:kern w:val="0"/>
                <w:sz w:val="21"/>
                <w:szCs w:val="21"/>
              </w:rPr>
            </w:pPr>
            <w:r>
              <w:rPr>
                <w:rFonts w:hint="eastAsia"/>
                <w:kern w:val="0"/>
                <w:sz w:val="21"/>
                <w:szCs w:val="21"/>
              </w:rPr>
              <w:t>提出环境空气各项污染物的浓度指标，同样适用于饮食业周边环境空气</w:t>
            </w:r>
          </w:p>
        </w:tc>
      </w:tr>
      <w:tr w14:paraId="5454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5EC4673B">
            <w:pPr>
              <w:rPr>
                <w:kern w:val="0"/>
                <w:sz w:val="21"/>
                <w:szCs w:val="21"/>
              </w:rPr>
            </w:pPr>
          </w:p>
        </w:tc>
        <w:tc>
          <w:tcPr>
            <w:tcW w:w="2977" w:type="dxa"/>
          </w:tcPr>
          <w:p w14:paraId="09CB6DF8">
            <w:pPr>
              <w:rPr>
                <w:kern w:val="0"/>
                <w:sz w:val="21"/>
                <w:szCs w:val="21"/>
              </w:rPr>
            </w:pPr>
            <w:r>
              <w:rPr>
                <w:rFonts w:hint="eastAsia"/>
                <w:kern w:val="0"/>
                <w:sz w:val="21"/>
                <w:szCs w:val="21"/>
              </w:rPr>
              <w:t>《恶臭污染物排放标准》</w:t>
            </w:r>
          </w:p>
        </w:tc>
        <w:tc>
          <w:tcPr>
            <w:tcW w:w="1559" w:type="dxa"/>
          </w:tcPr>
          <w:p w14:paraId="323A1E7E">
            <w:pPr>
              <w:rPr>
                <w:kern w:val="0"/>
                <w:sz w:val="21"/>
                <w:szCs w:val="21"/>
              </w:rPr>
            </w:pPr>
            <w:r>
              <w:rPr>
                <w:kern w:val="0"/>
                <w:sz w:val="21"/>
                <w:szCs w:val="21"/>
              </w:rPr>
              <w:t>GB14554-93</w:t>
            </w:r>
          </w:p>
        </w:tc>
        <w:tc>
          <w:tcPr>
            <w:tcW w:w="3311" w:type="dxa"/>
          </w:tcPr>
          <w:p w14:paraId="1594D0B6">
            <w:pPr>
              <w:rPr>
                <w:kern w:val="0"/>
                <w:sz w:val="21"/>
                <w:szCs w:val="21"/>
              </w:rPr>
            </w:pPr>
            <w:r>
              <w:rPr>
                <w:rFonts w:hint="eastAsia"/>
                <w:kern w:val="0"/>
                <w:sz w:val="21"/>
                <w:szCs w:val="21"/>
              </w:rPr>
              <w:t>油烟涉及恶臭物质排放的参考该标准</w:t>
            </w:r>
          </w:p>
        </w:tc>
      </w:tr>
      <w:tr w14:paraId="65DB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35B57189">
            <w:pPr>
              <w:rPr>
                <w:kern w:val="0"/>
                <w:sz w:val="21"/>
                <w:szCs w:val="21"/>
              </w:rPr>
            </w:pPr>
          </w:p>
        </w:tc>
        <w:tc>
          <w:tcPr>
            <w:tcW w:w="2977" w:type="dxa"/>
          </w:tcPr>
          <w:p w14:paraId="1367A014">
            <w:pPr>
              <w:rPr>
                <w:kern w:val="0"/>
                <w:sz w:val="21"/>
                <w:szCs w:val="21"/>
              </w:rPr>
            </w:pPr>
            <w:r>
              <w:rPr>
                <w:rFonts w:hint="eastAsia"/>
                <w:kern w:val="0"/>
                <w:sz w:val="21"/>
                <w:szCs w:val="21"/>
              </w:rPr>
              <w:t>《饮食业环境保护技术规范》</w:t>
            </w:r>
          </w:p>
        </w:tc>
        <w:tc>
          <w:tcPr>
            <w:tcW w:w="1559" w:type="dxa"/>
          </w:tcPr>
          <w:p w14:paraId="474EC531">
            <w:pPr>
              <w:rPr>
                <w:kern w:val="0"/>
                <w:sz w:val="21"/>
                <w:szCs w:val="21"/>
              </w:rPr>
            </w:pPr>
            <w:r>
              <w:rPr>
                <w:kern w:val="0"/>
                <w:sz w:val="21"/>
                <w:szCs w:val="21"/>
              </w:rPr>
              <w:t>HJ 554-2010</w:t>
            </w:r>
          </w:p>
        </w:tc>
        <w:tc>
          <w:tcPr>
            <w:tcW w:w="3311" w:type="dxa"/>
          </w:tcPr>
          <w:p w14:paraId="2B30F4D0">
            <w:pPr>
              <w:rPr>
                <w:kern w:val="0"/>
                <w:sz w:val="21"/>
                <w:szCs w:val="21"/>
              </w:rPr>
            </w:pPr>
            <w:r>
              <w:rPr>
                <w:rFonts w:hint="eastAsia"/>
                <w:kern w:val="0"/>
                <w:sz w:val="21"/>
                <w:szCs w:val="21"/>
              </w:rPr>
              <w:t>规定单位选择与总平面布置、环境保护设计总体要求、油烟净化与排放、排水与隔油、噪声与振动控制、固体废物控制要求等</w:t>
            </w:r>
          </w:p>
        </w:tc>
      </w:tr>
      <w:tr w14:paraId="684A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7386B241">
            <w:pPr>
              <w:rPr>
                <w:kern w:val="0"/>
                <w:sz w:val="21"/>
                <w:szCs w:val="21"/>
              </w:rPr>
            </w:pPr>
          </w:p>
        </w:tc>
        <w:tc>
          <w:tcPr>
            <w:tcW w:w="2977" w:type="dxa"/>
          </w:tcPr>
          <w:p w14:paraId="1152C2A3">
            <w:pPr>
              <w:rPr>
                <w:kern w:val="0"/>
                <w:sz w:val="21"/>
                <w:szCs w:val="21"/>
              </w:rPr>
            </w:pPr>
            <w:r>
              <w:rPr>
                <w:rFonts w:hint="eastAsia"/>
                <w:kern w:val="0"/>
                <w:sz w:val="21"/>
                <w:szCs w:val="21"/>
              </w:rPr>
              <w:t>《环境保护产品技术要求便携式饮食油烟检测仪》</w:t>
            </w:r>
          </w:p>
        </w:tc>
        <w:tc>
          <w:tcPr>
            <w:tcW w:w="1559" w:type="dxa"/>
          </w:tcPr>
          <w:p w14:paraId="6F99149B">
            <w:pPr>
              <w:rPr>
                <w:kern w:val="0"/>
                <w:sz w:val="21"/>
                <w:szCs w:val="21"/>
              </w:rPr>
            </w:pPr>
            <w:r>
              <w:rPr>
                <w:kern w:val="0"/>
                <w:sz w:val="21"/>
                <w:szCs w:val="21"/>
              </w:rPr>
              <w:t>HJ2526-2012</w:t>
            </w:r>
          </w:p>
        </w:tc>
        <w:tc>
          <w:tcPr>
            <w:tcW w:w="3311" w:type="dxa"/>
          </w:tcPr>
          <w:p w14:paraId="327B0EC9">
            <w:pPr>
              <w:rPr>
                <w:kern w:val="0"/>
                <w:sz w:val="21"/>
                <w:szCs w:val="21"/>
              </w:rPr>
            </w:pPr>
            <w:r>
              <w:rPr>
                <w:rFonts w:hint="eastAsia"/>
                <w:kern w:val="0"/>
                <w:sz w:val="21"/>
                <w:szCs w:val="21"/>
              </w:rPr>
              <w:t>规定了便携式饮食油烟检测仪的定义、技术要求、检验方法、检验规则、标志、包装、运输、贮存等内容</w:t>
            </w:r>
          </w:p>
        </w:tc>
      </w:tr>
      <w:tr w14:paraId="5693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77770407">
            <w:pPr>
              <w:rPr>
                <w:kern w:val="0"/>
                <w:sz w:val="21"/>
                <w:szCs w:val="21"/>
              </w:rPr>
            </w:pPr>
            <w:r>
              <w:rPr>
                <w:rFonts w:hint="eastAsia"/>
                <w:kern w:val="0"/>
                <w:sz w:val="21"/>
                <w:szCs w:val="21"/>
              </w:rPr>
              <w:t>山东省</w:t>
            </w:r>
          </w:p>
        </w:tc>
        <w:tc>
          <w:tcPr>
            <w:tcW w:w="2977" w:type="dxa"/>
          </w:tcPr>
          <w:p w14:paraId="5FC53C6B">
            <w:pPr>
              <w:rPr>
                <w:kern w:val="0"/>
                <w:sz w:val="21"/>
                <w:szCs w:val="21"/>
              </w:rPr>
            </w:pPr>
            <w:r>
              <w:rPr>
                <w:rFonts w:hint="eastAsia"/>
                <w:kern w:val="0"/>
                <w:sz w:val="21"/>
                <w:szCs w:val="21"/>
              </w:rPr>
              <w:t>山东省地方标准《饮食业油烟排放标准》</w:t>
            </w:r>
          </w:p>
        </w:tc>
        <w:tc>
          <w:tcPr>
            <w:tcW w:w="1559" w:type="dxa"/>
          </w:tcPr>
          <w:p w14:paraId="7B200A98">
            <w:pPr>
              <w:rPr>
                <w:kern w:val="0"/>
                <w:sz w:val="21"/>
                <w:szCs w:val="21"/>
              </w:rPr>
            </w:pPr>
            <w:r>
              <w:rPr>
                <w:kern w:val="0"/>
                <w:sz w:val="21"/>
                <w:szCs w:val="21"/>
              </w:rPr>
              <w:t xml:space="preserve">DB37/597-2006 </w:t>
            </w:r>
          </w:p>
          <w:p w14:paraId="159A9CBB">
            <w:pPr>
              <w:rPr>
                <w:kern w:val="0"/>
                <w:sz w:val="21"/>
                <w:szCs w:val="21"/>
              </w:rPr>
            </w:pPr>
          </w:p>
        </w:tc>
        <w:tc>
          <w:tcPr>
            <w:tcW w:w="3311" w:type="dxa"/>
          </w:tcPr>
          <w:p w14:paraId="3317F9E2">
            <w:pPr>
              <w:rPr>
                <w:kern w:val="0"/>
                <w:sz w:val="21"/>
                <w:szCs w:val="21"/>
              </w:rPr>
            </w:pPr>
            <w:r>
              <w:rPr>
                <w:rFonts w:hint="eastAsia"/>
                <w:kern w:val="0"/>
                <w:sz w:val="21"/>
                <w:szCs w:val="21"/>
              </w:rPr>
              <w:t>规定了最高允许排放浓度、油烟净化设备的最低去除效率、臭气浓度和油烟排气筒最低排放高度。</w:t>
            </w:r>
          </w:p>
        </w:tc>
      </w:tr>
      <w:tr w14:paraId="6EB0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14:paraId="1B2F6C45">
            <w:pPr>
              <w:rPr>
                <w:kern w:val="0"/>
                <w:sz w:val="21"/>
                <w:szCs w:val="21"/>
              </w:rPr>
            </w:pPr>
            <w:r>
              <w:rPr>
                <w:rFonts w:hint="eastAsia"/>
                <w:kern w:val="0"/>
                <w:sz w:val="21"/>
                <w:szCs w:val="21"/>
              </w:rPr>
              <w:t>上海市</w:t>
            </w:r>
          </w:p>
        </w:tc>
        <w:tc>
          <w:tcPr>
            <w:tcW w:w="2977" w:type="dxa"/>
          </w:tcPr>
          <w:p w14:paraId="67AB35C4">
            <w:pPr>
              <w:rPr>
                <w:kern w:val="0"/>
                <w:sz w:val="21"/>
                <w:szCs w:val="21"/>
              </w:rPr>
            </w:pPr>
            <w:r>
              <w:rPr>
                <w:rFonts w:hint="eastAsia"/>
                <w:kern w:val="0"/>
                <w:sz w:val="21"/>
                <w:szCs w:val="21"/>
              </w:rPr>
              <w:t>《饮食业油烟快速检测检气管法》</w:t>
            </w:r>
          </w:p>
        </w:tc>
        <w:tc>
          <w:tcPr>
            <w:tcW w:w="1559" w:type="dxa"/>
          </w:tcPr>
          <w:p w14:paraId="0BA97256">
            <w:pPr>
              <w:rPr>
                <w:kern w:val="0"/>
                <w:sz w:val="21"/>
                <w:szCs w:val="21"/>
              </w:rPr>
            </w:pPr>
            <w:r>
              <w:rPr>
                <w:kern w:val="0"/>
                <w:sz w:val="21"/>
                <w:szCs w:val="21"/>
              </w:rPr>
              <w:t>DB31/T287-2002</w:t>
            </w:r>
          </w:p>
        </w:tc>
        <w:tc>
          <w:tcPr>
            <w:tcW w:w="3311" w:type="dxa"/>
          </w:tcPr>
          <w:p w14:paraId="29C1AB25">
            <w:pPr>
              <w:rPr>
                <w:kern w:val="0"/>
                <w:sz w:val="21"/>
                <w:szCs w:val="21"/>
              </w:rPr>
            </w:pPr>
            <w:r>
              <w:rPr>
                <w:rFonts w:hint="eastAsia"/>
                <w:kern w:val="0"/>
                <w:sz w:val="21"/>
                <w:szCs w:val="21"/>
              </w:rPr>
              <w:t>该方法对排放速率在</w:t>
            </w:r>
            <w:r>
              <w:rPr>
                <w:kern w:val="0"/>
                <w:sz w:val="21"/>
                <w:szCs w:val="21"/>
              </w:rPr>
              <w:t>0-1×10</w:t>
            </w:r>
            <w:r>
              <w:rPr>
                <w:kern w:val="0"/>
                <w:sz w:val="21"/>
                <w:szCs w:val="21"/>
                <w:vertAlign w:val="superscript"/>
              </w:rPr>
              <w:t>5</w:t>
            </w:r>
            <w:r>
              <w:rPr>
                <w:kern w:val="0"/>
                <w:sz w:val="21"/>
                <w:szCs w:val="21"/>
              </w:rPr>
              <w:t>m</w:t>
            </w:r>
            <w:r>
              <w:rPr>
                <w:kern w:val="0"/>
                <w:sz w:val="21"/>
                <w:szCs w:val="21"/>
                <w:vertAlign w:val="superscript"/>
              </w:rPr>
              <w:t>3</w:t>
            </w:r>
            <w:r>
              <w:rPr>
                <w:kern w:val="0"/>
                <w:sz w:val="21"/>
                <w:szCs w:val="21"/>
              </w:rPr>
              <w:t xml:space="preserve">/h </w:t>
            </w:r>
            <w:r>
              <w:rPr>
                <w:rFonts w:hint="eastAsia"/>
                <w:kern w:val="0"/>
                <w:sz w:val="21"/>
                <w:szCs w:val="21"/>
              </w:rPr>
              <w:t>规模的饮食业单位排放的油烟浓度的排放标准限值</w:t>
            </w:r>
            <w:r>
              <w:rPr>
                <w:kern w:val="0"/>
                <w:sz w:val="21"/>
                <w:szCs w:val="21"/>
              </w:rPr>
              <w:t>2mg/m</w:t>
            </w:r>
            <w:r>
              <w:rPr>
                <w:kern w:val="0"/>
                <w:sz w:val="21"/>
                <w:szCs w:val="21"/>
                <w:vertAlign w:val="superscript"/>
              </w:rPr>
              <w:t>3</w:t>
            </w:r>
            <w:r>
              <w:rPr>
                <w:rFonts w:hint="eastAsia"/>
                <w:kern w:val="0"/>
                <w:sz w:val="21"/>
                <w:szCs w:val="21"/>
              </w:rPr>
              <w:t>进行判别。</w:t>
            </w:r>
          </w:p>
        </w:tc>
      </w:tr>
      <w:tr w14:paraId="455B3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14:paraId="1774FEEB">
            <w:pPr>
              <w:rPr>
                <w:kern w:val="0"/>
                <w:sz w:val="21"/>
                <w:szCs w:val="21"/>
              </w:rPr>
            </w:pPr>
          </w:p>
        </w:tc>
        <w:tc>
          <w:tcPr>
            <w:tcW w:w="2977" w:type="dxa"/>
          </w:tcPr>
          <w:p w14:paraId="28CE1B38">
            <w:pPr>
              <w:rPr>
                <w:kern w:val="0"/>
                <w:sz w:val="21"/>
                <w:szCs w:val="21"/>
              </w:rPr>
            </w:pPr>
            <w:r>
              <w:rPr>
                <w:rFonts w:hint="eastAsia"/>
                <w:kern w:val="0"/>
                <w:sz w:val="21"/>
                <w:szCs w:val="21"/>
              </w:rPr>
              <w:t>上海市地方标准《餐饮业油烟排放标准》</w:t>
            </w:r>
          </w:p>
        </w:tc>
        <w:tc>
          <w:tcPr>
            <w:tcW w:w="1559" w:type="dxa"/>
          </w:tcPr>
          <w:p w14:paraId="01174507">
            <w:pPr>
              <w:rPr>
                <w:kern w:val="0"/>
                <w:sz w:val="21"/>
                <w:szCs w:val="21"/>
              </w:rPr>
            </w:pPr>
            <w:r>
              <w:rPr>
                <w:sz w:val="21"/>
                <w:szCs w:val="21"/>
              </w:rPr>
              <w:t>DB31/844-2014</w:t>
            </w:r>
          </w:p>
        </w:tc>
        <w:tc>
          <w:tcPr>
            <w:tcW w:w="3311" w:type="dxa"/>
          </w:tcPr>
          <w:p w14:paraId="6F1815AD">
            <w:pPr>
              <w:rPr>
                <w:kern w:val="0"/>
                <w:sz w:val="21"/>
                <w:szCs w:val="21"/>
              </w:rPr>
            </w:pPr>
            <w:r>
              <w:rPr>
                <w:rFonts w:hint="eastAsia"/>
                <w:kern w:val="0"/>
                <w:sz w:val="21"/>
                <w:szCs w:val="21"/>
              </w:rPr>
              <w:t>规定了最高允许排放浓度</w:t>
            </w:r>
            <w:r>
              <w:rPr>
                <w:kern w:val="0"/>
                <w:sz w:val="21"/>
                <w:szCs w:val="21"/>
              </w:rPr>
              <w:t>1.0mg/m3,</w:t>
            </w:r>
            <w:r>
              <w:rPr>
                <w:rFonts w:hint="eastAsia"/>
                <w:kern w:val="0"/>
                <w:sz w:val="21"/>
                <w:szCs w:val="21"/>
              </w:rPr>
              <w:t>油烟净化设备的最低去除效率</w:t>
            </w:r>
            <w:r>
              <w:rPr>
                <w:kern w:val="0"/>
                <w:sz w:val="21"/>
                <w:szCs w:val="21"/>
              </w:rPr>
              <w:t>90%</w:t>
            </w:r>
            <w:r>
              <w:rPr>
                <w:rFonts w:hint="eastAsia"/>
                <w:kern w:val="0"/>
                <w:sz w:val="21"/>
                <w:szCs w:val="21"/>
              </w:rPr>
              <w:t>和臭气浓度。</w:t>
            </w:r>
          </w:p>
        </w:tc>
      </w:tr>
      <w:tr w14:paraId="1214F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253EE4FC">
            <w:pPr>
              <w:rPr>
                <w:kern w:val="0"/>
                <w:sz w:val="21"/>
                <w:szCs w:val="21"/>
              </w:rPr>
            </w:pPr>
            <w:r>
              <w:rPr>
                <w:rFonts w:hint="eastAsia"/>
                <w:kern w:val="0"/>
                <w:sz w:val="21"/>
                <w:szCs w:val="21"/>
              </w:rPr>
              <w:t>天津市</w:t>
            </w:r>
          </w:p>
        </w:tc>
        <w:tc>
          <w:tcPr>
            <w:tcW w:w="2977" w:type="dxa"/>
          </w:tcPr>
          <w:p w14:paraId="1B094115">
            <w:pPr>
              <w:rPr>
                <w:kern w:val="0"/>
                <w:sz w:val="21"/>
                <w:szCs w:val="21"/>
              </w:rPr>
            </w:pPr>
            <w:r>
              <w:rPr>
                <w:rFonts w:hint="eastAsia"/>
                <w:kern w:val="0"/>
                <w:sz w:val="21"/>
                <w:szCs w:val="21"/>
              </w:rPr>
              <w:t>天津市地方标准《餐饮业油烟排放标准》</w:t>
            </w:r>
          </w:p>
        </w:tc>
        <w:tc>
          <w:tcPr>
            <w:tcW w:w="1559" w:type="dxa"/>
          </w:tcPr>
          <w:p w14:paraId="675520F8">
            <w:pPr>
              <w:adjustRightInd w:val="0"/>
              <w:snapToGrid w:val="0"/>
              <w:spacing w:line="160" w:lineRule="atLeast"/>
              <w:ind w:right="420"/>
              <w:rPr>
                <w:sz w:val="21"/>
                <w:szCs w:val="21"/>
              </w:rPr>
            </w:pPr>
            <w:r>
              <w:rPr>
                <w:sz w:val="21"/>
                <w:szCs w:val="21"/>
              </w:rPr>
              <w:t>DB12/64-2016</w:t>
            </w:r>
          </w:p>
          <w:p w14:paraId="148910B5">
            <w:pPr>
              <w:adjustRightInd w:val="0"/>
              <w:snapToGrid w:val="0"/>
              <w:spacing w:line="160" w:lineRule="atLeast"/>
              <w:ind w:right="420"/>
              <w:rPr>
                <w:sz w:val="21"/>
                <w:szCs w:val="21"/>
              </w:rPr>
            </w:pPr>
          </w:p>
        </w:tc>
        <w:tc>
          <w:tcPr>
            <w:tcW w:w="3311" w:type="dxa"/>
          </w:tcPr>
          <w:p w14:paraId="2A2632C1">
            <w:pPr>
              <w:rPr>
                <w:kern w:val="0"/>
                <w:sz w:val="21"/>
                <w:szCs w:val="21"/>
              </w:rPr>
            </w:pPr>
            <w:r>
              <w:rPr>
                <w:rFonts w:hint="eastAsia"/>
                <w:kern w:val="0"/>
                <w:sz w:val="21"/>
                <w:szCs w:val="21"/>
              </w:rPr>
              <w:t>规定了最高允许排放浓度为</w:t>
            </w:r>
            <w:r>
              <w:rPr>
                <w:kern w:val="0"/>
                <w:sz w:val="21"/>
                <w:szCs w:val="21"/>
              </w:rPr>
              <w:t>1.0mg/m3</w:t>
            </w:r>
            <w:r>
              <w:rPr>
                <w:rFonts w:hint="eastAsia"/>
                <w:kern w:val="0"/>
                <w:sz w:val="21"/>
                <w:szCs w:val="21"/>
              </w:rPr>
              <w:t>，同时将国标对净化设备最低油烟去除效率的要求删除。</w:t>
            </w:r>
          </w:p>
        </w:tc>
      </w:tr>
      <w:tr w14:paraId="3FC7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14:paraId="4F174788">
            <w:pPr>
              <w:rPr>
                <w:kern w:val="0"/>
                <w:sz w:val="21"/>
                <w:szCs w:val="21"/>
              </w:rPr>
            </w:pPr>
            <w:r>
              <w:rPr>
                <w:rFonts w:hint="eastAsia"/>
                <w:kern w:val="0"/>
                <w:sz w:val="21"/>
                <w:szCs w:val="21"/>
              </w:rPr>
              <w:t>深圳市</w:t>
            </w:r>
          </w:p>
        </w:tc>
        <w:tc>
          <w:tcPr>
            <w:tcW w:w="2977" w:type="dxa"/>
          </w:tcPr>
          <w:p w14:paraId="76B122B1">
            <w:pPr>
              <w:rPr>
                <w:kern w:val="0"/>
                <w:sz w:val="21"/>
                <w:szCs w:val="21"/>
              </w:rPr>
            </w:pPr>
            <w:r>
              <w:rPr>
                <w:rFonts w:hint="eastAsia"/>
                <w:kern w:val="0"/>
                <w:sz w:val="21"/>
                <w:szCs w:val="21"/>
              </w:rPr>
              <w:t>深圳经济特区技术规范《饮食业油烟排放控制规范》</w:t>
            </w:r>
          </w:p>
        </w:tc>
        <w:tc>
          <w:tcPr>
            <w:tcW w:w="1559" w:type="dxa"/>
          </w:tcPr>
          <w:p w14:paraId="2E8E4D59">
            <w:pPr>
              <w:rPr>
                <w:sz w:val="21"/>
                <w:szCs w:val="21"/>
              </w:rPr>
            </w:pPr>
            <w:r>
              <w:rPr>
                <w:sz w:val="21"/>
                <w:szCs w:val="21"/>
              </w:rPr>
              <w:t>SZDB/Z254-2017</w:t>
            </w:r>
          </w:p>
        </w:tc>
        <w:tc>
          <w:tcPr>
            <w:tcW w:w="3311" w:type="dxa"/>
          </w:tcPr>
          <w:p w14:paraId="1D734CEC">
            <w:pPr>
              <w:rPr>
                <w:kern w:val="0"/>
                <w:sz w:val="21"/>
                <w:szCs w:val="21"/>
              </w:rPr>
            </w:pPr>
            <w:r>
              <w:rPr>
                <w:rFonts w:hint="eastAsia"/>
                <w:kern w:val="0"/>
                <w:sz w:val="21"/>
                <w:szCs w:val="21"/>
              </w:rPr>
              <w:t>规定了油烟的最高允许排放浓度为</w:t>
            </w:r>
            <w:r>
              <w:rPr>
                <w:kern w:val="0"/>
                <w:sz w:val="21"/>
                <w:szCs w:val="21"/>
              </w:rPr>
              <w:t>1.0mg/m3</w:t>
            </w:r>
            <w:r>
              <w:rPr>
                <w:rFonts w:hint="eastAsia"/>
                <w:kern w:val="0"/>
                <w:sz w:val="21"/>
                <w:szCs w:val="21"/>
              </w:rPr>
              <w:t>；油烟净化设备的去除效率统一提高到</w:t>
            </w:r>
            <w:r>
              <w:rPr>
                <w:kern w:val="0"/>
                <w:sz w:val="21"/>
                <w:szCs w:val="21"/>
              </w:rPr>
              <w:t>90%</w:t>
            </w:r>
            <w:r>
              <w:rPr>
                <w:rFonts w:hint="eastAsia"/>
                <w:kern w:val="0"/>
                <w:sz w:val="21"/>
                <w:szCs w:val="21"/>
              </w:rPr>
              <w:t>；增加了非甲烷总烃的排放限值为</w:t>
            </w:r>
            <w:r>
              <w:rPr>
                <w:kern w:val="0"/>
                <w:sz w:val="21"/>
                <w:szCs w:val="21"/>
              </w:rPr>
              <w:t>10mg/m3</w:t>
            </w:r>
            <w:r>
              <w:rPr>
                <w:rFonts w:hint="eastAsia"/>
                <w:kern w:val="0"/>
                <w:sz w:val="21"/>
                <w:szCs w:val="21"/>
              </w:rPr>
              <w:t>；同时还增加了臭气的浓度限值；规定了采用粒子集合光散射法作为等效方法来进行油烟现场和在线监测的具体方法。</w:t>
            </w:r>
          </w:p>
        </w:tc>
      </w:tr>
    </w:tbl>
    <w:p w14:paraId="106B06E9"/>
    <w:p w14:paraId="5C4C1F28">
      <w:pPr>
        <w:pStyle w:val="2"/>
        <w:numPr>
          <w:numberingChange w:id="16" w:author="刘海英" w:date="2017-09-08T15:13:00Z" w:original="%1:5:0:"/>
        </w:numPr>
        <w:spacing w:before="163" w:after="163"/>
      </w:pPr>
      <w:bookmarkStart w:id="25" w:name="_Toc492569875"/>
      <w:r>
        <w:rPr>
          <w:rFonts w:hint="eastAsia"/>
        </w:rPr>
        <w:t>标准主要技术内容说明</w:t>
      </w:r>
      <w:bookmarkEnd w:id="25"/>
    </w:p>
    <w:p w14:paraId="71F0BD83">
      <w:pPr>
        <w:pStyle w:val="3"/>
        <w:numPr>
          <w:numberingChange w:id="17" w:author="刘海英" w:date="2017-09-08T15:13:00Z" w:original="%1:5:0:.%2:1:0:"/>
        </w:numPr>
        <w:spacing w:after="163"/>
      </w:pPr>
      <w:bookmarkStart w:id="26" w:name="_Toc492569876"/>
      <w:r>
        <w:rPr>
          <w:rFonts w:hint="eastAsia"/>
        </w:rPr>
        <w:t>标准名称</w:t>
      </w:r>
      <w:bookmarkEnd w:id="26"/>
    </w:p>
    <w:p w14:paraId="6CDD7491">
      <w:pPr>
        <w:ind w:firstLine="480" w:firstLineChars="200"/>
      </w:pPr>
      <w:r>
        <w:rPr>
          <w:rFonts w:hint="eastAsia"/>
        </w:rPr>
        <w:t>本标准名称为《餐饮业大气污染物排放标准》。依据《国民经济分类与代码》</w:t>
      </w:r>
      <w:r>
        <w:t xml:space="preserve">GB4754-2011 </w:t>
      </w:r>
      <w:r>
        <w:rPr>
          <w:rFonts w:hint="eastAsia"/>
        </w:rPr>
        <w:t>中</w:t>
      </w:r>
      <w:r>
        <w:t xml:space="preserve"> H62</w:t>
      </w:r>
      <w:r>
        <w:rPr>
          <w:rFonts w:hint="eastAsia"/>
        </w:rPr>
        <w:t>类</w:t>
      </w:r>
      <w:r>
        <w:t>——</w:t>
      </w:r>
      <w:r>
        <w:rPr>
          <w:rFonts w:hint="eastAsia"/>
        </w:rPr>
        <w:t>餐饮业，将《饮食业油烟排放标准》中的“饮食业”更改为“餐饮业”。本标准中的除油烟排放限值外，增加了颗粒物和</w:t>
      </w:r>
      <w:r>
        <w:t>VOCs</w:t>
      </w:r>
      <w:r>
        <w:rPr>
          <w:rFonts w:hint="eastAsia"/>
        </w:rPr>
        <w:t>等大气污染物排放限值，因此，本标准的名称中将《饮食业油烟排放标准》中的“油烟”更改为“大气污染物”。</w:t>
      </w:r>
    </w:p>
    <w:p w14:paraId="0D67F73B">
      <w:pPr>
        <w:pStyle w:val="3"/>
        <w:numPr>
          <w:numberingChange w:id="18" w:author="刘海英" w:date="2017-09-08T15:13:00Z" w:original="%1:5:0:.%2:2:0:"/>
        </w:numPr>
        <w:spacing w:after="163"/>
      </w:pPr>
      <w:bookmarkStart w:id="27" w:name="_Toc492569877"/>
      <w:r>
        <w:rPr>
          <w:rFonts w:hint="eastAsia"/>
        </w:rPr>
        <w:t>标准结构框架</w:t>
      </w:r>
      <w:bookmarkEnd w:id="27"/>
    </w:p>
    <w:p w14:paraId="4370BE79">
      <w:pPr>
        <w:ind w:firstLine="480" w:firstLineChars="200"/>
      </w:pPr>
      <w:r>
        <w:rPr>
          <w:rFonts w:hint="eastAsia"/>
        </w:rPr>
        <w:t>本标准的主要章节为：适用范围、规范性引用文件、术语和定义、污染物排放控制要求、污染物监测要求和标准实施与监督。其中，污染物排放控制要求是标准的主体部分。</w:t>
      </w:r>
    </w:p>
    <w:p w14:paraId="243954FC">
      <w:pPr>
        <w:pStyle w:val="3"/>
        <w:numPr>
          <w:numberingChange w:id="19" w:author="刘海英" w:date="2017-09-08T15:13:00Z" w:original="%1:5:0:.%2:3:0:"/>
        </w:numPr>
        <w:spacing w:after="163"/>
      </w:pPr>
      <w:bookmarkStart w:id="28" w:name="_Toc492569878"/>
      <w:r>
        <w:rPr>
          <w:rFonts w:hint="eastAsia"/>
        </w:rPr>
        <w:t>标准适用范围</w:t>
      </w:r>
      <w:bookmarkEnd w:id="28"/>
    </w:p>
    <w:p w14:paraId="35CCD270">
      <w:pPr>
        <w:ind w:firstLine="480" w:firstLineChars="200"/>
      </w:pPr>
      <w:r>
        <w:rPr>
          <w:rFonts w:hint="eastAsia"/>
        </w:rPr>
        <w:t>本标准的适用范围涵盖了</w:t>
      </w:r>
      <w:r>
        <w:t xml:space="preserve"> GB18483-2001 </w:t>
      </w:r>
      <w:r>
        <w:rPr>
          <w:rFonts w:hint="eastAsia"/>
        </w:rPr>
        <w:t>中的适用范围，不仅强调对北京市餐饮服务单位的餐饮业大气污染排放管理，同时还增加了对学校和机关单位食堂等非经营性单位内部食堂的大气污染排放管理。此外排放油烟</w:t>
      </w:r>
      <w:r>
        <w:rPr>
          <w:rFonts w:hint="eastAsia" w:ascii="Calibri" w:hAnsi="Calibri"/>
        </w:rPr>
        <w:t>食品生产和加工企业，依照本标准执行。</w:t>
      </w:r>
    </w:p>
    <w:p w14:paraId="0C7EC107">
      <w:pPr>
        <w:ind w:firstLine="480" w:firstLineChars="200"/>
        <w:rPr>
          <w:rFonts w:ascii="Calibri" w:hAnsi="Calibri"/>
        </w:rPr>
      </w:pPr>
      <w:r>
        <w:rPr>
          <w:rFonts w:hint="eastAsia" w:ascii="Calibri" w:hAnsi="Calibri"/>
        </w:rPr>
        <w:t>本标准规定了餐饮业大气污染物的排放控制、监测和检测以及标准的实施与监督要求。</w:t>
      </w:r>
    </w:p>
    <w:p w14:paraId="7D45F8B6">
      <w:pPr>
        <w:ind w:firstLine="480" w:firstLineChars="200"/>
        <w:rPr>
          <w:rFonts w:ascii="Calibri" w:hAnsi="Calibri"/>
        </w:rPr>
      </w:pPr>
      <w:bookmarkStart w:id="29" w:name="_Toc407113758"/>
      <w:bookmarkStart w:id="30" w:name="_Toc407113792"/>
      <w:bookmarkStart w:id="31" w:name="_Toc407113729"/>
      <w:r>
        <w:rPr>
          <w:rFonts w:hint="eastAsia" w:ascii="Calibri" w:hAnsi="Calibri"/>
        </w:rPr>
        <w:t>本标准适用于北京市现有、新建餐饮服务单位的大气污染物排放控制和管理；排放油烟的食品生产和加工企业，依照本标准执行。</w:t>
      </w:r>
      <w:bookmarkEnd w:id="29"/>
      <w:bookmarkEnd w:id="30"/>
      <w:bookmarkEnd w:id="31"/>
    </w:p>
    <w:p w14:paraId="372BAEC9">
      <w:pPr>
        <w:ind w:firstLine="480" w:firstLineChars="200"/>
      </w:pPr>
      <w:r>
        <w:rPr>
          <w:rFonts w:hint="eastAsia"/>
        </w:rPr>
        <w:t>本标准不适用于居民家庭烹饪排放控制。</w:t>
      </w:r>
    </w:p>
    <w:p w14:paraId="5E60F9D5">
      <w:pPr>
        <w:pStyle w:val="3"/>
        <w:numPr>
          <w:numberingChange w:id="20" w:author="刘海英" w:date="2017-09-08T15:13:00Z" w:original="%1:5:0:.%2:4:0:"/>
        </w:numPr>
        <w:spacing w:after="163"/>
      </w:pPr>
      <w:bookmarkStart w:id="32" w:name="_Toc492569879"/>
      <w:r>
        <w:rPr>
          <w:rFonts w:hint="eastAsia"/>
        </w:rPr>
        <w:t>术语及定义</w:t>
      </w:r>
      <w:bookmarkEnd w:id="32"/>
    </w:p>
    <w:p w14:paraId="5E98E7ED">
      <w:pPr>
        <w:ind w:firstLine="480" w:firstLineChars="200"/>
      </w:pPr>
      <w:r>
        <w:t xml:space="preserve">GB18483-2001 </w:t>
      </w:r>
      <w:r>
        <w:rPr>
          <w:rFonts w:hint="eastAsia"/>
        </w:rPr>
        <w:t>定义了标准状态、油烟、城市、饮食业单位、无组织排放、油烟去除效率</w:t>
      </w:r>
      <w:r>
        <w:t>6</w:t>
      </w:r>
      <w:r>
        <w:rPr>
          <w:rFonts w:hint="eastAsia"/>
        </w:rPr>
        <w:t>个术语。本标准对术语及定义分别作了修改、新增、保留和删除，共计</w:t>
      </w:r>
      <w:r>
        <w:t>9</w:t>
      </w:r>
      <w:r>
        <w:rPr>
          <w:rFonts w:hint="eastAsia"/>
        </w:rPr>
        <w:t>个术语。</w:t>
      </w:r>
    </w:p>
    <w:p w14:paraId="1D46A309">
      <w:pPr>
        <w:ind w:firstLine="480" w:firstLineChars="200"/>
      </w:pPr>
      <w:r>
        <w:rPr>
          <w:rFonts w:hint="eastAsia"/>
        </w:rPr>
        <w:t>根据国民经济行业代码（</w:t>
      </w:r>
      <w:r>
        <w:t>GB/T4754-2011</w:t>
      </w:r>
      <w:r>
        <w:rPr>
          <w:rFonts w:hint="eastAsia"/>
        </w:rPr>
        <w:t>）分类中餐饮业（</w:t>
      </w:r>
      <w:r>
        <w:t>H62</w:t>
      </w:r>
      <w:r>
        <w:rPr>
          <w:rFonts w:hint="eastAsia"/>
        </w:rPr>
        <w:t>）的定义并结合《北京市餐饮服务许可管理办法》的定义，将餐饮业定义为</w:t>
      </w:r>
      <w:r>
        <w:rPr>
          <w:rFonts w:hint="eastAsia"/>
          <w:color w:val="000000"/>
        </w:rPr>
        <w:t>指在一定场所，</w:t>
      </w:r>
      <w:r>
        <w:rPr>
          <w:rFonts w:hint="eastAsia"/>
        </w:rPr>
        <w:t>利用餐饮设施对食物进行现场烹饪（包括调制加工），为社会生活提供饮食服务的行业。</w:t>
      </w:r>
    </w:p>
    <w:p w14:paraId="302D7067">
      <w:pPr>
        <w:ind w:firstLine="480" w:firstLineChars="200"/>
      </w:pPr>
      <w:r>
        <w:rPr>
          <w:rFonts w:hint="eastAsia"/>
        </w:rPr>
        <w:t>根据《大气污染防治法》，本标准将餐饮服务单位定义为指提供饮食服务的企业事业单位和其他经营者，并明确了餐饮服务单位的主要类型包括：（一）独立经营的餐饮服务机构；（二）宾馆、酒店、度假村等场所内经营性餐饮部门，（三）设于机关、事业单位、社会团体、民办非企业单位、企业等供应内部职工、学生等集中就餐的单位食堂，（四）中央厨房等集体用餐加工服务机构。</w:t>
      </w:r>
      <w:r>
        <w:rPr>
          <w:rFonts w:hint="eastAsia"/>
          <w:color w:val="000000"/>
          <w:szCs w:val="21"/>
          <w:shd w:val="clear" w:color="auto" w:fill="F8F8F8"/>
        </w:rPr>
        <w:t>本定义</w:t>
      </w:r>
      <w:r>
        <w:rPr>
          <w:rFonts w:hint="eastAsia"/>
        </w:rPr>
        <w:t>更为明确地描述了本标准适用对象的范围。</w:t>
      </w:r>
    </w:p>
    <w:p w14:paraId="75A88C0F">
      <w:pPr>
        <w:ind w:firstLine="480" w:firstLineChars="200"/>
      </w:pPr>
      <w:r>
        <w:rPr>
          <w:rFonts w:hint="eastAsia"/>
        </w:rPr>
        <w:t>本标准在原有国标油烟指标的基础上增加了颗粒物指标，在第二次征求意见稿中名称为“油烟颗粒物”，征求意见反馈中，部分单位存在对二者混淆的情况，为避免与油烟指标混淆，同时为满足环境统计管理要求，与环境统计中颗粒物指标统一，根据</w:t>
      </w:r>
      <w:r>
        <w:t>HJ524</w:t>
      </w:r>
      <w:r>
        <w:rPr>
          <w:rFonts w:hint="eastAsia"/>
        </w:rPr>
        <w:t>中对应的类别，将其名称修改为“颗粒物”，定义保持不变。标准中的“颗粒物是指餐饮服务单位在食物烹饪过程中油脂、各类有机物质经过物理或化学变化形成并排放的液态和固态颗粒物以及烹饪燃料燃烧产生的颗粒物。”</w:t>
      </w:r>
    </w:p>
    <w:p w14:paraId="1E8479C8">
      <w:pPr>
        <w:ind w:firstLine="480" w:firstLineChars="200"/>
      </w:pPr>
      <w:r>
        <w:rPr>
          <w:rFonts w:hint="eastAsia"/>
        </w:rPr>
        <w:t>本标准增加了挥发性有机物（</w:t>
      </w:r>
      <w:r>
        <w:t>VOCs</w:t>
      </w:r>
      <w:r>
        <w:rPr>
          <w:rFonts w:hint="eastAsia"/>
        </w:rPr>
        <w:t>）控制指标，因此，标准中增加了挥发性有机物（</w:t>
      </w:r>
      <w:r>
        <w:t>VOCs</w:t>
      </w:r>
      <w:r>
        <w:rPr>
          <w:rFonts w:hint="eastAsia"/>
        </w:rPr>
        <w:t>）的定义，该定义引用了国标</w:t>
      </w:r>
      <w:r>
        <w:t>GB31570-2015</w:t>
      </w:r>
      <w:r>
        <w:rPr>
          <w:rFonts w:hint="eastAsia"/>
        </w:rPr>
        <w:t>中的定义：“参与大气光化学反应的有机化合物</w:t>
      </w:r>
      <w:r>
        <w:t>,</w:t>
      </w:r>
      <w:r>
        <w:rPr>
          <w:rFonts w:hint="eastAsia"/>
        </w:rPr>
        <w:t>或者根据规定的方法测量或核算确定的有机化合物”。本标准中</w:t>
      </w:r>
      <w:r>
        <w:t>VOCs</w:t>
      </w:r>
      <w:r>
        <w:rPr>
          <w:rFonts w:hint="eastAsia"/>
        </w:rPr>
        <w:t>特指食物烹饪、加工过程中油脂、有机质挥发、氧化分解及其加热裂解产生的气态产物。</w:t>
      </w:r>
    </w:p>
    <w:p w14:paraId="10ED14BA">
      <w:pPr>
        <w:ind w:firstLine="480" w:firstLineChars="200"/>
      </w:pPr>
      <w:r>
        <w:rPr>
          <w:rFonts w:hint="eastAsia"/>
        </w:rPr>
        <w:t>本标准拟采用</w:t>
      </w:r>
      <w:r>
        <w:t>HJ/T 38</w:t>
      </w:r>
      <w:r>
        <w:rPr>
          <w:rFonts w:hint="eastAsia"/>
        </w:rPr>
        <w:t>和</w:t>
      </w:r>
      <w:r>
        <w:rPr>
          <w:szCs w:val="24"/>
        </w:rPr>
        <w:t xml:space="preserve"> DB11/T 1367</w:t>
      </w:r>
      <w:r>
        <w:rPr>
          <w:rFonts w:hint="eastAsia"/>
        </w:rPr>
        <w:t>规定的监测方法，使用“非甲烷总烃（</w:t>
      </w:r>
      <w:r>
        <w:t>NMHC</w:t>
      </w:r>
      <w:r>
        <w:rPr>
          <w:rFonts w:hint="eastAsia"/>
        </w:rPr>
        <w:t>）”作为</w:t>
      </w:r>
      <w:r>
        <w:t>VOCs</w:t>
      </w:r>
      <w:r>
        <w:rPr>
          <w:rFonts w:hint="eastAsia"/>
        </w:rPr>
        <w:t>的综合控制指标，因此新增了非甲烷总烃的定义。</w:t>
      </w:r>
    </w:p>
    <w:p w14:paraId="3FD6005D">
      <w:pPr>
        <w:ind w:firstLine="480" w:firstLineChars="200"/>
      </w:pPr>
      <w:r>
        <w:rPr>
          <w:rFonts w:hint="eastAsia"/>
        </w:rPr>
        <w:t>本标准中提出餐饮服务单位应根据其规模、主要污染物及初始排放浓度，选择相应去除效率的净化设施，因此，标准增加了</w:t>
      </w:r>
      <w:r>
        <w:t>“</w:t>
      </w:r>
      <w:r>
        <w:rPr>
          <w:rFonts w:hint="eastAsia"/>
        </w:rPr>
        <w:t>污染物去除效率</w:t>
      </w:r>
      <w:r>
        <w:t>”</w:t>
      </w:r>
      <w:r>
        <w:rPr>
          <w:rFonts w:hint="eastAsia"/>
        </w:rPr>
        <w:t>的定义：</w:t>
      </w:r>
      <w:r>
        <w:t>“</w:t>
      </w:r>
      <w:r>
        <w:rPr>
          <w:rFonts w:hint="eastAsia"/>
        </w:rPr>
        <w:t>指经净化设施处理后，被去除的污染物质量对净化前的污染物质量之比值，以百分率计。</w:t>
      </w:r>
      <w:r>
        <w:t>”</w:t>
      </w:r>
    </w:p>
    <w:p w14:paraId="6CE5CBF8">
      <w:pPr>
        <w:ind w:firstLine="480" w:firstLineChars="200"/>
      </w:pPr>
    </w:p>
    <w:p w14:paraId="3C7D1C5C">
      <w:pPr>
        <w:ind w:firstLine="480" w:firstLineChars="200"/>
      </w:pPr>
      <w:r>
        <w:rPr>
          <w:rFonts w:hint="eastAsia"/>
        </w:rPr>
        <w:t>标准状态的定义与</w:t>
      </w:r>
      <w:r>
        <w:t xml:space="preserve">GB18483-2001 </w:t>
      </w:r>
      <w:r>
        <w:rPr>
          <w:rFonts w:hint="eastAsia"/>
        </w:rPr>
        <w:t>保持一致，增加了现有污染源和新建污染源的定义。</w:t>
      </w:r>
    </w:p>
    <w:p w14:paraId="20799A91">
      <w:pPr>
        <w:ind w:firstLine="480" w:firstLineChars="200"/>
      </w:pPr>
      <w:r>
        <w:rPr>
          <w:rFonts w:hint="eastAsia"/>
        </w:rPr>
        <w:t>由于北京属于</w:t>
      </w:r>
      <w:r>
        <w:t xml:space="preserve"> GB18483-2001 </w:t>
      </w:r>
      <w:r>
        <w:rPr>
          <w:rFonts w:hint="eastAsia"/>
        </w:rPr>
        <w:t>中的城市，故本标准删除了城市的定义。</w:t>
      </w:r>
    </w:p>
    <w:p w14:paraId="18CAAB7E">
      <w:pPr>
        <w:pStyle w:val="3"/>
        <w:numPr>
          <w:numberingChange w:id="21" w:author="刘海英" w:date="2017-09-08T15:13:00Z" w:original="%1:5:0:.%2:5:0:"/>
        </w:numPr>
        <w:spacing w:after="163"/>
      </w:pPr>
      <w:bookmarkStart w:id="33" w:name="_Toc492569880"/>
      <w:r>
        <w:rPr>
          <w:rFonts w:hint="eastAsia"/>
        </w:rPr>
        <w:t>时段划分</w:t>
      </w:r>
      <w:bookmarkEnd w:id="33"/>
    </w:p>
    <w:p w14:paraId="36A2CD38">
      <w:pPr>
        <w:ind w:firstLine="480" w:firstLineChars="200"/>
      </w:pPr>
      <w:r>
        <w:rPr>
          <w:rFonts w:hint="eastAsia"/>
        </w:rPr>
        <w:t>本标准拟将现有餐饮服务单位和新建餐饮服务单位均按Ⅰ、Ⅱ两个时段分别执行，</w:t>
      </w:r>
      <w:r>
        <w:rPr>
          <w:rFonts w:hint="eastAsia" w:ascii="宋体" w:hAnsi="宋体"/>
        </w:rPr>
        <w:t>从本标准的发布之日（拟于</w:t>
      </w:r>
      <w:r>
        <w:rPr>
          <w:rFonts w:ascii="宋体" w:hAnsi="宋体"/>
        </w:rPr>
        <w:t>2018</w:t>
      </w:r>
      <w:r>
        <w:rPr>
          <w:rFonts w:hint="eastAsia" w:ascii="宋体" w:hAnsi="宋体"/>
        </w:rPr>
        <w:t>年</w:t>
      </w:r>
      <w:r>
        <w:rPr>
          <w:rFonts w:ascii="宋体" w:hAnsi="宋体"/>
        </w:rPr>
        <w:t>1</w:t>
      </w:r>
      <w:r>
        <w:rPr>
          <w:rFonts w:hint="eastAsia" w:ascii="宋体" w:hAnsi="宋体"/>
        </w:rPr>
        <w:t>月</w:t>
      </w:r>
      <w:r>
        <w:rPr>
          <w:rFonts w:ascii="宋体" w:hAnsi="宋体"/>
        </w:rPr>
        <w:t>1</w:t>
      </w:r>
      <w:r>
        <w:rPr>
          <w:rFonts w:hint="eastAsia" w:ascii="宋体" w:hAnsi="宋体"/>
        </w:rPr>
        <w:t>日）起新建餐饮服务单位执行第</w:t>
      </w:r>
      <w:r>
        <w:rPr>
          <w:rFonts w:ascii="宋体" w:hAnsi="宋体"/>
        </w:rPr>
        <w:t>I</w:t>
      </w:r>
      <w:r>
        <w:rPr>
          <w:rFonts w:hint="eastAsia" w:ascii="宋体" w:hAnsi="宋体"/>
        </w:rPr>
        <w:t>时段的排放限值；从本标准的实施之日（拟于</w:t>
      </w:r>
      <w:r>
        <w:rPr>
          <w:rFonts w:ascii="宋体" w:hAnsi="宋体"/>
        </w:rPr>
        <w:t>2018</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日）起现有餐饮服务单位执行第</w:t>
      </w:r>
      <w:r>
        <w:rPr>
          <w:rFonts w:ascii="宋体" w:hAnsi="宋体"/>
        </w:rPr>
        <w:t>I</w:t>
      </w:r>
      <w:r>
        <w:rPr>
          <w:rFonts w:hint="eastAsia" w:ascii="宋体" w:hAnsi="宋体"/>
        </w:rPr>
        <w:t>时段的排放限值；自</w:t>
      </w:r>
      <w:r>
        <w:rPr>
          <w:rFonts w:ascii="宋体" w:hAnsi="宋体"/>
        </w:rPr>
        <w:t>2019</w:t>
      </w:r>
      <w:r>
        <w:rPr>
          <w:rFonts w:hint="eastAsia" w:ascii="宋体" w:hAnsi="宋体"/>
        </w:rPr>
        <w:t>年</w:t>
      </w:r>
      <w:r>
        <w:rPr>
          <w:rFonts w:ascii="宋体" w:hAnsi="宋体"/>
        </w:rPr>
        <w:t>7</w:t>
      </w:r>
      <w:r>
        <w:rPr>
          <w:rFonts w:hint="eastAsia" w:ascii="宋体" w:hAnsi="宋体"/>
        </w:rPr>
        <w:t>月</w:t>
      </w:r>
      <w:r>
        <w:rPr>
          <w:rFonts w:ascii="宋体" w:hAnsi="宋体"/>
        </w:rPr>
        <w:t>1</w:t>
      </w:r>
      <w:r>
        <w:rPr>
          <w:rFonts w:hint="eastAsia" w:ascii="宋体" w:hAnsi="宋体"/>
        </w:rPr>
        <w:t>日起现有和新建餐饮服务单位均执行第</w:t>
      </w:r>
      <w:r>
        <w:rPr>
          <w:rFonts w:ascii="宋体" w:hAnsi="宋体"/>
        </w:rPr>
        <w:t>II</w:t>
      </w:r>
      <w:r>
        <w:rPr>
          <w:rFonts w:hint="eastAsia" w:ascii="宋体" w:hAnsi="宋体"/>
        </w:rPr>
        <w:t>时段的排放限值。</w:t>
      </w:r>
    </w:p>
    <w:p w14:paraId="7A05C1C4">
      <w:pPr>
        <w:ind w:firstLine="480" w:firstLineChars="200"/>
        <w:rPr>
          <w:color w:val="FF0000"/>
        </w:rPr>
      </w:pPr>
      <w:r>
        <w:rPr>
          <w:rFonts w:hint="eastAsia"/>
        </w:rPr>
        <w:t>本标准在国标油烟指标的基础上，增加了颗粒物和挥发性有机物（</w:t>
      </w:r>
      <w:r>
        <w:t>VOCs</w:t>
      </w:r>
      <w:r>
        <w:rPr>
          <w:rFonts w:hint="eastAsia"/>
        </w:rPr>
        <w:t>）控制指标。标准规定油烟的排放限值从国标的</w:t>
      </w:r>
      <w:r>
        <w:t>2.0mg/m</w:t>
      </w:r>
      <w:r>
        <w:rPr>
          <w:vertAlign w:val="superscript"/>
        </w:rPr>
        <w:t>3</w:t>
      </w:r>
      <w:r>
        <w:rPr>
          <w:rFonts w:hint="eastAsia"/>
        </w:rPr>
        <w:t>加严到</w:t>
      </w:r>
      <w:r>
        <w:t>1.0mg/m</w:t>
      </w:r>
      <w:r>
        <w:rPr>
          <w:vertAlign w:val="superscript"/>
        </w:rPr>
        <w:t>3</w:t>
      </w:r>
      <w:r>
        <w:rPr>
          <w:rFonts w:hint="eastAsia"/>
        </w:rPr>
        <w:t>，颗粒物和挥发性有机物的排放限值从无到有。部分现有的净化设施对颗粒物的去除效率稳定性不够，对</w:t>
      </w:r>
      <w:r>
        <w:t>VOCs</w:t>
      </w:r>
      <w:r>
        <w:rPr>
          <w:rFonts w:hint="eastAsia"/>
        </w:rPr>
        <w:t>的去除效率较差。为遵循循序渐进、有步骤、有计划地逐步改善北京市餐饮服务单位大气污染物的排放状况，根据部分单位要求适当延长标准过渡期的意见和建议，综合考虑多种因素，标准中延长了餐饮服务单位整改时间、净化设施生产企业研发餐饮</w:t>
      </w:r>
      <w:r>
        <w:t>VOCs</w:t>
      </w:r>
      <w:r>
        <w:rPr>
          <w:rFonts w:hint="eastAsia"/>
        </w:rPr>
        <w:t>防治技术和设施的时间。</w:t>
      </w:r>
    </w:p>
    <w:p w14:paraId="3EFAD1C1">
      <w:pPr>
        <w:pStyle w:val="3"/>
        <w:numPr>
          <w:numberingChange w:id="22" w:author="刘海英" w:date="2017-09-08T15:13:00Z" w:original="%1:5:0:.%2:6:0:"/>
        </w:numPr>
        <w:spacing w:after="163"/>
        <w:ind w:left="578" w:hanging="578"/>
      </w:pPr>
      <w:bookmarkStart w:id="34" w:name="_Toc492569881"/>
      <w:r>
        <w:rPr>
          <w:rFonts w:hint="eastAsia"/>
        </w:rPr>
        <w:t>餐饮服务单位规模的划分</w:t>
      </w:r>
      <w:bookmarkEnd w:id="34"/>
    </w:p>
    <w:p w14:paraId="059B74CA">
      <w:pPr>
        <w:ind w:firstLine="480" w:firstLineChars="200"/>
      </w:pPr>
      <w:r>
        <w:rPr>
          <w:rFonts w:hint="eastAsia"/>
        </w:rPr>
        <w:t>餐饮服务企业的规模划分主要依据</w:t>
      </w:r>
      <w:r>
        <w:t xml:space="preserve"> GB18483-2001 </w:t>
      </w:r>
      <w:r>
        <w:rPr>
          <w:rFonts w:hint="eastAsia"/>
        </w:rPr>
        <w:t>中的分类方法根据基准灶头数划分，基准灶头数按灶的总发热功率或排气罩灶面投影总面积折算。每个基准灶头对应的发热功率为</w:t>
      </w:r>
      <w:r>
        <w:t>1.67</w:t>
      </w:r>
      <w:r>
        <w:rPr>
          <w:rFonts w:hint="eastAsia"/>
        </w:rPr>
        <w:t>×</w:t>
      </w:r>
      <w:r>
        <w:t>10</w:t>
      </w:r>
      <w:r>
        <w:rPr>
          <w:vertAlign w:val="superscript"/>
        </w:rPr>
        <w:t>8</w:t>
      </w:r>
      <w:r>
        <w:t>J/h</w:t>
      </w:r>
      <w:r>
        <w:rPr>
          <w:rFonts w:hint="eastAsia"/>
        </w:rPr>
        <w:t>，对应的排气罩灶面投影面积为</w:t>
      </w:r>
      <w:r>
        <w:t>1.1m</w:t>
      </w:r>
      <w:r>
        <w:rPr>
          <w:vertAlign w:val="superscript"/>
        </w:rPr>
        <w:t>2</w:t>
      </w:r>
      <w:r>
        <w:rPr>
          <w:rFonts w:hint="eastAsia"/>
        </w:rPr>
        <w:t>。北京市食品药品监督管理局颁发的《北京市餐饮服务许可管理办法（试行）》对餐饮服务单位的规模也进行了划分，其主要是以经营场所使用面积和就餐座位数来划分。北京市餐饮业排放量计算的活动水平和规模的划分也是按照食药监局的《餐饮服务许可管理办法》的规定分类的。因此，为与《餐饮服务许可管理办法（试行）》接轨，方便评估餐饮企业的排放情况，本标准依据《北京市餐饮服务许可管理办法（试行）》的规定，增加了以经营场所使用面积和就餐座位数来划分规模的方法，具体划分参数见表</w:t>
      </w:r>
      <w:r>
        <w:t>5-1</w:t>
      </w:r>
      <w:r>
        <w:rPr>
          <w:rFonts w:hint="eastAsia"/>
        </w:rPr>
        <w:t>。</w:t>
      </w:r>
    </w:p>
    <w:p w14:paraId="341BCB12">
      <w:pPr>
        <w:ind w:firstLine="480" w:firstLineChars="200"/>
        <w:jc w:val="center"/>
      </w:pPr>
      <w:r>
        <w:rPr>
          <w:rFonts w:hint="eastAsia"/>
        </w:rPr>
        <w:t>表</w:t>
      </w:r>
      <w:r>
        <w:t xml:space="preserve">5-1  </w:t>
      </w:r>
      <w:r>
        <w:rPr>
          <w:rFonts w:hint="eastAsia"/>
        </w:rPr>
        <w:t>餐饮服务单位的规模划分</w:t>
      </w:r>
    </w:p>
    <w:tbl>
      <w:tblPr>
        <w:tblStyle w:val="1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8"/>
        <w:gridCol w:w="2127"/>
        <w:gridCol w:w="2126"/>
        <w:gridCol w:w="1601"/>
      </w:tblGrid>
      <w:tr w14:paraId="202E5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8" w:type="dxa"/>
            <w:vAlign w:val="center"/>
          </w:tcPr>
          <w:p w14:paraId="7DC7E269">
            <w:pPr>
              <w:pStyle w:val="32"/>
              <w:ind w:firstLine="0" w:firstLineChars="0"/>
              <w:jc w:val="center"/>
              <w:rPr>
                <w:rFonts w:ascii="宋体"/>
                <w:kern w:val="0"/>
                <w:sz w:val="21"/>
                <w:szCs w:val="21"/>
              </w:rPr>
            </w:pPr>
            <w:r>
              <w:rPr>
                <w:rFonts w:hint="eastAsia" w:ascii="宋体"/>
                <w:kern w:val="0"/>
                <w:sz w:val="21"/>
                <w:szCs w:val="21"/>
              </w:rPr>
              <w:t>规模</w:t>
            </w:r>
          </w:p>
        </w:tc>
        <w:tc>
          <w:tcPr>
            <w:tcW w:w="2127" w:type="dxa"/>
            <w:vAlign w:val="center"/>
          </w:tcPr>
          <w:p w14:paraId="374FB02F">
            <w:pPr>
              <w:pStyle w:val="32"/>
              <w:ind w:firstLine="0" w:firstLineChars="0"/>
              <w:jc w:val="center"/>
              <w:rPr>
                <w:rFonts w:ascii="宋体"/>
                <w:kern w:val="0"/>
                <w:sz w:val="21"/>
                <w:szCs w:val="21"/>
              </w:rPr>
            </w:pPr>
            <w:r>
              <w:rPr>
                <w:rFonts w:hint="eastAsia" w:ascii="宋体"/>
                <w:kern w:val="0"/>
                <w:sz w:val="21"/>
                <w:szCs w:val="21"/>
              </w:rPr>
              <w:t>小型</w:t>
            </w:r>
          </w:p>
        </w:tc>
        <w:tc>
          <w:tcPr>
            <w:tcW w:w="2126" w:type="dxa"/>
            <w:vAlign w:val="center"/>
          </w:tcPr>
          <w:p w14:paraId="3C0AE43A">
            <w:pPr>
              <w:pStyle w:val="32"/>
              <w:ind w:firstLine="0" w:firstLineChars="0"/>
              <w:jc w:val="center"/>
              <w:rPr>
                <w:rFonts w:ascii="宋体"/>
                <w:kern w:val="0"/>
                <w:sz w:val="21"/>
                <w:szCs w:val="21"/>
              </w:rPr>
            </w:pPr>
            <w:r>
              <w:rPr>
                <w:rFonts w:hint="eastAsia" w:ascii="宋体"/>
                <w:kern w:val="0"/>
                <w:sz w:val="21"/>
                <w:szCs w:val="21"/>
              </w:rPr>
              <w:t>中型</w:t>
            </w:r>
          </w:p>
        </w:tc>
        <w:tc>
          <w:tcPr>
            <w:tcW w:w="1601" w:type="dxa"/>
            <w:vAlign w:val="center"/>
          </w:tcPr>
          <w:p w14:paraId="294D8637">
            <w:pPr>
              <w:pStyle w:val="32"/>
              <w:ind w:firstLine="0" w:firstLineChars="0"/>
              <w:jc w:val="center"/>
              <w:rPr>
                <w:rFonts w:ascii="宋体"/>
                <w:kern w:val="0"/>
                <w:sz w:val="21"/>
                <w:szCs w:val="21"/>
              </w:rPr>
            </w:pPr>
            <w:r>
              <w:rPr>
                <w:rFonts w:hint="eastAsia" w:ascii="宋体"/>
                <w:kern w:val="0"/>
                <w:sz w:val="21"/>
                <w:szCs w:val="21"/>
              </w:rPr>
              <w:t>大型</w:t>
            </w:r>
          </w:p>
        </w:tc>
      </w:tr>
      <w:tr w14:paraId="166BA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8" w:type="dxa"/>
            <w:vAlign w:val="center"/>
          </w:tcPr>
          <w:p w14:paraId="29FAE74E">
            <w:pPr>
              <w:pStyle w:val="32"/>
              <w:ind w:firstLine="0" w:firstLineChars="0"/>
              <w:jc w:val="center"/>
              <w:rPr>
                <w:rFonts w:ascii="宋体"/>
                <w:kern w:val="0"/>
                <w:sz w:val="21"/>
                <w:szCs w:val="21"/>
              </w:rPr>
            </w:pPr>
            <w:r>
              <w:rPr>
                <w:rFonts w:hint="eastAsia" w:ascii="宋体"/>
                <w:kern w:val="0"/>
                <w:sz w:val="21"/>
                <w:szCs w:val="21"/>
              </w:rPr>
              <w:t>基准灶头数</w:t>
            </w:r>
          </w:p>
        </w:tc>
        <w:tc>
          <w:tcPr>
            <w:tcW w:w="2127" w:type="dxa"/>
            <w:vAlign w:val="center"/>
          </w:tcPr>
          <w:p w14:paraId="6DE0AE8B">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1</w:t>
            </w:r>
            <w:r>
              <w:rPr>
                <w:rFonts w:hint="eastAsia" w:ascii="宋体"/>
                <w:kern w:val="0"/>
                <w:sz w:val="21"/>
                <w:szCs w:val="21"/>
              </w:rPr>
              <w:t>，＜</w:t>
            </w:r>
            <w:r>
              <w:rPr>
                <w:rFonts w:ascii="宋体"/>
                <w:kern w:val="0"/>
                <w:sz w:val="21"/>
                <w:szCs w:val="21"/>
              </w:rPr>
              <w:t>3</w:t>
            </w:r>
          </w:p>
        </w:tc>
        <w:tc>
          <w:tcPr>
            <w:tcW w:w="2126" w:type="dxa"/>
            <w:vAlign w:val="center"/>
          </w:tcPr>
          <w:p w14:paraId="5FDC79B0">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3</w:t>
            </w:r>
            <w:r>
              <w:rPr>
                <w:rFonts w:hint="eastAsia" w:ascii="宋体"/>
                <w:kern w:val="0"/>
                <w:sz w:val="21"/>
                <w:szCs w:val="21"/>
              </w:rPr>
              <w:t>，＜</w:t>
            </w:r>
            <w:r>
              <w:rPr>
                <w:rFonts w:ascii="宋体"/>
                <w:kern w:val="0"/>
                <w:sz w:val="21"/>
                <w:szCs w:val="21"/>
              </w:rPr>
              <w:t>6</w:t>
            </w:r>
          </w:p>
        </w:tc>
        <w:tc>
          <w:tcPr>
            <w:tcW w:w="1601" w:type="dxa"/>
            <w:vAlign w:val="center"/>
          </w:tcPr>
          <w:p w14:paraId="4E27B650">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6</w:t>
            </w:r>
          </w:p>
        </w:tc>
      </w:tr>
      <w:tr w14:paraId="7237F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8" w:type="dxa"/>
            <w:vAlign w:val="center"/>
          </w:tcPr>
          <w:p w14:paraId="68448705">
            <w:pPr>
              <w:pStyle w:val="32"/>
              <w:ind w:firstLine="0" w:firstLineChars="0"/>
              <w:jc w:val="center"/>
              <w:rPr>
                <w:rFonts w:ascii="宋体"/>
                <w:kern w:val="0"/>
                <w:sz w:val="21"/>
                <w:szCs w:val="21"/>
              </w:rPr>
            </w:pPr>
            <w:r>
              <w:rPr>
                <w:rFonts w:hint="eastAsia" w:ascii="宋体"/>
                <w:kern w:val="0"/>
                <w:sz w:val="21"/>
                <w:szCs w:val="21"/>
              </w:rPr>
              <w:t>对应灶头总功率（</w:t>
            </w:r>
            <w:r>
              <w:rPr>
                <w:rFonts w:ascii="宋体"/>
                <w:kern w:val="0"/>
                <w:sz w:val="21"/>
                <w:szCs w:val="21"/>
              </w:rPr>
              <w:t>10</w:t>
            </w:r>
            <w:r>
              <w:rPr>
                <w:rFonts w:ascii="宋体"/>
                <w:kern w:val="0"/>
                <w:sz w:val="21"/>
                <w:szCs w:val="21"/>
                <w:vertAlign w:val="superscript"/>
              </w:rPr>
              <w:t>8</w:t>
            </w:r>
            <w:r>
              <w:rPr>
                <w:rFonts w:ascii="宋体"/>
                <w:kern w:val="0"/>
                <w:sz w:val="21"/>
                <w:szCs w:val="21"/>
              </w:rPr>
              <w:t>J/h</w:t>
            </w:r>
            <w:r>
              <w:rPr>
                <w:rFonts w:hint="eastAsia" w:ascii="宋体"/>
                <w:kern w:val="0"/>
                <w:sz w:val="21"/>
                <w:szCs w:val="21"/>
              </w:rPr>
              <w:t>）</w:t>
            </w:r>
          </w:p>
        </w:tc>
        <w:tc>
          <w:tcPr>
            <w:tcW w:w="2127" w:type="dxa"/>
            <w:vAlign w:val="center"/>
          </w:tcPr>
          <w:p w14:paraId="44E7E5A3">
            <w:pPr>
              <w:pStyle w:val="32"/>
              <w:ind w:firstLine="0" w:firstLineChars="0"/>
              <w:jc w:val="center"/>
              <w:rPr>
                <w:rFonts w:ascii="宋体"/>
                <w:kern w:val="0"/>
                <w:sz w:val="21"/>
                <w:szCs w:val="21"/>
              </w:rPr>
            </w:pPr>
            <w:r>
              <w:rPr>
                <w:rFonts w:ascii="宋体"/>
                <w:kern w:val="0"/>
                <w:sz w:val="21"/>
                <w:szCs w:val="21"/>
              </w:rPr>
              <w:t>1.67</w:t>
            </w:r>
            <w:r>
              <w:rPr>
                <w:rFonts w:hint="eastAsia" w:ascii="宋体"/>
                <w:kern w:val="0"/>
                <w:sz w:val="21"/>
                <w:szCs w:val="21"/>
              </w:rPr>
              <w:t>，＜</w:t>
            </w:r>
            <w:r>
              <w:rPr>
                <w:rFonts w:ascii="宋体"/>
                <w:kern w:val="0"/>
                <w:sz w:val="21"/>
                <w:szCs w:val="21"/>
              </w:rPr>
              <w:t>5.00</w:t>
            </w:r>
          </w:p>
        </w:tc>
        <w:tc>
          <w:tcPr>
            <w:tcW w:w="2126" w:type="dxa"/>
            <w:vAlign w:val="center"/>
          </w:tcPr>
          <w:p w14:paraId="096DC498">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5</w:t>
            </w:r>
            <w:r>
              <w:rPr>
                <w:rFonts w:hint="eastAsia" w:ascii="宋体"/>
                <w:kern w:val="0"/>
                <w:sz w:val="21"/>
                <w:szCs w:val="21"/>
              </w:rPr>
              <w:t>，＜</w:t>
            </w:r>
            <w:r>
              <w:rPr>
                <w:rFonts w:ascii="宋体"/>
                <w:kern w:val="0"/>
                <w:sz w:val="21"/>
                <w:szCs w:val="21"/>
              </w:rPr>
              <w:t>10</w:t>
            </w:r>
          </w:p>
        </w:tc>
        <w:tc>
          <w:tcPr>
            <w:tcW w:w="1601" w:type="dxa"/>
            <w:vAlign w:val="center"/>
          </w:tcPr>
          <w:p w14:paraId="7AE2959F">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10</w:t>
            </w:r>
          </w:p>
        </w:tc>
      </w:tr>
      <w:tr w14:paraId="560A6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18" w:type="dxa"/>
            <w:vAlign w:val="center"/>
          </w:tcPr>
          <w:p w14:paraId="0A74C008">
            <w:pPr>
              <w:pStyle w:val="32"/>
              <w:ind w:firstLine="0" w:firstLineChars="0"/>
              <w:jc w:val="center"/>
              <w:rPr>
                <w:rFonts w:ascii="宋体"/>
                <w:kern w:val="0"/>
                <w:sz w:val="21"/>
                <w:szCs w:val="21"/>
              </w:rPr>
            </w:pPr>
            <w:r>
              <w:rPr>
                <w:rFonts w:hint="eastAsia" w:ascii="宋体"/>
                <w:kern w:val="0"/>
                <w:sz w:val="21"/>
                <w:szCs w:val="21"/>
              </w:rPr>
              <w:t>对应排气罩灶面总投影面积（</w:t>
            </w:r>
            <w:r>
              <w:rPr>
                <w:rFonts w:ascii="宋体"/>
                <w:kern w:val="0"/>
                <w:sz w:val="21"/>
                <w:szCs w:val="21"/>
              </w:rPr>
              <w:t>m</w:t>
            </w:r>
            <w:r>
              <w:rPr>
                <w:rFonts w:ascii="宋体"/>
                <w:kern w:val="0"/>
                <w:sz w:val="21"/>
                <w:szCs w:val="21"/>
                <w:vertAlign w:val="superscript"/>
              </w:rPr>
              <w:t>2</w:t>
            </w:r>
            <w:r>
              <w:rPr>
                <w:rFonts w:hint="eastAsia" w:ascii="宋体"/>
                <w:kern w:val="0"/>
                <w:sz w:val="21"/>
                <w:szCs w:val="21"/>
              </w:rPr>
              <w:t>）</w:t>
            </w:r>
          </w:p>
        </w:tc>
        <w:tc>
          <w:tcPr>
            <w:tcW w:w="2127" w:type="dxa"/>
            <w:vAlign w:val="center"/>
          </w:tcPr>
          <w:p w14:paraId="1F518853">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1.1</w:t>
            </w:r>
            <w:r>
              <w:rPr>
                <w:rFonts w:hint="eastAsia" w:ascii="宋体"/>
                <w:kern w:val="0"/>
                <w:sz w:val="21"/>
                <w:szCs w:val="21"/>
              </w:rPr>
              <w:t>，＜</w:t>
            </w:r>
            <w:r>
              <w:rPr>
                <w:rFonts w:ascii="宋体"/>
                <w:kern w:val="0"/>
                <w:sz w:val="21"/>
                <w:szCs w:val="21"/>
              </w:rPr>
              <w:t>3.3</w:t>
            </w:r>
          </w:p>
        </w:tc>
        <w:tc>
          <w:tcPr>
            <w:tcW w:w="2126" w:type="dxa"/>
            <w:vAlign w:val="center"/>
          </w:tcPr>
          <w:p w14:paraId="38368E19">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3.3</w:t>
            </w:r>
            <w:r>
              <w:rPr>
                <w:rFonts w:hint="eastAsia" w:ascii="宋体"/>
                <w:kern w:val="0"/>
                <w:sz w:val="21"/>
                <w:szCs w:val="21"/>
              </w:rPr>
              <w:t>，＜</w:t>
            </w:r>
            <w:r>
              <w:rPr>
                <w:rFonts w:ascii="宋体"/>
                <w:kern w:val="0"/>
                <w:sz w:val="21"/>
                <w:szCs w:val="21"/>
              </w:rPr>
              <w:t>6.6</w:t>
            </w:r>
          </w:p>
        </w:tc>
        <w:tc>
          <w:tcPr>
            <w:tcW w:w="1601" w:type="dxa"/>
            <w:vAlign w:val="center"/>
          </w:tcPr>
          <w:p w14:paraId="1C2F0425">
            <w:pPr>
              <w:pStyle w:val="32"/>
              <w:ind w:firstLine="0" w:firstLineChars="0"/>
              <w:jc w:val="center"/>
              <w:rPr>
                <w:rFonts w:ascii="宋体"/>
                <w:kern w:val="0"/>
                <w:sz w:val="21"/>
                <w:szCs w:val="21"/>
              </w:rPr>
            </w:pPr>
            <w:r>
              <w:rPr>
                <w:rFonts w:hint="eastAsia" w:ascii="宋体"/>
                <w:kern w:val="0"/>
                <w:sz w:val="21"/>
                <w:szCs w:val="21"/>
              </w:rPr>
              <w:t>≥</w:t>
            </w:r>
            <w:r>
              <w:rPr>
                <w:rFonts w:ascii="宋体"/>
                <w:kern w:val="0"/>
                <w:sz w:val="21"/>
                <w:szCs w:val="21"/>
              </w:rPr>
              <w:t>6.6</w:t>
            </w:r>
          </w:p>
        </w:tc>
      </w:tr>
      <w:tr w14:paraId="10B0B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jc w:val="center"/>
        </w:trPr>
        <w:tc>
          <w:tcPr>
            <w:tcW w:w="3218" w:type="dxa"/>
            <w:vAlign w:val="center"/>
          </w:tcPr>
          <w:p w14:paraId="344BD41E">
            <w:pPr>
              <w:pStyle w:val="32"/>
              <w:ind w:firstLine="0" w:firstLineChars="0"/>
              <w:jc w:val="center"/>
              <w:rPr>
                <w:rFonts w:ascii="宋体"/>
                <w:kern w:val="0"/>
                <w:sz w:val="21"/>
                <w:szCs w:val="21"/>
              </w:rPr>
            </w:pPr>
            <w:r>
              <w:rPr>
                <w:rFonts w:hint="eastAsia" w:ascii="宋体"/>
                <w:kern w:val="0"/>
                <w:sz w:val="21"/>
                <w:szCs w:val="21"/>
              </w:rPr>
              <w:t>经营场所使用面积（</w:t>
            </w:r>
            <w:r>
              <w:rPr>
                <w:rFonts w:ascii="宋体"/>
                <w:kern w:val="0"/>
                <w:sz w:val="21"/>
                <w:szCs w:val="21"/>
              </w:rPr>
              <w:t>m2</w:t>
            </w:r>
            <w:r>
              <w:rPr>
                <w:rFonts w:hint="eastAsia" w:ascii="宋体"/>
                <w:kern w:val="0"/>
                <w:sz w:val="21"/>
                <w:szCs w:val="21"/>
              </w:rPr>
              <w:t>）</w:t>
            </w:r>
          </w:p>
        </w:tc>
        <w:tc>
          <w:tcPr>
            <w:tcW w:w="2127" w:type="dxa"/>
            <w:vAlign w:val="center"/>
          </w:tcPr>
          <w:p w14:paraId="735565E9">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150</w:t>
            </w:r>
          </w:p>
        </w:tc>
        <w:tc>
          <w:tcPr>
            <w:tcW w:w="2126" w:type="dxa"/>
            <w:vAlign w:val="center"/>
          </w:tcPr>
          <w:p w14:paraId="69DC7F24">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150</w:t>
            </w:r>
            <w:r>
              <w:rPr>
                <w:rFonts w:hint="eastAsia" w:ascii="宋体"/>
                <w:kern w:val="0"/>
                <w:sz w:val="21"/>
                <w:szCs w:val="21"/>
              </w:rPr>
              <w:t>，</w:t>
            </w:r>
            <w:r>
              <w:rPr>
                <w:rFonts w:hint="eastAsia"/>
                <w:sz w:val="21"/>
                <w:szCs w:val="21"/>
              </w:rPr>
              <w:t>≤</w:t>
            </w:r>
            <w:r>
              <w:rPr>
                <w:rFonts w:ascii="宋体"/>
                <w:kern w:val="0"/>
                <w:sz w:val="21"/>
                <w:szCs w:val="21"/>
              </w:rPr>
              <w:t>500</w:t>
            </w:r>
          </w:p>
        </w:tc>
        <w:tc>
          <w:tcPr>
            <w:tcW w:w="1601" w:type="dxa"/>
            <w:vAlign w:val="center"/>
          </w:tcPr>
          <w:p w14:paraId="61B064AB">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500</w:t>
            </w:r>
          </w:p>
        </w:tc>
      </w:tr>
      <w:tr w14:paraId="30C76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 w:hRule="atLeast"/>
          <w:jc w:val="center"/>
        </w:trPr>
        <w:tc>
          <w:tcPr>
            <w:tcW w:w="3218" w:type="dxa"/>
            <w:vAlign w:val="center"/>
          </w:tcPr>
          <w:p w14:paraId="3163B68D">
            <w:pPr>
              <w:pStyle w:val="32"/>
              <w:ind w:firstLine="0" w:firstLineChars="0"/>
              <w:jc w:val="center"/>
              <w:rPr>
                <w:rFonts w:ascii="宋体"/>
                <w:kern w:val="0"/>
                <w:sz w:val="21"/>
                <w:szCs w:val="21"/>
              </w:rPr>
            </w:pPr>
            <w:r>
              <w:rPr>
                <w:rFonts w:hint="eastAsia" w:ascii="宋体"/>
                <w:kern w:val="0"/>
                <w:sz w:val="21"/>
                <w:szCs w:val="21"/>
              </w:rPr>
              <w:t>就餐座位数（座）</w:t>
            </w:r>
          </w:p>
        </w:tc>
        <w:tc>
          <w:tcPr>
            <w:tcW w:w="2127" w:type="dxa"/>
            <w:vAlign w:val="center"/>
          </w:tcPr>
          <w:p w14:paraId="0C4A4987">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75</w:t>
            </w:r>
          </w:p>
        </w:tc>
        <w:tc>
          <w:tcPr>
            <w:tcW w:w="2126" w:type="dxa"/>
            <w:vAlign w:val="center"/>
          </w:tcPr>
          <w:p w14:paraId="789966AA">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75</w:t>
            </w:r>
            <w:r>
              <w:rPr>
                <w:rFonts w:hint="eastAsia" w:ascii="宋体"/>
                <w:kern w:val="0"/>
                <w:sz w:val="21"/>
                <w:szCs w:val="21"/>
              </w:rPr>
              <w:t>，</w:t>
            </w:r>
            <w:r>
              <w:rPr>
                <w:rFonts w:hint="eastAsia"/>
                <w:sz w:val="21"/>
                <w:szCs w:val="21"/>
              </w:rPr>
              <w:t>≤</w:t>
            </w:r>
            <w:r>
              <w:rPr>
                <w:rFonts w:ascii="宋体"/>
                <w:kern w:val="0"/>
                <w:sz w:val="21"/>
                <w:szCs w:val="21"/>
              </w:rPr>
              <w:t>250</w:t>
            </w:r>
          </w:p>
        </w:tc>
        <w:tc>
          <w:tcPr>
            <w:tcW w:w="1601" w:type="dxa"/>
            <w:vAlign w:val="center"/>
          </w:tcPr>
          <w:p w14:paraId="173F5F29">
            <w:pPr>
              <w:pStyle w:val="32"/>
              <w:ind w:firstLine="0" w:firstLineChars="0"/>
              <w:jc w:val="center"/>
              <w:rPr>
                <w:rFonts w:ascii="宋体"/>
                <w:kern w:val="0"/>
                <w:sz w:val="21"/>
                <w:szCs w:val="21"/>
              </w:rPr>
            </w:pPr>
            <w:r>
              <w:rPr>
                <w:rFonts w:hint="eastAsia"/>
                <w:sz w:val="21"/>
                <w:szCs w:val="21"/>
              </w:rPr>
              <w:t>＞</w:t>
            </w:r>
            <w:r>
              <w:rPr>
                <w:rFonts w:ascii="宋体"/>
                <w:kern w:val="0"/>
                <w:sz w:val="21"/>
                <w:szCs w:val="21"/>
              </w:rPr>
              <w:t>250</w:t>
            </w:r>
          </w:p>
        </w:tc>
      </w:tr>
    </w:tbl>
    <w:p w14:paraId="058E6277"/>
    <w:p w14:paraId="2E4F61B8">
      <w:pPr>
        <w:pStyle w:val="3"/>
        <w:numPr>
          <w:numberingChange w:id="23" w:author="刘海英" w:date="2017-09-08T15:13:00Z" w:original="%1:5:0:.%2:7:0:"/>
        </w:numPr>
        <w:spacing w:after="163"/>
      </w:pPr>
      <w:bookmarkStart w:id="35" w:name="_Toc492569882"/>
      <w:r>
        <w:rPr>
          <w:rFonts w:hint="eastAsia"/>
        </w:rPr>
        <w:t>污染物项目的选择</w:t>
      </w:r>
      <w:bookmarkEnd w:id="35"/>
    </w:p>
    <w:p w14:paraId="5056EC64">
      <w:pPr>
        <w:ind w:firstLine="480" w:firstLineChars="200"/>
        <w:rPr>
          <w:rFonts w:ascii="宋体"/>
          <w:color w:val="000000"/>
          <w:szCs w:val="21"/>
        </w:rPr>
      </w:pPr>
      <w:r>
        <w:rPr>
          <w:rFonts w:hint="eastAsia" w:ascii="宋体" w:hAnsi="宋体"/>
          <w:color w:val="000000"/>
        </w:rPr>
        <w:t>本标准中污染物控制指标的选择遵循如下原则</w:t>
      </w:r>
      <w:r>
        <w:rPr>
          <w:rFonts w:hint="eastAsia" w:ascii="宋体" w:hAnsi="宋体"/>
          <w:color w:val="000000"/>
          <w:szCs w:val="21"/>
        </w:rPr>
        <w:t>：</w:t>
      </w:r>
    </w:p>
    <w:p w14:paraId="5EA769BB">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）属于行业特征污染物；</w:t>
      </w:r>
    </w:p>
    <w:p w14:paraId="5914AAD4">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）排放量大、危害严重，需要进行控制；</w:t>
      </w:r>
    </w:p>
    <w:p w14:paraId="012C13D6">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）有测试手段或监测技术支持；</w:t>
      </w:r>
    </w:p>
    <w:p w14:paraId="40E703FE">
      <w:pPr>
        <w:ind w:firstLine="480" w:firstLineChars="200"/>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）能够有相应的污染物控制技术。</w:t>
      </w:r>
    </w:p>
    <w:p w14:paraId="737DF96A">
      <w:pPr>
        <w:ind w:firstLine="480" w:firstLineChars="200"/>
      </w:pPr>
      <w:r>
        <w:rPr>
          <w:rFonts w:hint="eastAsia"/>
        </w:rPr>
        <w:t>根据公益专项研究成果，餐饮业颗粒物中</w:t>
      </w:r>
      <w:r>
        <w:t>60%</w:t>
      </w:r>
      <w:r>
        <w:rPr>
          <w:rFonts w:hint="eastAsia"/>
        </w:rPr>
        <w:t>至</w:t>
      </w:r>
      <w:r>
        <w:t>80%</w:t>
      </w:r>
      <w:r>
        <w:rPr>
          <w:rFonts w:hint="eastAsia"/>
        </w:rPr>
        <w:t>为</w:t>
      </w:r>
      <w:r>
        <w:rPr>
          <w:szCs w:val="24"/>
        </w:rPr>
        <w:t>PM</w:t>
      </w:r>
      <w:r>
        <w:rPr>
          <w:szCs w:val="24"/>
          <w:vertAlign w:val="subscript"/>
        </w:rPr>
        <w:t>2.5</w:t>
      </w:r>
      <w:r>
        <w:rPr>
          <w:rFonts w:hint="eastAsia"/>
        </w:rPr>
        <w:t>，其中非烧烤类有机碳</w:t>
      </w:r>
      <w:r>
        <w:rPr>
          <w:szCs w:val="24"/>
        </w:rPr>
        <w:t>OC</w:t>
      </w:r>
      <w:r>
        <w:rPr>
          <w:rFonts w:hint="eastAsia" w:hAnsi="宋体"/>
          <w:szCs w:val="24"/>
        </w:rPr>
        <w:t>是</w:t>
      </w:r>
      <w:r>
        <w:rPr>
          <w:szCs w:val="24"/>
        </w:rPr>
        <w:t>PM</w:t>
      </w:r>
      <w:r>
        <w:rPr>
          <w:szCs w:val="24"/>
          <w:vertAlign w:val="subscript"/>
        </w:rPr>
        <w:t>2.5</w:t>
      </w:r>
      <w:r>
        <w:rPr>
          <w:rFonts w:hint="eastAsia" w:hAnsi="宋体"/>
          <w:szCs w:val="24"/>
        </w:rPr>
        <w:t>的最主要组成，浓度占比在</w:t>
      </w:r>
      <w:r>
        <w:rPr>
          <w:szCs w:val="24"/>
        </w:rPr>
        <w:t>50%</w:t>
      </w:r>
      <w:r>
        <w:rPr>
          <w:rFonts w:hint="eastAsia" w:hAnsi="宋体"/>
          <w:szCs w:val="24"/>
        </w:rPr>
        <w:t>以上，</w:t>
      </w:r>
      <w:r>
        <w:rPr>
          <w:rFonts w:hint="eastAsia"/>
        </w:rPr>
        <w:t>因此，</w:t>
      </w:r>
      <w:r>
        <w:t>GB18483-2001</w:t>
      </w:r>
      <w:r>
        <w:rPr>
          <w:rFonts w:hint="eastAsia"/>
        </w:rPr>
        <w:t>以油烟作为污染物的控制指标抓住了非烧烤类餐饮企业的主要污染特征。但对于木炭和木材烧烤类，</w:t>
      </w:r>
      <w:r>
        <w:rPr>
          <w:rFonts w:hint="eastAsia"/>
          <w:spacing w:val="-4"/>
        </w:rPr>
        <w:t>食物中的有机质经过炭火的高温（烧烤的平均温度约</w:t>
      </w:r>
      <w:r>
        <w:rPr>
          <w:spacing w:val="-4"/>
        </w:rPr>
        <w:t>200</w:t>
      </w:r>
      <w:r>
        <w:rPr>
          <w:rFonts w:hint="eastAsia"/>
          <w:spacing w:val="-4"/>
        </w:rPr>
        <w:t>℃，炒菜的平均温度约</w:t>
      </w:r>
      <w:r>
        <w:rPr>
          <w:spacing w:val="-4"/>
        </w:rPr>
        <w:t>120</w:t>
      </w:r>
      <w:r>
        <w:rPr>
          <w:rFonts w:hint="eastAsia"/>
          <w:spacing w:val="-4"/>
        </w:rPr>
        <w:t>℃）烘烤后，大分子有机物的分子键更易断裂形成小分子化合物，同时木炭燃烧也会使无机碳排放增加，因此烧烤类排放的颗粒物中无机碳含量显著增加。</w:t>
      </w:r>
      <w:r>
        <w:rPr>
          <w:rFonts w:hint="eastAsia"/>
        </w:rPr>
        <w:t>现行国标法油烟指标实际测试的是油烟中油的浓度，不包括</w:t>
      </w:r>
      <w:r>
        <w:t>EC</w:t>
      </w:r>
      <w:r>
        <w:rPr>
          <w:rFonts w:hint="eastAsia"/>
        </w:rPr>
        <w:t>、盐类和含氮、含氧有机物、以及燃料燃烧产生的颗粒物组分，与环境颗粒物的检测方法重量法不同，不能准确反映与环境颗粒物一致的排放浓度，以及碳烤类餐饮企业排放颗粒物对环境的影响，导致基于现有方法建立的餐饮业排放清单偏低，为准确评估餐饮业颗粒物对大气环境的污染造成很大的困难。同时国标法规定的油烟的采样和检测方法存在测试工作强度大，技术要求高，操作复杂，分析过程长，数据准确性和重复性较差等问题，给日常监督执法带来很大的不便。此外，</w:t>
      </w:r>
      <w:r>
        <w:t>GB18483</w:t>
      </w:r>
      <w:r>
        <w:rPr>
          <w:rFonts w:hint="eastAsia"/>
        </w:rPr>
        <w:t>中油烟的分析过程中每个数据需要消耗</w:t>
      </w:r>
      <w:r>
        <w:t>200~250ml</w:t>
      </w:r>
      <w:r>
        <w:rPr>
          <w:rFonts w:hint="eastAsia"/>
        </w:rPr>
        <w:t>的四氯化碳有机溶剂，分析时使用四氯化碳会造成</w:t>
      </w:r>
      <w:r>
        <w:t>VOCs</w:t>
      </w:r>
      <w:r>
        <w:rPr>
          <w:rFonts w:hint="eastAsia"/>
        </w:rPr>
        <w:t>排放；且四氯化碳毒性较大，是肝癌的诱导物质，对环境检测、分析人员身体健康会造成严重影响，蒙特利尔国际公约已要求</w:t>
      </w:r>
      <w:r>
        <w:t>2013</w:t>
      </w:r>
      <w:r>
        <w:rPr>
          <w:rFonts w:hint="eastAsia"/>
        </w:rPr>
        <w:t>年起停用。为了保障监测人员身体健康，更科学地体现餐饮排放污染物对环境的影响，加强对炭烤类餐饮企业“蓝烟”排放的排放控制管理，本标准在保留国标原有油烟指标的基础上，增加了颗粒物指标，并采用与环境颗粒物检测方法相同原理的重量法来测试餐饮业排放的颗粒物。</w:t>
      </w:r>
    </w:p>
    <w:p w14:paraId="3EE00DFC">
      <w:pPr>
        <w:ind w:firstLine="480" w:firstLineChars="200"/>
      </w:pPr>
      <w:r>
        <w:rPr>
          <w:rFonts w:hint="eastAsia"/>
        </w:rPr>
        <w:t>颗粒物的检测原理是采用烟道内过滤的方式，按照颗粒物等速采样原理，使用滤芯采集餐饮排气中的颗粒物，除去水分（自由水）后，由采样前后滤芯的质量差除以采气体积，计算出颗粒物的质量浓度。本方法测量出的颗粒物浓度值为标准状态下的干烟气数值。颗粒物的采样仪器的主机与国标法油烟的采样仪器的主机通用，只是将原有装不锈钢金属滤筒的采样头结构改为内置双层滤膜的一体式颗粒物滤芯结构。颗粒物的采样设备和采样枪如图</w:t>
      </w:r>
      <w:r>
        <w:t>5-1</w:t>
      </w:r>
      <w:r>
        <w:rPr>
          <w:rFonts w:hint="eastAsia"/>
        </w:rPr>
        <w:t>和</w:t>
      </w:r>
      <w:r>
        <w:t>5-2</w:t>
      </w:r>
      <w:r>
        <w:rPr>
          <w:rFonts w:hint="eastAsia"/>
        </w:rPr>
        <w:t>所示。</w:t>
      </w:r>
    </w:p>
    <w:p w14:paraId="715189A4">
      <w:pPr>
        <w:autoSpaceDE w:val="0"/>
        <w:autoSpaceDN w:val="0"/>
        <w:adjustRightInd w:val="0"/>
        <w:jc w:val="left"/>
      </w:pPr>
      <w:r>
        <w:pict>
          <v:shape id="图片 6" o:spid="_x0000_s1026" o:spt="75" type="#_x0000_t75" style="position:absolute;left:0pt;margin-left:203.9pt;margin-top:1.4pt;height:141.5pt;width:170.05pt;z-index:251659264;mso-width-relative:page;mso-height-relative:page;" filled="f" o:preferrelative="t" stroked="f" coordsize="21600,21600">
            <v:path/>
            <v:fill on="f" focussize="0,0"/>
            <v:stroke on="f" joinstyle="miter"/>
            <v:imagedata r:id="rId13" o:title=""/>
            <o:lock v:ext="edit" aspectratio="t"/>
          </v:shape>
        </w:pict>
      </w:r>
      <w:r>
        <w:pict>
          <v:shape id="_x0000_i1030" o:spt="75" type="#_x0000_t75" style="height:138pt;width:164.25pt;" filled="f" o:preferrelative="t" stroked="f" coordsize="21600,21600">
            <v:path/>
            <v:fill on="f" focussize="0,0"/>
            <v:stroke on="f" joinstyle="miter"/>
            <v:imagedata r:id="rId14" o:title=""/>
            <o:lock v:ext="edit" aspectratio="t"/>
            <w10:wrap type="none"/>
            <w10:anchorlock/>
          </v:shape>
        </w:pict>
      </w:r>
    </w:p>
    <w:p w14:paraId="3479A3BC">
      <w:pPr>
        <w:autoSpaceDE w:val="0"/>
        <w:autoSpaceDN w:val="0"/>
        <w:adjustRightInd w:val="0"/>
        <w:ind w:firstLine="630" w:firstLineChars="300"/>
        <w:jc w:val="left"/>
      </w:pPr>
      <w:r>
        <w:rPr>
          <w:rFonts w:hint="eastAsia"/>
          <w:sz w:val="21"/>
          <w:szCs w:val="21"/>
        </w:rPr>
        <w:t>图</w:t>
      </w:r>
      <w:r>
        <w:rPr>
          <w:sz w:val="21"/>
          <w:szCs w:val="21"/>
        </w:rPr>
        <w:t xml:space="preserve">5-1 </w:t>
      </w:r>
      <w:r>
        <w:rPr>
          <w:rFonts w:hint="eastAsia"/>
          <w:sz w:val="21"/>
          <w:szCs w:val="21"/>
        </w:rPr>
        <w:t>餐饮颗粒物检测仪器</w:t>
      </w:r>
      <w:r>
        <w:rPr>
          <w:sz w:val="21"/>
          <w:szCs w:val="21"/>
        </w:rPr>
        <w:t xml:space="preserve">          </w:t>
      </w:r>
      <w:r>
        <w:rPr>
          <w:rFonts w:hint="eastAsia"/>
          <w:sz w:val="21"/>
          <w:szCs w:val="21"/>
        </w:rPr>
        <w:t>图</w:t>
      </w:r>
      <w:r>
        <w:rPr>
          <w:sz w:val="21"/>
          <w:szCs w:val="21"/>
        </w:rPr>
        <w:t xml:space="preserve">5-2 </w:t>
      </w:r>
      <w:r>
        <w:rPr>
          <w:rFonts w:hint="eastAsia"/>
          <w:sz w:val="21"/>
          <w:szCs w:val="21"/>
        </w:rPr>
        <w:t>颗粒物采样枪及一体式滤芯</w:t>
      </w:r>
    </w:p>
    <w:p w14:paraId="78A8DFE1">
      <w:pPr>
        <w:ind w:firstLine="480" w:firstLineChars="200"/>
        <w:rPr>
          <w:szCs w:val="24"/>
        </w:rPr>
      </w:pPr>
      <w:r>
        <w:rPr>
          <w:rFonts w:hint="eastAsia"/>
        </w:rPr>
        <w:t>为掌握了解现行国标法油烟与颗粒物的相关性和差异性，标准编制组开展了国标法油烟和重量法测颗粒物的实测研究。标准编制组选取具有采样条件的典型餐饮企业，在餐饮企业的废气排放端管道上相近处开取</w:t>
      </w:r>
      <w:r>
        <w:t>2</w:t>
      </w:r>
      <w:r>
        <w:rPr>
          <w:rFonts w:hint="eastAsia"/>
        </w:rPr>
        <w:t>个采样孔，在餐饮企业中午和晚上的营业高峰时段同时按照国标法采集油烟和按照重量法采集颗粒物，采样孔的设置按照</w:t>
      </w:r>
      <w:r>
        <w:rPr>
          <w:szCs w:val="24"/>
        </w:rPr>
        <w:t>GB 18483-2001</w:t>
      </w:r>
      <w:r>
        <w:rPr>
          <w:rFonts w:hint="eastAsia"/>
          <w:szCs w:val="24"/>
        </w:rPr>
        <w:t>《饮食业油烟排放标准（试行）》中有关规定进行。采样时，</w:t>
      </w:r>
      <w:r>
        <w:rPr>
          <w:szCs w:val="24"/>
        </w:rPr>
        <w:t>2</w:t>
      </w:r>
      <w:r>
        <w:rPr>
          <w:rFonts w:hint="eastAsia"/>
          <w:szCs w:val="24"/>
        </w:rPr>
        <w:t>台崂应</w:t>
      </w:r>
      <w:r>
        <w:rPr>
          <w:szCs w:val="24"/>
        </w:rPr>
        <w:t>3012H</w:t>
      </w:r>
      <w:r>
        <w:rPr>
          <w:rFonts w:hint="eastAsia"/>
          <w:szCs w:val="24"/>
        </w:rPr>
        <w:t>的智能油烟烟尘采样仪分别配置油烟不锈钢金属滤筒采样枪和一体式颗粒物滤芯采样枪进行同时采样，然后分别用国标红外分光光度法和重量法进行分析，标准编制组选取了</w:t>
      </w:r>
      <w:r>
        <w:rPr>
          <w:szCs w:val="24"/>
        </w:rPr>
        <w:t>20</w:t>
      </w:r>
      <w:r>
        <w:rPr>
          <w:rFonts w:hint="eastAsia"/>
          <w:szCs w:val="24"/>
        </w:rPr>
        <w:t>多家不同类型的典型餐饮企业，剔除无效样品，共采集了</w:t>
      </w:r>
      <w:r>
        <w:rPr>
          <w:szCs w:val="24"/>
        </w:rPr>
        <w:t>41</w:t>
      </w:r>
      <w:r>
        <w:rPr>
          <w:rFonts w:hint="eastAsia"/>
          <w:szCs w:val="24"/>
        </w:rPr>
        <w:t>组样品，获得的国标法油烟和重量法颗粒物的实测排放浓度及比值如表</w:t>
      </w:r>
      <w:r>
        <w:rPr>
          <w:szCs w:val="24"/>
        </w:rPr>
        <w:t>5-2</w:t>
      </w:r>
      <w:r>
        <w:rPr>
          <w:rFonts w:hint="eastAsia"/>
          <w:szCs w:val="24"/>
        </w:rPr>
        <w:t>所示，按烧烤类和非烧烤类分类，测试结果如图</w:t>
      </w:r>
      <w:r>
        <w:rPr>
          <w:szCs w:val="24"/>
        </w:rPr>
        <w:t>5-3</w:t>
      </w:r>
      <w:r>
        <w:rPr>
          <w:rFonts w:hint="eastAsia"/>
          <w:szCs w:val="24"/>
        </w:rPr>
        <w:t>和</w:t>
      </w:r>
      <w:r>
        <w:rPr>
          <w:szCs w:val="24"/>
        </w:rPr>
        <w:t>5-4</w:t>
      </w:r>
      <w:r>
        <w:rPr>
          <w:rFonts w:hint="eastAsia"/>
          <w:szCs w:val="24"/>
        </w:rPr>
        <w:t>所示。</w:t>
      </w:r>
    </w:p>
    <w:p w14:paraId="71BDE8C5">
      <w:pPr>
        <w:jc w:val="center"/>
      </w:pPr>
      <w:r>
        <w:rPr>
          <w:rFonts w:hint="eastAsia"/>
        </w:rPr>
        <w:t>表</w:t>
      </w:r>
      <w:r>
        <w:t>5-2</w:t>
      </w:r>
      <w:r>
        <w:rPr>
          <w:rFonts w:hint="eastAsia"/>
        </w:rPr>
        <w:t>国标法油烟和重量法颗粒物测试结果</w:t>
      </w:r>
    </w:p>
    <w:tbl>
      <w:tblPr>
        <w:tblStyle w:val="18"/>
        <w:tblW w:w="8234" w:type="dxa"/>
        <w:tblInd w:w="96" w:type="dxa"/>
        <w:tblLayout w:type="fixed"/>
        <w:tblCellMar>
          <w:top w:w="0" w:type="dxa"/>
          <w:left w:w="108" w:type="dxa"/>
          <w:bottom w:w="0" w:type="dxa"/>
          <w:right w:w="108" w:type="dxa"/>
        </w:tblCellMar>
      </w:tblPr>
      <w:tblGrid>
        <w:gridCol w:w="720"/>
        <w:gridCol w:w="1580"/>
        <w:gridCol w:w="1823"/>
        <w:gridCol w:w="1701"/>
        <w:gridCol w:w="1276"/>
        <w:gridCol w:w="1134"/>
      </w:tblGrid>
      <w:tr w14:paraId="5EB6ADA1">
        <w:tblPrEx>
          <w:tblCellMar>
            <w:top w:w="0" w:type="dxa"/>
            <w:left w:w="108" w:type="dxa"/>
            <w:bottom w:w="0" w:type="dxa"/>
            <w:right w:w="108" w:type="dxa"/>
          </w:tblCellMar>
        </w:tblPrEx>
        <w:trPr>
          <w:trHeight w:val="810" w:hRule="atLeast"/>
        </w:trPr>
        <w:tc>
          <w:tcPr>
            <w:tcW w:w="720" w:type="dxa"/>
            <w:tcBorders>
              <w:top w:val="single" w:color="auto" w:sz="4" w:space="0"/>
              <w:left w:val="single" w:color="auto" w:sz="4" w:space="0"/>
              <w:bottom w:val="single" w:color="auto" w:sz="4" w:space="0"/>
              <w:right w:val="single" w:color="auto" w:sz="4" w:space="0"/>
            </w:tcBorders>
            <w:vAlign w:val="center"/>
          </w:tcPr>
          <w:p w14:paraId="1DBF8D55">
            <w:pPr>
              <w:widowControl/>
              <w:spacing w:line="240" w:lineRule="auto"/>
              <w:jc w:val="center"/>
              <w:rPr>
                <w:b/>
                <w:kern w:val="0"/>
                <w:sz w:val="21"/>
                <w:szCs w:val="21"/>
              </w:rPr>
            </w:pPr>
            <w:r>
              <w:rPr>
                <w:rFonts w:hint="eastAsia" w:hAnsi="宋体"/>
                <w:b/>
                <w:kern w:val="0"/>
                <w:sz w:val="21"/>
                <w:szCs w:val="21"/>
              </w:rPr>
              <w:t>序号</w:t>
            </w:r>
          </w:p>
        </w:tc>
        <w:tc>
          <w:tcPr>
            <w:tcW w:w="1580" w:type="dxa"/>
            <w:tcBorders>
              <w:top w:val="single" w:color="auto" w:sz="4" w:space="0"/>
              <w:left w:val="nil"/>
              <w:bottom w:val="single" w:color="auto" w:sz="4" w:space="0"/>
              <w:right w:val="single" w:color="auto" w:sz="4" w:space="0"/>
            </w:tcBorders>
            <w:vAlign w:val="center"/>
          </w:tcPr>
          <w:p w14:paraId="5763AC99">
            <w:pPr>
              <w:widowControl/>
              <w:spacing w:line="240" w:lineRule="auto"/>
              <w:jc w:val="center"/>
              <w:rPr>
                <w:b/>
                <w:kern w:val="0"/>
                <w:sz w:val="21"/>
                <w:szCs w:val="21"/>
              </w:rPr>
            </w:pPr>
            <w:r>
              <w:rPr>
                <w:rFonts w:hint="eastAsia" w:hAnsi="宋体"/>
                <w:b/>
                <w:kern w:val="0"/>
                <w:sz w:val="21"/>
                <w:szCs w:val="21"/>
              </w:rPr>
              <w:t>采样时间</w:t>
            </w:r>
          </w:p>
        </w:tc>
        <w:tc>
          <w:tcPr>
            <w:tcW w:w="1823" w:type="dxa"/>
            <w:tcBorders>
              <w:top w:val="single" w:color="auto" w:sz="4" w:space="0"/>
              <w:left w:val="nil"/>
              <w:bottom w:val="single" w:color="auto" w:sz="4" w:space="0"/>
              <w:right w:val="single" w:color="auto" w:sz="4" w:space="0"/>
            </w:tcBorders>
            <w:vAlign w:val="center"/>
          </w:tcPr>
          <w:p w14:paraId="7600E2F3">
            <w:pPr>
              <w:widowControl/>
              <w:spacing w:line="240" w:lineRule="auto"/>
              <w:jc w:val="center"/>
              <w:rPr>
                <w:b/>
                <w:kern w:val="0"/>
                <w:sz w:val="21"/>
                <w:szCs w:val="21"/>
              </w:rPr>
            </w:pPr>
            <w:r>
              <w:rPr>
                <w:rFonts w:hint="eastAsia" w:hAnsi="宋体"/>
                <w:b/>
                <w:kern w:val="0"/>
                <w:sz w:val="21"/>
                <w:szCs w:val="21"/>
              </w:rPr>
              <w:t>颗粒物实测平均浓度（</w:t>
            </w:r>
            <w:r>
              <w:rPr>
                <w:b/>
                <w:kern w:val="0"/>
                <w:sz w:val="21"/>
                <w:szCs w:val="21"/>
              </w:rPr>
              <w:t>mg/m</w:t>
            </w:r>
            <w:r>
              <w:rPr>
                <w:b/>
                <w:kern w:val="0"/>
                <w:sz w:val="21"/>
                <w:szCs w:val="21"/>
                <w:vertAlign w:val="superscript"/>
              </w:rPr>
              <w:t>3</w:t>
            </w:r>
            <w:r>
              <w:rPr>
                <w:rFonts w:hint="eastAsia" w:hAnsi="宋体"/>
                <w:b/>
                <w:kern w:val="0"/>
                <w:sz w:val="21"/>
                <w:szCs w:val="21"/>
              </w:rPr>
              <w:t>）</w:t>
            </w:r>
          </w:p>
        </w:tc>
        <w:tc>
          <w:tcPr>
            <w:tcW w:w="1701" w:type="dxa"/>
            <w:tcBorders>
              <w:top w:val="single" w:color="auto" w:sz="4" w:space="0"/>
              <w:left w:val="nil"/>
              <w:bottom w:val="single" w:color="auto" w:sz="4" w:space="0"/>
              <w:right w:val="single" w:color="auto" w:sz="4" w:space="0"/>
            </w:tcBorders>
            <w:vAlign w:val="center"/>
          </w:tcPr>
          <w:p w14:paraId="3A2F1E0B">
            <w:pPr>
              <w:widowControl/>
              <w:spacing w:line="240" w:lineRule="auto"/>
              <w:jc w:val="center"/>
              <w:rPr>
                <w:b/>
                <w:kern w:val="0"/>
                <w:sz w:val="21"/>
                <w:szCs w:val="21"/>
              </w:rPr>
            </w:pPr>
            <w:r>
              <w:rPr>
                <w:rFonts w:hint="eastAsia" w:hAnsi="宋体"/>
                <w:b/>
                <w:kern w:val="0"/>
                <w:sz w:val="21"/>
                <w:szCs w:val="21"/>
              </w:rPr>
              <w:t>油烟实测平均浓度（</w:t>
            </w:r>
            <w:r>
              <w:rPr>
                <w:b/>
                <w:kern w:val="0"/>
                <w:sz w:val="21"/>
                <w:szCs w:val="21"/>
              </w:rPr>
              <w:t>mg/m</w:t>
            </w:r>
            <w:r>
              <w:rPr>
                <w:b/>
                <w:kern w:val="0"/>
                <w:sz w:val="21"/>
                <w:szCs w:val="21"/>
                <w:vertAlign w:val="superscript"/>
              </w:rPr>
              <w:t>3</w:t>
            </w:r>
            <w:r>
              <w:rPr>
                <w:rFonts w:hint="eastAsia" w:hAnsi="宋体"/>
                <w:b/>
                <w:kern w:val="0"/>
                <w:sz w:val="21"/>
                <w:szCs w:val="21"/>
              </w:rPr>
              <w:t>）</w:t>
            </w:r>
          </w:p>
        </w:tc>
        <w:tc>
          <w:tcPr>
            <w:tcW w:w="1276" w:type="dxa"/>
            <w:tcBorders>
              <w:top w:val="single" w:color="auto" w:sz="4" w:space="0"/>
              <w:left w:val="nil"/>
              <w:bottom w:val="single" w:color="auto" w:sz="4" w:space="0"/>
              <w:right w:val="single" w:color="auto" w:sz="4" w:space="0"/>
            </w:tcBorders>
            <w:vAlign w:val="center"/>
          </w:tcPr>
          <w:p w14:paraId="03C11F92">
            <w:pPr>
              <w:widowControl/>
              <w:spacing w:line="240" w:lineRule="auto"/>
              <w:jc w:val="center"/>
              <w:rPr>
                <w:b/>
                <w:kern w:val="0"/>
                <w:sz w:val="21"/>
                <w:szCs w:val="21"/>
              </w:rPr>
            </w:pPr>
            <w:r>
              <w:rPr>
                <w:rFonts w:hint="eastAsia" w:hAnsi="宋体"/>
                <w:b/>
                <w:kern w:val="0"/>
                <w:sz w:val="21"/>
                <w:szCs w:val="21"/>
              </w:rPr>
              <w:t>颗粒物</w:t>
            </w:r>
            <w:r>
              <w:rPr>
                <w:rFonts w:hint="eastAsia"/>
                <w:b/>
                <w:kern w:val="0"/>
                <w:sz w:val="21"/>
                <w:szCs w:val="21"/>
              </w:rPr>
              <w:t>与</w:t>
            </w:r>
            <w:r>
              <w:rPr>
                <w:rFonts w:hint="eastAsia" w:hAnsi="宋体"/>
                <w:b/>
                <w:kern w:val="0"/>
                <w:sz w:val="21"/>
                <w:szCs w:val="21"/>
              </w:rPr>
              <w:t>油烟比值</w:t>
            </w:r>
          </w:p>
        </w:tc>
        <w:tc>
          <w:tcPr>
            <w:tcW w:w="1134" w:type="dxa"/>
            <w:tcBorders>
              <w:top w:val="single" w:color="auto" w:sz="4" w:space="0"/>
              <w:left w:val="nil"/>
              <w:bottom w:val="single" w:color="auto" w:sz="4" w:space="0"/>
              <w:right w:val="single" w:color="auto" w:sz="4" w:space="0"/>
            </w:tcBorders>
            <w:vAlign w:val="center"/>
          </w:tcPr>
          <w:p w14:paraId="0AB922DF">
            <w:pPr>
              <w:widowControl/>
              <w:spacing w:line="240" w:lineRule="auto"/>
              <w:jc w:val="left"/>
              <w:rPr>
                <w:b/>
                <w:color w:val="000000"/>
                <w:kern w:val="0"/>
                <w:sz w:val="21"/>
                <w:szCs w:val="21"/>
              </w:rPr>
            </w:pPr>
            <w:r>
              <w:rPr>
                <w:rFonts w:hint="eastAsia" w:hAnsi="宋体"/>
                <w:b/>
                <w:color w:val="000000"/>
                <w:kern w:val="0"/>
                <w:sz w:val="21"/>
                <w:szCs w:val="21"/>
              </w:rPr>
              <w:t>餐饮企业类型</w:t>
            </w:r>
          </w:p>
        </w:tc>
      </w:tr>
      <w:tr w14:paraId="3D270373">
        <w:tblPrEx>
          <w:tblCellMar>
            <w:top w:w="0" w:type="dxa"/>
            <w:left w:w="108" w:type="dxa"/>
            <w:bottom w:w="0" w:type="dxa"/>
            <w:right w:w="108" w:type="dxa"/>
          </w:tblCellMar>
        </w:tblPrEx>
        <w:trPr>
          <w:trHeight w:val="20" w:hRule="atLeast"/>
        </w:trPr>
        <w:tc>
          <w:tcPr>
            <w:tcW w:w="720" w:type="dxa"/>
            <w:tcBorders>
              <w:top w:val="nil"/>
              <w:left w:val="single" w:color="auto" w:sz="4" w:space="0"/>
              <w:bottom w:val="nil"/>
              <w:right w:val="single" w:color="auto" w:sz="4" w:space="0"/>
            </w:tcBorders>
            <w:vAlign w:val="center"/>
          </w:tcPr>
          <w:p w14:paraId="7021C611">
            <w:pPr>
              <w:widowControl/>
              <w:spacing w:line="240" w:lineRule="auto"/>
              <w:jc w:val="center"/>
              <w:rPr>
                <w:kern w:val="0"/>
                <w:sz w:val="21"/>
                <w:szCs w:val="21"/>
              </w:rPr>
            </w:pPr>
            <w:r>
              <w:rPr>
                <w:kern w:val="0"/>
                <w:sz w:val="21"/>
                <w:szCs w:val="21"/>
              </w:rPr>
              <w:t>1</w:t>
            </w:r>
          </w:p>
        </w:tc>
        <w:tc>
          <w:tcPr>
            <w:tcW w:w="1580" w:type="dxa"/>
            <w:tcBorders>
              <w:top w:val="nil"/>
              <w:left w:val="nil"/>
              <w:bottom w:val="single" w:color="auto" w:sz="4" w:space="0"/>
              <w:right w:val="single" w:color="auto" w:sz="4" w:space="0"/>
            </w:tcBorders>
            <w:vAlign w:val="center"/>
          </w:tcPr>
          <w:p w14:paraId="6F3352CA">
            <w:pPr>
              <w:widowControl/>
              <w:spacing w:line="240" w:lineRule="auto"/>
              <w:jc w:val="left"/>
              <w:rPr>
                <w:kern w:val="0"/>
                <w:sz w:val="21"/>
                <w:szCs w:val="21"/>
              </w:rPr>
            </w:pPr>
            <w:r>
              <w:rPr>
                <w:kern w:val="0"/>
                <w:sz w:val="21"/>
                <w:szCs w:val="21"/>
              </w:rPr>
              <w:t>20160322</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468B0D5">
            <w:pPr>
              <w:widowControl/>
              <w:spacing w:line="240" w:lineRule="auto"/>
              <w:jc w:val="center"/>
              <w:rPr>
                <w:kern w:val="0"/>
                <w:sz w:val="21"/>
                <w:szCs w:val="21"/>
              </w:rPr>
            </w:pPr>
            <w:r>
              <w:rPr>
                <w:kern w:val="0"/>
                <w:sz w:val="21"/>
                <w:szCs w:val="21"/>
              </w:rPr>
              <w:t xml:space="preserve">23.5 </w:t>
            </w:r>
          </w:p>
        </w:tc>
        <w:tc>
          <w:tcPr>
            <w:tcW w:w="1701" w:type="dxa"/>
            <w:tcBorders>
              <w:top w:val="nil"/>
              <w:left w:val="nil"/>
              <w:bottom w:val="single" w:color="auto" w:sz="4" w:space="0"/>
              <w:right w:val="single" w:color="auto" w:sz="4" w:space="0"/>
            </w:tcBorders>
            <w:vAlign w:val="center"/>
          </w:tcPr>
          <w:p w14:paraId="264B1301">
            <w:pPr>
              <w:widowControl/>
              <w:spacing w:line="240" w:lineRule="auto"/>
              <w:jc w:val="center"/>
              <w:rPr>
                <w:kern w:val="0"/>
                <w:sz w:val="21"/>
                <w:szCs w:val="21"/>
              </w:rPr>
            </w:pPr>
            <w:r>
              <w:rPr>
                <w:kern w:val="0"/>
                <w:sz w:val="21"/>
                <w:szCs w:val="21"/>
              </w:rPr>
              <w:t xml:space="preserve">0.86 </w:t>
            </w:r>
          </w:p>
        </w:tc>
        <w:tc>
          <w:tcPr>
            <w:tcW w:w="1276" w:type="dxa"/>
            <w:tcBorders>
              <w:top w:val="nil"/>
              <w:left w:val="nil"/>
              <w:bottom w:val="single" w:color="auto" w:sz="4" w:space="0"/>
              <w:right w:val="single" w:color="auto" w:sz="4" w:space="0"/>
            </w:tcBorders>
            <w:shd w:val="clear" w:color="000000" w:fill="FFFFFF"/>
            <w:vAlign w:val="center"/>
          </w:tcPr>
          <w:p w14:paraId="321FABA9">
            <w:pPr>
              <w:widowControl/>
              <w:spacing w:line="240" w:lineRule="auto"/>
              <w:jc w:val="center"/>
              <w:rPr>
                <w:color w:val="000000"/>
                <w:kern w:val="0"/>
                <w:sz w:val="21"/>
                <w:szCs w:val="21"/>
              </w:rPr>
            </w:pPr>
            <w:r>
              <w:rPr>
                <w:color w:val="000000"/>
                <w:kern w:val="0"/>
                <w:sz w:val="21"/>
                <w:szCs w:val="21"/>
              </w:rPr>
              <w:t xml:space="preserve">27.29 </w:t>
            </w:r>
          </w:p>
        </w:tc>
        <w:tc>
          <w:tcPr>
            <w:tcW w:w="1134" w:type="dxa"/>
            <w:vMerge w:val="restart"/>
            <w:tcBorders>
              <w:top w:val="nil"/>
              <w:left w:val="single" w:color="auto" w:sz="4" w:space="0"/>
              <w:bottom w:val="single" w:color="auto" w:sz="4" w:space="0"/>
              <w:right w:val="single" w:color="auto" w:sz="4" w:space="0"/>
            </w:tcBorders>
            <w:vAlign w:val="center"/>
          </w:tcPr>
          <w:p w14:paraId="1B0B4A36">
            <w:pPr>
              <w:widowControl/>
              <w:spacing w:line="240" w:lineRule="auto"/>
              <w:jc w:val="center"/>
              <w:rPr>
                <w:color w:val="000000"/>
                <w:kern w:val="0"/>
                <w:sz w:val="21"/>
                <w:szCs w:val="21"/>
              </w:rPr>
            </w:pPr>
            <w:r>
              <w:rPr>
                <w:rFonts w:hint="eastAsia" w:hAnsi="宋体"/>
                <w:color w:val="000000"/>
                <w:kern w:val="0"/>
                <w:sz w:val="21"/>
                <w:szCs w:val="21"/>
              </w:rPr>
              <w:t>烤鸭</w:t>
            </w:r>
          </w:p>
        </w:tc>
      </w:tr>
      <w:tr w14:paraId="54C2FF26">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B75997A">
            <w:pPr>
              <w:widowControl/>
              <w:spacing w:line="240" w:lineRule="auto"/>
              <w:jc w:val="center"/>
              <w:rPr>
                <w:kern w:val="0"/>
                <w:sz w:val="21"/>
                <w:szCs w:val="21"/>
              </w:rPr>
            </w:pPr>
            <w:r>
              <w:rPr>
                <w:kern w:val="0"/>
                <w:sz w:val="21"/>
                <w:szCs w:val="21"/>
              </w:rPr>
              <w:t>2</w:t>
            </w:r>
          </w:p>
        </w:tc>
        <w:tc>
          <w:tcPr>
            <w:tcW w:w="1580" w:type="dxa"/>
            <w:tcBorders>
              <w:top w:val="nil"/>
              <w:left w:val="nil"/>
              <w:bottom w:val="single" w:color="auto" w:sz="4" w:space="0"/>
              <w:right w:val="single" w:color="auto" w:sz="4" w:space="0"/>
            </w:tcBorders>
            <w:vAlign w:val="center"/>
          </w:tcPr>
          <w:p w14:paraId="4A959E20">
            <w:pPr>
              <w:widowControl/>
              <w:spacing w:line="240" w:lineRule="auto"/>
              <w:jc w:val="left"/>
              <w:rPr>
                <w:kern w:val="0"/>
                <w:sz w:val="21"/>
                <w:szCs w:val="21"/>
              </w:rPr>
            </w:pPr>
            <w:r>
              <w:rPr>
                <w:kern w:val="0"/>
                <w:sz w:val="21"/>
                <w:szCs w:val="21"/>
              </w:rPr>
              <w:t>20160721</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7CEDAB5A">
            <w:pPr>
              <w:widowControl/>
              <w:spacing w:line="240" w:lineRule="auto"/>
              <w:jc w:val="center"/>
              <w:rPr>
                <w:kern w:val="0"/>
                <w:sz w:val="21"/>
                <w:szCs w:val="21"/>
              </w:rPr>
            </w:pPr>
            <w:r>
              <w:rPr>
                <w:kern w:val="0"/>
                <w:sz w:val="21"/>
                <w:szCs w:val="21"/>
              </w:rPr>
              <w:t xml:space="preserve">12.5 </w:t>
            </w:r>
          </w:p>
        </w:tc>
        <w:tc>
          <w:tcPr>
            <w:tcW w:w="1701" w:type="dxa"/>
            <w:tcBorders>
              <w:top w:val="nil"/>
              <w:left w:val="nil"/>
              <w:bottom w:val="single" w:color="auto" w:sz="4" w:space="0"/>
              <w:right w:val="single" w:color="auto" w:sz="4" w:space="0"/>
            </w:tcBorders>
            <w:vAlign w:val="center"/>
          </w:tcPr>
          <w:p w14:paraId="1F1AEADC">
            <w:pPr>
              <w:widowControl/>
              <w:spacing w:line="240" w:lineRule="auto"/>
              <w:jc w:val="center"/>
              <w:rPr>
                <w:kern w:val="0"/>
                <w:sz w:val="21"/>
                <w:szCs w:val="21"/>
              </w:rPr>
            </w:pPr>
            <w:r>
              <w:rPr>
                <w:kern w:val="0"/>
                <w:sz w:val="21"/>
                <w:szCs w:val="21"/>
              </w:rPr>
              <w:t xml:space="preserve">0.71 </w:t>
            </w:r>
          </w:p>
        </w:tc>
        <w:tc>
          <w:tcPr>
            <w:tcW w:w="1276" w:type="dxa"/>
            <w:tcBorders>
              <w:top w:val="nil"/>
              <w:left w:val="nil"/>
              <w:bottom w:val="single" w:color="auto" w:sz="4" w:space="0"/>
              <w:right w:val="single" w:color="auto" w:sz="4" w:space="0"/>
            </w:tcBorders>
            <w:shd w:val="clear" w:color="000000" w:fill="FFFFFF"/>
            <w:vAlign w:val="center"/>
          </w:tcPr>
          <w:p w14:paraId="23B01D20">
            <w:pPr>
              <w:widowControl/>
              <w:spacing w:line="240" w:lineRule="auto"/>
              <w:jc w:val="center"/>
              <w:rPr>
                <w:kern w:val="0"/>
                <w:sz w:val="21"/>
                <w:szCs w:val="21"/>
              </w:rPr>
            </w:pPr>
            <w:r>
              <w:rPr>
                <w:kern w:val="0"/>
                <w:sz w:val="21"/>
                <w:szCs w:val="21"/>
              </w:rPr>
              <w:t xml:space="preserve">17.80 </w:t>
            </w:r>
          </w:p>
        </w:tc>
        <w:tc>
          <w:tcPr>
            <w:tcW w:w="1134" w:type="dxa"/>
            <w:vMerge w:val="continue"/>
            <w:tcBorders>
              <w:top w:val="nil"/>
              <w:left w:val="single" w:color="auto" w:sz="4" w:space="0"/>
              <w:bottom w:val="single" w:color="auto" w:sz="4" w:space="0"/>
              <w:right w:val="single" w:color="auto" w:sz="4" w:space="0"/>
            </w:tcBorders>
            <w:vAlign w:val="center"/>
          </w:tcPr>
          <w:p w14:paraId="69C8B9BD">
            <w:pPr>
              <w:widowControl/>
              <w:spacing w:line="240" w:lineRule="auto"/>
              <w:jc w:val="left"/>
              <w:rPr>
                <w:color w:val="000000"/>
                <w:kern w:val="0"/>
                <w:sz w:val="21"/>
                <w:szCs w:val="21"/>
              </w:rPr>
            </w:pPr>
          </w:p>
        </w:tc>
      </w:tr>
      <w:tr w14:paraId="386CD35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8816F4A">
            <w:pPr>
              <w:widowControl/>
              <w:spacing w:line="240" w:lineRule="auto"/>
              <w:jc w:val="center"/>
              <w:rPr>
                <w:kern w:val="0"/>
                <w:sz w:val="21"/>
                <w:szCs w:val="21"/>
              </w:rPr>
            </w:pPr>
            <w:r>
              <w:rPr>
                <w:kern w:val="0"/>
                <w:sz w:val="21"/>
                <w:szCs w:val="21"/>
              </w:rPr>
              <w:t>3</w:t>
            </w:r>
          </w:p>
        </w:tc>
        <w:tc>
          <w:tcPr>
            <w:tcW w:w="1580" w:type="dxa"/>
            <w:tcBorders>
              <w:top w:val="nil"/>
              <w:left w:val="nil"/>
              <w:bottom w:val="single" w:color="auto" w:sz="4" w:space="0"/>
              <w:right w:val="single" w:color="auto" w:sz="4" w:space="0"/>
            </w:tcBorders>
            <w:vAlign w:val="center"/>
          </w:tcPr>
          <w:p w14:paraId="361E2FF5">
            <w:pPr>
              <w:widowControl/>
              <w:spacing w:line="240" w:lineRule="auto"/>
              <w:jc w:val="left"/>
              <w:rPr>
                <w:kern w:val="0"/>
                <w:sz w:val="21"/>
                <w:szCs w:val="21"/>
              </w:rPr>
            </w:pPr>
            <w:r>
              <w:rPr>
                <w:kern w:val="0"/>
                <w:sz w:val="21"/>
                <w:szCs w:val="21"/>
              </w:rPr>
              <w:t>20160721</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2153DC0F">
            <w:pPr>
              <w:widowControl/>
              <w:spacing w:line="240" w:lineRule="auto"/>
              <w:jc w:val="center"/>
              <w:rPr>
                <w:kern w:val="0"/>
                <w:sz w:val="21"/>
                <w:szCs w:val="21"/>
              </w:rPr>
            </w:pPr>
            <w:r>
              <w:rPr>
                <w:kern w:val="0"/>
                <w:sz w:val="21"/>
                <w:szCs w:val="21"/>
              </w:rPr>
              <w:t xml:space="preserve">12.8 </w:t>
            </w:r>
          </w:p>
        </w:tc>
        <w:tc>
          <w:tcPr>
            <w:tcW w:w="1701" w:type="dxa"/>
            <w:tcBorders>
              <w:top w:val="nil"/>
              <w:left w:val="nil"/>
              <w:bottom w:val="single" w:color="auto" w:sz="4" w:space="0"/>
              <w:right w:val="single" w:color="auto" w:sz="4" w:space="0"/>
            </w:tcBorders>
            <w:vAlign w:val="center"/>
          </w:tcPr>
          <w:p w14:paraId="0BCB4B85">
            <w:pPr>
              <w:widowControl/>
              <w:spacing w:line="240" w:lineRule="auto"/>
              <w:jc w:val="center"/>
              <w:rPr>
                <w:kern w:val="0"/>
                <w:sz w:val="21"/>
                <w:szCs w:val="21"/>
              </w:rPr>
            </w:pPr>
            <w:r>
              <w:rPr>
                <w:kern w:val="0"/>
                <w:sz w:val="21"/>
                <w:szCs w:val="21"/>
              </w:rPr>
              <w:t xml:space="preserve">1.09 </w:t>
            </w:r>
          </w:p>
        </w:tc>
        <w:tc>
          <w:tcPr>
            <w:tcW w:w="1276" w:type="dxa"/>
            <w:tcBorders>
              <w:top w:val="nil"/>
              <w:left w:val="nil"/>
              <w:bottom w:val="single" w:color="auto" w:sz="4" w:space="0"/>
              <w:right w:val="single" w:color="auto" w:sz="4" w:space="0"/>
            </w:tcBorders>
            <w:shd w:val="clear" w:color="000000" w:fill="FFFFFF"/>
            <w:vAlign w:val="center"/>
          </w:tcPr>
          <w:p w14:paraId="6DACEE10">
            <w:pPr>
              <w:widowControl/>
              <w:spacing w:line="240" w:lineRule="auto"/>
              <w:jc w:val="center"/>
              <w:rPr>
                <w:kern w:val="0"/>
                <w:sz w:val="21"/>
                <w:szCs w:val="21"/>
              </w:rPr>
            </w:pPr>
            <w:r>
              <w:rPr>
                <w:kern w:val="0"/>
                <w:sz w:val="21"/>
                <w:szCs w:val="21"/>
              </w:rPr>
              <w:t xml:space="preserve">11.78 </w:t>
            </w:r>
          </w:p>
        </w:tc>
        <w:tc>
          <w:tcPr>
            <w:tcW w:w="1134" w:type="dxa"/>
            <w:vMerge w:val="continue"/>
            <w:tcBorders>
              <w:top w:val="nil"/>
              <w:left w:val="single" w:color="auto" w:sz="4" w:space="0"/>
              <w:bottom w:val="single" w:color="auto" w:sz="4" w:space="0"/>
              <w:right w:val="single" w:color="auto" w:sz="4" w:space="0"/>
            </w:tcBorders>
            <w:vAlign w:val="center"/>
          </w:tcPr>
          <w:p w14:paraId="71B66F97">
            <w:pPr>
              <w:widowControl/>
              <w:spacing w:line="240" w:lineRule="auto"/>
              <w:jc w:val="left"/>
              <w:rPr>
                <w:color w:val="000000"/>
                <w:kern w:val="0"/>
                <w:sz w:val="21"/>
                <w:szCs w:val="21"/>
              </w:rPr>
            </w:pPr>
          </w:p>
        </w:tc>
      </w:tr>
      <w:tr w14:paraId="46D4500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02253B3">
            <w:pPr>
              <w:widowControl/>
              <w:spacing w:line="240" w:lineRule="auto"/>
              <w:jc w:val="center"/>
              <w:rPr>
                <w:kern w:val="0"/>
                <w:sz w:val="21"/>
                <w:szCs w:val="21"/>
              </w:rPr>
            </w:pPr>
            <w:r>
              <w:rPr>
                <w:kern w:val="0"/>
                <w:sz w:val="21"/>
                <w:szCs w:val="21"/>
              </w:rPr>
              <w:t>4</w:t>
            </w:r>
          </w:p>
        </w:tc>
        <w:tc>
          <w:tcPr>
            <w:tcW w:w="1580" w:type="dxa"/>
            <w:tcBorders>
              <w:top w:val="nil"/>
              <w:left w:val="nil"/>
              <w:bottom w:val="single" w:color="auto" w:sz="4" w:space="0"/>
              <w:right w:val="single" w:color="auto" w:sz="4" w:space="0"/>
            </w:tcBorders>
            <w:vAlign w:val="center"/>
          </w:tcPr>
          <w:p w14:paraId="2436B207">
            <w:pPr>
              <w:widowControl/>
              <w:spacing w:line="240" w:lineRule="auto"/>
              <w:jc w:val="left"/>
              <w:rPr>
                <w:kern w:val="0"/>
                <w:sz w:val="21"/>
                <w:szCs w:val="21"/>
              </w:rPr>
            </w:pPr>
            <w:r>
              <w:rPr>
                <w:kern w:val="0"/>
                <w:sz w:val="21"/>
                <w:szCs w:val="21"/>
              </w:rPr>
              <w:t>20160727</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44C8DF01">
            <w:pPr>
              <w:widowControl/>
              <w:spacing w:line="240" w:lineRule="auto"/>
              <w:jc w:val="center"/>
              <w:rPr>
                <w:kern w:val="0"/>
                <w:sz w:val="21"/>
                <w:szCs w:val="21"/>
              </w:rPr>
            </w:pPr>
            <w:r>
              <w:rPr>
                <w:kern w:val="0"/>
                <w:sz w:val="21"/>
                <w:szCs w:val="21"/>
              </w:rPr>
              <w:t xml:space="preserve">2.2 </w:t>
            </w:r>
          </w:p>
        </w:tc>
        <w:tc>
          <w:tcPr>
            <w:tcW w:w="1701" w:type="dxa"/>
            <w:tcBorders>
              <w:top w:val="nil"/>
              <w:left w:val="nil"/>
              <w:bottom w:val="single" w:color="auto" w:sz="4" w:space="0"/>
              <w:right w:val="single" w:color="auto" w:sz="4" w:space="0"/>
            </w:tcBorders>
            <w:vAlign w:val="center"/>
          </w:tcPr>
          <w:p w14:paraId="09C59697">
            <w:pPr>
              <w:widowControl/>
              <w:spacing w:line="240" w:lineRule="auto"/>
              <w:jc w:val="center"/>
              <w:rPr>
                <w:kern w:val="0"/>
                <w:sz w:val="21"/>
                <w:szCs w:val="21"/>
              </w:rPr>
            </w:pPr>
            <w:r>
              <w:rPr>
                <w:kern w:val="0"/>
                <w:sz w:val="21"/>
                <w:szCs w:val="21"/>
              </w:rPr>
              <w:t xml:space="preserve">0.18 </w:t>
            </w:r>
          </w:p>
        </w:tc>
        <w:tc>
          <w:tcPr>
            <w:tcW w:w="1276" w:type="dxa"/>
            <w:tcBorders>
              <w:top w:val="nil"/>
              <w:left w:val="nil"/>
              <w:bottom w:val="single" w:color="auto" w:sz="4" w:space="0"/>
              <w:right w:val="single" w:color="auto" w:sz="4" w:space="0"/>
            </w:tcBorders>
            <w:shd w:val="clear" w:color="000000" w:fill="FFFFFF"/>
            <w:vAlign w:val="center"/>
          </w:tcPr>
          <w:p w14:paraId="28FC9DB0">
            <w:pPr>
              <w:widowControl/>
              <w:spacing w:line="240" w:lineRule="auto"/>
              <w:jc w:val="center"/>
              <w:rPr>
                <w:kern w:val="0"/>
                <w:sz w:val="21"/>
                <w:szCs w:val="21"/>
              </w:rPr>
            </w:pPr>
            <w:r>
              <w:rPr>
                <w:kern w:val="0"/>
                <w:sz w:val="21"/>
                <w:szCs w:val="21"/>
              </w:rPr>
              <w:t xml:space="preserve">12.01 </w:t>
            </w:r>
          </w:p>
        </w:tc>
        <w:tc>
          <w:tcPr>
            <w:tcW w:w="1134" w:type="dxa"/>
            <w:vMerge w:val="restart"/>
            <w:tcBorders>
              <w:top w:val="nil"/>
              <w:left w:val="single" w:color="auto" w:sz="4" w:space="0"/>
              <w:bottom w:val="single" w:color="auto" w:sz="4" w:space="0"/>
              <w:right w:val="single" w:color="auto" w:sz="4" w:space="0"/>
            </w:tcBorders>
            <w:vAlign w:val="center"/>
          </w:tcPr>
          <w:p w14:paraId="54AF55E1">
            <w:pPr>
              <w:widowControl/>
              <w:spacing w:line="240" w:lineRule="auto"/>
              <w:jc w:val="center"/>
              <w:rPr>
                <w:color w:val="000000"/>
                <w:kern w:val="0"/>
                <w:sz w:val="21"/>
                <w:szCs w:val="21"/>
              </w:rPr>
            </w:pPr>
            <w:r>
              <w:rPr>
                <w:rFonts w:hint="eastAsia" w:hAnsi="宋体"/>
                <w:color w:val="000000"/>
                <w:kern w:val="0"/>
                <w:sz w:val="21"/>
                <w:szCs w:val="21"/>
              </w:rPr>
              <w:t>烧烤</w:t>
            </w:r>
          </w:p>
        </w:tc>
      </w:tr>
      <w:tr w14:paraId="01CAC9BA">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1FAB7D26">
            <w:pPr>
              <w:widowControl/>
              <w:spacing w:line="240" w:lineRule="auto"/>
              <w:jc w:val="center"/>
              <w:rPr>
                <w:kern w:val="0"/>
                <w:sz w:val="21"/>
                <w:szCs w:val="21"/>
              </w:rPr>
            </w:pPr>
            <w:r>
              <w:rPr>
                <w:kern w:val="0"/>
                <w:sz w:val="21"/>
                <w:szCs w:val="21"/>
              </w:rPr>
              <w:t>5</w:t>
            </w:r>
          </w:p>
        </w:tc>
        <w:tc>
          <w:tcPr>
            <w:tcW w:w="1580" w:type="dxa"/>
            <w:tcBorders>
              <w:top w:val="nil"/>
              <w:left w:val="nil"/>
              <w:bottom w:val="single" w:color="auto" w:sz="4" w:space="0"/>
              <w:right w:val="single" w:color="auto" w:sz="4" w:space="0"/>
            </w:tcBorders>
            <w:vAlign w:val="center"/>
          </w:tcPr>
          <w:p w14:paraId="393B5E2D">
            <w:pPr>
              <w:widowControl/>
              <w:spacing w:line="240" w:lineRule="auto"/>
              <w:jc w:val="left"/>
              <w:rPr>
                <w:kern w:val="0"/>
                <w:sz w:val="21"/>
                <w:szCs w:val="21"/>
              </w:rPr>
            </w:pPr>
            <w:r>
              <w:rPr>
                <w:kern w:val="0"/>
                <w:sz w:val="21"/>
                <w:szCs w:val="21"/>
              </w:rPr>
              <w:t>20160727</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57124BAE">
            <w:pPr>
              <w:widowControl/>
              <w:spacing w:line="240" w:lineRule="auto"/>
              <w:jc w:val="center"/>
              <w:rPr>
                <w:kern w:val="0"/>
                <w:sz w:val="21"/>
                <w:szCs w:val="21"/>
              </w:rPr>
            </w:pPr>
            <w:r>
              <w:rPr>
                <w:kern w:val="0"/>
                <w:sz w:val="21"/>
                <w:szCs w:val="21"/>
              </w:rPr>
              <w:t xml:space="preserve">5.4 </w:t>
            </w:r>
          </w:p>
        </w:tc>
        <w:tc>
          <w:tcPr>
            <w:tcW w:w="1701" w:type="dxa"/>
            <w:tcBorders>
              <w:top w:val="nil"/>
              <w:left w:val="nil"/>
              <w:bottom w:val="single" w:color="auto" w:sz="4" w:space="0"/>
              <w:right w:val="single" w:color="auto" w:sz="4" w:space="0"/>
            </w:tcBorders>
            <w:vAlign w:val="center"/>
          </w:tcPr>
          <w:p w14:paraId="6BE922CD">
            <w:pPr>
              <w:widowControl/>
              <w:spacing w:line="240" w:lineRule="auto"/>
              <w:jc w:val="center"/>
              <w:rPr>
                <w:kern w:val="0"/>
                <w:sz w:val="21"/>
                <w:szCs w:val="21"/>
              </w:rPr>
            </w:pPr>
            <w:r>
              <w:rPr>
                <w:kern w:val="0"/>
                <w:sz w:val="21"/>
                <w:szCs w:val="21"/>
              </w:rPr>
              <w:t xml:space="preserve">0.19 </w:t>
            </w:r>
          </w:p>
        </w:tc>
        <w:tc>
          <w:tcPr>
            <w:tcW w:w="1276" w:type="dxa"/>
            <w:tcBorders>
              <w:top w:val="nil"/>
              <w:left w:val="nil"/>
              <w:bottom w:val="single" w:color="auto" w:sz="4" w:space="0"/>
              <w:right w:val="single" w:color="auto" w:sz="4" w:space="0"/>
            </w:tcBorders>
            <w:shd w:val="clear" w:color="000000" w:fill="FFFFFF"/>
            <w:vAlign w:val="center"/>
          </w:tcPr>
          <w:p w14:paraId="6B4BA321">
            <w:pPr>
              <w:widowControl/>
              <w:spacing w:line="240" w:lineRule="auto"/>
              <w:jc w:val="center"/>
              <w:rPr>
                <w:kern w:val="0"/>
                <w:sz w:val="21"/>
                <w:szCs w:val="21"/>
              </w:rPr>
            </w:pPr>
            <w:r>
              <w:rPr>
                <w:kern w:val="0"/>
                <w:sz w:val="21"/>
                <w:szCs w:val="21"/>
              </w:rPr>
              <w:t xml:space="preserve">28.06 </w:t>
            </w:r>
          </w:p>
        </w:tc>
        <w:tc>
          <w:tcPr>
            <w:tcW w:w="1134" w:type="dxa"/>
            <w:vMerge w:val="continue"/>
            <w:tcBorders>
              <w:top w:val="nil"/>
              <w:left w:val="single" w:color="auto" w:sz="4" w:space="0"/>
              <w:bottom w:val="single" w:color="auto" w:sz="4" w:space="0"/>
              <w:right w:val="single" w:color="auto" w:sz="4" w:space="0"/>
            </w:tcBorders>
            <w:vAlign w:val="center"/>
          </w:tcPr>
          <w:p w14:paraId="72A1FF60">
            <w:pPr>
              <w:widowControl/>
              <w:spacing w:line="240" w:lineRule="auto"/>
              <w:jc w:val="left"/>
              <w:rPr>
                <w:color w:val="000000"/>
                <w:kern w:val="0"/>
                <w:sz w:val="21"/>
                <w:szCs w:val="21"/>
              </w:rPr>
            </w:pPr>
          </w:p>
        </w:tc>
      </w:tr>
      <w:tr w14:paraId="681D821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74B9BCB">
            <w:pPr>
              <w:widowControl/>
              <w:spacing w:line="240" w:lineRule="auto"/>
              <w:jc w:val="center"/>
              <w:rPr>
                <w:kern w:val="0"/>
                <w:sz w:val="21"/>
                <w:szCs w:val="21"/>
              </w:rPr>
            </w:pPr>
            <w:r>
              <w:rPr>
                <w:kern w:val="0"/>
                <w:sz w:val="21"/>
                <w:szCs w:val="21"/>
              </w:rPr>
              <w:t>6</w:t>
            </w:r>
          </w:p>
        </w:tc>
        <w:tc>
          <w:tcPr>
            <w:tcW w:w="1580" w:type="dxa"/>
            <w:tcBorders>
              <w:top w:val="nil"/>
              <w:left w:val="nil"/>
              <w:bottom w:val="single" w:color="auto" w:sz="4" w:space="0"/>
              <w:right w:val="single" w:color="auto" w:sz="4" w:space="0"/>
            </w:tcBorders>
            <w:vAlign w:val="center"/>
          </w:tcPr>
          <w:p w14:paraId="470ECC3F">
            <w:pPr>
              <w:widowControl/>
              <w:spacing w:line="240" w:lineRule="auto"/>
              <w:jc w:val="left"/>
              <w:rPr>
                <w:kern w:val="0"/>
                <w:sz w:val="21"/>
                <w:szCs w:val="21"/>
              </w:rPr>
            </w:pPr>
            <w:r>
              <w:rPr>
                <w:kern w:val="0"/>
                <w:sz w:val="21"/>
                <w:szCs w:val="21"/>
              </w:rPr>
              <w:t>20160727</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79AA5DED">
            <w:pPr>
              <w:widowControl/>
              <w:spacing w:line="240" w:lineRule="auto"/>
              <w:jc w:val="center"/>
              <w:rPr>
                <w:kern w:val="0"/>
                <w:sz w:val="21"/>
                <w:szCs w:val="21"/>
              </w:rPr>
            </w:pPr>
            <w:r>
              <w:rPr>
                <w:kern w:val="0"/>
                <w:sz w:val="21"/>
                <w:szCs w:val="21"/>
              </w:rPr>
              <w:t xml:space="preserve">2.7 </w:t>
            </w:r>
          </w:p>
        </w:tc>
        <w:tc>
          <w:tcPr>
            <w:tcW w:w="1701" w:type="dxa"/>
            <w:tcBorders>
              <w:top w:val="nil"/>
              <w:left w:val="nil"/>
              <w:bottom w:val="single" w:color="auto" w:sz="4" w:space="0"/>
              <w:right w:val="single" w:color="auto" w:sz="4" w:space="0"/>
            </w:tcBorders>
            <w:vAlign w:val="center"/>
          </w:tcPr>
          <w:p w14:paraId="2BEC50FF">
            <w:pPr>
              <w:widowControl/>
              <w:spacing w:line="240" w:lineRule="auto"/>
              <w:jc w:val="center"/>
              <w:rPr>
                <w:kern w:val="0"/>
                <w:sz w:val="21"/>
                <w:szCs w:val="21"/>
              </w:rPr>
            </w:pPr>
            <w:r>
              <w:rPr>
                <w:kern w:val="0"/>
                <w:sz w:val="21"/>
                <w:szCs w:val="21"/>
              </w:rPr>
              <w:t xml:space="preserve">0.33 </w:t>
            </w:r>
          </w:p>
        </w:tc>
        <w:tc>
          <w:tcPr>
            <w:tcW w:w="1276" w:type="dxa"/>
            <w:tcBorders>
              <w:top w:val="nil"/>
              <w:left w:val="nil"/>
              <w:bottom w:val="single" w:color="auto" w:sz="4" w:space="0"/>
              <w:right w:val="single" w:color="auto" w:sz="4" w:space="0"/>
            </w:tcBorders>
            <w:shd w:val="clear" w:color="000000" w:fill="FFFFFF"/>
            <w:vAlign w:val="center"/>
          </w:tcPr>
          <w:p w14:paraId="4D0DCAB1">
            <w:pPr>
              <w:widowControl/>
              <w:spacing w:line="240" w:lineRule="auto"/>
              <w:jc w:val="center"/>
              <w:rPr>
                <w:kern w:val="0"/>
                <w:sz w:val="21"/>
                <w:szCs w:val="21"/>
              </w:rPr>
            </w:pPr>
            <w:r>
              <w:rPr>
                <w:kern w:val="0"/>
                <w:sz w:val="21"/>
                <w:szCs w:val="21"/>
              </w:rPr>
              <w:t xml:space="preserve">8.03 </w:t>
            </w:r>
          </w:p>
        </w:tc>
        <w:tc>
          <w:tcPr>
            <w:tcW w:w="1134" w:type="dxa"/>
            <w:vMerge w:val="continue"/>
            <w:tcBorders>
              <w:top w:val="nil"/>
              <w:left w:val="single" w:color="auto" w:sz="4" w:space="0"/>
              <w:bottom w:val="single" w:color="auto" w:sz="4" w:space="0"/>
              <w:right w:val="single" w:color="auto" w:sz="4" w:space="0"/>
            </w:tcBorders>
            <w:vAlign w:val="center"/>
          </w:tcPr>
          <w:p w14:paraId="346660B4">
            <w:pPr>
              <w:widowControl/>
              <w:spacing w:line="240" w:lineRule="auto"/>
              <w:jc w:val="left"/>
              <w:rPr>
                <w:color w:val="000000"/>
                <w:kern w:val="0"/>
                <w:sz w:val="21"/>
                <w:szCs w:val="21"/>
              </w:rPr>
            </w:pPr>
          </w:p>
        </w:tc>
      </w:tr>
      <w:tr w14:paraId="516E5BA4">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7BA0465">
            <w:pPr>
              <w:widowControl/>
              <w:spacing w:line="240" w:lineRule="auto"/>
              <w:jc w:val="center"/>
              <w:rPr>
                <w:kern w:val="0"/>
                <w:sz w:val="21"/>
                <w:szCs w:val="21"/>
              </w:rPr>
            </w:pPr>
            <w:r>
              <w:rPr>
                <w:kern w:val="0"/>
                <w:sz w:val="21"/>
                <w:szCs w:val="21"/>
              </w:rPr>
              <w:t>7</w:t>
            </w:r>
          </w:p>
        </w:tc>
        <w:tc>
          <w:tcPr>
            <w:tcW w:w="1580" w:type="dxa"/>
            <w:tcBorders>
              <w:top w:val="nil"/>
              <w:left w:val="nil"/>
              <w:bottom w:val="single" w:color="auto" w:sz="4" w:space="0"/>
              <w:right w:val="single" w:color="auto" w:sz="4" w:space="0"/>
            </w:tcBorders>
            <w:vAlign w:val="center"/>
          </w:tcPr>
          <w:p w14:paraId="6ED11883">
            <w:pPr>
              <w:widowControl/>
              <w:spacing w:line="240" w:lineRule="auto"/>
              <w:jc w:val="left"/>
              <w:rPr>
                <w:kern w:val="0"/>
                <w:sz w:val="21"/>
                <w:szCs w:val="21"/>
              </w:rPr>
            </w:pPr>
            <w:r>
              <w:rPr>
                <w:kern w:val="0"/>
                <w:sz w:val="21"/>
                <w:szCs w:val="21"/>
              </w:rPr>
              <w:t>20160714</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22D82563">
            <w:pPr>
              <w:widowControl/>
              <w:spacing w:line="240" w:lineRule="auto"/>
              <w:jc w:val="center"/>
              <w:rPr>
                <w:kern w:val="0"/>
                <w:sz w:val="21"/>
                <w:szCs w:val="21"/>
              </w:rPr>
            </w:pPr>
            <w:r>
              <w:rPr>
                <w:kern w:val="0"/>
                <w:sz w:val="21"/>
                <w:szCs w:val="21"/>
              </w:rPr>
              <w:t xml:space="preserve">3.8 </w:t>
            </w:r>
          </w:p>
        </w:tc>
        <w:tc>
          <w:tcPr>
            <w:tcW w:w="1701" w:type="dxa"/>
            <w:tcBorders>
              <w:top w:val="nil"/>
              <w:left w:val="nil"/>
              <w:bottom w:val="single" w:color="auto" w:sz="4" w:space="0"/>
              <w:right w:val="single" w:color="auto" w:sz="4" w:space="0"/>
            </w:tcBorders>
            <w:vAlign w:val="center"/>
          </w:tcPr>
          <w:p w14:paraId="7112B0DA">
            <w:pPr>
              <w:widowControl/>
              <w:spacing w:line="240" w:lineRule="auto"/>
              <w:jc w:val="center"/>
              <w:rPr>
                <w:kern w:val="0"/>
                <w:sz w:val="21"/>
                <w:szCs w:val="21"/>
              </w:rPr>
            </w:pPr>
            <w:r>
              <w:rPr>
                <w:kern w:val="0"/>
                <w:sz w:val="21"/>
                <w:szCs w:val="21"/>
              </w:rPr>
              <w:t xml:space="preserve">0.48 </w:t>
            </w:r>
          </w:p>
        </w:tc>
        <w:tc>
          <w:tcPr>
            <w:tcW w:w="1276" w:type="dxa"/>
            <w:tcBorders>
              <w:top w:val="nil"/>
              <w:left w:val="nil"/>
              <w:bottom w:val="single" w:color="auto" w:sz="4" w:space="0"/>
              <w:right w:val="single" w:color="auto" w:sz="4" w:space="0"/>
            </w:tcBorders>
            <w:shd w:val="clear" w:color="000000" w:fill="FFFFFF"/>
            <w:vAlign w:val="center"/>
          </w:tcPr>
          <w:p w14:paraId="75F1D462">
            <w:pPr>
              <w:widowControl/>
              <w:spacing w:line="240" w:lineRule="auto"/>
              <w:jc w:val="center"/>
              <w:rPr>
                <w:kern w:val="0"/>
                <w:sz w:val="21"/>
                <w:szCs w:val="21"/>
              </w:rPr>
            </w:pPr>
            <w:r>
              <w:rPr>
                <w:kern w:val="0"/>
                <w:sz w:val="21"/>
                <w:szCs w:val="21"/>
              </w:rPr>
              <w:t xml:space="preserve">7.98 </w:t>
            </w:r>
          </w:p>
        </w:tc>
        <w:tc>
          <w:tcPr>
            <w:tcW w:w="1134" w:type="dxa"/>
            <w:vMerge w:val="continue"/>
            <w:tcBorders>
              <w:top w:val="nil"/>
              <w:left w:val="single" w:color="auto" w:sz="4" w:space="0"/>
              <w:bottom w:val="single" w:color="auto" w:sz="4" w:space="0"/>
              <w:right w:val="single" w:color="auto" w:sz="4" w:space="0"/>
            </w:tcBorders>
            <w:vAlign w:val="center"/>
          </w:tcPr>
          <w:p w14:paraId="61E923A5">
            <w:pPr>
              <w:widowControl/>
              <w:spacing w:line="240" w:lineRule="auto"/>
              <w:jc w:val="left"/>
              <w:rPr>
                <w:color w:val="000000"/>
                <w:kern w:val="0"/>
                <w:sz w:val="21"/>
                <w:szCs w:val="21"/>
              </w:rPr>
            </w:pPr>
          </w:p>
        </w:tc>
      </w:tr>
      <w:tr w14:paraId="36E15A2D">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C5889D9">
            <w:pPr>
              <w:widowControl/>
              <w:spacing w:line="240" w:lineRule="auto"/>
              <w:jc w:val="center"/>
              <w:rPr>
                <w:kern w:val="0"/>
                <w:sz w:val="21"/>
                <w:szCs w:val="21"/>
              </w:rPr>
            </w:pPr>
            <w:r>
              <w:rPr>
                <w:kern w:val="0"/>
                <w:sz w:val="21"/>
                <w:szCs w:val="21"/>
              </w:rPr>
              <w:t>8</w:t>
            </w:r>
          </w:p>
        </w:tc>
        <w:tc>
          <w:tcPr>
            <w:tcW w:w="1580" w:type="dxa"/>
            <w:tcBorders>
              <w:top w:val="nil"/>
              <w:left w:val="nil"/>
              <w:bottom w:val="single" w:color="auto" w:sz="4" w:space="0"/>
              <w:right w:val="single" w:color="auto" w:sz="4" w:space="0"/>
            </w:tcBorders>
            <w:vAlign w:val="center"/>
          </w:tcPr>
          <w:p w14:paraId="471968B9">
            <w:pPr>
              <w:widowControl/>
              <w:spacing w:line="240" w:lineRule="auto"/>
              <w:jc w:val="left"/>
              <w:rPr>
                <w:kern w:val="0"/>
                <w:sz w:val="21"/>
                <w:szCs w:val="21"/>
              </w:rPr>
            </w:pPr>
            <w:r>
              <w:rPr>
                <w:kern w:val="0"/>
                <w:sz w:val="21"/>
                <w:szCs w:val="21"/>
              </w:rPr>
              <w:t>20160405</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051488BC">
            <w:pPr>
              <w:widowControl/>
              <w:spacing w:line="240" w:lineRule="auto"/>
              <w:jc w:val="center"/>
              <w:rPr>
                <w:kern w:val="0"/>
                <w:sz w:val="21"/>
                <w:szCs w:val="21"/>
              </w:rPr>
            </w:pPr>
            <w:r>
              <w:rPr>
                <w:kern w:val="0"/>
                <w:sz w:val="21"/>
                <w:szCs w:val="21"/>
              </w:rPr>
              <w:t xml:space="preserve">3.6 </w:t>
            </w:r>
          </w:p>
        </w:tc>
        <w:tc>
          <w:tcPr>
            <w:tcW w:w="1701" w:type="dxa"/>
            <w:tcBorders>
              <w:top w:val="nil"/>
              <w:left w:val="nil"/>
              <w:bottom w:val="single" w:color="auto" w:sz="4" w:space="0"/>
              <w:right w:val="single" w:color="auto" w:sz="4" w:space="0"/>
            </w:tcBorders>
            <w:vAlign w:val="center"/>
          </w:tcPr>
          <w:p w14:paraId="16728B3B">
            <w:pPr>
              <w:widowControl/>
              <w:spacing w:line="240" w:lineRule="auto"/>
              <w:jc w:val="center"/>
              <w:rPr>
                <w:kern w:val="0"/>
                <w:sz w:val="21"/>
                <w:szCs w:val="21"/>
              </w:rPr>
            </w:pPr>
            <w:r>
              <w:rPr>
                <w:kern w:val="0"/>
                <w:sz w:val="21"/>
                <w:szCs w:val="21"/>
              </w:rPr>
              <w:t xml:space="preserve">0.58 </w:t>
            </w:r>
          </w:p>
        </w:tc>
        <w:tc>
          <w:tcPr>
            <w:tcW w:w="1276" w:type="dxa"/>
            <w:tcBorders>
              <w:top w:val="nil"/>
              <w:left w:val="nil"/>
              <w:bottom w:val="single" w:color="auto" w:sz="4" w:space="0"/>
              <w:right w:val="single" w:color="auto" w:sz="4" w:space="0"/>
            </w:tcBorders>
            <w:shd w:val="clear" w:color="000000" w:fill="FFFFFF"/>
            <w:vAlign w:val="center"/>
          </w:tcPr>
          <w:p w14:paraId="163F9395">
            <w:pPr>
              <w:widowControl/>
              <w:spacing w:line="240" w:lineRule="auto"/>
              <w:jc w:val="center"/>
              <w:rPr>
                <w:color w:val="000000"/>
                <w:kern w:val="0"/>
                <w:sz w:val="21"/>
                <w:szCs w:val="21"/>
              </w:rPr>
            </w:pPr>
            <w:r>
              <w:rPr>
                <w:color w:val="000000"/>
                <w:kern w:val="0"/>
                <w:sz w:val="21"/>
                <w:szCs w:val="21"/>
              </w:rPr>
              <w:t xml:space="preserve">6.30 </w:t>
            </w:r>
          </w:p>
        </w:tc>
        <w:tc>
          <w:tcPr>
            <w:tcW w:w="1134" w:type="dxa"/>
            <w:vMerge w:val="continue"/>
            <w:tcBorders>
              <w:top w:val="nil"/>
              <w:left w:val="single" w:color="auto" w:sz="4" w:space="0"/>
              <w:bottom w:val="single" w:color="auto" w:sz="4" w:space="0"/>
              <w:right w:val="single" w:color="auto" w:sz="4" w:space="0"/>
            </w:tcBorders>
            <w:vAlign w:val="center"/>
          </w:tcPr>
          <w:p w14:paraId="630C39D3">
            <w:pPr>
              <w:widowControl/>
              <w:spacing w:line="240" w:lineRule="auto"/>
              <w:jc w:val="left"/>
              <w:rPr>
                <w:color w:val="000000"/>
                <w:kern w:val="0"/>
                <w:sz w:val="21"/>
                <w:szCs w:val="21"/>
              </w:rPr>
            </w:pPr>
          </w:p>
        </w:tc>
      </w:tr>
      <w:tr w14:paraId="26EC329F">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26784BB">
            <w:pPr>
              <w:widowControl/>
              <w:spacing w:line="240" w:lineRule="auto"/>
              <w:jc w:val="center"/>
              <w:rPr>
                <w:kern w:val="0"/>
                <w:sz w:val="21"/>
                <w:szCs w:val="21"/>
              </w:rPr>
            </w:pPr>
            <w:r>
              <w:rPr>
                <w:kern w:val="0"/>
                <w:sz w:val="21"/>
                <w:szCs w:val="21"/>
              </w:rPr>
              <w:t>9</w:t>
            </w:r>
          </w:p>
        </w:tc>
        <w:tc>
          <w:tcPr>
            <w:tcW w:w="1580" w:type="dxa"/>
            <w:tcBorders>
              <w:top w:val="nil"/>
              <w:left w:val="nil"/>
              <w:bottom w:val="single" w:color="auto" w:sz="4" w:space="0"/>
              <w:right w:val="single" w:color="auto" w:sz="4" w:space="0"/>
            </w:tcBorders>
            <w:vAlign w:val="center"/>
          </w:tcPr>
          <w:p w14:paraId="3C68595E">
            <w:pPr>
              <w:widowControl/>
              <w:spacing w:line="240" w:lineRule="auto"/>
              <w:jc w:val="left"/>
              <w:rPr>
                <w:kern w:val="0"/>
                <w:sz w:val="21"/>
                <w:szCs w:val="21"/>
              </w:rPr>
            </w:pPr>
            <w:r>
              <w:rPr>
                <w:kern w:val="0"/>
                <w:sz w:val="21"/>
                <w:szCs w:val="21"/>
              </w:rPr>
              <w:t>20160405</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354EEED1">
            <w:pPr>
              <w:widowControl/>
              <w:spacing w:line="240" w:lineRule="auto"/>
              <w:jc w:val="center"/>
              <w:rPr>
                <w:kern w:val="0"/>
                <w:sz w:val="21"/>
                <w:szCs w:val="21"/>
              </w:rPr>
            </w:pPr>
            <w:r>
              <w:rPr>
                <w:kern w:val="0"/>
                <w:sz w:val="21"/>
                <w:szCs w:val="21"/>
              </w:rPr>
              <w:t xml:space="preserve">6.5 </w:t>
            </w:r>
          </w:p>
        </w:tc>
        <w:tc>
          <w:tcPr>
            <w:tcW w:w="1701" w:type="dxa"/>
            <w:tcBorders>
              <w:top w:val="nil"/>
              <w:left w:val="nil"/>
              <w:bottom w:val="single" w:color="auto" w:sz="4" w:space="0"/>
              <w:right w:val="single" w:color="auto" w:sz="4" w:space="0"/>
            </w:tcBorders>
            <w:vAlign w:val="center"/>
          </w:tcPr>
          <w:p w14:paraId="29E9E693">
            <w:pPr>
              <w:widowControl/>
              <w:spacing w:line="240" w:lineRule="auto"/>
              <w:jc w:val="center"/>
              <w:rPr>
                <w:kern w:val="0"/>
                <w:sz w:val="21"/>
                <w:szCs w:val="21"/>
              </w:rPr>
            </w:pPr>
            <w:r>
              <w:rPr>
                <w:kern w:val="0"/>
                <w:sz w:val="21"/>
                <w:szCs w:val="21"/>
              </w:rPr>
              <w:t xml:space="preserve">1.29 </w:t>
            </w:r>
          </w:p>
        </w:tc>
        <w:tc>
          <w:tcPr>
            <w:tcW w:w="1276" w:type="dxa"/>
            <w:tcBorders>
              <w:top w:val="nil"/>
              <w:left w:val="nil"/>
              <w:bottom w:val="single" w:color="auto" w:sz="4" w:space="0"/>
              <w:right w:val="single" w:color="auto" w:sz="4" w:space="0"/>
            </w:tcBorders>
            <w:vAlign w:val="center"/>
          </w:tcPr>
          <w:p w14:paraId="1D91ABE4">
            <w:pPr>
              <w:widowControl/>
              <w:spacing w:line="240" w:lineRule="auto"/>
              <w:jc w:val="center"/>
              <w:rPr>
                <w:color w:val="000000"/>
                <w:kern w:val="0"/>
                <w:sz w:val="21"/>
                <w:szCs w:val="21"/>
              </w:rPr>
            </w:pPr>
            <w:r>
              <w:rPr>
                <w:color w:val="000000"/>
                <w:kern w:val="0"/>
                <w:sz w:val="21"/>
                <w:szCs w:val="21"/>
              </w:rPr>
              <w:t xml:space="preserve">5.07 </w:t>
            </w:r>
          </w:p>
        </w:tc>
        <w:tc>
          <w:tcPr>
            <w:tcW w:w="1134" w:type="dxa"/>
            <w:vMerge w:val="continue"/>
            <w:tcBorders>
              <w:top w:val="nil"/>
              <w:left w:val="single" w:color="auto" w:sz="4" w:space="0"/>
              <w:bottom w:val="single" w:color="auto" w:sz="4" w:space="0"/>
              <w:right w:val="single" w:color="auto" w:sz="4" w:space="0"/>
            </w:tcBorders>
            <w:vAlign w:val="center"/>
          </w:tcPr>
          <w:p w14:paraId="4DB8D33A">
            <w:pPr>
              <w:widowControl/>
              <w:spacing w:line="240" w:lineRule="auto"/>
              <w:jc w:val="left"/>
              <w:rPr>
                <w:color w:val="000000"/>
                <w:kern w:val="0"/>
                <w:sz w:val="21"/>
                <w:szCs w:val="21"/>
              </w:rPr>
            </w:pPr>
          </w:p>
        </w:tc>
      </w:tr>
      <w:tr w14:paraId="6636CE1D">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5E4DC78">
            <w:pPr>
              <w:widowControl/>
              <w:spacing w:line="240" w:lineRule="auto"/>
              <w:jc w:val="center"/>
              <w:rPr>
                <w:kern w:val="0"/>
                <w:sz w:val="21"/>
                <w:szCs w:val="21"/>
              </w:rPr>
            </w:pPr>
            <w:r>
              <w:rPr>
                <w:kern w:val="0"/>
                <w:sz w:val="21"/>
                <w:szCs w:val="21"/>
              </w:rPr>
              <w:t>10</w:t>
            </w:r>
          </w:p>
        </w:tc>
        <w:tc>
          <w:tcPr>
            <w:tcW w:w="1580" w:type="dxa"/>
            <w:tcBorders>
              <w:top w:val="nil"/>
              <w:left w:val="nil"/>
              <w:bottom w:val="single" w:color="auto" w:sz="4" w:space="0"/>
              <w:right w:val="single" w:color="auto" w:sz="4" w:space="0"/>
            </w:tcBorders>
            <w:vAlign w:val="center"/>
          </w:tcPr>
          <w:p w14:paraId="4B4B044A">
            <w:pPr>
              <w:widowControl/>
              <w:spacing w:line="240" w:lineRule="auto"/>
              <w:jc w:val="left"/>
              <w:rPr>
                <w:kern w:val="0"/>
                <w:sz w:val="21"/>
                <w:szCs w:val="21"/>
              </w:rPr>
            </w:pPr>
            <w:r>
              <w:rPr>
                <w:kern w:val="0"/>
                <w:sz w:val="21"/>
                <w:szCs w:val="21"/>
              </w:rPr>
              <w:t>20160714</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7C4A42D5">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vAlign w:val="center"/>
          </w:tcPr>
          <w:p w14:paraId="1419B36C">
            <w:pPr>
              <w:widowControl/>
              <w:spacing w:line="240" w:lineRule="auto"/>
              <w:jc w:val="center"/>
              <w:rPr>
                <w:kern w:val="0"/>
                <w:sz w:val="21"/>
                <w:szCs w:val="21"/>
              </w:rPr>
            </w:pPr>
            <w:r>
              <w:rPr>
                <w:kern w:val="0"/>
                <w:sz w:val="21"/>
                <w:szCs w:val="21"/>
              </w:rPr>
              <w:t xml:space="preserve">0.45 </w:t>
            </w:r>
          </w:p>
        </w:tc>
        <w:tc>
          <w:tcPr>
            <w:tcW w:w="1276" w:type="dxa"/>
            <w:tcBorders>
              <w:top w:val="nil"/>
              <w:left w:val="nil"/>
              <w:bottom w:val="single" w:color="auto" w:sz="4" w:space="0"/>
              <w:right w:val="single" w:color="auto" w:sz="4" w:space="0"/>
            </w:tcBorders>
            <w:vAlign w:val="center"/>
          </w:tcPr>
          <w:p w14:paraId="3DA56C36">
            <w:pPr>
              <w:widowControl/>
              <w:spacing w:line="240" w:lineRule="auto"/>
              <w:jc w:val="center"/>
              <w:rPr>
                <w:kern w:val="0"/>
                <w:sz w:val="21"/>
                <w:szCs w:val="21"/>
              </w:rPr>
            </w:pPr>
            <w:r>
              <w:rPr>
                <w:kern w:val="0"/>
                <w:sz w:val="21"/>
                <w:szCs w:val="21"/>
              </w:rPr>
              <w:t xml:space="preserve">5.03 </w:t>
            </w:r>
          </w:p>
        </w:tc>
        <w:tc>
          <w:tcPr>
            <w:tcW w:w="1134" w:type="dxa"/>
            <w:vMerge w:val="continue"/>
            <w:tcBorders>
              <w:top w:val="nil"/>
              <w:left w:val="single" w:color="auto" w:sz="4" w:space="0"/>
              <w:bottom w:val="single" w:color="auto" w:sz="4" w:space="0"/>
              <w:right w:val="single" w:color="auto" w:sz="4" w:space="0"/>
            </w:tcBorders>
            <w:vAlign w:val="center"/>
          </w:tcPr>
          <w:p w14:paraId="199B4F77">
            <w:pPr>
              <w:widowControl/>
              <w:spacing w:line="240" w:lineRule="auto"/>
              <w:jc w:val="left"/>
              <w:rPr>
                <w:color w:val="000000"/>
                <w:kern w:val="0"/>
                <w:sz w:val="21"/>
                <w:szCs w:val="21"/>
              </w:rPr>
            </w:pPr>
          </w:p>
        </w:tc>
      </w:tr>
      <w:tr w14:paraId="240DE3F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4D0E592">
            <w:pPr>
              <w:widowControl/>
              <w:spacing w:line="240" w:lineRule="auto"/>
              <w:jc w:val="center"/>
              <w:rPr>
                <w:kern w:val="0"/>
                <w:sz w:val="21"/>
                <w:szCs w:val="21"/>
              </w:rPr>
            </w:pPr>
            <w:r>
              <w:rPr>
                <w:kern w:val="0"/>
                <w:sz w:val="21"/>
                <w:szCs w:val="21"/>
              </w:rPr>
              <w:t>11</w:t>
            </w:r>
          </w:p>
        </w:tc>
        <w:tc>
          <w:tcPr>
            <w:tcW w:w="1580" w:type="dxa"/>
            <w:tcBorders>
              <w:top w:val="nil"/>
              <w:left w:val="nil"/>
              <w:bottom w:val="single" w:color="auto" w:sz="4" w:space="0"/>
              <w:right w:val="single" w:color="auto" w:sz="4" w:space="0"/>
            </w:tcBorders>
            <w:vAlign w:val="center"/>
          </w:tcPr>
          <w:p w14:paraId="3C6A7420">
            <w:pPr>
              <w:widowControl/>
              <w:spacing w:line="240" w:lineRule="auto"/>
              <w:jc w:val="left"/>
              <w:rPr>
                <w:kern w:val="0"/>
                <w:sz w:val="21"/>
                <w:szCs w:val="21"/>
              </w:rPr>
            </w:pPr>
            <w:r>
              <w:rPr>
                <w:kern w:val="0"/>
                <w:sz w:val="21"/>
                <w:szCs w:val="21"/>
              </w:rPr>
              <w:t>20160302</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14:paraId="58801D55">
            <w:pPr>
              <w:widowControl/>
              <w:spacing w:line="240" w:lineRule="auto"/>
              <w:jc w:val="center"/>
              <w:rPr>
                <w:kern w:val="0"/>
                <w:sz w:val="21"/>
                <w:szCs w:val="21"/>
              </w:rPr>
            </w:pPr>
            <w:r>
              <w:rPr>
                <w:kern w:val="0"/>
                <w:sz w:val="21"/>
                <w:szCs w:val="21"/>
              </w:rPr>
              <w:t xml:space="preserve">41.6 </w:t>
            </w:r>
          </w:p>
        </w:tc>
        <w:tc>
          <w:tcPr>
            <w:tcW w:w="1701" w:type="dxa"/>
            <w:tcBorders>
              <w:top w:val="nil"/>
              <w:left w:val="nil"/>
              <w:bottom w:val="single" w:color="auto" w:sz="4" w:space="0"/>
              <w:right w:val="single" w:color="auto" w:sz="4" w:space="0"/>
            </w:tcBorders>
            <w:shd w:val="clear" w:color="000000" w:fill="FFFFFF"/>
            <w:vAlign w:val="center"/>
          </w:tcPr>
          <w:p w14:paraId="6DDD4CE2">
            <w:pPr>
              <w:widowControl/>
              <w:spacing w:line="240" w:lineRule="auto"/>
              <w:jc w:val="center"/>
              <w:rPr>
                <w:kern w:val="0"/>
                <w:sz w:val="21"/>
                <w:szCs w:val="21"/>
              </w:rPr>
            </w:pPr>
            <w:r>
              <w:rPr>
                <w:kern w:val="0"/>
                <w:sz w:val="21"/>
                <w:szCs w:val="21"/>
              </w:rPr>
              <w:t xml:space="preserve">19.57 </w:t>
            </w:r>
          </w:p>
        </w:tc>
        <w:tc>
          <w:tcPr>
            <w:tcW w:w="1276" w:type="dxa"/>
            <w:tcBorders>
              <w:top w:val="nil"/>
              <w:left w:val="nil"/>
              <w:bottom w:val="single" w:color="auto" w:sz="4" w:space="0"/>
              <w:right w:val="single" w:color="auto" w:sz="4" w:space="0"/>
            </w:tcBorders>
            <w:vAlign w:val="center"/>
          </w:tcPr>
          <w:p w14:paraId="4F515823">
            <w:pPr>
              <w:widowControl/>
              <w:spacing w:line="240" w:lineRule="auto"/>
              <w:jc w:val="center"/>
              <w:rPr>
                <w:color w:val="000000"/>
                <w:kern w:val="0"/>
                <w:sz w:val="21"/>
                <w:szCs w:val="21"/>
              </w:rPr>
            </w:pPr>
            <w:r>
              <w:rPr>
                <w:color w:val="000000"/>
                <w:kern w:val="0"/>
                <w:sz w:val="21"/>
                <w:szCs w:val="21"/>
              </w:rPr>
              <w:t xml:space="preserve">2.13 </w:t>
            </w:r>
          </w:p>
        </w:tc>
        <w:tc>
          <w:tcPr>
            <w:tcW w:w="1134" w:type="dxa"/>
            <w:vMerge w:val="continue"/>
            <w:tcBorders>
              <w:top w:val="nil"/>
              <w:left w:val="single" w:color="auto" w:sz="4" w:space="0"/>
              <w:bottom w:val="single" w:color="auto" w:sz="4" w:space="0"/>
              <w:right w:val="single" w:color="auto" w:sz="4" w:space="0"/>
            </w:tcBorders>
            <w:vAlign w:val="center"/>
          </w:tcPr>
          <w:p w14:paraId="7EF25E59">
            <w:pPr>
              <w:widowControl/>
              <w:spacing w:line="240" w:lineRule="auto"/>
              <w:jc w:val="left"/>
              <w:rPr>
                <w:color w:val="000000"/>
                <w:kern w:val="0"/>
                <w:sz w:val="21"/>
                <w:szCs w:val="21"/>
              </w:rPr>
            </w:pPr>
          </w:p>
        </w:tc>
      </w:tr>
      <w:tr w14:paraId="6A6D2510">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95E541F">
            <w:pPr>
              <w:widowControl/>
              <w:spacing w:line="240" w:lineRule="auto"/>
              <w:jc w:val="center"/>
              <w:rPr>
                <w:kern w:val="0"/>
                <w:sz w:val="21"/>
                <w:szCs w:val="21"/>
              </w:rPr>
            </w:pPr>
            <w:r>
              <w:rPr>
                <w:kern w:val="0"/>
                <w:sz w:val="21"/>
                <w:szCs w:val="21"/>
              </w:rPr>
              <w:t>12</w:t>
            </w:r>
          </w:p>
        </w:tc>
        <w:tc>
          <w:tcPr>
            <w:tcW w:w="1580" w:type="dxa"/>
            <w:tcBorders>
              <w:top w:val="nil"/>
              <w:left w:val="nil"/>
              <w:bottom w:val="single" w:color="auto" w:sz="4" w:space="0"/>
              <w:right w:val="single" w:color="auto" w:sz="4" w:space="0"/>
            </w:tcBorders>
            <w:vAlign w:val="center"/>
          </w:tcPr>
          <w:p w14:paraId="49C2BFC2">
            <w:pPr>
              <w:widowControl/>
              <w:spacing w:line="240" w:lineRule="auto"/>
              <w:jc w:val="left"/>
              <w:rPr>
                <w:kern w:val="0"/>
                <w:sz w:val="21"/>
                <w:szCs w:val="21"/>
              </w:rPr>
            </w:pPr>
            <w:r>
              <w:rPr>
                <w:kern w:val="0"/>
                <w:sz w:val="21"/>
                <w:szCs w:val="21"/>
              </w:rPr>
              <w:t>20160302</w:t>
            </w:r>
            <w:r>
              <w:rPr>
                <w:rFonts w:hint="eastAsia" w:hAnsi="宋体"/>
                <w:kern w:val="0"/>
                <w:sz w:val="21"/>
                <w:szCs w:val="21"/>
              </w:rPr>
              <w:t>晚上</w:t>
            </w:r>
          </w:p>
        </w:tc>
        <w:tc>
          <w:tcPr>
            <w:tcW w:w="1823" w:type="dxa"/>
            <w:tcBorders>
              <w:top w:val="nil"/>
              <w:left w:val="nil"/>
              <w:bottom w:val="single" w:color="auto" w:sz="4" w:space="0"/>
              <w:right w:val="single" w:color="auto" w:sz="4" w:space="0"/>
            </w:tcBorders>
            <w:shd w:val="clear" w:color="000000" w:fill="FFFFFF"/>
            <w:vAlign w:val="center"/>
          </w:tcPr>
          <w:p w14:paraId="330D2002">
            <w:pPr>
              <w:widowControl/>
              <w:spacing w:line="240" w:lineRule="auto"/>
              <w:jc w:val="center"/>
              <w:rPr>
                <w:kern w:val="0"/>
                <w:sz w:val="21"/>
                <w:szCs w:val="21"/>
              </w:rPr>
            </w:pPr>
            <w:r>
              <w:rPr>
                <w:kern w:val="0"/>
                <w:sz w:val="21"/>
                <w:szCs w:val="21"/>
              </w:rPr>
              <w:t xml:space="preserve">49.6 </w:t>
            </w:r>
          </w:p>
        </w:tc>
        <w:tc>
          <w:tcPr>
            <w:tcW w:w="1701" w:type="dxa"/>
            <w:tcBorders>
              <w:top w:val="nil"/>
              <w:left w:val="nil"/>
              <w:bottom w:val="single" w:color="auto" w:sz="4" w:space="0"/>
              <w:right w:val="single" w:color="auto" w:sz="4" w:space="0"/>
            </w:tcBorders>
            <w:shd w:val="clear" w:color="000000" w:fill="FFFFFF"/>
            <w:vAlign w:val="center"/>
          </w:tcPr>
          <w:p w14:paraId="53AB6E77">
            <w:pPr>
              <w:widowControl/>
              <w:spacing w:line="240" w:lineRule="auto"/>
              <w:jc w:val="center"/>
              <w:rPr>
                <w:kern w:val="0"/>
                <w:sz w:val="21"/>
                <w:szCs w:val="21"/>
              </w:rPr>
            </w:pPr>
            <w:r>
              <w:rPr>
                <w:kern w:val="0"/>
                <w:sz w:val="21"/>
                <w:szCs w:val="21"/>
              </w:rPr>
              <w:t xml:space="preserve">21.79 </w:t>
            </w:r>
          </w:p>
        </w:tc>
        <w:tc>
          <w:tcPr>
            <w:tcW w:w="1276" w:type="dxa"/>
            <w:tcBorders>
              <w:top w:val="nil"/>
              <w:left w:val="nil"/>
              <w:bottom w:val="single" w:color="auto" w:sz="4" w:space="0"/>
              <w:right w:val="single" w:color="auto" w:sz="4" w:space="0"/>
            </w:tcBorders>
            <w:vAlign w:val="center"/>
          </w:tcPr>
          <w:p w14:paraId="416789C8">
            <w:pPr>
              <w:widowControl/>
              <w:spacing w:line="240" w:lineRule="auto"/>
              <w:jc w:val="center"/>
              <w:rPr>
                <w:color w:val="000000"/>
                <w:kern w:val="0"/>
                <w:sz w:val="21"/>
                <w:szCs w:val="21"/>
              </w:rPr>
            </w:pPr>
            <w:r>
              <w:rPr>
                <w:color w:val="000000"/>
                <w:kern w:val="0"/>
                <w:sz w:val="21"/>
                <w:szCs w:val="21"/>
              </w:rPr>
              <w:t xml:space="preserve">2.28 </w:t>
            </w:r>
          </w:p>
        </w:tc>
        <w:tc>
          <w:tcPr>
            <w:tcW w:w="1134" w:type="dxa"/>
            <w:vMerge w:val="continue"/>
            <w:tcBorders>
              <w:top w:val="nil"/>
              <w:left w:val="single" w:color="auto" w:sz="4" w:space="0"/>
              <w:bottom w:val="single" w:color="auto" w:sz="4" w:space="0"/>
              <w:right w:val="single" w:color="auto" w:sz="4" w:space="0"/>
            </w:tcBorders>
            <w:vAlign w:val="center"/>
          </w:tcPr>
          <w:p w14:paraId="210F8F95">
            <w:pPr>
              <w:widowControl/>
              <w:spacing w:line="240" w:lineRule="auto"/>
              <w:jc w:val="left"/>
              <w:rPr>
                <w:color w:val="000000"/>
                <w:kern w:val="0"/>
                <w:sz w:val="21"/>
                <w:szCs w:val="21"/>
              </w:rPr>
            </w:pPr>
          </w:p>
        </w:tc>
      </w:tr>
      <w:tr w14:paraId="6161EF07">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78DFDE9">
            <w:pPr>
              <w:widowControl/>
              <w:spacing w:line="240" w:lineRule="auto"/>
              <w:jc w:val="center"/>
              <w:rPr>
                <w:kern w:val="0"/>
                <w:sz w:val="21"/>
                <w:szCs w:val="21"/>
              </w:rPr>
            </w:pPr>
            <w:r>
              <w:rPr>
                <w:kern w:val="0"/>
                <w:sz w:val="21"/>
                <w:szCs w:val="21"/>
              </w:rPr>
              <w:t>13</w:t>
            </w:r>
          </w:p>
        </w:tc>
        <w:tc>
          <w:tcPr>
            <w:tcW w:w="1580" w:type="dxa"/>
            <w:tcBorders>
              <w:top w:val="nil"/>
              <w:left w:val="nil"/>
              <w:bottom w:val="single" w:color="auto" w:sz="4" w:space="0"/>
              <w:right w:val="single" w:color="auto" w:sz="4" w:space="0"/>
            </w:tcBorders>
            <w:vAlign w:val="center"/>
          </w:tcPr>
          <w:p w14:paraId="42C144D2">
            <w:pPr>
              <w:widowControl/>
              <w:spacing w:line="240" w:lineRule="auto"/>
              <w:jc w:val="left"/>
              <w:rPr>
                <w:kern w:val="0"/>
                <w:sz w:val="21"/>
                <w:szCs w:val="21"/>
              </w:rPr>
            </w:pPr>
            <w:r>
              <w:rPr>
                <w:kern w:val="0"/>
                <w:sz w:val="21"/>
                <w:szCs w:val="21"/>
              </w:rPr>
              <w:t>20160223</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04870DFA">
            <w:pPr>
              <w:widowControl/>
              <w:spacing w:line="240" w:lineRule="auto"/>
              <w:jc w:val="center"/>
              <w:rPr>
                <w:kern w:val="0"/>
                <w:sz w:val="21"/>
                <w:szCs w:val="21"/>
              </w:rPr>
            </w:pPr>
            <w:r>
              <w:rPr>
                <w:kern w:val="0"/>
                <w:sz w:val="21"/>
                <w:szCs w:val="21"/>
              </w:rPr>
              <w:t xml:space="preserve">1.8 </w:t>
            </w:r>
          </w:p>
        </w:tc>
        <w:tc>
          <w:tcPr>
            <w:tcW w:w="1701" w:type="dxa"/>
            <w:tcBorders>
              <w:top w:val="nil"/>
              <w:left w:val="nil"/>
              <w:bottom w:val="single" w:color="auto" w:sz="4" w:space="0"/>
              <w:right w:val="single" w:color="auto" w:sz="4" w:space="0"/>
            </w:tcBorders>
            <w:vAlign w:val="center"/>
          </w:tcPr>
          <w:p w14:paraId="7BB24235">
            <w:pPr>
              <w:widowControl/>
              <w:spacing w:line="240" w:lineRule="auto"/>
              <w:jc w:val="center"/>
              <w:rPr>
                <w:kern w:val="0"/>
                <w:sz w:val="21"/>
                <w:szCs w:val="21"/>
              </w:rPr>
            </w:pPr>
            <w:r>
              <w:rPr>
                <w:kern w:val="0"/>
                <w:sz w:val="21"/>
                <w:szCs w:val="21"/>
              </w:rPr>
              <w:t xml:space="preserve">0.55 </w:t>
            </w:r>
          </w:p>
        </w:tc>
        <w:tc>
          <w:tcPr>
            <w:tcW w:w="1276" w:type="dxa"/>
            <w:tcBorders>
              <w:top w:val="nil"/>
              <w:left w:val="nil"/>
              <w:bottom w:val="single" w:color="auto" w:sz="4" w:space="0"/>
              <w:right w:val="single" w:color="auto" w:sz="4" w:space="0"/>
            </w:tcBorders>
            <w:vAlign w:val="center"/>
          </w:tcPr>
          <w:p w14:paraId="580F7C3E">
            <w:pPr>
              <w:widowControl/>
              <w:spacing w:line="240" w:lineRule="auto"/>
              <w:jc w:val="center"/>
              <w:rPr>
                <w:color w:val="000000"/>
                <w:kern w:val="0"/>
                <w:sz w:val="21"/>
                <w:szCs w:val="21"/>
              </w:rPr>
            </w:pPr>
            <w:r>
              <w:rPr>
                <w:color w:val="000000"/>
                <w:kern w:val="0"/>
                <w:sz w:val="21"/>
                <w:szCs w:val="21"/>
              </w:rPr>
              <w:t xml:space="preserve">3.2 </w:t>
            </w:r>
          </w:p>
        </w:tc>
        <w:tc>
          <w:tcPr>
            <w:tcW w:w="1134" w:type="dxa"/>
            <w:tcBorders>
              <w:top w:val="nil"/>
              <w:left w:val="nil"/>
              <w:bottom w:val="single" w:color="auto" w:sz="4" w:space="0"/>
              <w:right w:val="single" w:color="auto" w:sz="4" w:space="0"/>
            </w:tcBorders>
            <w:vAlign w:val="center"/>
          </w:tcPr>
          <w:p w14:paraId="72879F8C">
            <w:pPr>
              <w:widowControl/>
              <w:spacing w:line="240" w:lineRule="auto"/>
              <w:jc w:val="left"/>
              <w:rPr>
                <w:color w:val="000000"/>
                <w:kern w:val="0"/>
                <w:sz w:val="21"/>
                <w:szCs w:val="21"/>
              </w:rPr>
            </w:pPr>
            <w:r>
              <w:rPr>
                <w:rFonts w:hint="eastAsia" w:hAnsi="宋体"/>
                <w:color w:val="000000"/>
                <w:kern w:val="0"/>
                <w:sz w:val="21"/>
                <w:szCs w:val="21"/>
              </w:rPr>
              <w:t>单位食堂</w:t>
            </w:r>
          </w:p>
        </w:tc>
      </w:tr>
      <w:tr w14:paraId="1BD94C1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9111388">
            <w:pPr>
              <w:widowControl/>
              <w:spacing w:line="240" w:lineRule="auto"/>
              <w:jc w:val="center"/>
              <w:rPr>
                <w:kern w:val="0"/>
                <w:sz w:val="21"/>
                <w:szCs w:val="21"/>
              </w:rPr>
            </w:pPr>
            <w:r>
              <w:rPr>
                <w:kern w:val="0"/>
                <w:sz w:val="21"/>
                <w:szCs w:val="21"/>
              </w:rPr>
              <w:t>14</w:t>
            </w:r>
          </w:p>
        </w:tc>
        <w:tc>
          <w:tcPr>
            <w:tcW w:w="1580" w:type="dxa"/>
            <w:tcBorders>
              <w:top w:val="nil"/>
              <w:left w:val="nil"/>
              <w:bottom w:val="single" w:color="auto" w:sz="4" w:space="0"/>
              <w:right w:val="single" w:color="auto" w:sz="4" w:space="0"/>
            </w:tcBorders>
            <w:vAlign w:val="center"/>
          </w:tcPr>
          <w:p w14:paraId="5749AB8E">
            <w:pPr>
              <w:widowControl/>
              <w:spacing w:line="240" w:lineRule="auto"/>
              <w:jc w:val="left"/>
              <w:rPr>
                <w:kern w:val="0"/>
                <w:sz w:val="21"/>
                <w:szCs w:val="21"/>
              </w:rPr>
            </w:pPr>
            <w:r>
              <w:rPr>
                <w:kern w:val="0"/>
                <w:sz w:val="21"/>
                <w:szCs w:val="21"/>
              </w:rPr>
              <w:t>20160229</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62356096">
            <w:pPr>
              <w:widowControl/>
              <w:spacing w:line="240" w:lineRule="auto"/>
              <w:jc w:val="center"/>
              <w:rPr>
                <w:kern w:val="0"/>
                <w:sz w:val="21"/>
                <w:szCs w:val="21"/>
              </w:rPr>
            </w:pPr>
            <w:r>
              <w:rPr>
                <w:kern w:val="0"/>
                <w:sz w:val="21"/>
                <w:szCs w:val="21"/>
              </w:rPr>
              <w:t xml:space="preserve">4.1 </w:t>
            </w:r>
          </w:p>
        </w:tc>
        <w:tc>
          <w:tcPr>
            <w:tcW w:w="1701" w:type="dxa"/>
            <w:tcBorders>
              <w:top w:val="nil"/>
              <w:left w:val="nil"/>
              <w:bottom w:val="single" w:color="auto" w:sz="4" w:space="0"/>
              <w:right w:val="single" w:color="auto" w:sz="4" w:space="0"/>
            </w:tcBorders>
            <w:vAlign w:val="center"/>
          </w:tcPr>
          <w:p w14:paraId="32ECB8B5">
            <w:pPr>
              <w:widowControl/>
              <w:spacing w:line="240" w:lineRule="auto"/>
              <w:jc w:val="center"/>
              <w:rPr>
                <w:kern w:val="0"/>
                <w:sz w:val="21"/>
                <w:szCs w:val="21"/>
              </w:rPr>
            </w:pPr>
            <w:r>
              <w:rPr>
                <w:kern w:val="0"/>
                <w:sz w:val="21"/>
                <w:szCs w:val="21"/>
              </w:rPr>
              <w:t xml:space="preserve">1.13 </w:t>
            </w:r>
          </w:p>
        </w:tc>
        <w:tc>
          <w:tcPr>
            <w:tcW w:w="1276" w:type="dxa"/>
            <w:tcBorders>
              <w:top w:val="nil"/>
              <w:left w:val="nil"/>
              <w:bottom w:val="single" w:color="auto" w:sz="4" w:space="0"/>
              <w:right w:val="single" w:color="auto" w:sz="4" w:space="0"/>
            </w:tcBorders>
            <w:vAlign w:val="center"/>
          </w:tcPr>
          <w:p w14:paraId="5131E363">
            <w:pPr>
              <w:widowControl/>
              <w:spacing w:line="240" w:lineRule="auto"/>
              <w:jc w:val="center"/>
              <w:rPr>
                <w:color w:val="000000"/>
                <w:kern w:val="0"/>
                <w:sz w:val="21"/>
                <w:szCs w:val="21"/>
              </w:rPr>
            </w:pPr>
            <w:r>
              <w:rPr>
                <w:color w:val="000000"/>
                <w:kern w:val="0"/>
                <w:sz w:val="21"/>
                <w:szCs w:val="21"/>
              </w:rPr>
              <w:t xml:space="preserve">3.6 </w:t>
            </w:r>
          </w:p>
        </w:tc>
        <w:tc>
          <w:tcPr>
            <w:tcW w:w="1134" w:type="dxa"/>
            <w:vMerge w:val="restart"/>
            <w:tcBorders>
              <w:top w:val="nil"/>
              <w:left w:val="single" w:color="auto" w:sz="4" w:space="0"/>
              <w:bottom w:val="single" w:color="000000" w:sz="4" w:space="0"/>
              <w:right w:val="single" w:color="auto" w:sz="4" w:space="0"/>
            </w:tcBorders>
            <w:vAlign w:val="center"/>
          </w:tcPr>
          <w:p w14:paraId="7457BE06">
            <w:pPr>
              <w:widowControl/>
              <w:spacing w:line="240" w:lineRule="auto"/>
              <w:jc w:val="center"/>
              <w:rPr>
                <w:color w:val="000000"/>
                <w:kern w:val="0"/>
                <w:sz w:val="21"/>
                <w:szCs w:val="21"/>
              </w:rPr>
            </w:pPr>
            <w:r>
              <w:rPr>
                <w:rFonts w:hint="eastAsia" w:hAnsi="宋体"/>
                <w:color w:val="000000"/>
                <w:kern w:val="0"/>
                <w:sz w:val="21"/>
                <w:szCs w:val="21"/>
              </w:rPr>
              <w:t>家常菜</w:t>
            </w:r>
          </w:p>
        </w:tc>
      </w:tr>
      <w:tr w14:paraId="016966B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194B9B3D">
            <w:pPr>
              <w:widowControl/>
              <w:spacing w:line="240" w:lineRule="auto"/>
              <w:jc w:val="center"/>
              <w:rPr>
                <w:kern w:val="0"/>
                <w:sz w:val="21"/>
                <w:szCs w:val="21"/>
              </w:rPr>
            </w:pPr>
            <w:r>
              <w:rPr>
                <w:kern w:val="0"/>
                <w:sz w:val="21"/>
                <w:szCs w:val="21"/>
              </w:rPr>
              <w:t>15</w:t>
            </w:r>
          </w:p>
        </w:tc>
        <w:tc>
          <w:tcPr>
            <w:tcW w:w="1580" w:type="dxa"/>
            <w:tcBorders>
              <w:top w:val="nil"/>
              <w:left w:val="nil"/>
              <w:bottom w:val="single" w:color="auto" w:sz="4" w:space="0"/>
              <w:right w:val="single" w:color="auto" w:sz="4" w:space="0"/>
            </w:tcBorders>
            <w:vAlign w:val="center"/>
          </w:tcPr>
          <w:p w14:paraId="65C77C13">
            <w:pPr>
              <w:widowControl/>
              <w:spacing w:line="240" w:lineRule="auto"/>
              <w:jc w:val="left"/>
              <w:rPr>
                <w:kern w:val="0"/>
                <w:sz w:val="21"/>
                <w:szCs w:val="21"/>
              </w:rPr>
            </w:pPr>
            <w:r>
              <w:rPr>
                <w:kern w:val="0"/>
                <w:sz w:val="21"/>
                <w:szCs w:val="21"/>
              </w:rPr>
              <w:t>20160229</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57A8CE89">
            <w:pPr>
              <w:widowControl/>
              <w:spacing w:line="240" w:lineRule="auto"/>
              <w:jc w:val="center"/>
              <w:rPr>
                <w:kern w:val="0"/>
                <w:sz w:val="21"/>
                <w:szCs w:val="21"/>
              </w:rPr>
            </w:pPr>
            <w:r>
              <w:rPr>
                <w:kern w:val="0"/>
                <w:sz w:val="21"/>
                <w:szCs w:val="21"/>
              </w:rPr>
              <w:t xml:space="preserve">3.8 </w:t>
            </w:r>
          </w:p>
        </w:tc>
        <w:tc>
          <w:tcPr>
            <w:tcW w:w="1701" w:type="dxa"/>
            <w:tcBorders>
              <w:top w:val="nil"/>
              <w:left w:val="nil"/>
              <w:bottom w:val="single" w:color="auto" w:sz="4" w:space="0"/>
              <w:right w:val="single" w:color="auto" w:sz="4" w:space="0"/>
            </w:tcBorders>
            <w:vAlign w:val="center"/>
          </w:tcPr>
          <w:p w14:paraId="75B3E690">
            <w:pPr>
              <w:widowControl/>
              <w:spacing w:line="240" w:lineRule="auto"/>
              <w:jc w:val="center"/>
              <w:rPr>
                <w:kern w:val="0"/>
                <w:sz w:val="21"/>
                <w:szCs w:val="21"/>
              </w:rPr>
            </w:pPr>
            <w:r>
              <w:rPr>
                <w:kern w:val="0"/>
                <w:sz w:val="21"/>
                <w:szCs w:val="21"/>
              </w:rPr>
              <w:t xml:space="preserve">1.12 </w:t>
            </w:r>
          </w:p>
        </w:tc>
        <w:tc>
          <w:tcPr>
            <w:tcW w:w="1276" w:type="dxa"/>
            <w:tcBorders>
              <w:top w:val="nil"/>
              <w:left w:val="nil"/>
              <w:bottom w:val="single" w:color="auto" w:sz="4" w:space="0"/>
              <w:right w:val="single" w:color="auto" w:sz="4" w:space="0"/>
            </w:tcBorders>
            <w:vAlign w:val="center"/>
          </w:tcPr>
          <w:p w14:paraId="1EB869B3">
            <w:pPr>
              <w:widowControl/>
              <w:spacing w:line="240" w:lineRule="auto"/>
              <w:jc w:val="center"/>
              <w:rPr>
                <w:color w:val="000000"/>
                <w:kern w:val="0"/>
                <w:sz w:val="21"/>
                <w:szCs w:val="21"/>
              </w:rPr>
            </w:pPr>
            <w:r>
              <w:rPr>
                <w:color w:val="000000"/>
                <w:kern w:val="0"/>
                <w:sz w:val="21"/>
                <w:szCs w:val="21"/>
              </w:rPr>
              <w:t xml:space="preserve">3.4 </w:t>
            </w:r>
          </w:p>
        </w:tc>
        <w:tc>
          <w:tcPr>
            <w:tcW w:w="1134" w:type="dxa"/>
            <w:vMerge w:val="continue"/>
            <w:tcBorders>
              <w:top w:val="nil"/>
              <w:left w:val="single" w:color="auto" w:sz="4" w:space="0"/>
              <w:bottom w:val="single" w:color="000000" w:sz="4" w:space="0"/>
              <w:right w:val="single" w:color="auto" w:sz="4" w:space="0"/>
            </w:tcBorders>
            <w:vAlign w:val="center"/>
          </w:tcPr>
          <w:p w14:paraId="09C16CDD">
            <w:pPr>
              <w:widowControl/>
              <w:spacing w:line="240" w:lineRule="auto"/>
              <w:jc w:val="left"/>
              <w:rPr>
                <w:color w:val="000000"/>
                <w:kern w:val="0"/>
                <w:sz w:val="21"/>
                <w:szCs w:val="21"/>
              </w:rPr>
            </w:pPr>
          </w:p>
        </w:tc>
      </w:tr>
      <w:tr w14:paraId="1B8A678D">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864EF37">
            <w:pPr>
              <w:widowControl/>
              <w:spacing w:line="240" w:lineRule="auto"/>
              <w:jc w:val="center"/>
              <w:rPr>
                <w:kern w:val="0"/>
                <w:sz w:val="21"/>
                <w:szCs w:val="21"/>
              </w:rPr>
            </w:pPr>
            <w:r>
              <w:rPr>
                <w:kern w:val="0"/>
                <w:sz w:val="21"/>
                <w:szCs w:val="21"/>
              </w:rPr>
              <w:t>16</w:t>
            </w:r>
          </w:p>
        </w:tc>
        <w:tc>
          <w:tcPr>
            <w:tcW w:w="1580" w:type="dxa"/>
            <w:tcBorders>
              <w:top w:val="nil"/>
              <w:left w:val="nil"/>
              <w:bottom w:val="single" w:color="auto" w:sz="4" w:space="0"/>
              <w:right w:val="single" w:color="auto" w:sz="4" w:space="0"/>
            </w:tcBorders>
            <w:vAlign w:val="center"/>
          </w:tcPr>
          <w:p w14:paraId="6F543789">
            <w:pPr>
              <w:widowControl/>
              <w:spacing w:line="240" w:lineRule="auto"/>
              <w:jc w:val="left"/>
              <w:rPr>
                <w:kern w:val="0"/>
                <w:sz w:val="21"/>
                <w:szCs w:val="21"/>
              </w:rPr>
            </w:pPr>
            <w:r>
              <w:rPr>
                <w:kern w:val="0"/>
                <w:sz w:val="21"/>
                <w:szCs w:val="21"/>
              </w:rPr>
              <w:t>20160301</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3C5B3A49">
            <w:pPr>
              <w:widowControl/>
              <w:spacing w:line="240" w:lineRule="auto"/>
              <w:jc w:val="center"/>
              <w:rPr>
                <w:kern w:val="0"/>
                <w:sz w:val="21"/>
                <w:szCs w:val="21"/>
              </w:rPr>
            </w:pPr>
            <w:r>
              <w:rPr>
                <w:kern w:val="0"/>
                <w:sz w:val="21"/>
                <w:szCs w:val="21"/>
              </w:rPr>
              <w:t xml:space="preserve">4.5 </w:t>
            </w:r>
          </w:p>
        </w:tc>
        <w:tc>
          <w:tcPr>
            <w:tcW w:w="1701" w:type="dxa"/>
            <w:tcBorders>
              <w:top w:val="nil"/>
              <w:left w:val="nil"/>
              <w:bottom w:val="single" w:color="auto" w:sz="4" w:space="0"/>
              <w:right w:val="single" w:color="auto" w:sz="4" w:space="0"/>
            </w:tcBorders>
            <w:vAlign w:val="center"/>
          </w:tcPr>
          <w:p w14:paraId="6311B155">
            <w:pPr>
              <w:widowControl/>
              <w:spacing w:line="240" w:lineRule="auto"/>
              <w:jc w:val="center"/>
              <w:rPr>
                <w:kern w:val="0"/>
                <w:sz w:val="21"/>
                <w:szCs w:val="21"/>
              </w:rPr>
            </w:pPr>
            <w:r>
              <w:rPr>
                <w:kern w:val="0"/>
                <w:sz w:val="21"/>
                <w:szCs w:val="21"/>
              </w:rPr>
              <w:t xml:space="preserve">1.32 </w:t>
            </w:r>
          </w:p>
        </w:tc>
        <w:tc>
          <w:tcPr>
            <w:tcW w:w="1276" w:type="dxa"/>
            <w:tcBorders>
              <w:top w:val="nil"/>
              <w:left w:val="nil"/>
              <w:bottom w:val="single" w:color="auto" w:sz="4" w:space="0"/>
              <w:right w:val="single" w:color="auto" w:sz="4" w:space="0"/>
            </w:tcBorders>
            <w:vAlign w:val="center"/>
          </w:tcPr>
          <w:p w14:paraId="6D6E98A2">
            <w:pPr>
              <w:widowControl/>
              <w:spacing w:line="240" w:lineRule="auto"/>
              <w:jc w:val="center"/>
              <w:rPr>
                <w:color w:val="000000"/>
                <w:kern w:val="0"/>
                <w:sz w:val="21"/>
                <w:szCs w:val="21"/>
              </w:rPr>
            </w:pPr>
            <w:r>
              <w:rPr>
                <w:color w:val="000000"/>
                <w:kern w:val="0"/>
                <w:sz w:val="21"/>
                <w:szCs w:val="21"/>
              </w:rPr>
              <w:t xml:space="preserve">3.4 </w:t>
            </w:r>
          </w:p>
        </w:tc>
        <w:tc>
          <w:tcPr>
            <w:tcW w:w="1134" w:type="dxa"/>
            <w:vMerge w:val="restart"/>
            <w:tcBorders>
              <w:top w:val="nil"/>
              <w:left w:val="single" w:color="auto" w:sz="4" w:space="0"/>
              <w:bottom w:val="single" w:color="000000" w:sz="4" w:space="0"/>
              <w:right w:val="single" w:color="auto" w:sz="4" w:space="0"/>
            </w:tcBorders>
            <w:vAlign w:val="center"/>
          </w:tcPr>
          <w:p w14:paraId="7C8ED4CB">
            <w:pPr>
              <w:widowControl/>
              <w:spacing w:line="240" w:lineRule="auto"/>
              <w:jc w:val="center"/>
              <w:rPr>
                <w:color w:val="000000"/>
                <w:kern w:val="0"/>
                <w:sz w:val="21"/>
                <w:szCs w:val="21"/>
              </w:rPr>
            </w:pPr>
            <w:r>
              <w:rPr>
                <w:rFonts w:hint="eastAsia" w:hAnsi="宋体"/>
                <w:color w:val="000000"/>
                <w:kern w:val="0"/>
                <w:sz w:val="21"/>
                <w:szCs w:val="21"/>
              </w:rPr>
              <w:t>川湘菜</w:t>
            </w:r>
          </w:p>
        </w:tc>
      </w:tr>
      <w:tr w14:paraId="2B1F99EA">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186EA5D">
            <w:pPr>
              <w:widowControl/>
              <w:spacing w:line="240" w:lineRule="auto"/>
              <w:jc w:val="center"/>
              <w:rPr>
                <w:kern w:val="0"/>
                <w:sz w:val="21"/>
                <w:szCs w:val="21"/>
              </w:rPr>
            </w:pPr>
            <w:r>
              <w:rPr>
                <w:kern w:val="0"/>
                <w:sz w:val="21"/>
                <w:szCs w:val="21"/>
              </w:rPr>
              <w:t>17</w:t>
            </w:r>
          </w:p>
        </w:tc>
        <w:tc>
          <w:tcPr>
            <w:tcW w:w="1580" w:type="dxa"/>
            <w:tcBorders>
              <w:top w:val="nil"/>
              <w:left w:val="nil"/>
              <w:bottom w:val="single" w:color="auto" w:sz="4" w:space="0"/>
              <w:right w:val="single" w:color="auto" w:sz="4" w:space="0"/>
            </w:tcBorders>
            <w:vAlign w:val="center"/>
          </w:tcPr>
          <w:p w14:paraId="3D52373A">
            <w:pPr>
              <w:widowControl/>
              <w:spacing w:line="240" w:lineRule="auto"/>
              <w:jc w:val="left"/>
              <w:rPr>
                <w:kern w:val="0"/>
                <w:sz w:val="21"/>
                <w:szCs w:val="21"/>
              </w:rPr>
            </w:pPr>
            <w:r>
              <w:rPr>
                <w:kern w:val="0"/>
                <w:sz w:val="21"/>
                <w:szCs w:val="21"/>
              </w:rPr>
              <w:t>20160301</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2505048">
            <w:pPr>
              <w:widowControl/>
              <w:spacing w:line="240" w:lineRule="auto"/>
              <w:jc w:val="center"/>
              <w:rPr>
                <w:kern w:val="0"/>
                <w:sz w:val="21"/>
                <w:szCs w:val="21"/>
              </w:rPr>
            </w:pPr>
            <w:r>
              <w:rPr>
                <w:kern w:val="0"/>
                <w:sz w:val="21"/>
                <w:szCs w:val="21"/>
              </w:rPr>
              <w:t xml:space="preserve">4.3 </w:t>
            </w:r>
          </w:p>
        </w:tc>
        <w:tc>
          <w:tcPr>
            <w:tcW w:w="1701" w:type="dxa"/>
            <w:tcBorders>
              <w:top w:val="nil"/>
              <w:left w:val="nil"/>
              <w:bottom w:val="single" w:color="auto" w:sz="4" w:space="0"/>
              <w:right w:val="single" w:color="auto" w:sz="4" w:space="0"/>
            </w:tcBorders>
            <w:vAlign w:val="center"/>
          </w:tcPr>
          <w:p w14:paraId="099D6F4A">
            <w:pPr>
              <w:widowControl/>
              <w:spacing w:line="240" w:lineRule="auto"/>
              <w:jc w:val="center"/>
              <w:rPr>
                <w:kern w:val="0"/>
                <w:sz w:val="21"/>
                <w:szCs w:val="21"/>
              </w:rPr>
            </w:pPr>
            <w:r>
              <w:rPr>
                <w:kern w:val="0"/>
                <w:sz w:val="21"/>
                <w:szCs w:val="21"/>
              </w:rPr>
              <w:t xml:space="preserve">1.58 </w:t>
            </w:r>
          </w:p>
        </w:tc>
        <w:tc>
          <w:tcPr>
            <w:tcW w:w="1276" w:type="dxa"/>
            <w:tcBorders>
              <w:top w:val="nil"/>
              <w:left w:val="nil"/>
              <w:bottom w:val="single" w:color="auto" w:sz="4" w:space="0"/>
              <w:right w:val="single" w:color="auto" w:sz="4" w:space="0"/>
            </w:tcBorders>
            <w:vAlign w:val="center"/>
          </w:tcPr>
          <w:p w14:paraId="387E28AE">
            <w:pPr>
              <w:widowControl/>
              <w:spacing w:line="240" w:lineRule="auto"/>
              <w:jc w:val="center"/>
              <w:rPr>
                <w:color w:val="000000"/>
                <w:kern w:val="0"/>
                <w:sz w:val="21"/>
                <w:szCs w:val="21"/>
              </w:rPr>
            </w:pPr>
            <w:r>
              <w:rPr>
                <w:color w:val="000000"/>
                <w:kern w:val="0"/>
                <w:sz w:val="21"/>
                <w:szCs w:val="21"/>
              </w:rPr>
              <w:t xml:space="preserve">2.7 </w:t>
            </w:r>
          </w:p>
        </w:tc>
        <w:tc>
          <w:tcPr>
            <w:tcW w:w="1134" w:type="dxa"/>
            <w:vMerge w:val="continue"/>
            <w:tcBorders>
              <w:top w:val="nil"/>
              <w:left w:val="single" w:color="auto" w:sz="4" w:space="0"/>
              <w:bottom w:val="single" w:color="000000" w:sz="4" w:space="0"/>
              <w:right w:val="single" w:color="auto" w:sz="4" w:space="0"/>
            </w:tcBorders>
            <w:vAlign w:val="center"/>
          </w:tcPr>
          <w:p w14:paraId="039CF494">
            <w:pPr>
              <w:widowControl/>
              <w:spacing w:line="240" w:lineRule="auto"/>
              <w:jc w:val="left"/>
              <w:rPr>
                <w:color w:val="000000"/>
                <w:kern w:val="0"/>
                <w:sz w:val="21"/>
                <w:szCs w:val="21"/>
              </w:rPr>
            </w:pPr>
          </w:p>
        </w:tc>
      </w:tr>
      <w:tr w14:paraId="2F967B8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9021D6D">
            <w:pPr>
              <w:widowControl/>
              <w:spacing w:line="240" w:lineRule="auto"/>
              <w:jc w:val="center"/>
              <w:rPr>
                <w:kern w:val="0"/>
                <w:sz w:val="21"/>
                <w:szCs w:val="21"/>
              </w:rPr>
            </w:pPr>
            <w:r>
              <w:rPr>
                <w:kern w:val="0"/>
                <w:sz w:val="21"/>
                <w:szCs w:val="21"/>
              </w:rPr>
              <w:t>18</w:t>
            </w:r>
          </w:p>
        </w:tc>
        <w:tc>
          <w:tcPr>
            <w:tcW w:w="1580" w:type="dxa"/>
            <w:tcBorders>
              <w:top w:val="nil"/>
              <w:left w:val="nil"/>
              <w:bottom w:val="single" w:color="auto" w:sz="4" w:space="0"/>
              <w:right w:val="single" w:color="auto" w:sz="4" w:space="0"/>
            </w:tcBorders>
            <w:vAlign w:val="center"/>
          </w:tcPr>
          <w:p w14:paraId="12BA03AD">
            <w:pPr>
              <w:widowControl/>
              <w:spacing w:line="240" w:lineRule="auto"/>
              <w:jc w:val="left"/>
              <w:rPr>
                <w:kern w:val="0"/>
                <w:sz w:val="21"/>
                <w:szCs w:val="21"/>
              </w:rPr>
            </w:pPr>
            <w:r>
              <w:rPr>
                <w:kern w:val="0"/>
                <w:sz w:val="21"/>
                <w:szCs w:val="21"/>
              </w:rPr>
              <w:t>20160303</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6462EE9A">
            <w:pPr>
              <w:widowControl/>
              <w:spacing w:line="240" w:lineRule="auto"/>
              <w:jc w:val="center"/>
              <w:rPr>
                <w:kern w:val="0"/>
                <w:sz w:val="21"/>
                <w:szCs w:val="21"/>
              </w:rPr>
            </w:pPr>
            <w:r>
              <w:rPr>
                <w:kern w:val="0"/>
                <w:sz w:val="21"/>
                <w:szCs w:val="21"/>
              </w:rPr>
              <w:t xml:space="preserve">2.1 </w:t>
            </w:r>
          </w:p>
        </w:tc>
        <w:tc>
          <w:tcPr>
            <w:tcW w:w="1701" w:type="dxa"/>
            <w:tcBorders>
              <w:top w:val="nil"/>
              <w:left w:val="nil"/>
              <w:bottom w:val="single" w:color="auto" w:sz="4" w:space="0"/>
              <w:right w:val="single" w:color="auto" w:sz="4" w:space="0"/>
            </w:tcBorders>
            <w:vAlign w:val="center"/>
          </w:tcPr>
          <w:p w14:paraId="6A2A59B7">
            <w:pPr>
              <w:widowControl/>
              <w:spacing w:line="240" w:lineRule="auto"/>
              <w:jc w:val="center"/>
              <w:rPr>
                <w:kern w:val="0"/>
                <w:sz w:val="21"/>
                <w:szCs w:val="21"/>
              </w:rPr>
            </w:pPr>
            <w:r>
              <w:rPr>
                <w:kern w:val="0"/>
                <w:sz w:val="21"/>
                <w:szCs w:val="21"/>
              </w:rPr>
              <w:t xml:space="preserve">1.08 </w:t>
            </w:r>
          </w:p>
        </w:tc>
        <w:tc>
          <w:tcPr>
            <w:tcW w:w="1276" w:type="dxa"/>
            <w:tcBorders>
              <w:top w:val="nil"/>
              <w:left w:val="nil"/>
              <w:bottom w:val="single" w:color="auto" w:sz="4" w:space="0"/>
              <w:right w:val="single" w:color="auto" w:sz="4" w:space="0"/>
            </w:tcBorders>
            <w:vAlign w:val="center"/>
          </w:tcPr>
          <w:p w14:paraId="60E3FE94">
            <w:pPr>
              <w:widowControl/>
              <w:spacing w:line="240" w:lineRule="auto"/>
              <w:jc w:val="center"/>
              <w:rPr>
                <w:color w:val="000000"/>
                <w:kern w:val="0"/>
                <w:sz w:val="21"/>
                <w:szCs w:val="21"/>
              </w:rPr>
            </w:pPr>
            <w:r>
              <w:rPr>
                <w:color w:val="000000"/>
                <w:kern w:val="0"/>
                <w:sz w:val="21"/>
                <w:szCs w:val="21"/>
              </w:rPr>
              <w:t xml:space="preserve">1.9 </w:t>
            </w:r>
          </w:p>
        </w:tc>
        <w:tc>
          <w:tcPr>
            <w:tcW w:w="1134" w:type="dxa"/>
            <w:vMerge w:val="restart"/>
            <w:tcBorders>
              <w:top w:val="nil"/>
              <w:left w:val="single" w:color="auto" w:sz="4" w:space="0"/>
              <w:bottom w:val="single" w:color="000000" w:sz="4" w:space="0"/>
              <w:right w:val="single" w:color="auto" w:sz="4" w:space="0"/>
            </w:tcBorders>
            <w:vAlign w:val="center"/>
          </w:tcPr>
          <w:p w14:paraId="54336BC9">
            <w:pPr>
              <w:widowControl/>
              <w:spacing w:line="240" w:lineRule="auto"/>
              <w:jc w:val="center"/>
              <w:rPr>
                <w:color w:val="000000"/>
                <w:kern w:val="0"/>
                <w:sz w:val="21"/>
                <w:szCs w:val="21"/>
              </w:rPr>
            </w:pPr>
            <w:r>
              <w:rPr>
                <w:rFonts w:hint="eastAsia" w:hAnsi="宋体"/>
                <w:color w:val="000000"/>
                <w:kern w:val="0"/>
                <w:sz w:val="21"/>
                <w:szCs w:val="21"/>
              </w:rPr>
              <w:t>淮扬菜</w:t>
            </w:r>
          </w:p>
        </w:tc>
      </w:tr>
      <w:tr w14:paraId="7F45ED17">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271FB30">
            <w:pPr>
              <w:widowControl/>
              <w:spacing w:line="240" w:lineRule="auto"/>
              <w:jc w:val="center"/>
              <w:rPr>
                <w:kern w:val="0"/>
                <w:sz w:val="21"/>
                <w:szCs w:val="21"/>
              </w:rPr>
            </w:pPr>
            <w:r>
              <w:rPr>
                <w:kern w:val="0"/>
                <w:sz w:val="21"/>
                <w:szCs w:val="21"/>
              </w:rPr>
              <w:t>19</w:t>
            </w:r>
          </w:p>
        </w:tc>
        <w:tc>
          <w:tcPr>
            <w:tcW w:w="1580" w:type="dxa"/>
            <w:tcBorders>
              <w:top w:val="nil"/>
              <w:left w:val="nil"/>
              <w:bottom w:val="single" w:color="auto" w:sz="4" w:space="0"/>
              <w:right w:val="single" w:color="auto" w:sz="4" w:space="0"/>
            </w:tcBorders>
            <w:vAlign w:val="center"/>
          </w:tcPr>
          <w:p w14:paraId="410BEB4B">
            <w:pPr>
              <w:widowControl/>
              <w:spacing w:line="240" w:lineRule="auto"/>
              <w:jc w:val="left"/>
              <w:rPr>
                <w:kern w:val="0"/>
                <w:sz w:val="21"/>
                <w:szCs w:val="21"/>
              </w:rPr>
            </w:pPr>
            <w:r>
              <w:rPr>
                <w:kern w:val="0"/>
                <w:sz w:val="21"/>
                <w:szCs w:val="21"/>
              </w:rPr>
              <w:t>20160303</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BD1E987">
            <w:pPr>
              <w:widowControl/>
              <w:spacing w:line="240" w:lineRule="auto"/>
              <w:jc w:val="center"/>
              <w:rPr>
                <w:kern w:val="0"/>
                <w:sz w:val="21"/>
                <w:szCs w:val="21"/>
              </w:rPr>
            </w:pPr>
            <w:r>
              <w:rPr>
                <w:kern w:val="0"/>
                <w:sz w:val="21"/>
                <w:szCs w:val="21"/>
              </w:rPr>
              <w:t xml:space="preserve">1.2 </w:t>
            </w:r>
          </w:p>
        </w:tc>
        <w:tc>
          <w:tcPr>
            <w:tcW w:w="1701" w:type="dxa"/>
            <w:tcBorders>
              <w:top w:val="nil"/>
              <w:left w:val="nil"/>
              <w:bottom w:val="single" w:color="auto" w:sz="4" w:space="0"/>
              <w:right w:val="single" w:color="auto" w:sz="4" w:space="0"/>
            </w:tcBorders>
            <w:vAlign w:val="center"/>
          </w:tcPr>
          <w:p w14:paraId="3812549F">
            <w:pPr>
              <w:widowControl/>
              <w:spacing w:line="240" w:lineRule="auto"/>
              <w:jc w:val="center"/>
              <w:rPr>
                <w:kern w:val="0"/>
                <w:sz w:val="21"/>
                <w:szCs w:val="21"/>
              </w:rPr>
            </w:pPr>
            <w:r>
              <w:rPr>
                <w:kern w:val="0"/>
                <w:sz w:val="21"/>
                <w:szCs w:val="21"/>
              </w:rPr>
              <w:t xml:space="preserve">0.71 </w:t>
            </w:r>
          </w:p>
        </w:tc>
        <w:tc>
          <w:tcPr>
            <w:tcW w:w="1276" w:type="dxa"/>
            <w:tcBorders>
              <w:top w:val="nil"/>
              <w:left w:val="nil"/>
              <w:bottom w:val="single" w:color="auto" w:sz="4" w:space="0"/>
              <w:right w:val="single" w:color="auto" w:sz="4" w:space="0"/>
            </w:tcBorders>
            <w:vAlign w:val="center"/>
          </w:tcPr>
          <w:p w14:paraId="35E70A04">
            <w:pPr>
              <w:widowControl/>
              <w:spacing w:line="240" w:lineRule="auto"/>
              <w:jc w:val="center"/>
              <w:rPr>
                <w:color w:val="000000"/>
                <w:kern w:val="0"/>
                <w:sz w:val="21"/>
                <w:szCs w:val="21"/>
              </w:rPr>
            </w:pPr>
            <w:r>
              <w:rPr>
                <w:color w:val="000000"/>
                <w:kern w:val="0"/>
                <w:sz w:val="21"/>
                <w:szCs w:val="21"/>
              </w:rPr>
              <w:t xml:space="preserve">1.6 </w:t>
            </w:r>
          </w:p>
        </w:tc>
        <w:tc>
          <w:tcPr>
            <w:tcW w:w="1134" w:type="dxa"/>
            <w:vMerge w:val="continue"/>
            <w:tcBorders>
              <w:top w:val="nil"/>
              <w:left w:val="single" w:color="auto" w:sz="4" w:space="0"/>
              <w:bottom w:val="single" w:color="000000" w:sz="4" w:space="0"/>
              <w:right w:val="single" w:color="auto" w:sz="4" w:space="0"/>
            </w:tcBorders>
            <w:vAlign w:val="center"/>
          </w:tcPr>
          <w:p w14:paraId="26312AC7">
            <w:pPr>
              <w:widowControl/>
              <w:spacing w:line="240" w:lineRule="auto"/>
              <w:jc w:val="left"/>
              <w:rPr>
                <w:color w:val="000000"/>
                <w:kern w:val="0"/>
                <w:sz w:val="21"/>
                <w:szCs w:val="21"/>
              </w:rPr>
            </w:pPr>
          </w:p>
        </w:tc>
      </w:tr>
      <w:tr w14:paraId="55E90E05">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26E61B2">
            <w:pPr>
              <w:widowControl/>
              <w:spacing w:line="240" w:lineRule="auto"/>
              <w:jc w:val="center"/>
              <w:rPr>
                <w:kern w:val="0"/>
                <w:sz w:val="21"/>
                <w:szCs w:val="21"/>
              </w:rPr>
            </w:pPr>
            <w:r>
              <w:rPr>
                <w:kern w:val="0"/>
                <w:sz w:val="21"/>
                <w:szCs w:val="21"/>
              </w:rPr>
              <w:t>20</w:t>
            </w:r>
          </w:p>
        </w:tc>
        <w:tc>
          <w:tcPr>
            <w:tcW w:w="1580" w:type="dxa"/>
            <w:tcBorders>
              <w:top w:val="nil"/>
              <w:left w:val="nil"/>
              <w:bottom w:val="single" w:color="auto" w:sz="4" w:space="0"/>
              <w:right w:val="single" w:color="auto" w:sz="4" w:space="0"/>
            </w:tcBorders>
            <w:vAlign w:val="center"/>
          </w:tcPr>
          <w:p w14:paraId="43991604">
            <w:pPr>
              <w:widowControl/>
              <w:spacing w:line="240" w:lineRule="auto"/>
              <w:jc w:val="left"/>
              <w:rPr>
                <w:kern w:val="0"/>
                <w:sz w:val="21"/>
                <w:szCs w:val="21"/>
              </w:rPr>
            </w:pPr>
            <w:r>
              <w:rPr>
                <w:kern w:val="0"/>
                <w:sz w:val="21"/>
                <w:szCs w:val="21"/>
              </w:rPr>
              <w:t>20160310</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78A9FAD7">
            <w:pPr>
              <w:widowControl/>
              <w:spacing w:line="240" w:lineRule="auto"/>
              <w:jc w:val="center"/>
              <w:rPr>
                <w:kern w:val="0"/>
                <w:sz w:val="21"/>
                <w:szCs w:val="21"/>
              </w:rPr>
            </w:pPr>
            <w:r>
              <w:rPr>
                <w:kern w:val="0"/>
                <w:sz w:val="21"/>
                <w:szCs w:val="21"/>
              </w:rPr>
              <w:t xml:space="preserve">1.2 </w:t>
            </w:r>
          </w:p>
        </w:tc>
        <w:tc>
          <w:tcPr>
            <w:tcW w:w="1701" w:type="dxa"/>
            <w:tcBorders>
              <w:top w:val="nil"/>
              <w:left w:val="nil"/>
              <w:bottom w:val="single" w:color="auto" w:sz="4" w:space="0"/>
              <w:right w:val="single" w:color="auto" w:sz="4" w:space="0"/>
            </w:tcBorders>
            <w:vAlign w:val="center"/>
          </w:tcPr>
          <w:p w14:paraId="28D21451">
            <w:pPr>
              <w:widowControl/>
              <w:spacing w:line="240" w:lineRule="auto"/>
              <w:jc w:val="center"/>
              <w:rPr>
                <w:kern w:val="0"/>
                <w:sz w:val="21"/>
                <w:szCs w:val="21"/>
              </w:rPr>
            </w:pPr>
            <w:r>
              <w:rPr>
                <w:kern w:val="0"/>
                <w:sz w:val="21"/>
                <w:szCs w:val="21"/>
              </w:rPr>
              <w:t xml:space="preserve">0.31 </w:t>
            </w:r>
          </w:p>
        </w:tc>
        <w:tc>
          <w:tcPr>
            <w:tcW w:w="1276" w:type="dxa"/>
            <w:tcBorders>
              <w:top w:val="nil"/>
              <w:left w:val="nil"/>
              <w:bottom w:val="single" w:color="auto" w:sz="4" w:space="0"/>
              <w:right w:val="single" w:color="auto" w:sz="4" w:space="0"/>
            </w:tcBorders>
            <w:vAlign w:val="center"/>
          </w:tcPr>
          <w:p w14:paraId="7566A3AA">
            <w:pPr>
              <w:widowControl/>
              <w:spacing w:line="240" w:lineRule="auto"/>
              <w:jc w:val="center"/>
              <w:rPr>
                <w:color w:val="000000"/>
                <w:kern w:val="0"/>
                <w:sz w:val="21"/>
                <w:szCs w:val="21"/>
              </w:rPr>
            </w:pPr>
            <w:r>
              <w:rPr>
                <w:color w:val="000000"/>
                <w:kern w:val="0"/>
                <w:sz w:val="21"/>
                <w:szCs w:val="21"/>
              </w:rPr>
              <w:t xml:space="preserve">3.8 </w:t>
            </w:r>
          </w:p>
        </w:tc>
        <w:tc>
          <w:tcPr>
            <w:tcW w:w="1134" w:type="dxa"/>
            <w:vMerge w:val="restart"/>
            <w:tcBorders>
              <w:top w:val="nil"/>
              <w:left w:val="single" w:color="auto" w:sz="4" w:space="0"/>
              <w:bottom w:val="single" w:color="000000" w:sz="4" w:space="0"/>
              <w:right w:val="single" w:color="auto" w:sz="4" w:space="0"/>
            </w:tcBorders>
            <w:vAlign w:val="center"/>
          </w:tcPr>
          <w:p w14:paraId="01095CDA">
            <w:pPr>
              <w:widowControl/>
              <w:spacing w:line="240" w:lineRule="auto"/>
              <w:jc w:val="center"/>
              <w:rPr>
                <w:color w:val="000000"/>
                <w:kern w:val="0"/>
                <w:sz w:val="21"/>
                <w:szCs w:val="21"/>
              </w:rPr>
            </w:pPr>
            <w:r>
              <w:rPr>
                <w:rFonts w:hint="eastAsia" w:hAnsi="宋体"/>
                <w:color w:val="000000"/>
                <w:kern w:val="0"/>
                <w:sz w:val="21"/>
                <w:szCs w:val="21"/>
              </w:rPr>
              <w:t>商场综合排口</w:t>
            </w:r>
          </w:p>
        </w:tc>
      </w:tr>
      <w:tr w14:paraId="6A18D1AA">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48D6D68">
            <w:pPr>
              <w:widowControl/>
              <w:spacing w:line="240" w:lineRule="auto"/>
              <w:jc w:val="center"/>
              <w:rPr>
                <w:kern w:val="0"/>
                <w:sz w:val="21"/>
                <w:szCs w:val="21"/>
              </w:rPr>
            </w:pPr>
            <w:r>
              <w:rPr>
                <w:kern w:val="0"/>
                <w:sz w:val="21"/>
                <w:szCs w:val="21"/>
              </w:rPr>
              <w:t>21</w:t>
            </w:r>
          </w:p>
        </w:tc>
        <w:tc>
          <w:tcPr>
            <w:tcW w:w="1580" w:type="dxa"/>
            <w:tcBorders>
              <w:top w:val="nil"/>
              <w:left w:val="nil"/>
              <w:bottom w:val="single" w:color="auto" w:sz="4" w:space="0"/>
              <w:right w:val="single" w:color="auto" w:sz="4" w:space="0"/>
            </w:tcBorders>
            <w:vAlign w:val="center"/>
          </w:tcPr>
          <w:p w14:paraId="3FF636F5">
            <w:pPr>
              <w:widowControl/>
              <w:spacing w:line="240" w:lineRule="auto"/>
              <w:jc w:val="left"/>
              <w:rPr>
                <w:kern w:val="0"/>
                <w:sz w:val="21"/>
                <w:szCs w:val="21"/>
              </w:rPr>
            </w:pPr>
            <w:r>
              <w:rPr>
                <w:kern w:val="0"/>
                <w:sz w:val="21"/>
                <w:szCs w:val="21"/>
              </w:rPr>
              <w:t>20160311</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0D46EDFA">
            <w:pPr>
              <w:widowControl/>
              <w:spacing w:line="240" w:lineRule="auto"/>
              <w:jc w:val="center"/>
              <w:rPr>
                <w:kern w:val="0"/>
                <w:sz w:val="21"/>
                <w:szCs w:val="21"/>
              </w:rPr>
            </w:pPr>
            <w:r>
              <w:rPr>
                <w:kern w:val="0"/>
                <w:sz w:val="21"/>
                <w:szCs w:val="21"/>
              </w:rPr>
              <w:t xml:space="preserve">4.2 </w:t>
            </w:r>
          </w:p>
        </w:tc>
        <w:tc>
          <w:tcPr>
            <w:tcW w:w="1701" w:type="dxa"/>
            <w:tcBorders>
              <w:top w:val="nil"/>
              <w:left w:val="nil"/>
              <w:bottom w:val="single" w:color="auto" w:sz="4" w:space="0"/>
              <w:right w:val="single" w:color="auto" w:sz="4" w:space="0"/>
            </w:tcBorders>
            <w:vAlign w:val="center"/>
          </w:tcPr>
          <w:p w14:paraId="19E481B7">
            <w:pPr>
              <w:widowControl/>
              <w:spacing w:line="240" w:lineRule="auto"/>
              <w:jc w:val="center"/>
              <w:rPr>
                <w:kern w:val="0"/>
                <w:sz w:val="21"/>
                <w:szCs w:val="21"/>
              </w:rPr>
            </w:pPr>
            <w:r>
              <w:rPr>
                <w:kern w:val="0"/>
                <w:sz w:val="21"/>
                <w:szCs w:val="21"/>
              </w:rPr>
              <w:t xml:space="preserve">2.00 </w:t>
            </w:r>
          </w:p>
        </w:tc>
        <w:tc>
          <w:tcPr>
            <w:tcW w:w="1276" w:type="dxa"/>
            <w:tcBorders>
              <w:top w:val="nil"/>
              <w:left w:val="nil"/>
              <w:bottom w:val="single" w:color="auto" w:sz="4" w:space="0"/>
              <w:right w:val="single" w:color="auto" w:sz="4" w:space="0"/>
            </w:tcBorders>
            <w:vAlign w:val="center"/>
          </w:tcPr>
          <w:p w14:paraId="5CD4F4CE">
            <w:pPr>
              <w:widowControl/>
              <w:spacing w:line="240" w:lineRule="auto"/>
              <w:jc w:val="center"/>
              <w:rPr>
                <w:color w:val="000000"/>
                <w:kern w:val="0"/>
                <w:sz w:val="21"/>
                <w:szCs w:val="21"/>
              </w:rPr>
            </w:pPr>
            <w:r>
              <w:rPr>
                <w:color w:val="000000"/>
                <w:kern w:val="0"/>
                <w:sz w:val="21"/>
                <w:szCs w:val="21"/>
              </w:rPr>
              <w:t xml:space="preserve">2.1 </w:t>
            </w:r>
          </w:p>
        </w:tc>
        <w:tc>
          <w:tcPr>
            <w:tcW w:w="1134" w:type="dxa"/>
            <w:vMerge w:val="continue"/>
            <w:tcBorders>
              <w:top w:val="nil"/>
              <w:left w:val="single" w:color="auto" w:sz="4" w:space="0"/>
              <w:bottom w:val="single" w:color="000000" w:sz="4" w:space="0"/>
              <w:right w:val="single" w:color="auto" w:sz="4" w:space="0"/>
            </w:tcBorders>
            <w:vAlign w:val="center"/>
          </w:tcPr>
          <w:p w14:paraId="210C936A">
            <w:pPr>
              <w:widowControl/>
              <w:spacing w:line="240" w:lineRule="auto"/>
              <w:jc w:val="left"/>
              <w:rPr>
                <w:color w:val="000000"/>
                <w:kern w:val="0"/>
                <w:sz w:val="21"/>
                <w:szCs w:val="21"/>
              </w:rPr>
            </w:pPr>
          </w:p>
        </w:tc>
      </w:tr>
      <w:tr w14:paraId="526B448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146593D8">
            <w:pPr>
              <w:widowControl/>
              <w:spacing w:line="240" w:lineRule="auto"/>
              <w:jc w:val="center"/>
              <w:rPr>
                <w:kern w:val="0"/>
                <w:sz w:val="21"/>
                <w:szCs w:val="21"/>
              </w:rPr>
            </w:pPr>
            <w:r>
              <w:rPr>
                <w:kern w:val="0"/>
                <w:sz w:val="21"/>
                <w:szCs w:val="21"/>
              </w:rPr>
              <w:t>22</w:t>
            </w:r>
          </w:p>
        </w:tc>
        <w:tc>
          <w:tcPr>
            <w:tcW w:w="1580" w:type="dxa"/>
            <w:tcBorders>
              <w:top w:val="nil"/>
              <w:left w:val="nil"/>
              <w:bottom w:val="single" w:color="auto" w:sz="4" w:space="0"/>
              <w:right w:val="single" w:color="auto" w:sz="4" w:space="0"/>
            </w:tcBorders>
            <w:vAlign w:val="center"/>
          </w:tcPr>
          <w:p w14:paraId="3A0E16FA">
            <w:pPr>
              <w:widowControl/>
              <w:spacing w:line="240" w:lineRule="auto"/>
              <w:jc w:val="left"/>
              <w:rPr>
                <w:kern w:val="0"/>
                <w:sz w:val="21"/>
                <w:szCs w:val="21"/>
              </w:rPr>
            </w:pPr>
            <w:r>
              <w:rPr>
                <w:kern w:val="0"/>
                <w:sz w:val="21"/>
                <w:szCs w:val="21"/>
              </w:rPr>
              <w:t>20160311</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73908709">
            <w:pPr>
              <w:widowControl/>
              <w:spacing w:line="240" w:lineRule="auto"/>
              <w:jc w:val="center"/>
              <w:rPr>
                <w:kern w:val="0"/>
                <w:sz w:val="21"/>
                <w:szCs w:val="21"/>
              </w:rPr>
            </w:pPr>
            <w:r>
              <w:rPr>
                <w:kern w:val="0"/>
                <w:sz w:val="21"/>
                <w:szCs w:val="21"/>
              </w:rPr>
              <w:t xml:space="preserve">3.8 </w:t>
            </w:r>
          </w:p>
        </w:tc>
        <w:tc>
          <w:tcPr>
            <w:tcW w:w="1701" w:type="dxa"/>
            <w:tcBorders>
              <w:top w:val="nil"/>
              <w:left w:val="nil"/>
              <w:bottom w:val="single" w:color="auto" w:sz="4" w:space="0"/>
              <w:right w:val="single" w:color="auto" w:sz="4" w:space="0"/>
            </w:tcBorders>
            <w:vAlign w:val="center"/>
          </w:tcPr>
          <w:p w14:paraId="6EE45D78">
            <w:pPr>
              <w:widowControl/>
              <w:spacing w:line="240" w:lineRule="auto"/>
              <w:jc w:val="center"/>
              <w:rPr>
                <w:kern w:val="0"/>
                <w:sz w:val="21"/>
                <w:szCs w:val="21"/>
              </w:rPr>
            </w:pPr>
            <w:r>
              <w:rPr>
                <w:kern w:val="0"/>
                <w:sz w:val="21"/>
                <w:szCs w:val="21"/>
              </w:rPr>
              <w:t xml:space="preserve">1.98 </w:t>
            </w:r>
          </w:p>
        </w:tc>
        <w:tc>
          <w:tcPr>
            <w:tcW w:w="1276" w:type="dxa"/>
            <w:tcBorders>
              <w:top w:val="nil"/>
              <w:left w:val="nil"/>
              <w:bottom w:val="single" w:color="auto" w:sz="4" w:space="0"/>
              <w:right w:val="single" w:color="auto" w:sz="4" w:space="0"/>
            </w:tcBorders>
            <w:vAlign w:val="center"/>
          </w:tcPr>
          <w:p w14:paraId="7963BB66">
            <w:pPr>
              <w:widowControl/>
              <w:spacing w:line="240" w:lineRule="auto"/>
              <w:jc w:val="center"/>
              <w:rPr>
                <w:color w:val="000000"/>
                <w:kern w:val="0"/>
                <w:sz w:val="21"/>
                <w:szCs w:val="21"/>
              </w:rPr>
            </w:pPr>
            <w:r>
              <w:rPr>
                <w:color w:val="000000"/>
                <w:kern w:val="0"/>
                <w:sz w:val="21"/>
                <w:szCs w:val="21"/>
              </w:rPr>
              <w:t xml:space="preserve">1.9 </w:t>
            </w:r>
          </w:p>
        </w:tc>
        <w:tc>
          <w:tcPr>
            <w:tcW w:w="1134" w:type="dxa"/>
            <w:vMerge w:val="continue"/>
            <w:tcBorders>
              <w:top w:val="nil"/>
              <w:left w:val="single" w:color="auto" w:sz="4" w:space="0"/>
              <w:bottom w:val="single" w:color="000000" w:sz="4" w:space="0"/>
              <w:right w:val="single" w:color="auto" w:sz="4" w:space="0"/>
            </w:tcBorders>
            <w:vAlign w:val="center"/>
          </w:tcPr>
          <w:p w14:paraId="2027E994">
            <w:pPr>
              <w:widowControl/>
              <w:spacing w:line="240" w:lineRule="auto"/>
              <w:jc w:val="left"/>
              <w:rPr>
                <w:color w:val="000000"/>
                <w:kern w:val="0"/>
                <w:sz w:val="21"/>
                <w:szCs w:val="21"/>
              </w:rPr>
            </w:pPr>
          </w:p>
        </w:tc>
      </w:tr>
      <w:tr w14:paraId="41104C91">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1F21C6C">
            <w:pPr>
              <w:widowControl/>
              <w:spacing w:line="240" w:lineRule="auto"/>
              <w:jc w:val="center"/>
              <w:rPr>
                <w:kern w:val="0"/>
                <w:sz w:val="21"/>
                <w:szCs w:val="21"/>
              </w:rPr>
            </w:pPr>
            <w:r>
              <w:rPr>
                <w:kern w:val="0"/>
                <w:sz w:val="21"/>
                <w:szCs w:val="21"/>
              </w:rPr>
              <w:t>23</w:t>
            </w:r>
          </w:p>
        </w:tc>
        <w:tc>
          <w:tcPr>
            <w:tcW w:w="1580" w:type="dxa"/>
            <w:tcBorders>
              <w:top w:val="nil"/>
              <w:left w:val="nil"/>
              <w:bottom w:val="single" w:color="auto" w:sz="4" w:space="0"/>
              <w:right w:val="single" w:color="auto" w:sz="4" w:space="0"/>
            </w:tcBorders>
            <w:vAlign w:val="center"/>
          </w:tcPr>
          <w:p w14:paraId="6EFFDE3E">
            <w:pPr>
              <w:widowControl/>
              <w:spacing w:line="240" w:lineRule="auto"/>
              <w:jc w:val="left"/>
              <w:rPr>
                <w:kern w:val="0"/>
                <w:sz w:val="21"/>
                <w:szCs w:val="21"/>
              </w:rPr>
            </w:pPr>
            <w:r>
              <w:rPr>
                <w:kern w:val="0"/>
                <w:sz w:val="21"/>
                <w:szCs w:val="21"/>
              </w:rPr>
              <w:t>20160316</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43C8909C">
            <w:pPr>
              <w:widowControl/>
              <w:spacing w:line="240" w:lineRule="auto"/>
              <w:jc w:val="center"/>
              <w:rPr>
                <w:kern w:val="0"/>
                <w:sz w:val="21"/>
                <w:szCs w:val="21"/>
              </w:rPr>
            </w:pPr>
            <w:r>
              <w:rPr>
                <w:kern w:val="0"/>
                <w:sz w:val="21"/>
                <w:szCs w:val="21"/>
              </w:rPr>
              <w:t xml:space="preserve">5.3 </w:t>
            </w:r>
          </w:p>
        </w:tc>
        <w:tc>
          <w:tcPr>
            <w:tcW w:w="1701" w:type="dxa"/>
            <w:tcBorders>
              <w:top w:val="nil"/>
              <w:left w:val="nil"/>
              <w:bottom w:val="single" w:color="auto" w:sz="4" w:space="0"/>
              <w:right w:val="single" w:color="auto" w:sz="4" w:space="0"/>
            </w:tcBorders>
            <w:vAlign w:val="center"/>
          </w:tcPr>
          <w:p w14:paraId="68B31FCB">
            <w:pPr>
              <w:widowControl/>
              <w:spacing w:line="240" w:lineRule="auto"/>
              <w:jc w:val="center"/>
              <w:rPr>
                <w:kern w:val="0"/>
                <w:sz w:val="21"/>
                <w:szCs w:val="21"/>
              </w:rPr>
            </w:pPr>
            <w:r>
              <w:rPr>
                <w:kern w:val="0"/>
                <w:sz w:val="21"/>
                <w:szCs w:val="21"/>
              </w:rPr>
              <w:t xml:space="preserve">1.67 </w:t>
            </w:r>
          </w:p>
        </w:tc>
        <w:tc>
          <w:tcPr>
            <w:tcW w:w="1276" w:type="dxa"/>
            <w:tcBorders>
              <w:top w:val="nil"/>
              <w:left w:val="nil"/>
              <w:bottom w:val="single" w:color="auto" w:sz="4" w:space="0"/>
              <w:right w:val="single" w:color="auto" w:sz="4" w:space="0"/>
            </w:tcBorders>
            <w:vAlign w:val="center"/>
          </w:tcPr>
          <w:p w14:paraId="786243AD">
            <w:pPr>
              <w:widowControl/>
              <w:spacing w:line="240" w:lineRule="auto"/>
              <w:jc w:val="center"/>
              <w:rPr>
                <w:color w:val="000000"/>
                <w:kern w:val="0"/>
                <w:sz w:val="21"/>
                <w:szCs w:val="21"/>
              </w:rPr>
            </w:pPr>
            <w:r>
              <w:rPr>
                <w:color w:val="000000"/>
                <w:kern w:val="0"/>
                <w:sz w:val="21"/>
                <w:szCs w:val="21"/>
              </w:rPr>
              <w:t xml:space="preserve">3.2 </w:t>
            </w:r>
          </w:p>
        </w:tc>
        <w:tc>
          <w:tcPr>
            <w:tcW w:w="1134" w:type="dxa"/>
            <w:vMerge w:val="restart"/>
            <w:tcBorders>
              <w:top w:val="nil"/>
              <w:left w:val="single" w:color="auto" w:sz="4" w:space="0"/>
              <w:bottom w:val="single" w:color="000000" w:sz="4" w:space="0"/>
              <w:right w:val="single" w:color="auto" w:sz="4" w:space="0"/>
            </w:tcBorders>
            <w:vAlign w:val="center"/>
          </w:tcPr>
          <w:p w14:paraId="39D9F4C9">
            <w:pPr>
              <w:widowControl/>
              <w:spacing w:line="240" w:lineRule="auto"/>
              <w:jc w:val="center"/>
              <w:rPr>
                <w:color w:val="000000"/>
                <w:kern w:val="0"/>
                <w:sz w:val="21"/>
                <w:szCs w:val="21"/>
              </w:rPr>
            </w:pPr>
            <w:r>
              <w:rPr>
                <w:rFonts w:hint="eastAsia" w:hAnsi="宋体"/>
                <w:color w:val="000000"/>
                <w:kern w:val="0"/>
                <w:sz w:val="21"/>
                <w:szCs w:val="21"/>
              </w:rPr>
              <w:t>川味小吃</w:t>
            </w:r>
          </w:p>
        </w:tc>
      </w:tr>
      <w:tr w14:paraId="58D65F66">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12307712">
            <w:pPr>
              <w:widowControl/>
              <w:spacing w:line="240" w:lineRule="auto"/>
              <w:jc w:val="center"/>
              <w:rPr>
                <w:kern w:val="0"/>
                <w:sz w:val="21"/>
                <w:szCs w:val="21"/>
              </w:rPr>
            </w:pPr>
            <w:r>
              <w:rPr>
                <w:kern w:val="0"/>
                <w:sz w:val="21"/>
                <w:szCs w:val="21"/>
              </w:rPr>
              <w:t>24</w:t>
            </w:r>
          </w:p>
        </w:tc>
        <w:tc>
          <w:tcPr>
            <w:tcW w:w="1580" w:type="dxa"/>
            <w:tcBorders>
              <w:top w:val="nil"/>
              <w:left w:val="nil"/>
              <w:bottom w:val="single" w:color="auto" w:sz="4" w:space="0"/>
              <w:right w:val="single" w:color="auto" w:sz="4" w:space="0"/>
            </w:tcBorders>
            <w:vAlign w:val="center"/>
          </w:tcPr>
          <w:p w14:paraId="3A5DAB55">
            <w:pPr>
              <w:widowControl/>
              <w:spacing w:line="240" w:lineRule="auto"/>
              <w:jc w:val="left"/>
              <w:rPr>
                <w:kern w:val="0"/>
                <w:sz w:val="21"/>
                <w:szCs w:val="21"/>
              </w:rPr>
            </w:pPr>
            <w:r>
              <w:rPr>
                <w:kern w:val="0"/>
                <w:sz w:val="21"/>
                <w:szCs w:val="21"/>
              </w:rPr>
              <w:t>20160316</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770296F">
            <w:pPr>
              <w:widowControl/>
              <w:spacing w:line="240" w:lineRule="auto"/>
              <w:jc w:val="center"/>
              <w:rPr>
                <w:kern w:val="0"/>
                <w:sz w:val="21"/>
                <w:szCs w:val="21"/>
              </w:rPr>
            </w:pPr>
            <w:r>
              <w:rPr>
                <w:kern w:val="0"/>
                <w:sz w:val="21"/>
                <w:szCs w:val="21"/>
              </w:rPr>
              <w:t xml:space="preserve">1.4 </w:t>
            </w:r>
          </w:p>
        </w:tc>
        <w:tc>
          <w:tcPr>
            <w:tcW w:w="1701" w:type="dxa"/>
            <w:tcBorders>
              <w:top w:val="nil"/>
              <w:left w:val="nil"/>
              <w:bottom w:val="single" w:color="auto" w:sz="4" w:space="0"/>
              <w:right w:val="single" w:color="auto" w:sz="4" w:space="0"/>
            </w:tcBorders>
            <w:vAlign w:val="center"/>
          </w:tcPr>
          <w:p w14:paraId="2DCD8487">
            <w:pPr>
              <w:widowControl/>
              <w:spacing w:line="240" w:lineRule="auto"/>
              <w:jc w:val="center"/>
              <w:rPr>
                <w:kern w:val="0"/>
                <w:sz w:val="21"/>
                <w:szCs w:val="21"/>
              </w:rPr>
            </w:pPr>
            <w:r>
              <w:rPr>
                <w:kern w:val="0"/>
                <w:sz w:val="21"/>
                <w:szCs w:val="21"/>
              </w:rPr>
              <w:t xml:space="preserve">0.74 </w:t>
            </w:r>
          </w:p>
        </w:tc>
        <w:tc>
          <w:tcPr>
            <w:tcW w:w="1276" w:type="dxa"/>
            <w:tcBorders>
              <w:top w:val="nil"/>
              <w:left w:val="nil"/>
              <w:bottom w:val="single" w:color="auto" w:sz="4" w:space="0"/>
              <w:right w:val="single" w:color="auto" w:sz="4" w:space="0"/>
            </w:tcBorders>
            <w:vAlign w:val="center"/>
          </w:tcPr>
          <w:p w14:paraId="4DDC5A48">
            <w:pPr>
              <w:widowControl/>
              <w:spacing w:line="240" w:lineRule="auto"/>
              <w:jc w:val="center"/>
              <w:rPr>
                <w:color w:val="000000"/>
                <w:kern w:val="0"/>
                <w:sz w:val="21"/>
                <w:szCs w:val="21"/>
              </w:rPr>
            </w:pPr>
            <w:r>
              <w:rPr>
                <w:color w:val="000000"/>
                <w:kern w:val="0"/>
                <w:sz w:val="21"/>
                <w:szCs w:val="21"/>
              </w:rPr>
              <w:t xml:space="preserve">1.9 </w:t>
            </w:r>
          </w:p>
        </w:tc>
        <w:tc>
          <w:tcPr>
            <w:tcW w:w="1134" w:type="dxa"/>
            <w:vMerge w:val="continue"/>
            <w:tcBorders>
              <w:top w:val="nil"/>
              <w:left w:val="single" w:color="auto" w:sz="4" w:space="0"/>
              <w:bottom w:val="single" w:color="000000" w:sz="4" w:space="0"/>
              <w:right w:val="single" w:color="auto" w:sz="4" w:space="0"/>
            </w:tcBorders>
            <w:vAlign w:val="center"/>
          </w:tcPr>
          <w:p w14:paraId="4F597751">
            <w:pPr>
              <w:widowControl/>
              <w:spacing w:line="240" w:lineRule="auto"/>
              <w:jc w:val="left"/>
              <w:rPr>
                <w:color w:val="000000"/>
                <w:kern w:val="0"/>
                <w:sz w:val="21"/>
                <w:szCs w:val="21"/>
              </w:rPr>
            </w:pPr>
          </w:p>
        </w:tc>
      </w:tr>
      <w:tr w14:paraId="197963B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D3E19BC">
            <w:pPr>
              <w:widowControl/>
              <w:spacing w:line="240" w:lineRule="auto"/>
              <w:jc w:val="center"/>
              <w:rPr>
                <w:kern w:val="0"/>
                <w:sz w:val="21"/>
                <w:szCs w:val="21"/>
              </w:rPr>
            </w:pPr>
            <w:r>
              <w:rPr>
                <w:kern w:val="0"/>
                <w:sz w:val="21"/>
                <w:szCs w:val="21"/>
              </w:rPr>
              <w:t>25</w:t>
            </w:r>
          </w:p>
        </w:tc>
        <w:tc>
          <w:tcPr>
            <w:tcW w:w="1580" w:type="dxa"/>
            <w:tcBorders>
              <w:top w:val="nil"/>
              <w:left w:val="nil"/>
              <w:bottom w:val="single" w:color="auto" w:sz="4" w:space="0"/>
              <w:right w:val="single" w:color="auto" w:sz="4" w:space="0"/>
            </w:tcBorders>
            <w:vAlign w:val="center"/>
          </w:tcPr>
          <w:p w14:paraId="66DAD605">
            <w:pPr>
              <w:widowControl/>
              <w:spacing w:line="240" w:lineRule="auto"/>
              <w:jc w:val="left"/>
              <w:rPr>
                <w:kern w:val="0"/>
                <w:sz w:val="21"/>
                <w:szCs w:val="21"/>
              </w:rPr>
            </w:pPr>
            <w:r>
              <w:rPr>
                <w:kern w:val="0"/>
                <w:sz w:val="21"/>
                <w:szCs w:val="21"/>
              </w:rPr>
              <w:t>20160317</w:t>
            </w:r>
            <w:r>
              <w:rPr>
                <w:rFonts w:hint="eastAsia" w:hAnsi="宋体"/>
                <w:color w:val="000000"/>
                <w:kern w:val="0"/>
                <w:sz w:val="21"/>
                <w:szCs w:val="21"/>
              </w:rPr>
              <w:t>中午</w:t>
            </w:r>
          </w:p>
        </w:tc>
        <w:tc>
          <w:tcPr>
            <w:tcW w:w="1823" w:type="dxa"/>
            <w:tcBorders>
              <w:top w:val="nil"/>
              <w:left w:val="nil"/>
              <w:bottom w:val="single" w:color="auto" w:sz="4" w:space="0"/>
              <w:right w:val="single" w:color="auto" w:sz="4" w:space="0"/>
            </w:tcBorders>
            <w:vAlign w:val="center"/>
          </w:tcPr>
          <w:p w14:paraId="03137B3C">
            <w:pPr>
              <w:widowControl/>
              <w:spacing w:line="240" w:lineRule="auto"/>
              <w:jc w:val="center"/>
              <w:rPr>
                <w:kern w:val="0"/>
                <w:sz w:val="21"/>
                <w:szCs w:val="21"/>
              </w:rPr>
            </w:pPr>
            <w:r>
              <w:rPr>
                <w:kern w:val="0"/>
                <w:sz w:val="21"/>
                <w:szCs w:val="21"/>
              </w:rPr>
              <w:t xml:space="preserve">1.4 </w:t>
            </w:r>
          </w:p>
        </w:tc>
        <w:tc>
          <w:tcPr>
            <w:tcW w:w="1701" w:type="dxa"/>
            <w:tcBorders>
              <w:top w:val="nil"/>
              <w:left w:val="nil"/>
              <w:bottom w:val="single" w:color="auto" w:sz="4" w:space="0"/>
              <w:right w:val="single" w:color="auto" w:sz="4" w:space="0"/>
            </w:tcBorders>
            <w:vAlign w:val="center"/>
          </w:tcPr>
          <w:p w14:paraId="71E310D5">
            <w:pPr>
              <w:widowControl/>
              <w:spacing w:line="240" w:lineRule="auto"/>
              <w:jc w:val="center"/>
              <w:rPr>
                <w:kern w:val="0"/>
                <w:sz w:val="21"/>
                <w:szCs w:val="21"/>
              </w:rPr>
            </w:pPr>
            <w:r>
              <w:rPr>
                <w:kern w:val="0"/>
                <w:sz w:val="21"/>
                <w:szCs w:val="21"/>
              </w:rPr>
              <w:t xml:space="preserve">0.30 </w:t>
            </w:r>
          </w:p>
        </w:tc>
        <w:tc>
          <w:tcPr>
            <w:tcW w:w="1276" w:type="dxa"/>
            <w:tcBorders>
              <w:top w:val="nil"/>
              <w:left w:val="nil"/>
              <w:bottom w:val="single" w:color="auto" w:sz="4" w:space="0"/>
              <w:right w:val="single" w:color="auto" w:sz="4" w:space="0"/>
            </w:tcBorders>
            <w:vAlign w:val="center"/>
          </w:tcPr>
          <w:p w14:paraId="7E1887D3">
            <w:pPr>
              <w:widowControl/>
              <w:spacing w:line="240" w:lineRule="auto"/>
              <w:jc w:val="center"/>
              <w:rPr>
                <w:color w:val="000000"/>
                <w:kern w:val="0"/>
                <w:sz w:val="21"/>
                <w:szCs w:val="21"/>
              </w:rPr>
            </w:pPr>
            <w:r>
              <w:rPr>
                <w:color w:val="000000"/>
                <w:kern w:val="0"/>
                <w:sz w:val="21"/>
                <w:szCs w:val="21"/>
              </w:rPr>
              <w:t xml:space="preserve">4.7 </w:t>
            </w:r>
          </w:p>
        </w:tc>
        <w:tc>
          <w:tcPr>
            <w:tcW w:w="1134" w:type="dxa"/>
            <w:vMerge w:val="restart"/>
            <w:tcBorders>
              <w:top w:val="nil"/>
              <w:left w:val="single" w:color="auto" w:sz="4" w:space="0"/>
              <w:bottom w:val="single" w:color="000000" w:sz="4" w:space="0"/>
              <w:right w:val="single" w:color="auto" w:sz="4" w:space="0"/>
            </w:tcBorders>
            <w:vAlign w:val="center"/>
          </w:tcPr>
          <w:p w14:paraId="4F450BD9">
            <w:pPr>
              <w:widowControl/>
              <w:spacing w:line="240" w:lineRule="auto"/>
              <w:jc w:val="center"/>
              <w:rPr>
                <w:color w:val="000000"/>
                <w:kern w:val="0"/>
                <w:sz w:val="21"/>
                <w:szCs w:val="21"/>
              </w:rPr>
            </w:pPr>
            <w:r>
              <w:rPr>
                <w:rFonts w:hint="eastAsia" w:hAnsi="宋体"/>
                <w:color w:val="000000"/>
                <w:kern w:val="0"/>
                <w:sz w:val="21"/>
                <w:szCs w:val="21"/>
              </w:rPr>
              <w:t>商场综合排口</w:t>
            </w:r>
          </w:p>
        </w:tc>
      </w:tr>
      <w:tr w14:paraId="18729BE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F85606F">
            <w:pPr>
              <w:widowControl/>
              <w:spacing w:line="240" w:lineRule="auto"/>
              <w:jc w:val="center"/>
              <w:rPr>
                <w:kern w:val="0"/>
                <w:sz w:val="21"/>
                <w:szCs w:val="21"/>
              </w:rPr>
            </w:pPr>
            <w:r>
              <w:rPr>
                <w:kern w:val="0"/>
                <w:sz w:val="21"/>
                <w:szCs w:val="21"/>
              </w:rPr>
              <w:t>26</w:t>
            </w:r>
          </w:p>
        </w:tc>
        <w:tc>
          <w:tcPr>
            <w:tcW w:w="1580" w:type="dxa"/>
            <w:tcBorders>
              <w:top w:val="nil"/>
              <w:left w:val="nil"/>
              <w:bottom w:val="single" w:color="auto" w:sz="4" w:space="0"/>
              <w:right w:val="single" w:color="auto" w:sz="4" w:space="0"/>
            </w:tcBorders>
            <w:vAlign w:val="center"/>
          </w:tcPr>
          <w:p w14:paraId="3C5FE342">
            <w:pPr>
              <w:widowControl/>
              <w:spacing w:line="240" w:lineRule="auto"/>
              <w:jc w:val="left"/>
              <w:rPr>
                <w:kern w:val="0"/>
                <w:sz w:val="21"/>
                <w:szCs w:val="21"/>
              </w:rPr>
            </w:pPr>
            <w:r>
              <w:rPr>
                <w:kern w:val="0"/>
                <w:sz w:val="21"/>
                <w:szCs w:val="21"/>
              </w:rPr>
              <w:t>20160317</w:t>
            </w:r>
            <w:r>
              <w:rPr>
                <w:rFonts w:hint="eastAsia" w:hAnsi="宋体"/>
                <w:color w:val="000000"/>
                <w:kern w:val="0"/>
                <w:sz w:val="21"/>
                <w:szCs w:val="21"/>
              </w:rPr>
              <w:t>晚上</w:t>
            </w:r>
          </w:p>
        </w:tc>
        <w:tc>
          <w:tcPr>
            <w:tcW w:w="1823" w:type="dxa"/>
            <w:tcBorders>
              <w:top w:val="nil"/>
              <w:left w:val="nil"/>
              <w:bottom w:val="single" w:color="auto" w:sz="4" w:space="0"/>
              <w:right w:val="single" w:color="auto" w:sz="4" w:space="0"/>
            </w:tcBorders>
            <w:vAlign w:val="center"/>
          </w:tcPr>
          <w:p w14:paraId="13CB23ED">
            <w:pPr>
              <w:widowControl/>
              <w:spacing w:line="240" w:lineRule="auto"/>
              <w:jc w:val="center"/>
              <w:rPr>
                <w:kern w:val="0"/>
                <w:sz w:val="21"/>
                <w:szCs w:val="21"/>
              </w:rPr>
            </w:pPr>
            <w:r>
              <w:rPr>
                <w:kern w:val="0"/>
                <w:sz w:val="21"/>
                <w:szCs w:val="21"/>
              </w:rPr>
              <w:t xml:space="preserve">2.1 </w:t>
            </w:r>
          </w:p>
        </w:tc>
        <w:tc>
          <w:tcPr>
            <w:tcW w:w="1701" w:type="dxa"/>
            <w:tcBorders>
              <w:top w:val="nil"/>
              <w:left w:val="nil"/>
              <w:bottom w:val="single" w:color="auto" w:sz="4" w:space="0"/>
              <w:right w:val="single" w:color="auto" w:sz="4" w:space="0"/>
            </w:tcBorders>
            <w:vAlign w:val="center"/>
          </w:tcPr>
          <w:p w14:paraId="4D57C5B0">
            <w:pPr>
              <w:widowControl/>
              <w:spacing w:line="240" w:lineRule="auto"/>
              <w:jc w:val="center"/>
              <w:rPr>
                <w:kern w:val="0"/>
                <w:sz w:val="21"/>
                <w:szCs w:val="21"/>
              </w:rPr>
            </w:pPr>
            <w:r>
              <w:rPr>
                <w:kern w:val="0"/>
                <w:sz w:val="21"/>
                <w:szCs w:val="21"/>
              </w:rPr>
              <w:t xml:space="preserve">0.59 </w:t>
            </w:r>
          </w:p>
        </w:tc>
        <w:tc>
          <w:tcPr>
            <w:tcW w:w="1276" w:type="dxa"/>
            <w:tcBorders>
              <w:top w:val="nil"/>
              <w:left w:val="nil"/>
              <w:bottom w:val="single" w:color="auto" w:sz="4" w:space="0"/>
              <w:right w:val="single" w:color="auto" w:sz="4" w:space="0"/>
            </w:tcBorders>
            <w:vAlign w:val="center"/>
          </w:tcPr>
          <w:p w14:paraId="263BBCA4">
            <w:pPr>
              <w:widowControl/>
              <w:spacing w:line="240" w:lineRule="auto"/>
              <w:jc w:val="center"/>
              <w:rPr>
                <w:color w:val="000000"/>
                <w:kern w:val="0"/>
                <w:sz w:val="21"/>
                <w:szCs w:val="21"/>
              </w:rPr>
            </w:pPr>
            <w:r>
              <w:rPr>
                <w:color w:val="000000"/>
                <w:kern w:val="0"/>
                <w:sz w:val="21"/>
                <w:szCs w:val="21"/>
              </w:rPr>
              <w:t xml:space="preserve">3.5 </w:t>
            </w:r>
          </w:p>
        </w:tc>
        <w:tc>
          <w:tcPr>
            <w:tcW w:w="1134" w:type="dxa"/>
            <w:vMerge w:val="continue"/>
            <w:tcBorders>
              <w:top w:val="nil"/>
              <w:left w:val="single" w:color="auto" w:sz="4" w:space="0"/>
              <w:bottom w:val="single" w:color="000000" w:sz="4" w:space="0"/>
              <w:right w:val="single" w:color="auto" w:sz="4" w:space="0"/>
            </w:tcBorders>
            <w:vAlign w:val="center"/>
          </w:tcPr>
          <w:p w14:paraId="2133A9CB">
            <w:pPr>
              <w:widowControl/>
              <w:spacing w:line="240" w:lineRule="auto"/>
              <w:jc w:val="left"/>
              <w:rPr>
                <w:color w:val="000000"/>
                <w:kern w:val="0"/>
                <w:sz w:val="21"/>
                <w:szCs w:val="21"/>
              </w:rPr>
            </w:pPr>
          </w:p>
        </w:tc>
      </w:tr>
      <w:tr w14:paraId="68A65981">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51B57C5">
            <w:pPr>
              <w:widowControl/>
              <w:spacing w:line="240" w:lineRule="auto"/>
              <w:jc w:val="center"/>
              <w:rPr>
                <w:kern w:val="0"/>
                <w:sz w:val="21"/>
                <w:szCs w:val="21"/>
              </w:rPr>
            </w:pPr>
            <w:r>
              <w:rPr>
                <w:kern w:val="0"/>
                <w:sz w:val="21"/>
                <w:szCs w:val="21"/>
              </w:rPr>
              <w:t>27</w:t>
            </w:r>
          </w:p>
        </w:tc>
        <w:tc>
          <w:tcPr>
            <w:tcW w:w="1580" w:type="dxa"/>
            <w:tcBorders>
              <w:top w:val="nil"/>
              <w:left w:val="nil"/>
              <w:bottom w:val="nil"/>
              <w:right w:val="single" w:color="auto" w:sz="4" w:space="0"/>
            </w:tcBorders>
            <w:vAlign w:val="center"/>
          </w:tcPr>
          <w:p w14:paraId="7E0270F1">
            <w:pPr>
              <w:widowControl/>
              <w:spacing w:line="240" w:lineRule="auto"/>
              <w:jc w:val="left"/>
              <w:rPr>
                <w:kern w:val="0"/>
                <w:sz w:val="21"/>
                <w:szCs w:val="21"/>
              </w:rPr>
            </w:pPr>
            <w:r>
              <w:rPr>
                <w:kern w:val="0"/>
                <w:sz w:val="21"/>
                <w:szCs w:val="21"/>
              </w:rPr>
              <w:t>20160712</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23586C97">
            <w:pPr>
              <w:widowControl/>
              <w:spacing w:line="240" w:lineRule="auto"/>
              <w:jc w:val="center"/>
              <w:rPr>
                <w:kern w:val="0"/>
                <w:sz w:val="21"/>
                <w:szCs w:val="21"/>
              </w:rPr>
            </w:pPr>
            <w:r>
              <w:rPr>
                <w:kern w:val="0"/>
                <w:sz w:val="21"/>
                <w:szCs w:val="21"/>
              </w:rPr>
              <w:t xml:space="preserve">4.7 </w:t>
            </w:r>
          </w:p>
        </w:tc>
        <w:tc>
          <w:tcPr>
            <w:tcW w:w="1701" w:type="dxa"/>
            <w:tcBorders>
              <w:top w:val="nil"/>
              <w:left w:val="nil"/>
              <w:bottom w:val="single" w:color="auto" w:sz="4" w:space="0"/>
              <w:right w:val="single" w:color="auto" w:sz="4" w:space="0"/>
            </w:tcBorders>
            <w:vAlign w:val="center"/>
          </w:tcPr>
          <w:p w14:paraId="33425340">
            <w:pPr>
              <w:widowControl/>
              <w:spacing w:line="240" w:lineRule="auto"/>
              <w:jc w:val="center"/>
              <w:rPr>
                <w:kern w:val="0"/>
                <w:sz w:val="21"/>
                <w:szCs w:val="21"/>
              </w:rPr>
            </w:pPr>
            <w:r>
              <w:rPr>
                <w:kern w:val="0"/>
                <w:sz w:val="21"/>
                <w:szCs w:val="21"/>
              </w:rPr>
              <w:t xml:space="preserve">1.93 </w:t>
            </w:r>
          </w:p>
        </w:tc>
        <w:tc>
          <w:tcPr>
            <w:tcW w:w="1276" w:type="dxa"/>
            <w:tcBorders>
              <w:top w:val="nil"/>
              <w:left w:val="nil"/>
              <w:bottom w:val="single" w:color="auto" w:sz="4" w:space="0"/>
              <w:right w:val="single" w:color="auto" w:sz="4" w:space="0"/>
            </w:tcBorders>
            <w:vAlign w:val="center"/>
          </w:tcPr>
          <w:p w14:paraId="4DBC67CD">
            <w:pPr>
              <w:widowControl/>
              <w:spacing w:line="240" w:lineRule="auto"/>
              <w:jc w:val="center"/>
              <w:rPr>
                <w:kern w:val="0"/>
                <w:sz w:val="21"/>
                <w:szCs w:val="21"/>
              </w:rPr>
            </w:pPr>
            <w:r>
              <w:rPr>
                <w:kern w:val="0"/>
                <w:sz w:val="21"/>
                <w:szCs w:val="21"/>
              </w:rPr>
              <w:t xml:space="preserve">2.4 </w:t>
            </w:r>
          </w:p>
        </w:tc>
        <w:tc>
          <w:tcPr>
            <w:tcW w:w="1134" w:type="dxa"/>
            <w:vMerge w:val="restart"/>
            <w:tcBorders>
              <w:top w:val="nil"/>
              <w:left w:val="single" w:color="auto" w:sz="4" w:space="0"/>
              <w:bottom w:val="single" w:color="000000" w:sz="4" w:space="0"/>
              <w:right w:val="single" w:color="auto" w:sz="4" w:space="0"/>
            </w:tcBorders>
            <w:vAlign w:val="center"/>
          </w:tcPr>
          <w:p w14:paraId="2F44D558">
            <w:pPr>
              <w:widowControl/>
              <w:spacing w:line="240" w:lineRule="auto"/>
              <w:jc w:val="center"/>
              <w:rPr>
                <w:color w:val="000000"/>
                <w:kern w:val="0"/>
                <w:sz w:val="21"/>
                <w:szCs w:val="21"/>
              </w:rPr>
            </w:pPr>
            <w:r>
              <w:rPr>
                <w:rFonts w:hint="eastAsia" w:hAnsi="宋体"/>
                <w:color w:val="000000"/>
                <w:kern w:val="0"/>
                <w:sz w:val="21"/>
                <w:szCs w:val="21"/>
              </w:rPr>
              <w:t>川湘菜</w:t>
            </w:r>
          </w:p>
        </w:tc>
      </w:tr>
      <w:tr w14:paraId="20504FCA">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17A1122">
            <w:pPr>
              <w:widowControl/>
              <w:spacing w:line="240" w:lineRule="auto"/>
              <w:jc w:val="center"/>
              <w:rPr>
                <w:kern w:val="0"/>
                <w:sz w:val="21"/>
                <w:szCs w:val="21"/>
              </w:rPr>
            </w:pPr>
            <w:r>
              <w:rPr>
                <w:kern w:val="0"/>
                <w:sz w:val="21"/>
                <w:szCs w:val="21"/>
              </w:rPr>
              <w:t>28</w:t>
            </w:r>
          </w:p>
        </w:tc>
        <w:tc>
          <w:tcPr>
            <w:tcW w:w="1580" w:type="dxa"/>
            <w:tcBorders>
              <w:top w:val="single" w:color="auto" w:sz="4" w:space="0"/>
              <w:left w:val="nil"/>
              <w:bottom w:val="nil"/>
              <w:right w:val="single" w:color="auto" w:sz="4" w:space="0"/>
            </w:tcBorders>
            <w:vAlign w:val="center"/>
          </w:tcPr>
          <w:p w14:paraId="2359E127">
            <w:pPr>
              <w:widowControl/>
              <w:spacing w:line="240" w:lineRule="auto"/>
              <w:jc w:val="left"/>
              <w:rPr>
                <w:kern w:val="0"/>
                <w:sz w:val="21"/>
                <w:szCs w:val="21"/>
              </w:rPr>
            </w:pPr>
            <w:r>
              <w:rPr>
                <w:kern w:val="0"/>
                <w:sz w:val="21"/>
                <w:szCs w:val="21"/>
              </w:rPr>
              <w:t>20160712</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01F65121">
            <w:pPr>
              <w:widowControl/>
              <w:spacing w:line="240" w:lineRule="auto"/>
              <w:jc w:val="center"/>
              <w:rPr>
                <w:kern w:val="0"/>
                <w:sz w:val="21"/>
                <w:szCs w:val="21"/>
              </w:rPr>
            </w:pPr>
            <w:r>
              <w:rPr>
                <w:kern w:val="0"/>
                <w:sz w:val="21"/>
                <w:szCs w:val="21"/>
              </w:rPr>
              <w:t xml:space="preserve">2.0 </w:t>
            </w:r>
          </w:p>
        </w:tc>
        <w:tc>
          <w:tcPr>
            <w:tcW w:w="1701" w:type="dxa"/>
            <w:tcBorders>
              <w:top w:val="nil"/>
              <w:left w:val="nil"/>
              <w:bottom w:val="single" w:color="auto" w:sz="4" w:space="0"/>
              <w:right w:val="single" w:color="auto" w:sz="4" w:space="0"/>
            </w:tcBorders>
            <w:shd w:val="clear" w:color="000000" w:fill="FFFFFF"/>
            <w:vAlign w:val="center"/>
          </w:tcPr>
          <w:p w14:paraId="6E697E18">
            <w:pPr>
              <w:widowControl/>
              <w:spacing w:line="240" w:lineRule="auto"/>
              <w:jc w:val="center"/>
              <w:rPr>
                <w:kern w:val="0"/>
                <w:sz w:val="21"/>
                <w:szCs w:val="21"/>
              </w:rPr>
            </w:pPr>
            <w:r>
              <w:rPr>
                <w:kern w:val="0"/>
                <w:sz w:val="21"/>
                <w:szCs w:val="21"/>
              </w:rPr>
              <w:t xml:space="preserve">0.59 </w:t>
            </w:r>
          </w:p>
        </w:tc>
        <w:tc>
          <w:tcPr>
            <w:tcW w:w="1276" w:type="dxa"/>
            <w:tcBorders>
              <w:top w:val="nil"/>
              <w:left w:val="nil"/>
              <w:bottom w:val="single" w:color="auto" w:sz="4" w:space="0"/>
              <w:right w:val="single" w:color="auto" w:sz="4" w:space="0"/>
            </w:tcBorders>
            <w:vAlign w:val="center"/>
          </w:tcPr>
          <w:p w14:paraId="09AA6056">
            <w:pPr>
              <w:widowControl/>
              <w:spacing w:line="240" w:lineRule="auto"/>
              <w:jc w:val="center"/>
              <w:rPr>
                <w:kern w:val="0"/>
                <w:sz w:val="21"/>
                <w:szCs w:val="21"/>
              </w:rPr>
            </w:pPr>
            <w:r>
              <w:rPr>
                <w:kern w:val="0"/>
                <w:sz w:val="21"/>
                <w:szCs w:val="21"/>
              </w:rPr>
              <w:t xml:space="preserve">3.4 </w:t>
            </w:r>
          </w:p>
        </w:tc>
        <w:tc>
          <w:tcPr>
            <w:tcW w:w="1134" w:type="dxa"/>
            <w:vMerge w:val="continue"/>
            <w:tcBorders>
              <w:top w:val="nil"/>
              <w:left w:val="single" w:color="auto" w:sz="4" w:space="0"/>
              <w:bottom w:val="single" w:color="000000" w:sz="4" w:space="0"/>
              <w:right w:val="single" w:color="auto" w:sz="4" w:space="0"/>
            </w:tcBorders>
            <w:vAlign w:val="center"/>
          </w:tcPr>
          <w:p w14:paraId="731B1E34">
            <w:pPr>
              <w:widowControl/>
              <w:spacing w:line="240" w:lineRule="auto"/>
              <w:jc w:val="left"/>
              <w:rPr>
                <w:color w:val="000000"/>
                <w:kern w:val="0"/>
                <w:sz w:val="21"/>
                <w:szCs w:val="21"/>
              </w:rPr>
            </w:pPr>
          </w:p>
        </w:tc>
      </w:tr>
      <w:tr w14:paraId="4F0F5F37">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A858F59">
            <w:pPr>
              <w:widowControl/>
              <w:spacing w:line="240" w:lineRule="auto"/>
              <w:jc w:val="center"/>
              <w:rPr>
                <w:kern w:val="0"/>
                <w:sz w:val="21"/>
                <w:szCs w:val="21"/>
              </w:rPr>
            </w:pPr>
            <w:r>
              <w:rPr>
                <w:kern w:val="0"/>
                <w:sz w:val="21"/>
                <w:szCs w:val="21"/>
              </w:rPr>
              <w:t>29</w:t>
            </w:r>
          </w:p>
        </w:tc>
        <w:tc>
          <w:tcPr>
            <w:tcW w:w="1580" w:type="dxa"/>
            <w:tcBorders>
              <w:top w:val="single" w:color="auto" w:sz="4" w:space="0"/>
              <w:left w:val="nil"/>
              <w:bottom w:val="nil"/>
              <w:right w:val="single" w:color="auto" w:sz="4" w:space="0"/>
            </w:tcBorders>
            <w:vAlign w:val="center"/>
          </w:tcPr>
          <w:p w14:paraId="7DD5CA4B">
            <w:pPr>
              <w:widowControl/>
              <w:spacing w:line="240" w:lineRule="auto"/>
              <w:jc w:val="left"/>
              <w:rPr>
                <w:kern w:val="0"/>
                <w:sz w:val="21"/>
                <w:szCs w:val="21"/>
              </w:rPr>
            </w:pPr>
            <w:r>
              <w:rPr>
                <w:kern w:val="0"/>
                <w:sz w:val="21"/>
                <w:szCs w:val="21"/>
              </w:rPr>
              <w:t>20160712</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5C3107BB">
            <w:pPr>
              <w:widowControl/>
              <w:spacing w:line="240" w:lineRule="auto"/>
              <w:jc w:val="center"/>
              <w:rPr>
                <w:kern w:val="0"/>
                <w:sz w:val="21"/>
                <w:szCs w:val="21"/>
              </w:rPr>
            </w:pPr>
            <w:r>
              <w:rPr>
                <w:kern w:val="0"/>
                <w:sz w:val="21"/>
                <w:szCs w:val="21"/>
              </w:rPr>
              <w:t xml:space="preserve">4.8 </w:t>
            </w:r>
          </w:p>
        </w:tc>
        <w:tc>
          <w:tcPr>
            <w:tcW w:w="1701" w:type="dxa"/>
            <w:tcBorders>
              <w:top w:val="nil"/>
              <w:left w:val="nil"/>
              <w:bottom w:val="single" w:color="auto" w:sz="4" w:space="0"/>
              <w:right w:val="single" w:color="auto" w:sz="4" w:space="0"/>
            </w:tcBorders>
            <w:shd w:val="clear" w:color="000000" w:fill="FFFFFF"/>
            <w:vAlign w:val="center"/>
          </w:tcPr>
          <w:p w14:paraId="43BE08C0">
            <w:pPr>
              <w:widowControl/>
              <w:spacing w:line="240" w:lineRule="auto"/>
              <w:jc w:val="center"/>
              <w:rPr>
                <w:kern w:val="0"/>
                <w:sz w:val="21"/>
                <w:szCs w:val="21"/>
              </w:rPr>
            </w:pPr>
            <w:r>
              <w:rPr>
                <w:kern w:val="0"/>
                <w:sz w:val="21"/>
                <w:szCs w:val="21"/>
              </w:rPr>
              <w:t xml:space="preserve">2.29 </w:t>
            </w:r>
          </w:p>
        </w:tc>
        <w:tc>
          <w:tcPr>
            <w:tcW w:w="1276" w:type="dxa"/>
            <w:tcBorders>
              <w:top w:val="nil"/>
              <w:left w:val="nil"/>
              <w:bottom w:val="single" w:color="auto" w:sz="4" w:space="0"/>
              <w:right w:val="single" w:color="auto" w:sz="4" w:space="0"/>
            </w:tcBorders>
            <w:vAlign w:val="center"/>
          </w:tcPr>
          <w:p w14:paraId="0FE5376F">
            <w:pPr>
              <w:widowControl/>
              <w:spacing w:line="240" w:lineRule="auto"/>
              <w:jc w:val="center"/>
              <w:rPr>
                <w:kern w:val="0"/>
                <w:sz w:val="21"/>
                <w:szCs w:val="21"/>
              </w:rPr>
            </w:pPr>
            <w:r>
              <w:rPr>
                <w:kern w:val="0"/>
                <w:sz w:val="21"/>
                <w:szCs w:val="21"/>
              </w:rPr>
              <w:t xml:space="preserve">2.1 </w:t>
            </w:r>
          </w:p>
        </w:tc>
        <w:tc>
          <w:tcPr>
            <w:tcW w:w="1134" w:type="dxa"/>
            <w:vMerge w:val="continue"/>
            <w:tcBorders>
              <w:top w:val="nil"/>
              <w:left w:val="single" w:color="auto" w:sz="4" w:space="0"/>
              <w:bottom w:val="single" w:color="000000" w:sz="4" w:space="0"/>
              <w:right w:val="single" w:color="auto" w:sz="4" w:space="0"/>
            </w:tcBorders>
            <w:vAlign w:val="center"/>
          </w:tcPr>
          <w:p w14:paraId="738258FF">
            <w:pPr>
              <w:widowControl/>
              <w:spacing w:line="240" w:lineRule="auto"/>
              <w:jc w:val="left"/>
              <w:rPr>
                <w:color w:val="000000"/>
                <w:kern w:val="0"/>
                <w:sz w:val="21"/>
                <w:szCs w:val="21"/>
              </w:rPr>
            </w:pPr>
          </w:p>
        </w:tc>
      </w:tr>
      <w:tr w14:paraId="65B52C6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7CF1198">
            <w:pPr>
              <w:widowControl/>
              <w:spacing w:line="240" w:lineRule="auto"/>
              <w:jc w:val="center"/>
              <w:rPr>
                <w:kern w:val="0"/>
                <w:sz w:val="21"/>
                <w:szCs w:val="21"/>
              </w:rPr>
            </w:pPr>
            <w:r>
              <w:rPr>
                <w:kern w:val="0"/>
                <w:sz w:val="21"/>
                <w:szCs w:val="21"/>
              </w:rPr>
              <w:t>30</w:t>
            </w:r>
          </w:p>
        </w:tc>
        <w:tc>
          <w:tcPr>
            <w:tcW w:w="1580" w:type="dxa"/>
            <w:tcBorders>
              <w:top w:val="single" w:color="auto" w:sz="4" w:space="0"/>
              <w:left w:val="nil"/>
              <w:bottom w:val="nil"/>
              <w:right w:val="single" w:color="auto" w:sz="4" w:space="0"/>
            </w:tcBorders>
            <w:vAlign w:val="center"/>
          </w:tcPr>
          <w:p w14:paraId="1DF81000">
            <w:pPr>
              <w:widowControl/>
              <w:spacing w:line="240" w:lineRule="auto"/>
              <w:jc w:val="left"/>
              <w:rPr>
                <w:kern w:val="0"/>
                <w:sz w:val="21"/>
                <w:szCs w:val="21"/>
              </w:rPr>
            </w:pPr>
            <w:r>
              <w:rPr>
                <w:kern w:val="0"/>
                <w:sz w:val="21"/>
                <w:szCs w:val="21"/>
              </w:rPr>
              <w:t>20160712</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4A553855">
            <w:pPr>
              <w:widowControl/>
              <w:spacing w:line="240" w:lineRule="auto"/>
              <w:jc w:val="center"/>
              <w:rPr>
                <w:kern w:val="0"/>
                <w:sz w:val="21"/>
                <w:szCs w:val="21"/>
              </w:rPr>
            </w:pPr>
            <w:r>
              <w:rPr>
                <w:kern w:val="0"/>
                <w:sz w:val="21"/>
                <w:szCs w:val="21"/>
              </w:rPr>
              <w:t xml:space="preserve">1.3 </w:t>
            </w:r>
          </w:p>
        </w:tc>
        <w:tc>
          <w:tcPr>
            <w:tcW w:w="1701" w:type="dxa"/>
            <w:tcBorders>
              <w:top w:val="nil"/>
              <w:left w:val="nil"/>
              <w:bottom w:val="single" w:color="auto" w:sz="4" w:space="0"/>
              <w:right w:val="single" w:color="auto" w:sz="4" w:space="0"/>
            </w:tcBorders>
            <w:shd w:val="clear" w:color="000000" w:fill="FFFFFF"/>
            <w:vAlign w:val="center"/>
          </w:tcPr>
          <w:p w14:paraId="45FE1405">
            <w:pPr>
              <w:widowControl/>
              <w:spacing w:line="240" w:lineRule="auto"/>
              <w:jc w:val="center"/>
              <w:rPr>
                <w:kern w:val="0"/>
                <w:sz w:val="21"/>
                <w:szCs w:val="21"/>
              </w:rPr>
            </w:pPr>
            <w:r>
              <w:rPr>
                <w:kern w:val="0"/>
                <w:sz w:val="21"/>
                <w:szCs w:val="21"/>
              </w:rPr>
              <w:t xml:space="preserve">0.25 </w:t>
            </w:r>
          </w:p>
        </w:tc>
        <w:tc>
          <w:tcPr>
            <w:tcW w:w="1276" w:type="dxa"/>
            <w:tcBorders>
              <w:top w:val="nil"/>
              <w:left w:val="nil"/>
              <w:bottom w:val="single" w:color="auto" w:sz="4" w:space="0"/>
              <w:right w:val="single" w:color="auto" w:sz="4" w:space="0"/>
            </w:tcBorders>
            <w:vAlign w:val="center"/>
          </w:tcPr>
          <w:p w14:paraId="0A76312F">
            <w:pPr>
              <w:widowControl/>
              <w:spacing w:line="240" w:lineRule="auto"/>
              <w:jc w:val="center"/>
              <w:rPr>
                <w:kern w:val="0"/>
                <w:sz w:val="21"/>
                <w:szCs w:val="21"/>
              </w:rPr>
            </w:pPr>
            <w:r>
              <w:rPr>
                <w:kern w:val="0"/>
                <w:sz w:val="21"/>
                <w:szCs w:val="21"/>
              </w:rPr>
              <w:t xml:space="preserve">5.1 </w:t>
            </w:r>
          </w:p>
        </w:tc>
        <w:tc>
          <w:tcPr>
            <w:tcW w:w="1134" w:type="dxa"/>
            <w:vMerge w:val="continue"/>
            <w:tcBorders>
              <w:top w:val="nil"/>
              <w:left w:val="single" w:color="auto" w:sz="4" w:space="0"/>
              <w:bottom w:val="single" w:color="000000" w:sz="4" w:space="0"/>
              <w:right w:val="single" w:color="auto" w:sz="4" w:space="0"/>
            </w:tcBorders>
            <w:vAlign w:val="center"/>
          </w:tcPr>
          <w:p w14:paraId="2C597978">
            <w:pPr>
              <w:widowControl/>
              <w:spacing w:line="240" w:lineRule="auto"/>
              <w:jc w:val="left"/>
              <w:rPr>
                <w:color w:val="000000"/>
                <w:kern w:val="0"/>
                <w:sz w:val="21"/>
                <w:szCs w:val="21"/>
              </w:rPr>
            </w:pPr>
          </w:p>
        </w:tc>
      </w:tr>
      <w:tr w14:paraId="0B12729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2311C38D">
            <w:pPr>
              <w:widowControl/>
              <w:spacing w:line="240" w:lineRule="auto"/>
              <w:jc w:val="center"/>
              <w:rPr>
                <w:kern w:val="0"/>
                <w:sz w:val="21"/>
                <w:szCs w:val="21"/>
              </w:rPr>
            </w:pPr>
            <w:r>
              <w:rPr>
                <w:kern w:val="0"/>
                <w:sz w:val="21"/>
                <w:szCs w:val="21"/>
              </w:rPr>
              <w:t>31</w:t>
            </w:r>
          </w:p>
        </w:tc>
        <w:tc>
          <w:tcPr>
            <w:tcW w:w="1580" w:type="dxa"/>
            <w:tcBorders>
              <w:top w:val="single" w:color="auto" w:sz="4" w:space="0"/>
              <w:left w:val="nil"/>
              <w:bottom w:val="single" w:color="auto" w:sz="4" w:space="0"/>
              <w:right w:val="single" w:color="auto" w:sz="4" w:space="0"/>
            </w:tcBorders>
            <w:vAlign w:val="center"/>
          </w:tcPr>
          <w:p w14:paraId="073CC3A4">
            <w:pPr>
              <w:widowControl/>
              <w:spacing w:line="240" w:lineRule="auto"/>
              <w:jc w:val="left"/>
              <w:rPr>
                <w:kern w:val="0"/>
                <w:sz w:val="21"/>
                <w:szCs w:val="21"/>
              </w:rPr>
            </w:pPr>
            <w:r>
              <w:rPr>
                <w:kern w:val="0"/>
                <w:sz w:val="21"/>
                <w:szCs w:val="21"/>
              </w:rPr>
              <w:t>20160713</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468A793C">
            <w:pPr>
              <w:widowControl/>
              <w:spacing w:line="240" w:lineRule="auto"/>
              <w:jc w:val="center"/>
              <w:rPr>
                <w:kern w:val="0"/>
                <w:sz w:val="21"/>
                <w:szCs w:val="21"/>
              </w:rPr>
            </w:pPr>
            <w:r>
              <w:rPr>
                <w:kern w:val="0"/>
                <w:sz w:val="21"/>
                <w:szCs w:val="21"/>
              </w:rPr>
              <w:t xml:space="preserve">2.9 </w:t>
            </w:r>
          </w:p>
        </w:tc>
        <w:tc>
          <w:tcPr>
            <w:tcW w:w="1701" w:type="dxa"/>
            <w:tcBorders>
              <w:top w:val="nil"/>
              <w:left w:val="nil"/>
              <w:bottom w:val="single" w:color="auto" w:sz="4" w:space="0"/>
              <w:right w:val="single" w:color="auto" w:sz="4" w:space="0"/>
            </w:tcBorders>
            <w:vAlign w:val="center"/>
          </w:tcPr>
          <w:p w14:paraId="32520AAD">
            <w:pPr>
              <w:widowControl/>
              <w:spacing w:line="240" w:lineRule="auto"/>
              <w:jc w:val="center"/>
              <w:rPr>
                <w:kern w:val="0"/>
                <w:sz w:val="21"/>
                <w:szCs w:val="21"/>
              </w:rPr>
            </w:pPr>
            <w:r>
              <w:rPr>
                <w:kern w:val="0"/>
                <w:sz w:val="21"/>
                <w:szCs w:val="21"/>
              </w:rPr>
              <w:t xml:space="preserve">1.72 </w:t>
            </w:r>
          </w:p>
        </w:tc>
        <w:tc>
          <w:tcPr>
            <w:tcW w:w="1276" w:type="dxa"/>
            <w:tcBorders>
              <w:top w:val="nil"/>
              <w:left w:val="nil"/>
              <w:bottom w:val="single" w:color="auto" w:sz="4" w:space="0"/>
              <w:right w:val="single" w:color="auto" w:sz="4" w:space="0"/>
            </w:tcBorders>
            <w:vAlign w:val="center"/>
          </w:tcPr>
          <w:p w14:paraId="607A1EEC">
            <w:pPr>
              <w:widowControl/>
              <w:spacing w:line="240" w:lineRule="auto"/>
              <w:jc w:val="center"/>
              <w:rPr>
                <w:kern w:val="0"/>
                <w:sz w:val="21"/>
                <w:szCs w:val="21"/>
              </w:rPr>
            </w:pPr>
            <w:r>
              <w:rPr>
                <w:kern w:val="0"/>
                <w:sz w:val="21"/>
                <w:szCs w:val="21"/>
              </w:rPr>
              <w:t xml:space="preserve">1.7 </w:t>
            </w:r>
          </w:p>
        </w:tc>
        <w:tc>
          <w:tcPr>
            <w:tcW w:w="1134" w:type="dxa"/>
            <w:vMerge w:val="restart"/>
            <w:tcBorders>
              <w:top w:val="nil"/>
              <w:left w:val="single" w:color="auto" w:sz="4" w:space="0"/>
              <w:bottom w:val="single" w:color="000000" w:sz="4" w:space="0"/>
              <w:right w:val="single" w:color="auto" w:sz="4" w:space="0"/>
            </w:tcBorders>
            <w:vAlign w:val="center"/>
          </w:tcPr>
          <w:p w14:paraId="7B9F40CF">
            <w:pPr>
              <w:widowControl/>
              <w:spacing w:line="240" w:lineRule="auto"/>
              <w:jc w:val="center"/>
              <w:rPr>
                <w:color w:val="000000"/>
                <w:kern w:val="0"/>
                <w:sz w:val="21"/>
                <w:szCs w:val="21"/>
              </w:rPr>
            </w:pPr>
            <w:r>
              <w:rPr>
                <w:rFonts w:hint="eastAsia" w:hAnsi="宋体"/>
                <w:color w:val="000000"/>
                <w:kern w:val="0"/>
                <w:sz w:val="21"/>
                <w:szCs w:val="21"/>
              </w:rPr>
              <w:t>家常菜</w:t>
            </w:r>
          </w:p>
        </w:tc>
      </w:tr>
      <w:tr w14:paraId="7C25D42E">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9122AE1">
            <w:pPr>
              <w:widowControl/>
              <w:spacing w:line="240" w:lineRule="auto"/>
              <w:jc w:val="center"/>
              <w:rPr>
                <w:kern w:val="0"/>
                <w:sz w:val="21"/>
                <w:szCs w:val="21"/>
              </w:rPr>
            </w:pPr>
            <w:r>
              <w:rPr>
                <w:kern w:val="0"/>
                <w:sz w:val="21"/>
                <w:szCs w:val="21"/>
              </w:rPr>
              <w:t>32</w:t>
            </w:r>
          </w:p>
        </w:tc>
        <w:tc>
          <w:tcPr>
            <w:tcW w:w="1580" w:type="dxa"/>
            <w:tcBorders>
              <w:top w:val="nil"/>
              <w:left w:val="nil"/>
              <w:bottom w:val="single" w:color="auto" w:sz="4" w:space="0"/>
              <w:right w:val="single" w:color="auto" w:sz="4" w:space="0"/>
            </w:tcBorders>
            <w:vAlign w:val="center"/>
          </w:tcPr>
          <w:p w14:paraId="45415B93">
            <w:pPr>
              <w:widowControl/>
              <w:spacing w:line="240" w:lineRule="auto"/>
              <w:jc w:val="left"/>
              <w:rPr>
                <w:kern w:val="0"/>
                <w:sz w:val="21"/>
                <w:szCs w:val="21"/>
              </w:rPr>
            </w:pPr>
            <w:r>
              <w:rPr>
                <w:kern w:val="0"/>
                <w:sz w:val="21"/>
                <w:szCs w:val="21"/>
              </w:rPr>
              <w:t>20160713</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30499B26">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vAlign w:val="center"/>
          </w:tcPr>
          <w:p w14:paraId="416D6285">
            <w:pPr>
              <w:widowControl/>
              <w:spacing w:line="240" w:lineRule="auto"/>
              <w:jc w:val="center"/>
              <w:rPr>
                <w:kern w:val="0"/>
                <w:sz w:val="21"/>
                <w:szCs w:val="21"/>
              </w:rPr>
            </w:pPr>
            <w:r>
              <w:rPr>
                <w:kern w:val="0"/>
                <w:sz w:val="21"/>
                <w:szCs w:val="21"/>
              </w:rPr>
              <w:t xml:space="preserve">1.32 </w:t>
            </w:r>
          </w:p>
        </w:tc>
        <w:tc>
          <w:tcPr>
            <w:tcW w:w="1276" w:type="dxa"/>
            <w:tcBorders>
              <w:top w:val="nil"/>
              <w:left w:val="nil"/>
              <w:bottom w:val="single" w:color="auto" w:sz="4" w:space="0"/>
              <w:right w:val="single" w:color="auto" w:sz="4" w:space="0"/>
            </w:tcBorders>
            <w:vAlign w:val="center"/>
          </w:tcPr>
          <w:p w14:paraId="12386D01">
            <w:pPr>
              <w:widowControl/>
              <w:spacing w:line="240" w:lineRule="auto"/>
              <w:jc w:val="center"/>
              <w:rPr>
                <w:kern w:val="0"/>
                <w:sz w:val="21"/>
                <w:szCs w:val="21"/>
              </w:rPr>
            </w:pPr>
            <w:r>
              <w:rPr>
                <w:kern w:val="0"/>
                <w:sz w:val="21"/>
                <w:szCs w:val="21"/>
              </w:rPr>
              <w:t xml:space="preserve">1.7 </w:t>
            </w:r>
          </w:p>
        </w:tc>
        <w:tc>
          <w:tcPr>
            <w:tcW w:w="1134" w:type="dxa"/>
            <w:vMerge w:val="continue"/>
            <w:tcBorders>
              <w:top w:val="nil"/>
              <w:left w:val="single" w:color="auto" w:sz="4" w:space="0"/>
              <w:bottom w:val="single" w:color="000000" w:sz="4" w:space="0"/>
              <w:right w:val="single" w:color="auto" w:sz="4" w:space="0"/>
            </w:tcBorders>
            <w:vAlign w:val="center"/>
          </w:tcPr>
          <w:p w14:paraId="70594858">
            <w:pPr>
              <w:widowControl/>
              <w:spacing w:line="240" w:lineRule="auto"/>
              <w:jc w:val="left"/>
              <w:rPr>
                <w:color w:val="000000"/>
                <w:kern w:val="0"/>
                <w:sz w:val="21"/>
                <w:szCs w:val="21"/>
              </w:rPr>
            </w:pPr>
          </w:p>
        </w:tc>
      </w:tr>
      <w:tr w14:paraId="7EC80F41">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05E6AB1">
            <w:pPr>
              <w:widowControl/>
              <w:spacing w:line="240" w:lineRule="auto"/>
              <w:jc w:val="center"/>
              <w:rPr>
                <w:kern w:val="0"/>
                <w:sz w:val="21"/>
                <w:szCs w:val="21"/>
              </w:rPr>
            </w:pPr>
            <w:r>
              <w:rPr>
                <w:kern w:val="0"/>
                <w:sz w:val="21"/>
                <w:szCs w:val="21"/>
              </w:rPr>
              <w:t>33</w:t>
            </w:r>
          </w:p>
        </w:tc>
        <w:tc>
          <w:tcPr>
            <w:tcW w:w="1580" w:type="dxa"/>
            <w:tcBorders>
              <w:top w:val="nil"/>
              <w:left w:val="nil"/>
              <w:bottom w:val="single" w:color="auto" w:sz="4" w:space="0"/>
              <w:right w:val="single" w:color="auto" w:sz="4" w:space="0"/>
            </w:tcBorders>
            <w:vAlign w:val="center"/>
          </w:tcPr>
          <w:p w14:paraId="2E5EFB53">
            <w:pPr>
              <w:widowControl/>
              <w:spacing w:line="240" w:lineRule="auto"/>
              <w:jc w:val="left"/>
              <w:rPr>
                <w:kern w:val="0"/>
                <w:sz w:val="21"/>
                <w:szCs w:val="21"/>
              </w:rPr>
            </w:pPr>
            <w:r>
              <w:rPr>
                <w:kern w:val="0"/>
                <w:sz w:val="21"/>
                <w:szCs w:val="21"/>
              </w:rPr>
              <w:t>20160722</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53671806">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vAlign w:val="center"/>
          </w:tcPr>
          <w:p w14:paraId="1D8D03C9">
            <w:pPr>
              <w:widowControl/>
              <w:spacing w:line="240" w:lineRule="auto"/>
              <w:jc w:val="center"/>
              <w:rPr>
                <w:kern w:val="0"/>
                <w:sz w:val="21"/>
                <w:szCs w:val="21"/>
              </w:rPr>
            </w:pPr>
            <w:r>
              <w:rPr>
                <w:kern w:val="0"/>
                <w:sz w:val="21"/>
                <w:szCs w:val="21"/>
              </w:rPr>
              <w:t xml:space="preserve">0.42 </w:t>
            </w:r>
          </w:p>
        </w:tc>
        <w:tc>
          <w:tcPr>
            <w:tcW w:w="1276" w:type="dxa"/>
            <w:tcBorders>
              <w:top w:val="nil"/>
              <w:left w:val="nil"/>
              <w:bottom w:val="single" w:color="auto" w:sz="4" w:space="0"/>
              <w:right w:val="single" w:color="auto" w:sz="4" w:space="0"/>
            </w:tcBorders>
            <w:vAlign w:val="center"/>
          </w:tcPr>
          <w:p w14:paraId="21867F96">
            <w:pPr>
              <w:widowControl/>
              <w:spacing w:line="240" w:lineRule="auto"/>
              <w:jc w:val="center"/>
              <w:rPr>
                <w:kern w:val="0"/>
                <w:sz w:val="21"/>
                <w:szCs w:val="21"/>
              </w:rPr>
            </w:pPr>
            <w:r>
              <w:rPr>
                <w:kern w:val="0"/>
                <w:sz w:val="21"/>
                <w:szCs w:val="21"/>
              </w:rPr>
              <w:t xml:space="preserve">5.5 </w:t>
            </w:r>
          </w:p>
        </w:tc>
        <w:tc>
          <w:tcPr>
            <w:tcW w:w="1134" w:type="dxa"/>
            <w:tcBorders>
              <w:top w:val="nil"/>
              <w:left w:val="nil"/>
              <w:bottom w:val="single" w:color="auto" w:sz="4" w:space="0"/>
              <w:right w:val="single" w:color="auto" w:sz="4" w:space="0"/>
            </w:tcBorders>
            <w:vAlign w:val="center"/>
          </w:tcPr>
          <w:p w14:paraId="3081544B">
            <w:pPr>
              <w:widowControl/>
              <w:spacing w:line="240" w:lineRule="auto"/>
              <w:jc w:val="left"/>
              <w:rPr>
                <w:color w:val="000000"/>
                <w:kern w:val="0"/>
                <w:sz w:val="21"/>
                <w:szCs w:val="21"/>
              </w:rPr>
            </w:pPr>
            <w:r>
              <w:rPr>
                <w:rFonts w:hint="eastAsia" w:hAnsi="宋体"/>
                <w:color w:val="000000"/>
                <w:kern w:val="0"/>
                <w:sz w:val="21"/>
                <w:szCs w:val="21"/>
              </w:rPr>
              <w:t>企业食堂</w:t>
            </w:r>
          </w:p>
        </w:tc>
      </w:tr>
      <w:tr w14:paraId="5C7C605F">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9360C1E">
            <w:pPr>
              <w:widowControl/>
              <w:spacing w:line="240" w:lineRule="auto"/>
              <w:jc w:val="center"/>
              <w:rPr>
                <w:kern w:val="0"/>
                <w:sz w:val="21"/>
                <w:szCs w:val="21"/>
              </w:rPr>
            </w:pPr>
            <w:r>
              <w:rPr>
                <w:kern w:val="0"/>
                <w:sz w:val="21"/>
                <w:szCs w:val="21"/>
              </w:rPr>
              <w:t>34</w:t>
            </w:r>
          </w:p>
        </w:tc>
        <w:tc>
          <w:tcPr>
            <w:tcW w:w="1580" w:type="dxa"/>
            <w:tcBorders>
              <w:top w:val="nil"/>
              <w:left w:val="nil"/>
              <w:bottom w:val="nil"/>
              <w:right w:val="single" w:color="auto" w:sz="4" w:space="0"/>
            </w:tcBorders>
            <w:vAlign w:val="center"/>
          </w:tcPr>
          <w:p w14:paraId="595F740E">
            <w:pPr>
              <w:widowControl/>
              <w:spacing w:line="240" w:lineRule="auto"/>
              <w:jc w:val="left"/>
              <w:rPr>
                <w:kern w:val="0"/>
                <w:sz w:val="21"/>
                <w:szCs w:val="21"/>
              </w:rPr>
            </w:pPr>
            <w:r>
              <w:rPr>
                <w:kern w:val="0"/>
                <w:sz w:val="21"/>
                <w:szCs w:val="21"/>
              </w:rPr>
              <w:t>20160726</w:t>
            </w:r>
            <w:r>
              <w:rPr>
                <w:rFonts w:hint="eastAsia" w:hAnsi="宋体"/>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14:paraId="04D84924">
            <w:pPr>
              <w:widowControl/>
              <w:spacing w:line="240" w:lineRule="auto"/>
              <w:jc w:val="center"/>
              <w:rPr>
                <w:kern w:val="0"/>
                <w:sz w:val="21"/>
                <w:szCs w:val="21"/>
              </w:rPr>
            </w:pPr>
            <w:r>
              <w:rPr>
                <w:kern w:val="0"/>
                <w:sz w:val="21"/>
                <w:szCs w:val="21"/>
              </w:rPr>
              <w:t xml:space="preserve">2.6 </w:t>
            </w:r>
          </w:p>
        </w:tc>
        <w:tc>
          <w:tcPr>
            <w:tcW w:w="1701" w:type="dxa"/>
            <w:tcBorders>
              <w:top w:val="nil"/>
              <w:left w:val="nil"/>
              <w:bottom w:val="single" w:color="auto" w:sz="4" w:space="0"/>
              <w:right w:val="single" w:color="auto" w:sz="4" w:space="0"/>
            </w:tcBorders>
            <w:shd w:val="clear" w:color="000000" w:fill="FFFFFF"/>
            <w:vAlign w:val="center"/>
          </w:tcPr>
          <w:p w14:paraId="14B4FCA0">
            <w:pPr>
              <w:widowControl/>
              <w:spacing w:line="240" w:lineRule="auto"/>
              <w:jc w:val="center"/>
              <w:rPr>
                <w:kern w:val="0"/>
                <w:sz w:val="21"/>
                <w:szCs w:val="21"/>
              </w:rPr>
            </w:pPr>
            <w:r>
              <w:rPr>
                <w:kern w:val="0"/>
                <w:sz w:val="21"/>
                <w:szCs w:val="21"/>
              </w:rPr>
              <w:t xml:space="preserve">0.59 </w:t>
            </w:r>
          </w:p>
        </w:tc>
        <w:tc>
          <w:tcPr>
            <w:tcW w:w="1276" w:type="dxa"/>
            <w:tcBorders>
              <w:top w:val="nil"/>
              <w:left w:val="nil"/>
              <w:bottom w:val="single" w:color="auto" w:sz="4" w:space="0"/>
              <w:right w:val="single" w:color="auto" w:sz="4" w:space="0"/>
            </w:tcBorders>
            <w:shd w:val="clear" w:color="000000" w:fill="FFFFFF"/>
            <w:vAlign w:val="center"/>
          </w:tcPr>
          <w:p w14:paraId="54A8ECE7">
            <w:pPr>
              <w:widowControl/>
              <w:spacing w:line="240" w:lineRule="auto"/>
              <w:jc w:val="center"/>
              <w:rPr>
                <w:kern w:val="0"/>
                <w:sz w:val="21"/>
                <w:szCs w:val="21"/>
              </w:rPr>
            </w:pPr>
            <w:r>
              <w:rPr>
                <w:kern w:val="0"/>
                <w:sz w:val="21"/>
                <w:szCs w:val="21"/>
              </w:rPr>
              <w:t xml:space="preserve">4.46 </w:t>
            </w:r>
          </w:p>
        </w:tc>
        <w:tc>
          <w:tcPr>
            <w:tcW w:w="1134" w:type="dxa"/>
            <w:vMerge w:val="restart"/>
            <w:tcBorders>
              <w:top w:val="nil"/>
              <w:left w:val="single" w:color="auto" w:sz="4" w:space="0"/>
              <w:bottom w:val="single" w:color="000000" w:sz="4" w:space="0"/>
              <w:right w:val="single" w:color="auto" w:sz="4" w:space="0"/>
            </w:tcBorders>
            <w:vAlign w:val="center"/>
          </w:tcPr>
          <w:p w14:paraId="05910559">
            <w:pPr>
              <w:widowControl/>
              <w:spacing w:line="240" w:lineRule="auto"/>
              <w:jc w:val="center"/>
              <w:rPr>
                <w:color w:val="000000"/>
                <w:kern w:val="0"/>
                <w:sz w:val="21"/>
                <w:szCs w:val="21"/>
              </w:rPr>
            </w:pPr>
            <w:r>
              <w:rPr>
                <w:rFonts w:hint="eastAsia" w:hAnsi="宋体"/>
                <w:color w:val="000000"/>
                <w:kern w:val="0"/>
                <w:sz w:val="21"/>
                <w:szCs w:val="21"/>
              </w:rPr>
              <w:t>家常菜</w:t>
            </w:r>
          </w:p>
        </w:tc>
      </w:tr>
      <w:tr w14:paraId="0F321A6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616A0DFE">
            <w:pPr>
              <w:widowControl/>
              <w:spacing w:line="240" w:lineRule="auto"/>
              <w:jc w:val="center"/>
              <w:rPr>
                <w:kern w:val="0"/>
                <w:sz w:val="21"/>
                <w:szCs w:val="21"/>
              </w:rPr>
            </w:pPr>
            <w:r>
              <w:rPr>
                <w:kern w:val="0"/>
                <w:sz w:val="21"/>
                <w:szCs w:val="21"/>
              </w:rPr>
              <w:t>35</w:t>
            </w:r>
          </w:p>
        </w:tc>
        <w:tc>
          <w:tcPr>
            <w:tcW w:w="1580" w:type="dxa"/>
            <w:tcBorders>
              <w:top w:val="single" w:color="auto" w:sz="4" w:space="0"/>
              <w:left w:val="nil"/>
              <w:bottom w:val="nil"/>
              <w:right w:val="single" w:color="auto" w:sz="4" w:space="0"/>
            </w:tcBorders>
            <w:vAlign w:val="center"/>
          </w:tcPr>
          <w:p w14:paraId="6D75A2D9">
            <w:pPr>
              <w:widowControl/>
              <w:spacing w:line="240" w:lineRule="auto"/>
              <w:jc w:val="left"/>
              <w:rPr>
                <w:kern w:val="0"/>
                <w:sz w:val="21"/>
                <w:szCs w:val="21"/>
              </w:rPr>
            </w:pPr>
            <w:r>
              <w:rPr>
                <w:kern w:val="0"/>
                <w:sz w:val="21"/>
                <w:szCs w:val="21"/>
              </w:rPr>
              <w:t>20160726</w:t>
            </w:r>
            <w:r>
              <w:rPr>
                <w:rFonts w:hint="eastAsia" w:hAnsi="宋体"/>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14:paraId="383265BD">
            <w:pPr>
              <w:widowControl/>
              <w:spacing w:line="240" w:lineRule="auto"/>
              <w:jc w:val="center"/>
              <w:rPr>
                <w:kern w:val="0"/>
                <w:sz w:val="21"/>
                <w:szCs w:val="21"/>
              </w:rPr>
            </w:pPr>
            <w:r>
              <w:rPr>
                <w:kern w:val="0"/>
                <w:sz w:val="21"/>
                <w:szCs w:val="21"/>
              </w:rPr>
              <w:t xml:space="preserve">1.6 </w:t>
            </w:r>
          </w:p>
        </w:tc>
        <w:tc>
          <w:tcPr>
            <w:tcW w:w="1701" w:type="dxa"/>
            <w:tcBorders>
              <w:top w:val="nil"/>
              <w:left w:val="nil"/>
              <w:bottom w:val="single" w:color="auto" w:sz="4" w:space="0"/>
              <w:right w:val="single" w:color="auto" w:sz="4" w:space="0"/>
            </w:tcBorders>
            <w:shd w:val="clear" w:color="000000" w:fill="FFFFFF"/>
            <w:vAlign w:val="center"/>
          </w:tcPr>
          <w:p w14:paraId="62A831F6">
            <w:pPr>
              <w:widowControl/>
              <w:spacing w:line="240" w:lineRule="auto"/>
              <w:jc w:val="center"/>
              <w:rPr>
                <w:kern w:val="0"/>
                <w:sz w:val="21"/>
                <w:szCs w:val="21"/>
              </w:rPr>
            </w:pPr>
            <w:r>
              <w:rPr>
                <w:kern w:val="0"/>
                <w:sz w:val="21"/>
                <w:szCs w:val="21"/>
              </w:rPr>
              <w:t xml:space="preserve">0.21 </w:t>
            </w:r>
          </w:p>
        </w:tc>
        <w:tc>
          <w:tcPr>
            <w:tcW w:w="1276" w:type="dxa"/>
            <w:tcBorders>
              <w:top w:val="nil"/>
              <w:left w:val="nil"/>
              <w:bottom w:val="single" w:color="auto" w:sz="4" w:space="0"/>
              <w:right w:val="single" w:color="auto" w:sz="4" w:space="0"/>
            </w:tcBorders>
            <w:shd w:val="clear" w:color="000000" w:fill="FFFFFF"/>
            <w:vAlign w:val="center"/>
          </w:tcPr>
          <w:p w14:paraId="2ABF4372">
            <w:pPr>
              <w:widowControl/>
              <w:spacing w:line="240" w:lineRule="auto"/>
              <w:jc w:val="center"/>
              <w:rPr>
                <w:kern w:val="0"/>
                <w:sz w:val="21"/>
                <w:szCs w:val="21"/>
              </w:rPr>
            </w:pPr>
            <w:r>
              <w:rPr>
                <w:kern w:val="0"/>
                <w:sz w:val="21"/>
                <w:szCs w:val="21"/>
              </w:rPr>
              <w:t xml:space="preserve">7.55 </w:t>
            </w:r>
          </w:p>
        </w:tc>
        <w:tc>
          <w:tcPr>
            <w:tcW w:w="1134" w:type="dxa"/>
            <w:vMerge w:val="continue"/>
            <w:tcBorders>
              <w:top w:val="nil"/>
              <w:left w:val="single" w:color="auto" w:sz="4" w:space="0"/>
              <w:bottom w:val="single" w:color="000000" w:sz="4" w:space="0"/>
              <w:right w:val="single" w:color="auto" w:sz="4" w:space="0"/>
            </w:tcBorders>
            <w:vAlign w:val="center"/>
          </w:tcPr>
          <w:p w14:paraId="68BE1D6E">
            <w:pPr>
              <w:widowControl/>
              <w:spacing w:line="240" w:lineRule="auto"/>
              <w:jc w:val="left"/>
              <w:rPr>
                <w:color w:val="000000"/>
                <w:kern w:val="0"/>
                <w:sz w:val="21"/>
                <w:szCs w:val="21"/>
              </w:rPr>
            </w:pPr>
          </w:p>
        </w:tc>
      </w:tr>
      <w:tr w14:paraId="748AB49F">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3D6CDC1E">
            <w:pPr>
              <w:widowControl/>
              <w:spacing w:line="240" w:lineRule="auto"/>
              <w:jc w:val="center"/>
              <w:rPr>
                <w:kern w:val="0"/>
                <w:sz w:val="21"/>
                <w:szCs w:val="21"/>
              </w:rPr>
            </w:pPr>
            <w:r>
              <w:rPr>
                <w:kern w:val="0"/>
                <w:sz w:val="21"/>
                <w:szCs w:val="21"/>
              </w:rPr>
              <w:t>36</w:t>
            </w:r>
          </w:p>
        </w:tc>
        <w:tc>
          <w:tcPr>
            <w:tcW w:w="1580" w:type="dxa"/>
            <w:tcBorders>
              <w:top w:val="single" w:color="auto" w:sz="4" w:space="0"/>
              <w:left w:val="nil"/>
              <w:bottom w:val="nil"/>
              <w:right w:val="single" w:color="auto" w:sz="4" w:space="0"/>
            </w:tcBorders>
            <w:vAlign w:val="center"/>
          </w:tcPr>
          <w:p w14:paraId="15E546B8">
            <w:pPr>
              <w:widowControl/>
              <w:spacing w:line="240" w:lineRule="auto"/>
              <w:jc w:val="left"/>
              <w:rPr>
                <w:kern w:val="0"/>
                <w:sz w:val="21"/>
                <w:szCs w:val="21"/>
              </w:rPr>
            </w:pPr>
            <w:r>
              <w:rPr>
                <w:kern w:val="0"/>
                <w:sz w:val="21"/>
                <w:szCs w:val="21"/>
              </w:rPr>
              <w:t>20160726</w:t>
            </w:r>
            <w:r>
              <w:rPr>
                <w:rFonts w:hint="eastAsia" w:hAnsi="宋体"/>
                <w:kern w:val="0"/>
                <w:sz w:val="21"/>
                <w:szCs w:val="21"/>
              </w:rPr>
              <w:t>晚上</w:t>
            </w:r>
          </w:p>
        </w:tc>
        <w:tc>
          <w:tcPr>
            <w:tcW w:w="1823" w:type="dxa"/>
            <w:tcBorders>
              <w:top w:val="nil"/>
              <w:left w:val="nil"/>
              <w:bottom w:val="single" w:color="auto" w:sz="4" w:space="0"/>
              <w:right w:val="single" w:color="auto" w:sz="4" w:space="0"/>
            </w:tcBorders>
            <w:shd w:val="clear" w:color="000000" w:fill="FFFFFF"/>
            <w:vAlign w:val="center"/>
          </w:tcPr>
          <w:p w14:paraId="6878EAD4">
            <w:pPr>
              <w:widowControl/>
              <w:spacing w:line="240" w:lineRule="auto"/>
              <w:jc w:val="center"/>
              <w:rPr>
                <w:kern w:val="0"/>
                <w:sz w:val="21"/>
                <w:szCs w:val="21"/>
              </w:rPr>
            </w:pPr>
            <w:r>
              <w:rPr>
                <w:kern w:val="0"/>
                <w:sz w:val="21"/>
                <w:szCs w:val="21"/>
              </w:rPr>
              <w:t xml:space="preserve">1.8 </w:t>
            </w:r>
          </w:p>
        </w:tc>
        <w:tc>
          <w:tcPr>
            <w:tcW w:w="1701" w:type="dxa"/>
            <w:tcBorders>
              <w:top w:val="nil"/>
              <w:left w:val="nil"/>
              <w:bottom w:val="single" w:color="auto" w:sz="4" w:space="0"/>
              <w:right w:val="single" w:color="auto" w:sz="4" w:space="0"/>
            </w:tcBorders>
            <w:shd w:val="clear" w:color="000000" w:fill="FFFFFF"/>
            <w:vAlign w:val="center"/>
          </w:tcPr>
          <w:p w14:paraId="4D06F270">
            <w:pPr>
              <w:widowControl/>
              <w:spacing w:line="240" w:lineRule="auto"/>
              <w:jc w:val="center"/>
              <w:rPr>
                <w:kern w:val="0"/>
                <w:sz w:val="21"/>
                <w:szCs w:val="21"/>
              </w:rPr>
            </w:pPr>
            <w:r>
              <w:rPr>
                <w:kern w:val="0"/>
                <w:sz w:val="21"/>
                <w:szCs w:val="21"/>
              </w:rPr>
              <w:t xml:space="preserve">0.38 </w:t>
            </w:r>
          </w:p>
        </w:tc>
        <w:tc>
          <w:tcPr>
            <w:tcW w:w="1276" w:type="dxa"/>
            <w:tcBorders>
              <w:top w:val="nil"/>
              <w:left w:val="nil"/>
              <w:bottom w:val="single" w:color="auto" w:sz="4" w:space="0"/>
              <w:right w:val="single" w:color="auto" w:sz="4" w:space="0"/>
            </w:tcBorders>
            <w:shd w:val="clear" w:color="000000" w:fill="FFFFFF"/>
            <w:vAlign w:val="center"/>
          </w:tcPr>
          <w:p w14:paraId="695438AB">
            <w:pPr>
              <w:widowControl/>
              <w:spacing w:line="240" w:lineRule="auto"/>
              <w:jc w:val="center"/>
              <w:rPr>
                <w:kern w:val="0"/>
                <w:sz w:val="21"/>
                <w:szCs w:val="21"/>
              </w:rPr>
            </w:pPr>
            <w:r>
              <w:rPr>
                <w:kern w:val="0"/>
                <w:sz w:val="21"/>
                <w:szCs w:val="21"/>
              </w:rPr>
              <w:t xml:space="preserve">4.75 </w:t>
            </w:r>
          </w:p>
        </w:tc>
        <w:tc>
          <w:tcPr>
            <w:tcW w:w="1134" w:type="dxa"/>
            <w:vMerge w:val="continue"/>
            <w:tcBorders>
              <w:top w:val="nil"/>
              <w:left w:val="single" w:color="auto" w:sz="4" w:space="0"/>
              <w:bottom w:val="single" w:color="000000" w:sz="4" w:space="0"/>
              <w:right w:val="single" w:color="auto" w:sz="4" w:space="0"/>
            </w:tcBorders>
            <w:vAlign w:val="center"/>
          </w:tcPr>
          <w:p w14:paraId="62D607C3">
            <w:pPr>
              <w:widowControl/>
              <w:spacing w:line="240" w:lineRule="auto"/>
              <w:jc w:val="left"/>
              <w:rPr>
                <w:color w:val="000000"/>
                <w:kern w:val="0"/>
                <w:sz w:val="21"/>
                <w:szCs w:val="21"/>
              </w:rPr>
            </w:pPr>
          </w:p>
        </w:tc>
      </w:tr>
      <w:tr w14:paraId="7F256F4F">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B994DA1">
            <w:pPr>
              <w:widowControl/>
              <w:spacing w:line="240" w:lineRule="auto"/>
              <w:jc w:val="center"/>
              <w:rPr>
                <w:kern w:val="0"/>
                <w:sz w:val="21"/>
                <w:szCs w:val="21"/>
              </w:rPr>
            </w:pPr>
            <w:r>
              <w:rPr>
                <w:kern w:val="0"/>
                <w:sz w:val="21"/>
                <w:szCs w:val="21"/>
              </w:rPr>
              <w:t>37</w:t>
            </w:r>
          </w:p>
        </w:tc>
        <w:tc>
          <w:tcPr>
            <w:tcW w:w="1580" w:type="dxa"/>
            <w:tcBorders>
              <w:top w:val="single" w:color="auto" w:sz="4" w:space="0"/>
              <w:left w:val="nil"/>
              <w:bottom w:val="nil"/>
              <w:right w:val="single" w:color="auto" w:sz="4" w:space="0"/>
            </w:tcBorders>
            <w:vAlign w:val="center"/>
          </w:tcPr>
          <w:p w14:paraId="17FDB8A5">
            <w:pPr>
              <w:widowControl/>
              <w:spacing w:line="240" w:lineRule="auto"/>
              <w:jc w:val="left"/>
              <w:rPr>
                <w:kern w:val="0"/>
                <w:sz w:val="21"/>
                <w:szCs w:val="21"/>
              </w:rPr>
            </w:pPr>
            <w:r>
              <w:rPr>
                <w:kern w:val="0"/>
                <w:sz w:val="21"/>
                <w:szCs w:val="21"/>
              </w:rPr>
              <w:t>20160726</w:t>
            </w:r>
            <w:r>
              <w:rPr>
                <w:rFonts w:hint="eastAsia" w:hAnsi="宋体"/>
                <w:kern w:val="0"/>
                <w:sz w:val="21"/>
                <w:szCs w:val="21"/>
              </w:rPr>
              <w:t>晚上</w:t>
            </w:r>
          </w:p>
        </w:tc>
        <w:tc>
          <w:tcPr>
            <w:tcW w:w="1823" w:type="dxa"/>
            <w:tcBorders>
              <w:top w:val="nil"/>
              <w:left w:val="nil"/>
              <w:bottom w:val="single" w:color="auto" w:sz="4" w:space="0"/>
              <w:right w:val="single" w:color="auto" w:sz="4" w:space="0"/>
            </w:tcBorders>
            <w:shd w:val="clear" w:color="000000" w:fill="FFFFFF"/>
            <w:vAlign w:val="center"/>
          </w:tcPr>
          <w:p w14:paraId="69ECE7FA">
            <w:pPr>
              <w:widowControl/>
              <w:spacing w:line="240" w:lineRule="auto"/>
              <w:jc w:val="center"/>
              <w:rPr>
                <w:kern w:val="0"/>
                <w:sz w:val="21"/>
                <w:szCs w:val="21"/>
              </w:rPr>
            </w:pPr>
            <w:r>
              <w:rPr>
                <w:kern w:val="0"/>
                <w:sz w:val="21"/>
                <w:szCs w:val="21"/>
              </w:rPr>
              <w:t xml:space="preserve">2.3 </w:t>
            </w:r>
          </w:p>
        </w:tc>
        <w:tc>
          <w:tcPr>
            <w:tcW w:w="1701" w:type="dxa"/>
            <w:tcBorders>
              <w:top w:val="nil"/>
              <w:left w:val="nil"/>
              <w:bottom w:val="single" w:color="auto" w:sz="4" w:space="0"/>
              <w:right w:val="single" w:color="auto" w:sz="4" w:space="0"/>
            </w:tcBorders>
            <w:shd w:val="clear" w:color="000000" w:fill="FFFFFF"/>
            <w:vAlign w:val="center"/>
          </w:tcPr>
          <w:p w14:paraId="6C2704C8">
            <w:pPr>
              <w:widowControl/>
              <w:spacing w:line="240" w:lineRule="auto"/>
              <w:jc w:val="center"/>
              <w:rPr>
                <w:kern w:val="0"/>
                <w:sz w:val="21"/>
                <w:szCs w:val="21"/>
              </w:rPr>
            </w:pPr>
            <w:r>
              <w:rPr>
                <w:kern w:val="0"/>
                <w:sz w:val="21"/>
                <w:szCs w:val="21"/>
              </w:rPr>
              <w:t xml:space="preserve">0.37 </w:t>
            </w:r>
          </w:p>
        </w:tc>
        <w:tc>
          <w:tcPr>
            <w:tcW w:w="1276" w:type="dxa"/>
            <w:tcBorders>
              <w:top w:val="nil"/>
              <w:left w:val="nil"/>
              <w:bottom w:val="single" w:color="auto" w:sz="4" w:space="0"/>
              <w:right w:val="single" w:color="auto" w:sz="4" w:space="0"/>
            </w:tcBorders>
            <w:shd w:val="clear" w:color="000000" w:fill="FFFFFF"/>
            <w:vAlign w:val="center"/>
          </w:tcPr>
          <w:p w14:paraId="6052A4EB">
            <w:pPr>
              <w:widowControl/>
              <w:spacing w:line="240" w:lineRule="auto"/>
              <w:jc w:val="center"/>
              <w:rPr>
                <w:kern w:val="0"/>
                <w:sz w:val="21"/>
                <w:szCs w:val="21"/>
              </w:rPr>
            </w:pPr>
            <w:r>
              <w:rPr>
                <w:kern w:val="0"/>
                <w:sz w:val="21"/>
                <w:szCs w:val="21"/>
              </w:rPr>
              <w:t xml:space="preserve">6.06 </w:t>
            </w:r>
          </w:p>
        </w:tc>
        <w:tc>
          <w:tcPr>
            <w:tcW w:w="1134" w:type="dxa"/>
            <w:vMerge w:val="continue"/>
            <w:tcBorders>
              <w:top w:val="nil"/>
              <w:left w:val="single" w:color="auto" w:sz="4" w:space="0"/>
              <w:bottom w:val="single" w:color="000000" w:sz="4" w:space="0"/>
              <w:right w:val="single" w:color="auto" w:sz="4" w:space="0"/>
            </w:tcBorders>
            <w:vAlign w:val="center"/>
          </w:tcPr>
          <w:p w14:paraId="04F054AA">
            <w:pPr>
              <w:widowControl/>
              <w:spacing w:line="240" w:lineRule="auto"/>
              <w:jc w:val="left"/>
              <w:rPr>
                <w:color w:val="000000"/>
                <w:kern w:val="0"/>
                <w:sz w:val="21"/>
                <w:szCs w:val="21"/>
              </w:rPr>
            </w:pPr>
          </w:p>
        </w:tc>
      </w:tr>
      <w:tr w14:paraId="1B96D802">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05E121EC">
            <w:pPr>
              <w:widowControl/>
              <w:spacing w:line="240" w:lineRule="auto"/>
              <w:jc w:val="center"/>
              <w:rPr>
                <w:kern w:val="0"/>
                <w:sz w:val="21"/>
                <w:szCs w:val="21"/>
              </w:rPr>
            </w:pPr>
            <w:r>
              <w:rPr>
                <w:kern w:val="0"/>
                <w:sz w:val="21"/>
                <w:szCs w:val="21"/>
              </w:rPr>
              <w:t>38</w:t>
            </w:r>
          </w:p>
        </w:tc>
        <w:tc>
          <w:tcPr>
            <w:tcW w:w="1580" w:type="dxa"/>
            <w:tcBorders>
              <w:top w:val="single" w:color="auto" w:sz="4" w:space="0"/>
              <w:left w:val="nil"/>
              <w:bottom w:val="nil"/>
              <w:right w:val="single" w:color="auto" w:sz="4" w:space="0"/>
            </w:tcBorders>
            <w:vAlign w:val="center"/>
          </w:tcPr>
          <w:p w14:paraId="1DB594B6">
            <w:pPr>
              <w:widowControl/>
              <w:spacing w:line="240" w:lineRule="auto"/>
              <w:jc w:val="left"/>
              <w:rPr>
                <w:kern w:val="0"/>
                <w:sz w:val="21"/>
                <w:szCs w:val="21"/>
              </w:rPr>
            </w:pPr>
            <w:r>
              <w:rPr>
                <w:kern w:val="0"/>
                <w:sz w:val="21"/>
                <w:szCs w:val="21"/>
              </w:rPr>
              <w:t>20160728</w:t>
            </w:r>
            <w:r>
              <w:rPr>
                <w:rFonts w:hint="eastAsia" w:hAnsi="宋体"/>
                <w:kern w:val="0"/>
                <w:sz w:val="21"/>
                <w:szCs w:val="21"/>
              </w:rPr>
              <w:t>中午</w:t>
            </w:r>
          </w:p>
        </w:tc>
        <w:tc>
          <w:tcPr>
            <w:tcW w:w="1823" w:type="dxa"/>
            <w:tcBorders>
              <w:top w:val="nil"/>
              <w:left w:val="nil"/>
              <w:bottom w:val="single" w:color="auto" w:sz="4" w:space="0"/>
              <w:right w:val="single" w:color="auto" w:sz="4" w:space="0"/>
            </w:tcBorders>
            <w:shd w:val="clear" w:color="000000" w:fill="FFFFFF"/>
            <w:vAlign w:val="center"/>
          </w:tcPr>
          <w:p w14:paraId="02A4D5D3">
            <w:pPr>
              <w:widowControl/>
              <w:spacing w:line="240" w:lineRule="auto"/>
              <w:jc w:val="center"/>
              <w:rPr>
                <w:kern w:val="0"/>
                <w:sz w:val="21"/>
                <w:szCs w:val="21"/>
              </w:rPr>
            </w:pPr>
            <w:r>
              <w:rPr>
                <w:kern w:val="0"/>
                <w:sz w:val="21"/>
                <w:szCs w:val="21"/>
              </w:rPr>
              <w:t xml:space="preserve">3.5 </w:t>
            </w:r>
          </w:p>
        </w:tc>
        <w:tc>
          <w:tcPr>
            <w:tcW w:w="1701" w:type="dxa"/>
            <w:tcBorders>
              <w:top w:val="nil"/>
              <w:left w:val="nil"/>
              <w:bottom w:val="single" w:color="auto" w:sz="4" w:space="0"/>
              <w:right w:val="single" w:color="auto" w:sz="4" w:space="0"/>
            </w:tcBorders>
            <w:shd w:val="clear" w:color="000000" w:fill="FFFFFF"/>
            <w:vAlign w:val="center"/>
          </w:tcPr>
          <w:p w14:paraId="60BD8389">
            <w:pPr>
              <w:widowControl/>
              <w:spacing w:line="240" w:lineRule="auto"/>
              <w:jc w:val="center"/>
              <w:rPr>
                <w:kern w:val="0"/>
                <w:sz w:val="21"/>
                <w:szCs w:val="21"/>
              </w:rPr>
            </w:pPr>
            <w:r>
              <w:rPr>
                <w:kern w:val="0"/>
                <w:sz w:val="21"/>
                <w:szCs w:val="21"/>
              </w:rPr>
              <w:t xml:space="preserve">2.68 </w:t>
            </w:r>
          </w:p>
        </w:tc>
        <w:tc>
          <w:tcPr>
            <w:tcW w:w="1276" w:type="dxa"/>
            <w:tcBorders>
              <w:top w:val="nil"/>
              <w:left w:val="nil"/>
              <w:bottom w:val="single" w:color="auto" w:sz="4" w:space="0"/>
              <w:right w:val="single" w:color="auto" w:sz="4" w:space="0"/>
            </w:tcBorders>
            <w:shd w:val="clear" w:color="000000" w:fill="FFFFFF"/>
            <w:vAlign w:val="center"/>
          </w:tcPr>
          <w:p w14:paraId="1B0066C8">
            <w:pPr>
              <w:widowControl/>
              <w:spacing w:line="240" w:lineRule="auto"/>
              <w:jc w:val="center"/>
              <w:rPr>
                <w:kern w:val="0"/>
                <w:sz w:val="21"/>
                <w:szCs w:val="21"/>
              </w:rPr>
            </w:pPr>
            <w:r>
              <w:rPr>
                <w:kern w:val="0"/>
                <w:sz w:val="21"/>
                <w:szCs w:val="21"/>
              </w:rPr>
              <w:t xml:space="preserve">1.30 </w:t>
            </w:r>
          </w:p>
        </w:tc>
        <w:tc>
          <w:tcPr>
            <w:tcW w:w="1134" w:type="dxa"/>
            <w:vMerge w:val="restart"/>
            <w:tcBorders>
              <w:top w:val="nil"/>
              <w:left w:val="single" w:color="auto" w:sz="4" w:space="0"/>
              <w:bottom w:val="single" w:color="000000" w:sz="4" w:space="0"/>
              <w:right w:val="single" w:color="auto" w:sz="4" w:space="0"/>
            </w:tcBorders>
            <w:vAlign w:val="center"/>
          </w:tcPr>
          <w:p w14:paraId="5E8AC1E8">
            <w:pPr>
              <w:widowControl/>
              <w:spacing w:line="240" w:lineRule="auto"/>
              <w:jc w:val="center"/>
              <w:rPr>
                <w:color w:val="000000"/>
                <w:kern w:val="0"/>
                <w:sz w:val="21"/>
                <w:szCs w:val="21"/>
              </w:rPr>
            </w:pPr>
            <w:r>
              <w:rPr>
                <w:rFonts w:hint="eastAsia" w:hAnsi="宋体"/>
                <w:color w:val="000000"/>
                <w:kern w:val="0"/>
                <w:sz w:val="21"/>
                <w:szCs w:val="21"/>
              </w:rPr>
              <w:t>粤菜</w:t>
            </w:r>
          </w:p>
        </w:tc>
      </w:tr>
      <w:tr w14:paraId="4CF15529">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53CA43EE">
            <w:pPr>
              <w:widowControl/>
              <w:spacing w:line="240" w:lineRule="auto"/>
              <w:jc w:val="center"/>
              <w:rPr>
                <w:kern w:val="0"/>
                <w:sz w:val="21"/>
                <w:szCs w:val="21"/>
              </w:rPr>
            </w:pPr>
            <w:r>
              <w:rPr>
                <w:kern w:val="0"/>
                <w:sz w:val="21"/>
                <w:szCs w:val="21"/>
              </w:rPr>
              <w:t>39</w:t>
            </w:r>
          </w:p>
        </w:tc>
        <w:tc>
          <w:tcPr>
            <w:tcW w:w="1580" w:type="dxa"/>
            <w:tcBorders>
              <w:top w:val="single" w:color="auto" w:sz="4" w:space="0"/>
              <w:left w:val="nil"/>
              <w:bottom w:val="single" w:color="auto" w:sz="4" w:space="0"/>
              <w:right w:val="single" w:color="auto" w:sz="4" w:space="0"/>
            </w:tcBorders>
            <w:vAlign w:val="center"/>
          </w:tcPr>
          <w:p w14:paraId="3D184848">
            <w:pPr>
              <w:widowControl/>
              <w:spacing w:line="240" w:lineRule="auto"/>
              <w:jc w:val="center"/>
              <w:rPr>
                <w:kern w:val="0"/>
                <w:sz w:val="21"/>
                <w:szCs w:val="21"/>
              </w:rPr>
            </w:pPr>
            <w:r>
              <w:rPr>
                <w:kern w:val="0"/>
                <w:sz w:val="21"/>
                <w:szCs w:val="21"/>
              </w:rPr>
              <w:t>20160728</w:t>
            </w:r>
            <w:r>
              <w:rPr>
                <w:rFonts w:hint="eastAsia" w:hAnsi="宋体"/>
                <w:kern w:val="0"/>
                <w:sz w:val="21"/>
                <w:szCs w:val="21"/>
              </w:rPr>
              <w:t>中午　</w:t>
            </w:r>
          </w:p>
        </w:tc>
        <w:tc>
          <w:tcPr>
            <w:tcW w:w="1823" w:type="dxa"/>
            <w:tcBorders>
              <w:top w:val="nil"/>
              <w:left w:val="nil"/>
              <w:bottom w:val="single" w:color="auto" w:sz="4" w:space="0"/>
              <w:right w:val="single" w:color="auto" w:sz="4" w:space="0"/>
            </w:tcBorders>
            <w:vAlign w:val="center"/>
          </w:tcPr>
          <w:p w14:paraId="56B81743">
            <w:pPr>
              <w:widowControl/>
              <w:spacing w:line="240" w:lineRule="auto"/>
              <w:jc w:val="center"/>
              <w:rPr>
                <w:kern w:val="0"/>
                <w:sz w:val="21"/>
                <w:szCs w:val="21"/>
              </w:rPr>
            </w:pPr>
            <w:r>
              <w:rPr>
                <w:kern w:val="0"/>
                <w:sz w:val="21"/>
                <w:szCs w:val="21"/>
              </w:rPr>
              <w:t xml:space="preserve">3.7 </w:t>
            </w:r>
          </w:p>
        </w:tc>
        <w:tc>
          <w:tcPr>
            <w:tcW w:w="1701" w:type="dxa"/>
            <w:tcBorders>
              <w:top w:val="nil"/>
              <w:left w:val="nil"/>
              <w:bottom w:val="single" w:color="auto" w:sz="4" w:space="0"/>
              <w:right w:val="single" w:color="auto" w:sz="4" w:space="0"/>
            </w:tcBorders>
            <w:vAlign w:val="center"/>
          </w:tcPr>
          <w:p w14:paraId="012C754F">
            <w:pPr>
              <w:widowControl/>
              <w:spacing w:line="240" w:lineRule="auto"/>
              <w:jc w:val="center"/>
              <w:rPr>
                <w:kern w:val="0"/>
                <w:sz w:val="21"/>
                <w:szCs w:val="21"/>
              </w:rPr>
            </w:pPr>
            <w:r>
              <w:rPr>
                <w:kern w:val="0"/>
                <w:sz w:val="21"/>
                <w:szCs w:val="21"/>
              </w:rPr>
              <w:t xml:space="preserve">2.07 </w:t>
            </w:r>
          </w:p>
        </w:tc>
        <w:tc>
          <w:tcPr>
            <w:tcW w:w="1276" w:type="dxa"/>
            <w:tcBorders>
              <w:top w:val="nil"/>
              <w:left w:val="nil"/>
              <w:bottom w:val="single" w:color="auto" w:sz="4" w:space="0"/>
              <w:right w:val="single" w:color="auto" w:sz="4" w:space="0"/>
            </w:tcBorders>
            <w:vAlign w:val="center"/>
          </w:tcPr>
          <w:p w14:paraId="3432843C">
            <w:pPr>
              <w:widowControl/>
              <w:spacing w:line="240" w:lineRule="auto"/>
              <w:jc w:val="center"/>
              <w:rPr>
                <w:kern w:val="0"/>
                <w:sz w:val="21"/>
                <w:szCs w:val="21"/>
              </w:rPr>
            </w:pPr>
            <w:r>
              <w:rPr>
                <w:kern w:val="0"/>
                <w:sz w:val="21"/>
                <w:szCs w:val="21"/>
              </w:rPr>
              <w:t xml:space="preserve">1.8 </w:t>
            </w:r>
          </w:p>
        </w:tc>
        <w:tc>
          <w:tcPr>
            <w:tcW w:w="1134" w:type="dxa"/>
            <w:vMerge w:val="continue"/>
            <w:tcBorders>
              <w:top w:val="nil"/>
              <w:left w:val="single" w:color="auto" w:sz="4" w:space="0"/>
              <w:bottom w:val="single" w:color="000000" w:sz="4" w:space="0"/>
              <w:right w:val="single" w:color="auto" w:sz="4" w:space="0"/>
            </w:tcBorders>
            <w:vAlign w:val="center"/>
          </w:tcPr>
          <w:p w14:paraId="518839CF">
            <w:pPr>
              <w:widowControl/>
              <w:spacing w:line="240" w:lineRule="auto"/>
              <w:jc w:val="left"/>
              <w:rPr>
                <w:color w:val="000000"/>
                <w:kern w:val="0"/>
                <w:sz w:val="21"/>
                <w:szCs w:val="21"/>
              </w:rPr>
            </w:pPr>
          </w:p>
        </w:tc>
      </w:tr>
      <w:tr w14:paraId="44880285">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nil"/>
              <w:right w:val="single" w:color="auto" w:sz="4" w:space="0"/>
            </w:tcBorders>
            <w:vAlign w:val="center"/>
          </w:tcPr>
          <w:p w14:paraId="7F8AD6DC">
            <w:pPr>
              <w:widowControl/>
              <w:spacing w:line="240" w:lineRule="auto"/>
              <w:jc w:val="center"/>
              <w:rPr>
                <w:kern w:val="0"/>
                <w:sz w:val="21"/>
                <w:szCs w:val="21"/>
              </w:rPr>
            </w:pPr>
            <w:r>
              <w:rPr>
                <w:kern w:val="0"/>
                <w:sz w:val="21"/>
                <w:szCs w:val="21"/>
              </w:rPr>
              <w:t>40</w:t>
            </w:r>
          </w:p>
        </w:tc>
        <w:tc>
          <w:tcPr>
            <w:tcW w:w="1580" w:type="dxa"/>
            <w:tcBorders>
              <w:top w:val="nil"/>
              <w:left w:val="nil"/>
              <w:bottom w:val="nil"/>
              <w:right w:val="single" w:color="auto" w:sz="4" w:space="0"/>
            </w:tcBorders>
            <w:vAlign w:val="center"/>
          </w:tcPr>
          <w:p w14:paraId="5AF020B5">
            <w:pPr>
              <w:widowControl/>
              <w:spacing w:line="240" w:lineRule="auto"/>
              <w:jc w:val="left"/>
              <w:rPr>
                <w:kern w:val="0"/>
                <w:sz w:val="21"/>
                <w:szCs w:val="21"/>
              </w:rPr>
            </w:pPr>
            <w:r>
              <w:rPr>
                <w:kern w:val="0"/>
                <w:sz w:val="21"/>
                <w:szCs w:val="21"/>
              </w:rPr>
              <w:t>20160728</w:t>
            </w:r>
            <w:r>
              <w:rPr>
                <w:rFonts w:hint="eastAsia" w:hAnsi="宋体"/>
                <w:kern w:val="0"/>
                <w:sz w:val="21"/>
                <w:szCs w:val="21"/>
              </w:rPr>
              <w:t>晚上</w:t>
            </w:r>
          </w:p>
        </w:tc>
        <w:tc>
          <w:tcPr>
            <w:tcW w:w="1823" w:type="dxa"/>
            <w:tcBorders>
              <w:top w:val="nil"/>
              <w:left w:val="nil"/>
              <w:bottom w:val="single" w:color="auto" w:sz="4" w:space="0"/>
              <w:right w:val="single" w:color="auto" w:sz="4" w:space="0"/>
            </w:tcBorders>
            <w:vAlign w:val="center"/>
          </w:tcPr>
          <w:p w14:paraId="48198727">
            <w:pPr>
              <w:widowControl/>
              <w:spacing w:line="240" w:lineRule="auto"/>
              <w:jc w:val="center"/>
              <w:rPr>
                <w:kern w:val="0"/>
                <w:sz w:val="21"/>
                <w:szCs w:val="21"/>
              </w:rPr>
            </w:pPr>
            <w:r>
              <w:rPr>
                <w:kern w:val="0"/>
                <w:sz w:val="21"/>
                <w:szCs w:val="21"/>
              </w:rPr>
              <w:t xml:space="preserve">2.0 </w:t>
            </w:r>
          </w:p>
        </w:tc>
        <w:tc>
          <w:tcPr>
            <w:tcW w:w="1701" w:type="dxa"/>
            <w:tcBorders>
              <w:top w:val="nil"/>
              <w:left w:val="nil"/>
              <w:bottom w:val="single" w:color="auto" w:sz="4" w:space="0"/>
              <w:right w:val="single" w:color="auto" w:sz="4" w:space="0"/>
            </w:tcBorders>
            <w:vAlign w:val="center"/>
          </w:tcPr>
          <w:p w14:paraId="37619639">
            <w:pPr>
              <w:widowControl/>
              <w:spacing w:line="240" w:lineRule="auto"/>
              <w:jc w:val="center"/>
              <w:rPr>
                <w:kern w:val="0"/>
                <w:sz w:val="21"/>
                <w:szCs w:val="21"/>
              </w:rPr>
            </w:pPr>
            <w:r>
              <w:rPr>
                <w:kern w:val="0"/>
                <w:sz w:val="21"/>
                <w:szCs w:val="21"/>
              </w:rPr>
              <w:t xml:space="preserve">1.30 </w:t>
            </w:r>
          </w:p>
        </w:tc>
        <w:tc>
          <w:tcPr>
            <w:tcW w:w="1276" w:type="dxa"/>
            <w:tcBorders>
              <w:top w:val="nil"/>
              <w:left w:val="nil"/>
              <w:bottom w:val="single" w:color="auto" w:sz="4" w:space="0"/>
              <w:right w:val="single" w:color="auto" w:sz="4" w:space="0"/>
            </w:tcBorders>
            <w:vAlign w:val="center"/>
          </w:tcPr>
          <w:p w14:paraId="70E8DAA8">
            <w:pPr>
              <w:widowControl/>
              <w:spacing w:line="240" w:lineRule="auto"/>
              <w:jc w:val="center"/>
              <w:rPr>
                <w:kern w:val="0"/>
                <w:sz w:val="21"/>
                <w:szCs w:val="21"/>
              </w:rPr>
            </w:pPr>
            <w:r>
              <w:rPr>
                <w:kern w:val="0"/>
                <w:sz w:val="21"/>
                <w:szCs w:val="21"/>
              </w:rPr>
              <w:t xml:space="preserve">1.5 </w:t>
            </w:r>
          </w:p>
        </w:tc>
        <w:tc>
          <w:tcPr>
            <w:tcW w:w="1134" w:type="dxa"/>
            <w:vMerge w:val="continue"/>
            <w:tcBorders>
              <w:top w:val="nil"/>
              <w:left w:val="single" w:color="auto" w:sz="4" w:space="0"/>
              <w:bottom w:val="single" w:color="000000" w:sz="4" w:space="0"/>
              <w:right w:val="single" w:color="auto" w:sz="4" w:space="0"/>
            </w:tcBorders>
            <w:vAlign w:val="center"/>
          </w:tcPr>
          <w:p w14:paraId="23ABB480">
            <w:pPr>
              <w:widowControl/>
              <w:spacing w:line="240" w:lineRule="auto"/>
              <w:jc w:val="left"/>
              <w:rPr>
                <w:color w:val="000000"/>
                <w:kern w:val="0"/>
                <w:sz w:val="21"/>
                <w:szCs w:val="21"/>
              </w:rPr>
            </w:pPr>
          </w:p>
        </w:tc>
      </w:tr>
      <w:tr w14:paraId="040292DD">
        <w:tblPrEx>
          <w:tblCellMar>
            <w:top w:w="0" w:type="dxa"/>
            <w:left w:w="108" w:type="dxa"/>
            <w:bottom w:w="0" w:type="dxa"/>
            <w:right w:w="108" w:type="dxa"/>
          </w:tblCellMar>
        </w:tblPrEx>
        <w:trPr>
          <w:trHeight w:val="20" w:hRule="atLeast"/>
        </w:trPr>
        <w:tc>
          <w:tcPr>
            <w:tcW w:w="720" w:type="dxa"/>
            <w:tcBorders>
              <w:top w:val="single" w:color="auto" w:sz="4" w:space="0"/>
              <w:left w:val="single" w:color="auto" w:sz="4" w:space="0"/>
              <w:bottom w:val="single" w:color="auto" w:sz="4" w:space="0"/>
              <w:right w:val="single" w:color="auto" w:sz="4" w:space="0"/>
            </w:tcBorders>
            <w:vAlign w:val="center"/>
          </w:tcPr>
          <w:p w14:paraId="53DA1449">
            <w:pPr>
              <w:widowControl/>
              <w:spacing w:line="240" w:lineRule="auto"/>
              <w:jc w:val="center"/>
              <w:rPr>
                <w:kern w:val="0"/>
                <w:sz w:val="21"/>
                <w:szCs w:val="21"/>
              </w:rPr>
            </w:pPr>
            <w:r>
              <w:rPr>
                <w:kern w:val="0"/>
                <w:sz w:val="21"/>
                <w:szCs w:val="21"/>
              </w:rPr>
              <w:t>41</w:t>
            </w:r>
          </w:p>
        </w:tc>
        <w:tc>
          <w:tcPr>
            <w:tcW w:w="1580" w:type="dxa"/>
            <w:tcBorders>
              <w:top w:val="single" w:color="auto" w:sz="4" w:space="0"/>
              <w:left w:val="nil"/>
              <w:bottom w:val="single" w:color="auto" w:sz="4" w:space="0"/>
              <w:right w:val="single" w:color="auto" w:sz="4" w:space="0"/>
            </w:tcBorders>
            <w:vAlign w:val="center"/>
          </w:tcPr>
          <w:p w14:paraId="098342D6">
            <w:pPr>
              <w:widowControl/>
              <w:spacing w:line="240" w:lineRule="auto"/>
              <w:jc w:val="left"/>
              <w:rPr>
                <w:kern w:val="0"/>
                <w:sz w:val="21"/>
                <w:szCs w:val="21"/>
              </w:rPr>
            </w:pPr>
            <w:r>
              <w:rPr>
                <w:kern w:val="0"/>
                <w:sz w:val="21"/>
                <w:szCs w:val="21"/>
              </w:rPr>
              <w:t>20160729</w:t>
            </w:r>
            <w:r>
              <w:rPr>
                <w:rFonts w:hint="eastAsia" w:hAnsi="宋体"/>
                <w:kern w:val="0"/>
                <w:sz w:val="21"/>
                <w:szCs w:val="21"/>
              </w:rPr>
              <w:t>中午</w:t>
            </w:r>
          </w:p>
        </w:tc>
        <w:tc>
          <w:tcPr>
            <w:tcW w:w="1823" w:type="dxa"/>
            <w:tcBorders>
              <w:top w:val="nil"/>
              <w:left w:val="nil"/>
              <w:bottom w:val="single" w:color="auto" w:sz="4" w:space="0"/>
              <w:right w:val="single" w:color="auto" w:sz="4" w:space="0"/>
            </w:tcBorders>
            <w:vAlign w:val="center"/>
          </w:tcPr>
          <w:p w14:paraId="3E14469A">
            <w:pPr>
              <w:widowControl/>
              <w:spacing w:line="240" w:lineRule="auto"/>
              <w:jc w:val="center"/>
              <w:rPr>
                <w:kern w:val="0"/>
                <w:sz w:val="21"/>
                <w:szCs w:val="21"/>
              </w:rPr>
            </w:pPr>
            <w:r>
              <w:rPr>
                <w:kern w:val="0"/>
                <w:sz w:val="21"/>
                <w:szCs w:val="21"/>
              </w:rPr>
              <w:t xml:space="preserve">2.2 </w:t>
            </w:r>
          </w:p>
        </w:tc>
        <w:tc>
          <w:tcPr>
            <w:tcW w:w="1701" w:type="dxa"/>
            <w:tcBorders>
              <w:top w:val="nil"/>
              <w:left w:val="nil"/>
              <w:bottom w:val="single" w:color="auto" w:sz="4" w:space="0"/>
              <w:right w:val="single" w:color="auto" w:sz="4" w:space="0"/>
            </w:tcBorders>
            <w:vAlign w:val="center"/>
          </w:tcPr>
          <w:p w14:paraId="7AEC2DDC">
            <w:pPr>
              <w:widowControl/>
              <w:spacing w:line="240" w:lineRule="auto"/>
              <w:jc w:val="center"/>
              <w:rPr>
                <w:kern w:val="0"/>
                <w:sz w:val="21"/>
                <w:szCs w:val="21"/>
              </w:rPr>
            </w:pPr>
            <w:r>
              <w:rPr>
                <w:kern w:val="0"/>
                <w:sz w:val="21"/>
                <w:szCs w:val="21"/>
              </w:rPr>
              <w:t xml:space="preserve">1.04 </w:t>
            </w:r>
          </w:p>
        </w:tc>
        <w:tc>
          <w:tcPr>
            <w:tcW w:w="1276" w:type="dxa"/>
            <w:tcBorders>
              <w:top w:val="nil"/>
              <w:left w:val="nil"/>
              <w:bottom w:val="single" w:color="auto" w:sz="4" w:space="0"/>
              <w:right w:val="single" w:color="auto" w:sz="4" w:space="0"/>
            </w:tcBorders>
            <w:vAlign w:val="center"/>
          </w:tcPr>
          <w:p w14:paraId="62A9D2B8">
            <w:pPr>
              <w:widowControl/>
              <w:spacing w:line="240" w:lineRule="auto"/>
              <w:jc w:val="center"/>
              <w:rPr>
                <w:kern w:val="0"/>
                <w:sz w:val="21"/>
                <w:szCs w:val="21"/>
              </w:rPr>
            </w:pPr>
            <w:r>
              <w:rPr>
                <w:kern w:val="0"/>
                <w:sz w:val="21"/>
                <w:szCs w:val="21"/>
              </w:rPr>
              <w:t xml:space="preserve">2.2 </w:t>
            </w:r>
          </w:p>
        </w:tc>
        <w:tc>
          <w:tcPr>
            <w:tcW w:w="1134" w:type="dxa"/>
            <w:tcBorders>
              <w:top w:val="nil"/>
              <w:left w:val="nil"/>
              <w:bottom w:val="single" w:color="auto" w:sz="4" w:space="0"/>
              <w:right w:val="single" w:color="auto" w:sz="4" w:space="0"/>
            </w:tcBorders>
            <w:vAlign w:val="center"/>
          </w:tcPr>
          <w:p w14:paraId="0E801C0A">
            <w:pPr>
              <w:widowControl/>
              <w:spacing w:line="240" w:lineRule="auto"/>
              <w:jc w:val="left"/>
              <w:rPr>
                <w:color w:val="000000"/>
                <w:kern w:val="0"/>
                <w:sz w:val="21"/>
                <w:szCs w:val="21"/>
              </w:rPr>
            </w:pPr>
            <w:r>
              <w:rPr>
                <w:rFonts w:hint="eastAsia" w:hAnsi="宋体"/>
                <w:color w:val="000000"/>
                <w:kern w:val="0"/>
                <w:sz w:val="21"/>
                <w:szCs w:val="21"/>
              </w:rPr>
              <w:t>西式快餐</w:t>
            </w:r>
          </w:p>
        </w:tc>
      </w:tr>
    </w:tbl>
    <w:p w14:paraId="4097B30D">
      <w:pPr>
        <w:autoSpaceDE w:val="0"/>
        <w:autoSpaceDN w:val="0"/>
        <w:adjustRightInd w:val="0"/>
        <w:ind w:firstLine="480" w:firstLineChars="200"/>
        <w:jc w:val="left"/>
        <w:rPr>
          <w:szCs w:val="24"/>
        </w:rPr>
      </w:pPr>
    </w:p>
    <w:p w14:paraId="43C07AA0">
      <w:pPr>
        <w:jc w:val="center"/>
        <w:rPr>
          <w:color w:val="000000"/>
        </w:rPr>
      </w:pPr>
      <w:r>
        <w:rPr>
          <w:color w:val="000000"/>
        </w:rPr>
        <w:pict>
          <v:shape id="_x0000_i1031" o:spt="75" type="#_x0000_t75" style="height:193.5pt;width:390pt;" filled="f" o:preferrelative="t" stroked="f" coordsize="21600,21600">
            <v:path/>
            <v:fill on="f" focussize="0,0"/>
            <v:stroke on="f" joinstyle="miter"/>
            <v:imagedata r:id="rId15" o:title=""/>
            <o:lock v:ext="edit" aspectratio="f"/>
            <w10:wrap type="none"/>
            <w10:anchorlock/>
          </v:shape>
        </w:pict>
      </w:r>
    </w:p>
    <w:p w14:paraId="22D9954B">
      <w:pPr>
        <w:jc w:val="center"/>
      </w:pPr>
      <w:r>
        <w:rPr>
          <w:rFonts w:hint="eastAsia"/>
        </w:rPr>
        <w:t>图</w:t>
      </w:r>
      <w:r>
        <w:t xml:space="preserve">5-3 </w:t>
      </w:r>
      <w:r>
        <w:rPr>
          <w:rFonts w:hint="eastAsia"/>
        </w:rPr>
        <w:t>烧烤类颗粒物和油烟测试结果</w:t>
      </w:r>
    </w:p>
    <w:p w14:paraId="18147541">
      <w:pPr>
        <w:jc w:val="center"/>
        <w:rPr>
          <w:color w:val="000000"/>
        </w:rPr>
      </w:pPr>
      <w:r>
        <w:rPr>
          <w:color w:val="000000"/>
        </w:rPr>
        <w:pict>
          <v:shape id="_x0000_i1032" o:spt="75" type="#_x0000_t75" style="height:168.75pt;width:415.5pt;" filled="f" o:preferrelative="t" stroked="f" coordsize="21600,21600">
            <v:path/>
            <v:fill on="f" focussize="0,0"/>
            <v:stroke on="f" joinstyle="miter"/>
            <v:imagedata r:id="rId16" o:title=""/>
            <o:lock v:ext="edit" aspectratio="f"/>
            <w10:wrap type="none"/>
            <w10:anchorlock/>
          </v:shape>
        </w:pict>
      </w:r>
    </w:p>
    <w:p w14:paraId="6FABFC4C">
      <w:pPr>
        <w:jc w:val="center"/>
      </w:pPr>
      <w:r>
        <w:rPr>
          <w:rFonts w:hint="eastAsia"/>
        </w:rPr>
        <w:t>图</w:t>
      </w:r>
      <w:r>
        <w:t xml:space="preserve">5-4 </w:t>
      </w:r>
      <w:r>
        <w:rPr>
          <w:rFonts w:hint="eastAsia"/>
        </w:rPr>
        <w:t>其他类型餐饮企业颗粒物和油烟的测试结果</w:t>
      </w:r>
    </w:p>
    <w:p w14:paraId="7DD7404F">
      <w:pPr>
        <w:ind w:firstLine="480" w:firstLineChars="200"/>
        <w:rPr>
          <w:color w:val="000000"/>
        </w:rPr>
      </w:pPr>
      <w:r>
        <w:rPr>
          <w:rFonts w:hint="eastAsia"/>
        </w:rPr>
        <w:t>测试结果表明：烧烤类餐饮业排放的颗粒物浓度是油烟的</w:t>
      </w:r>
      <w:r>
        <w:t>5</w:t>
      </w:r>
      <w:r>
        <w:rPr>
          <w:rFonts w:hint="eastAsia"/>
        </w:rPr>
        <w:t>倍以上，这说明仅用油烟一项控制指标，就会严重低估烧烤类餐饮企业的颗粒物排放量，原因是烧烤类餐饮业排放的烟气中油雾少，炭质等非油类物质多。其他类型餐饮企业的现场实测数据表明，颗粒物对油烟的比值则主要集中在</w:t>
      </w:r>
      <w:r>
        <w:t>2-5</w:t>
      </w:r>
      <w:r>
        <w:rPr>
          <w:rFonts w:hint="eastAsia"/>
        </w:rPr>
        <w:t>之间，颗粒物排放浓度均高于国标法油烟浓度。</w:t>
      </w:r>
    </w:p>
    <w:p w14:paraId="2A2973A3">
      <w:pPr>
        <w:ind w:firstLine="482" w:firstLineChars="200"/>
      </w:pPr>
      <w:r>
        <w:rPr>
          <w:rFonts w:hint="eastAsia"/>
          <w:b/>
          <w:color w:val="000000"/>
        </w:rPr>
        <w:t>（</w:t>
      </w:r>
      <w:r>
        <w:rPr>
          <w:b/>
          <w:color w:val="000000"/>
        </w:rPr>
        <w:t>1</w:t>
      </w:r>
      <w:r>
        <w:rPr>
          <w:rFonts w:hint="eastAsia"/>
          <w:b/>
          <w:color w:val="000000"/>
        </w:rPr>
        <w:t>）增加颗粒物控制指标</w:t>
      </w:r>
      <w:r>
        <w:rPr>
          <w:rFonts w:hint="eastAsia"/>
          <w:color w:val="000000"/>
        </w:rPr>
        <w:t>。为加强餐饮业排放大气污染的控制，使本标准规定的特征污染物更具有科学性、代表性，</w:t>
      </w:r>
      <w:r>
        <w:rPr>
          <w:rFonts w:hint="eastAsia"/>
        </w:rPr>
        <w:t>因此，本标准增加颗粒物作为新的排放控制指标，并采用手工称重法测定颗粒物的质量浓度，测定方法标准（已进入送审阶段）将与同步发布实施。</w:t>
      </w:r>
    </w:p>
    <w:p w14:paraId="567F8EA4">
      <w:pPr>
        <w:ind w:firstLine="482" w:firstLineChars="200"/>
      </w:pPr>
      <w:r>
        <w:rPr>
          <w:rFonts w:hint="eastAsia"/>
          <w:b/>
          <w:color w:val="000000"/>
        </w:rPr>
        <w:t>（</w:t>
      </w:r>
      <w:r>
        <w:rPr>
          <w:b/>
          <w:color w:val="000000"/>
        </w:rPr>
        <w:t>1</w:t>
      </w:r>
      <w:r>
        <w:rPr>
          <w:rFonts w:hint="eastAsia"/>
          <w:b/>
          <w:color w:val="000000"/>
        </w:rPr>
        <w:t>）增加非甲烷总烃控制指标</w:t>
      </w:r>
      <w:r>
        <w:rPr>
          <w:rFonts w:hint="eastAsia"/>
          <w:color w:val="000000"/>
        </w:rPr>
        <w:t>。</w:t>
      </w:r>
      <w:r>
        <w:rPr>
          <w:rFonts w:hint="eastAsia"/>
        </w:rPr>
        <w:t>基于公益专项研究成果，通过现场实测证实，餐饮服务单位在进行烹饪操作时，油脂和碳水化合物等会氧化裂解产生一定量的挥发性有机物，挥发性有机物作为光化学烟雾和</w:t>
      </w:r>
      <w:r>
        <w:t>PM</w:t>
      </w:r>
      <w:r>
        <w:rPr>
          <w:vertAlign w:val="subscript"/>
        </w:rPr>
        <w:t>2.5</w:t>
      </w:r>
      <w:r>
        <w:rPr>
          <w:rFonts w:hint="eastAsia"/>
        </w:rPr>
        <w:t>的前体物之一，对大气环境存在一定的污染，对周边居民居住环境的污染较大，相关投诉较多，因此本标准增加了挥发性有机物作为控制指标之一。</w:t>
      </w:r>
    </w:p>
    <w:p w14:paraId="5972EABB">
      <w:pPr>
        <w:pStyle w:val="3"/>
        <w:numPr>
          <w:numberingChange w:id="24" w:author="刘海英" w:date="2017-09-08T15:13:00Z" w:original="%1:5:0:.%2:8:0:"/>
        </w:numPr>
        <w:spacing w:after="163"/>
      </w:pPr>
      <w:bookmarkStart w:id="36" w:name="_Toc492569883"/>
      <w:r>
        <w:rPr>
          <w:rFonts w:hint="eastAsia"/>
        </w:rPr>
        <w:t>污染物排放限值</w:t>
      </w:r>
      <w:bookmarkEnd w:id="36"/>
    </w:p>
    <w:p w14:paraId="22F1297E">
      <w:pPr>
        <w:ind w:firstLine="480" w:firstLineChars="200"/>
      </w:pPr>
      <w:r>
        <w:rPr>
          <w:rFonts w:hint="eastAsia"/>
        </w:rPr>
        <w:t>污染物排放限值的确定充分考虑了行业的实际排放现状，以国内外先进的污染控制技术为依据，结合国家环境管理和产业政策发展方向，设定严格的排放控制要求，削减餐饮业大气污染物的排放，促进餐饮业大气污染物防治技术的升级和优化。</w:t>
      </w:r>
    </w:p>
    <w:p w14:paraId="60308EFE">
      <w:pPr>
        <w:ind w:firstLine="480" w:firstLineChars="200"/>
      </w:pPr>
      <w:r>
        <w:rPr>
          <w:rFonts w:hint="eastAsia"/>
        </w:rPr>
        <w:t>本标准餐饮油烟的最高允许排放浓度与</w:t>
      </w:r>
      <w:r>
        <w:t>GB18483-2001</w:t>
      </w:r>
      <w:r>
        <w:rPr>
          <w:rFonts w:hint="eastAsia"/>
        </w:rPr>
        <w:t>的比对见表</w:t>
      </w:r>
      <w:r>
        <w:t>5-3.</w:t>
      </w:r>
      <w:r>
        <w:rPr>
          <w:rFonts w:hint="eastAsia"/>
        </w:rPr>
        <w:t>本标准油烟最高允许排放浓度为</w:t>
      </w:r>
      <w:r>
        <w:t>1.0mg/m</w:t>
      </w:r>
      <w:r>
        <w:rPr>
          <w:vertAlign w:val="superscript"/>
        </w:rPr>
        <w:t>3</w:t>
      </w:r>
      <w:r>
        <w:rPr>
          <w:rFonts w:hint="eastAsia"/>
        </w:rPr>
        <w:t>，为</w:t>
      </w:r>
      <w:r>
        <w:t>GB18483-2001</w:t>
      </w:r>
      <w:r>
        <w:rPr>
          <w:rFonts w:hint="eastAsia"/>
        </w:rPr>
        <w:t>的</w:t>
      </w:r>
      <w:r>
        <w:t>2.0mg/m</w:t>
      </w:r>
      <w:r>
        <w:rPr>
          <w:vertAlign w:val="superscript"/>
        </w:rPr>
        <w:t>3</w:t>
      </w:r>
      <w:r>
        <w:rPr>
          <w:rFonts w:hint="eastAsia"/>
        </w:rPr>
        <w:t>的</w:t>
      </w:r>
      <w:r>
        <w:t>50%</w:t>
      </w:r>
      <w:r>
        <w:rPr>
          <w:rFonts w:hint="eastAsia"/>
        </w:rPr>
        <w:t>。</w:t>
      </w:r>
    </w:p>
    <w:p w14:paraId="52B9A6BC">
      <w:pPr>
        <w:ind w:firstLine="480" w:firstLineChars="200"/>
        <w:jc w:val="center"/>
      </w:pPr>
      <w:r>
        <w:rPr>
          <w:rFonts w:hint="eastAsia"/>
        </w:rPr>
        <w:t>表</w:t>
      </w:r>
      <w:r>
        <w:t xml:space="preserve">5-3 </w:t>
      </w:r>
      <w:r>
        <w:rPr>
          <w:rFonts w:hint="eastAsia"/>
        </w:rPr>
        <w:t>本标准油烟最高允许排放浓度</w:t>
      </w:r>
    </w:p>
    <w:tbl>
      <w:tblPr>
        <w:tblStyle w:val="1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410"/>
        <w:gridCol w:w="2460"/>
      </w:tblGrid>
      <w:tr w14:paraId="6092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7B743C7C">
            <w:pPr>
              <w:jc w:val="center"/>
            </w:pPr>
            <w:r>
              <w:rPr>
                <w:rFonts w:hint="eastAsia"/>
              </w:rPr>
              <w:t>排放标准</w:t>
            </w:r>
          </w:p>
        </w:tc>
        <w:tc>
          <w:tcPr>
            <w:tcW w:w="2410" w:type="dxa"/>
          </w:tcPr>
          <w:p w14:paraId="7428E07A">
            <w:pPr>
              <w:jc w:val="center"/>
            </w:pPr>
            <w:r>
              <w:rPr>
                <w:rFonts w:hint="eastAsia"/>
              </w:rPr>
              <w:t>本标准</w:t>
            </w:r>
          </w:p>
        </w:tc>
        <w:tc>
          <w:tcPr>
            <w:tcW w:w="2460" w:type="dxa"/>
          </w:tcPr>
          <w:p w14:paraId="1D641AAA">
            <w:pPr>
              <w:jc w:val="center"/>
            </w:pPr>
            <w:r>
              <w:t>GB18483-2001</w:t>
            </w:r>
          </w:p>
        </w:tc>
      </w:tr>
      <w:tr w14:paraId="4BAF7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2" w:type="dxa"/>
          </w:tcPr>
          <w:p w14:paraId="2A5DCBBC">
            <w:r>
              <w:rPr>
                <w:rFonts w:hint="eastAsia"/>
              </w:rPr>
              <w:t>油烟最高允许排放浓度（</w:t>
            </w:r>
            <w:r>
              <w:t>mg/m</w:t>
            </w:r>
            <w:r>
              <w:rPr>
                <w:vertAlign w:val="superscript"/>
              </w:rPr>
              <w:t>3</w:t>
            </w:r>
            <w:r>
              <w:rPr>
                <w:rFonts w:hint="eastAsia"/>
              </w:rPr>
              <w:t>）</w:t>
            </w:r>
          </w:p>
        </w:tc>
        <w:tc>
          <w:tcPr>
            <w:tcW w:w="2410" w:type="dxa"/>
          </w:tcPr>
          <w:p w14:paraId="4B82DBC0">
            <w:pPr>
              <w:jc w:val="center"/>
            </w:pPr>
            <w:r>
              <w:t>1.0</w:t>
            </w:r>
          </w:p>
        </w:tc>
        <w:tc>
          <w:tcPr>
            <w:tcW w:w="2460" w:type="dxa"/>
          </w:tcPr>
          <w:p w14:paraId="56B70746">
            <w:pPr>
              <w:jc w:val="center"/>
            </w:pPr>
            <w:r>
              <w:t>2.0</w:t>
            </w:r>
          </w:p>
        </w:tc>
      </w:tr>
    </w:tbl>
    <w:p w14:paraId="73E1DC03"/>
    <w:p w14:paraId="3ADBE6C7">
      <w:pPr>
        <w:ind w:firstLine="480" w:firstLineChars="200"/>
      </w:pPr>
      <w:r>
        <w:rPr>
          <w:rFonts w:hint="eastAsia"/>
        </w:rPr>
        <w:t>由上节</w:t>
      </w:r>
      <w:r>
        <w:t>4.7</w:t>
      </w:r>
      <w:r>
        <w:rPr>
          <w:rFonts w:hint="eastAsia"/>
        </w:rPr>
        <w:t>可知，本标准新增了采用重量法测定的颗粒物和非甲烷总烃指标，本标准颗粒物最高允许排放浓度见表</w:t>
      </w:r>
      <w:r>
        <w:t>5-4</w:t>
      </w:r>
      <w:r>
        <w:rPr>
          <w:rFonts w:hint="eastAsia"/>
        </w:rPr>
        <w:t>。本标准颗粒物最高允许排放浓度分两个时段分别执行，第Ⅰ时段颗粒物最高允许排放浓度为</w:t>
      </w:r>
      <w:r>
        <w:t>5.0</w:t>
      </w:r>
      <w:r>
        <w:rPr>
          <w:kern w:val="0"/>
          <w:szCs w:val="20"/>
        </w:rPr>
        <w:t xml:space="preserve"> mg/m</w:t>
      </w:r>
      <w:r>
        <w:rPr>
          <w:kern w:val="0"/>
          <w:szCs w:val="20"/>
          <w:vertAlign w:val="superscript"/>
        </w:rPr>
        <w:t>3</w:t>
      </w:r>
      <w:r>
        <w:rPr>
          <w:rFonts w:hint="eastAsia"/>
          <w:kern w:val="0"/>
          <w:szCs w:val="20"/>
        </w:rPr>
        <w:t>；</w:t>
      </w:r>
      <w:r>
        <w:rPr>
          <w:rFonts w:hint="eastAsia"/>
        </w:rPr>
        <w:t>第</w:t>
      </w:r>
      <w:r>
        <w:rPr>
          <w:rFonts w:hint="eastAsia" w:ascii="宋体" w:hAnsi="宋体" w:cs="宋体"/>
          <w:kern w:val="0"/>
          <w:szCs w:val="20"/>
        </w:rPr>
        <w:t>Ⅱ</w:t>
      </w:r>
      <w:r>
        <w:rPr>
          <w:rFonts w:hint="eastAsia"/>
        </w:rPr>
        <w:t>时段颗粒物最高允许排放浓度为</w:t>
      </w:r>
      <w:r>
        <w:t>4.0</w:t>
      </w:r>
      <w:r>
        <w:rPr>
          <w:kern w:val="0"/>
          <w:szCs w:val="20"/>
        </w:rPr>
        <w:t xml:space="preserve"> mg/m</w:t>
      </w:r>
      <w:r>
        <w:rPr>
          <w:kern w:val="0"/>
          <w:szCs w:val="20"/>
          <w:vertAlign w:val="superscript"/>
        </w:rPr>
        <w:t>3</w:t>
      </w:r>
      <w:r>
        <w:rPr>
          <w:rFonts w:hint="eastAsia"/>
          <w:kern w:val="0"/>
          <w:szCs w:val="20"/>
        </w:rPr>
        <w:t>，</w:t>
      </w:r>
      <w:r>
        <w:rPr>
          <w:rFonts w:hint="eastAsia" w:ascii="宋体"/>
          <w:kern w:val="0"/>
          <w:szCs w:val="20"/>
        </w:rPr>
        <w:t>比第</w:t>
      </w:r>
      <w:r>
        <w:rPr>
          <w:rFonts w:hint="eastAsia"/>
        </w:rPr>
        <w:t>Ⅰ</w:t>
      </w:r>
      <w:r>
        <w:rPr>
          <w:rFonts w:hint="eastAsia" w:ascii="宋体"/>
          <w:kern w:val="0"/>
          <w:szCs w:val="20"/>
        </w:rPr>
        <w:t>时段限值再降低</w:t>
      </w:r>
      <w:r>
        <w:rPr>
          <w:rFonts w:ascii="宋体"/>
          <w:kern w:val="0"/>
          <w:szCs w:val="20"/>
        </w:rPr>
        <w:t>20%</w:t>
      </w:r>
      <w:r>
        <w:rPr>
          <w:rFonts w:hint="eastAsia" w:ascii="宋体"/>
          <w:kern w:val="0"/>
          <w:szCs w:val="20"/>
        </w:rPr>
        <w:t>。</w:t>
      </w:r>
    </w:p>
    <w:p w14:paraId="3AAB200C">
      <w:pPr>
        <w:jc w:val="center"/>
      </w:pPr>
      <w:r>
        <w:rPr>
          <w:rFonts w:hint="eastAsia"/>
          <w:kern w:val="0"/>
        </w:rPr>
        <w:t>表</w:t>
      </w:r>
      <w:r>
        <w:rPr>
          <w:kern w:val="0"/>
        </w:rPr>
        <w:t xml:space="preserve">5-4 </w:t>
      </w:r>
      <w:r>
        <w:rPr>
          <w:rFonts w:hint="eastAsia"/>
          <w:kern w:val="0"/>
        </w:rPr>
        <w:t>本标准颗粒物的最高允许排放浓度（</w:t>
      </w:r>
      <w:r>
        <w:rPr>
          <w:kern w:val="0"/>
        </w:rPr>
        <w:t>mg/m</w:t>
      </w:r>
      <w:r>
        <w:rPr>
          <w:kern w:val="0"/>
          <w:vertAlign w:val="superscript"/>
        </w:rPr>
        <w:t>3</w:t>
      </w:r>
      <w:r>
        <w:rPr>
          <w:rFonts w:hint="eastAsia"/>
          <w:kern w:val="0"/>
        </w:rPr>
        <w:t>）</w:t>
      </w:r>
    </w:p>
    <w:tbl>
      <w:tblPr>
        <w:tblStyle w:val="18"/>
        <w:tblW w:w="7828"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2977"/>
        <w:gridCol w:w="3402"/>
      </w:tblGrid>
      <w:tr w14:paraId="05701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Pr>
          <w:p w14:paraId="17036718">
            <w:pPr>
              <w:pStyle w:val="32"/>
              <w:ind w:firstLine="0" w:firstLineChars="0"/>
              <w:rPr>
                <w:b/>
                <w:kern w:val="0"/>
                <w:sz w:val="21"/>
                <w:szCs w:val="21"/>
              </w:rPr>
            </w:pPr>
            <w:r>
              <w:rPr>
                <w:rFonts w:hint="eastAsia"/>
                <w:b/>
                <w:kern w:val="0"/>
                <w:sz w:val="21"/>
                <w:szCs w:val="21"/>
              </w:rPr>
              <w:t>污染物</w:t>
            </w:r>
          </w:p>
        </w:tc>
        <w:tc>
          <w:tcPr>
            <w:tcW w:w="2977" w:type="dxa"/>
          </w:tcPr>
          <w:p w14:paraId="54A22A1F">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Ⅰ</w:t>
            </w:r>
            <w:r>
              <w:rPr>
                <w:rFonts w:hint="eastAsia"/>
                <w:b/>
                <w:kern w:val="0"/>
                <w:sz w:val="21"/>
                <w:szCs w:val="21"/>
              </w:rPr>
              <w:t>时段</w:t>
            </w:r>
          </w:p>
        </w:tc>
        <w:tc>
          <w:tcPr>
            <w:tcW w:w="3402" w:type="dxa"/>
          </w:tcPr>
          <w:p w14:paraId="06C80354">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Ⅱ</w:t>
            </w:r>
            <w:r>
              <w:rPr>
                <w:rFonts w:hint="eastAsia"/>
                <w:b/>
                <w:kern w:val="0"/>
                <w:sz w:val="21"/>
                <w:szCs w:val="21"/>
              </w:rPr>
              <w:t>时段</w:t>
            </w:r>
          </w:p>
        </w:tc>
      </w:tr>
      <w:tr w14:paraId="290FC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Pr>
          <w:p w14:paraId="16571E9A">
            <w:pPr>
              <w:pStyle w:val="32"/>
              <w:ind w:firstLine="0" w:firstLineChars="0"/>
              <w:rPr>
                <w:kern w:val="0"/>
                <w:sz w:val="21"/>
                <w:szCs w:val="21"/>
              </w:rPr>
            </w:pPr>
            <w:r>
              <w:rPr>
                <w:rFonts w:hint="eastAsia"/>
                <w:kern w:val="0"/>
                <w:sz w:val="21"/>
                <w:szCs w:val="21"/>
              </w:rPr>
              <w:t>颗粒物</w:t>
            </w:r>
          </w:p>
        </w:tc>
        <w:tc>
          <w:tcPr>
            <w:tcW w:w="2977" w:type="dxa"/>
          </w:tcPr>
          <w:p w14:paraId="025E2EF7">
            <w:pPr>
              <w:pStyle w:val="32"/>
              <w:ind w:firstLine="0" w:firstLineChars="0"/>
              <w:jc w:val="center"/>
              <w:rPr>
                <w:kern w:val="0"/>
                <w:sz w:val="21"/>
                <w:szCs w:val="21"/>
              </w:rPr>
            </w:pPr>
            <w:r>
              <w:rPr>
                <w:kern w:val="0"/>
                <w:sz w:val="21"/>
                <w:szCs w:val="21"/>
              </w:rPr>
              <w:t>5.0</w:t>
            </w:r>
          </w:p>
        </w:tc>
        <w:tc>
          <w:tcPr>
            <w:tcW w:w="3402" w:type="dxa"/>
          </w:tcPr>
          <w:p w14:paraId="033C9F65">
            <w:pPr>
              <w:pStyle w:val="32"/>
              <w:ind w:firstLine="0" w:firstLineChars="0"/>
              <w:jc w:val="center"/>
              <w:rPr>
                <w:kern w:val="0"/>
                <w:sz w:val="21"/>
                <w:szCs w:val="21"/>
              </w:rPr>
            </w:pPr>
            <w:r>
              <w:rPr>
                <w:kern w:val="0"/>
                <w:sz w:val="21"/>
                <w:szCs w:val="21"/>
              </w:rPr>
              <w:t>4.0</w:t>
            </w:r>
          </w:p>
        </w:tc>
      </w:tr>
    </w:tbl>
    <w:p w14:paraId="0040EB35">
      <w:pPr>
        <w:ind w:firstLine="480" w:firstLineChars="200"/>
      </w:pPr>
      <w:r>
        <w:rPr>
          <w:rFonts w:hint="eastAsia"/>
        </w:rPr>
        <w:t>本标准</w:t>
      </w:r>
      <w:r>
        <w:t>NMHC</w:t>
      </w:r>
      <w:r>
        <w:rPr>
          <w:rFonts w:hint="eastAsia"/>
        </w:rPr>
        <w:t>的最高允许排放浓度见表</w:t>
      </w:r>
      <w:r>
        <w:t>5-5</w:t>
      </w:r>
      <w:r>
        <w:rPr>
          <w:rFonts w:hint="eastAsia"/>
        </w:rPr>
        <w:t>。本标准非甲烷总烃的最高允许排放浓度分两个时段分别执行。第Ⅰ时段与现行国标接轨，对非甲烷总烃的排放浓度不做规定，给净化设施生产企业和餐饮企业技术研发、升级改造时间；第Ⅱ时段非甲烷总烃的排放浓度为</w:t>
      </w:r>
      <w:r>
        <w:t>10.0 mg/m</w:t>
      </w:r>
      <w:r>
        <w:rPr>
          <w:vertAlign w:val="superscript"/>
        </w:rPr>
        <w:t>3</w:t>
      </w:r>
      <w:r>
        <w:rPr>
          <w:rFonts w:hint="eastAsia"/>
        </w:rPr>
        <w:t>。</w:t>
      </w:r>
    </w:p>
    <w:p w14:paraId="15AAAC9B">
      <w:pPr>
        <w:jc w:val="center"/>
      </w:pPr>
      <w:r>
        <w:rPr>
          <w:rFonts w:hint="eastAsia"/>
          <w:kern w:val="0"/>
        </w:rPr>
        <w:t>表</w:t>
      </w:r>
      <w:r>
        <w:rPr>
          <w:kern w:val="0"/>
        </w:rPr>
        <w:t xml:space="preserve">5-5 </w:t>
      </w:r>
      <w:r>
        <w:rPr>
          <w:rFonts w:hint="eastAsia"/>
          <w:kern w:val="0"/>
        </w:rPr>
        <w:t>本标准非甲烷总烃的最高允许排放浓度（</w:t>
      </w:r>
      <w:r>
        <w:rPr>
          <w:kern w:val="0"/>
        </w:rPr>
        <w:t>mg/m</w:t>
      </w:r>
      <w:r>
        <w:rPr>
          <w:kern w:val="0"/>
          <w:vertAlign w:val="superscript"/>
        </w:rPr>
        <w:t>3</w:t>
      </w:r>
      <w:r>
        <w:rPr>
          <w:rFonts w:hint="eastAsia"/>
          <w:kern w:val="0"/>
        </w:rPr>
        <w:t>）</w:t>
      </w:r>
    </w:p>
    <w:tbl>
      <w:tblPr>
        <w:tblStyle w:val="18"/>
        <w:tblW w:w="7828"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2977"/>
        <w:gridCol w:w="3402"/>
      </w:tblGrid>
      <w:tr w14:paraId="2BE3A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Pr>
          <w:p w14:paraId="63C000FE">
            <w:pPr>
              <w:pStyle w:val="32"/>
              <w:ind w:firstLine="0" w:firstLineChars="0"/>
              <w:rPr>
                <w:b/>
                <w:kern w:val="0"/>
                <w:sz w:val="21"/>
                <w:szCs w:val="21"/>
              </w:rPr>
            </w:pPr>
            <w:r>
              <w:rPr>
                <w:rFonts w:hint="eastAsia"/>
                <w:b/>
                <w:kern w:val="0"/>
                <w:sz w:val="21"/>
                <w:szCs w:val="21"/>
              </w:rPr>
              <w:t>污染物</w:t>
            </w:r>
          </w:p>
        </w:tc>
        <w:tc>
          <w:tcPr>
            <w:tcW w:w="2977" w:type="dxa"/>
          </w:tcPr>
          <w:p w14:paraId="08070B55">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Ⅰ</w:t>
            </w:r>
            <w:r>
              <w:rPr>
                <w:rFonts w:hint="eastAsia"/>
                <w:b/>
                <w:kern w:val="0"/>
                <w:sz w:val="21"/>
                <w:szCs w:val="21"/>
              </w:rPr>
              <w:t>时段</w:t>
            </w:r>
          </w:p>
        </w:tc>
        <w:tc>
          <w:tcPr>
            <w:tcW w:w="3402" w:type="dxa"/>
          </w:tcPr>
          <w:p w14:paraId="0CCED6CB">
            <w:pPr>
              <w:pStyle w:val="32"/>
              <w:ind w:firstLine="0" w:firstLineChars="0"/>
              <w:jc w:val="center"/>
              <w:rPr>
                <w:b/>
                <w:kern w:val="0"/>
                <w:sz w:val="21"/>
                <w:szCs w:val="21"/>
              </w:rPr>
            </w:pPr>
            <w:r>
              <w:rPr>
                <w:rFonts w:hint="eastAsia"/>
                <w:b/>
                <w:kern w:val="0"/>
                <w:sz w:val="21"/>
                <w:szCs w:val="21"/>
              </w:rPr>
              <w:t>第</w:t>
            </w:r>
            <w:r>
              <w:rPr>
                <w:rFonts w:hint="eastAsia" w:ascii="宋体" w:hAnsi="宋体" w:cs="宋体"/>
                <w:b/>
                <w:kern w:val="0"/>
                <w:sz w:val="21"/>
                <w:szCs w:val="21"/>
              </w:rPr>
              <w:t>Ⅱ</w:t>
            </w:r>
            <w:r>
              <w:rPr>
                <w:rFonts w:hint="eastAsia"/>
                <w:b/>
                <w:kern w:val="0"/>
                <w:sz w:val="21"/>
                <w:szCs w:val="21"/>
              </w:rPr>
              <w:t>时段</w:t>
            </w:r>
          </w:p>
        </w:tc>
      </w:tr>
      <w:tr w14:paraId="16D93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49" w:type="dxa"/>
          </w:tcPr>
          <w:p w14:paraId="13000DC5">
            <w:pPr>
              <w:pStyle w:val="32"/>
              <w:ind w:firstLine="0" w:firstLineChars="0"/>
              <w:rPr>
                <w:kern w:val="0"/>
                <w:sz w:val="21"/>
                <w:szCs w:val="21"/>
              </w:rPr>
            </w:pPr>
            <w:r>
              <w:rPr>
                <w:rFonts w:hint="eastAsia"/>
                <w:kern w:val="0"/>
                <w:sz w:val="21"/>
                <w:szCs w:val="21"/>
              </w:rPr>
              <w:t>非甲烷总烃</w:t>
            </w:r>
          </w:p>
        </w:tc>
        <w:tc>
          <w:tcPr>
            <w:tcW w:w="2977" w:type="dxa"/>
          </w:tcPr>
          <w:p w14:paraId="0CC67848">
            <w:pPr>
              <w:pStyle w:val="32"/>
              <w:ind w:firstLine="0" w:firstLineChars="0"/>
              <w:jc w:val="center"/>
              <w:rPr>
                <w:kern w:val="0"/>
                <w:sz w:val="21"/>
                <w:szCs w:val="21"/>
              </w:rPr>
            </w:pPr>
            <w:r>
              <w:rPr>
                <w:kern w:val="0"/>
                <w:sz w:val="21"/>
                <w:szCs w:val="21"/>
              </w:rPr>
              <w:t>-</w:t>
            </w:r>
          </w:p>
        </w:tc>
        <w:tc>
          <w:tcPr>
            <w:tcW w:w="3402" w:type="dxa"/>
          </w:tcPr>
          <w:p w14:paraId="4C3CAE57">
            <w:pPr>
              <w:pStyle w:val="32"/>
              <w:ind w:firstLine="0" w:firstLineChars="0"/>
              <w:jc w:val="center"/>
              <w:rPr>
                <w:kern w:val="0"/>
                <w:sz w:val="21"/>
                <w:szCs w:val="21"/>
              </w:rPr>
            </w:pPr>
            <w:r>
              <w:rPr>
                <w:kern w:val="0"/>
                <w:sz w:val="21"/>
                <w:szCs w:val="21"/>
              </w:rPr>
              <w:t>10.0</w:t>
            </w:r>
          </w:p>
        </w:tc>
      </w:tr>
    </w:tbl>
    <w:p w14:paraId="5A0F6744">
      <w:pPr>
        <w:ind w:firstLine="480" w:firstLineChars="200"/>
        <w:rPr>
          <w:rFonts w:ascii="宋体"/>
        </w:rPr>
      </w:pPr>
      <w:r>
        <w:rPr>
          <w:rFonts w:hint="eastAsia"/>
        </w:rPr>
        <w:t>此外，餐饮服务单位排放的挥发性有机物不仅对大气环境产生污染，其中的气味物质会影响周边居民的居住环境，造成异味扰民。根据</w:t>
      </w:r>
      <w:r>
        <w:t>GB14554</w:t>
      </w:r>
      <w:r>
        <w:rPr>
          <w:rFonts w:hint="eastAsia"/>
        </w:rPr>
        <w:t>规定，恶臭污染物的厂界标准值是对无组织排放源的限值，具体限值见表</w:t>
      </w:r>
      <w:r>
        <w:t>5-6</w:t>
      </w:r>
      <w:r>
        <w:rPr>
          <w:rFonts w:hint="eastAsia"/>
        </w:rPr>
        <w:t>。</w:t>
      </w:r>
    </w:p>
    <w:p w14:paraId="17073DBD">
      <w:pPr>
        <w:ind w:firstLine="480" w:firstLineChars="200"/>
        <w:jc w:val="center"/>
        <w:rPr>
          <w:rFonts w:ascii="宋体"/>
        </w:rPr>
      </w:pPr>
      <w:r>
        <w:rPr>
          <w:rFonts w:hint="eastAsia" w:ascii="宋体" w:hAnsi="宋体"/>
        </w:rPr>
        <w:t>表</w:t>
      </w:r>
      <w:r>
        <w:rPr>
          <w:rFonts w:ascii="宋体" w:hAnsi="宋体"/>
        </w:rPr>
        <w:t xml:space="preserve">5-6 </w:t>
      </w:r>
      <w:r>
        <w:rPr>
          <w:rFonts w:hint="eastAsia" w:ascii="宋体" w:hAnsi="宋体"/>
        </w:rPr>
        <w:t>恶臭污染物厂界标准值</w:t>
      </w:r>
    </w:p>
    <w:p w14:paraId="4D19E440">
      <w:pPr>
        <w:ind w:firstLine="480" w:firstLineChars="200"/>
        <w:jc w:val="center"/>
        <w:rPr>
          <w:rFonts w:ascii="宋体"/>
        </w:rPr>
      </w:pPr>
      <w:r>
        <w:pict>
          <v:shape id="_x0000_i1033" o:spt="75" type="#_x0000_t75" style="height:177.75pt;width:411pt;" filled="f" o:preferrelative="t" stroked="f" coordsize="21600,21600">
            <v:path/>
            <v:fill on="f" focussize="0,0"/>
            <v:stroke on="f" joinstyle="miter"/>
            <v:imagedata r:id="rId17" o:title=""/>
            <o:lock v:ext="edit" aspectratio="t"/>
            <w10:wrap type="none"/>
            <w10:anchorlock/>
          </v:shape>
        </w:pict>
      </w:r>
    </w:p>
    <w:p w14:paraId="76849EFF">
      <w:pPr>
        <w:ind w:firstLine="480" w:firstLineChars="200"/>
        <w:jc w:val="left"/>
        <w:rPr>
          <w:rFonts w:ascii="宋体"/>
        </w:rPr>
      </w:pPr>
      <w:r>
        <w:rPr>
          <w:rFonts w:hint="eastAsia"/>
        </w:rPr>
        <w:t>考虑到餐饮业排放的异味物质组成复杂，为提高监管和执法效率，本标准中餐饮服务单位无组织排放臭气浓度按照</w:t>
      </w:r>
      <w:r>
        <w:rPr>
          <w:rFonts w:ascii="宋体" w:hAnsi="宋体"/>
        </w:rPr>
        <w:t>GB14554</w:t>
      </w:r>
      <w:r>
        <w:rPr>
          <w:rFonts w:hint="eastAsia" w:ascii="宋体" w:hAnsi="宋体"/>
        </w:rPr>
        <w:t>恶臭污染物的厂界标准值中新改扩的二级标准限值</w:t>
      </w:r>
      <w:r>
        <w:rPr>
          <w:rFonts w:ascii="宋体" w:hAnsi="宋体"/>
        </w:rPr>
        <w:t>20</w:t>
      </w:r>
      <w:r>
        <w:rPr>
          <w:rFonts w:hint="eastAsia" w:ascii="宋体" w:hAnsi="宋体"/>
        </w:rPr>
        <w:t>（无量纲）执行。</w:t>
      </w:r>
    </w:p>
    <w:p w14:paraId="5B6038A5">
      <w:pPr>
        <w:pStyle w:val="3"/>
        <w:numPr>
          <w:numberingChange w:id="25" w:author="刘海英" w:date="2017-09-08T15:13:00Z" w:original="%1:5:0:.%2:9:0:"/>
        </w:numPr>
        <w:spacing w:after="163"/>
      </w:pPr>
      <w:bookmarkStart w:id="37" w:name="_Toc492569884"/>
      <w:r>
        <w:rPr>
          <w:rFonts w:hint="eastAsia"/>
        </w:rPr>
        <w:t>污染控制及运行操作要求</w:t>
      </w:r>
      <w:bookmarkEnd w:id="37"/>
    </w:p>
    <w:p w14:paraId="5ED6C5B7">
      <w:pPr>
        <w:ind w:firstLine="480" w:firstLineChars="200"/>
      </w:pPr>
      <w:r>
        <w:rPr>
          <w:rFonts w:hint="eastAsia"/>
        </w:rPr>
        <w:t>本标准中</w:t>
      </w:r>
      <w:r>
        <w:t>4.3.1</w:t>
      </w:r>
      <w:r>
        <w:rPr>
          <w:rFonts w:hint="eastAsia"/>
        </w:rPr>
        <w:t>规定“</w:t>
      </w:r>
      <w:r>
        <w:rPr>
          <w:rFonts w:hint="eastAsia" w:ascii="宋体" w:hAnsi="宋体"/>
        </w:rPr>
        <w:t>餐饮服务单位烹饪操作产生的大气污染物应通过集气罩收集经净化设施处理后达标排放</w:t>
      </w:r>
      <w:r>
        <w:rPr>
          <w:rFonts w:hint="eastAsia"/>
        </w:rPr>
        <w:t>。”，与</w:t>
      </w:r>
      <w:r>
        <w:t xml:space="preserve"> GB18483-2001 </w:t>
      </w:r>
      <w:r>
        <w:rPr>
          <w:rFonts w:hint="eastAsia"/>
        </w:rPr>
        <w:t>中</w:t>
      </w:r>
      <w:r>
        <w:t>5.1</w:t>
      </w:r>
      <w:r>
        <w:rPr>
          <w:rFonts w:hint="eastAsia"/>
        </w:rPr>
        <w:t>节规定“排放油烟的饮食业单位必须安装油烟净化设施，并保证操作期间按要求运行，油烟无组织排放视同超标。”相比更为具体，强调了烹饪操作污染物的收集和处理，并且必须达标排放才行，而不是只要安装净化设施即可。</w:t>
      </w:r>
    </w:p>
    <w:p w14:paraId="6789A2B6">
      <w:pPr>
        <w:ind w:firstLine="480" w:firstLineChars="200"/>
      </w:pPr>
      <w:r>
        <w:rPr>
          <w:rFonts w:hint="eastAsia"/>
        </w:rPr>
        <w:t>本标准</w:t>
      </w:r>
      <w:r>
        <w:t>4.3.3</w:t>
      </w:r>
      <w:r>
        <w:rPr>
          <w:rFonts w:hint="eastAsia"/>
        </w:rPr>
        <w:t>规定“</w:t>
      </w:r>
      <w:r>
        <w:rPr>
          <w:rFonts w:hint="eastAsia" w:ascii="宋体" w:hAnsi="宋体"/>
        </w:rPr>
        <w:t>未经任何净化设施净化排放油烟的餐饮服务单位视同超标排放</w:t>
      </w:r>
      <w:r>
        <w:rPr>
          <w:rFonts w:hint="eastAsia"/>
        </w:rPr>
        <w:t>。”，该规定对那些产生油烟但不收集，进行无组织排放的餐饮服务单位明确了其违法行为，对于仅有蒸、煮或炖类烹饪操作，无组织排放油烟不明显的餐饮服务单位则不应视同超标。</w:t>
      </w:r>
    </w:p>
    <w:p w14:paraId="1076B037">
      <w:pPr>
        <w:ind w:firstLine="480" w:firstLineChars="200"/>
        <w:rPr>
          <w:color w:val="FF0000"/>
        </w:rPr>
      </w:pPr>
      <w:r>
        <w:rPr>
          <w:rFonts w:hint="eastAsia"/>
        </w:rPr>
        <w:t>本标准</w:t>
      </w:r>
      <w:r>
        <w:t>4.3.4</w:t>
      </w:r>
      <w:r>
        <w:rPr>
          <w:rFonts w:hint="eastAsia"/>
        </w:rPr>
        <w:t>规定“</w:t>
      </w:r>
      <w:r>
        <w:rPr>
          <w:rFonts w:hint="eastAsia" w:ascii="宋体" w:hAnsi="宋体"/>
        </w:rPr>
        <w:t>餐饮服务单位的净化设施应与排风机联动，其额定处理风量不应小于实际排放风量。净化设施应具备运行状态监控、报警、记录和查询功能。</w:t>
      </w:r>
      <w:r>
        <w:rPr>
          <w:rFonts w:hint="eastAsia"/>
        </w:rPr>
        <w:t>”，该规定参考香港《控制食肆及饮食业的油烟及煮食气味》相关技术要求，对餐饮油烟净化设备的使用、安装和运行维护也提出了相应要求，避免餐饮服务企业“小马拉大车”与“只开风机不开净化设备”的情况。</w:t>
      </w:r>
      <w:r>
        <w:rPr>
          <w:rFonts w:hint="eastAsia" w:ascii="宋体" w:hAnsi="宋体"/>
        </w:rPr>
        <w:t>根据《关于加强污染源环境监管信息公开工作的通知》（环发</w:t>
      </w:r>
      <w:r>
        <w:rPr>
          <w:rFonts w:ascii="宋体" w:hAnsi="宋体"/>
        </w:rPr>
        <w:t>[2013]74</w:t>
      </w:r>
      <w:r>
        <w:rPr>
          <w:rFonts w:hint="eastAsia" w:ascii="宋体" w:hAnsi="宋体"/>
        </w:rPr>
        <w:t>号）中“企业是污染治理的责任主体，建立运行记录或台账信息是企业应履行的社会义务之一。”的要求，本标准提出了要求净化设施应具备运行状态监控、报警、记录和查询功能，该要求规范了净化设备的运行记录要求，为行业管理部门的日常监督执法提供了可操作、可核查的基础条件。</w:t>
      </w:r>
    </w:p>
    <w:p w14:paraId="1893CD79">
      <w:pPr>
        <w:ind w:firstLine="480" w:firstLineChars="200"/>
      </w:pPr>
      <w:r>
        <w:rPr>
          <w:rFonts w:hint="eastAsia"/>
        </w:rPr>
        <w:t>本标准</w:t>
      </w:r>
      <w:r>
        <w:t>4.3.5</w:t>
      </w:r>
      <w:r>
        <w:rPr>
          <w:rFonts w:hint="eastAsia"/>
        </w:rPr>
        <w:t>规定“</w:t>
      </w:r>
      <w:r>
        <w:rPr>
          <w:rFonts w:hint="eastAsia" w:ascii="宋体" w:hAnsi="宋体"/>
        </w:rPr>
        <w:t>餐饮服务单位的净化设施应定期维护保养，确保达标排放。原则上，净化设施至少每月清洗、维护或更换滤料</w:t>
      </w:r>
      <w:r>
        <w:rPr>
          <w:rFonts w:ascii="宋体" w:hAnsi="宋体"/>
        </w:rPr>
        <w:t>1</w:t>
      </w:r>
      <w:r>
        <w:rPr>
          <w:rFonts w:hint="eastAsia" w:ascii="宋体" w:hAnsi="宋体"/>
        </w:rPr>
        <w:t>次，并做好相关记录，设施或设备使用说明另有规定的按其要求执行。餐饮服务单位应建立净化设施建设、日常运行、清洗维护、更换等情况记录或台帐，至少一年备查。</w:t>
      </w:r>
      <w:r>
        <w:rPr>
          <w:rFonts w:hint="eastAsia"/>
        </w:rPr>
        <w:t>”，该规定对餐饮服务单位的集排气系统和净化设施的运行维护提出相应要求。净化设施的维护保养对餐饮服务单位能否达标排放具有重要影响。调研发现北京市的餐饮服务单位按现行国标要求均已安装净化设施，但是安装的净化设施在使用一段时间后去除效率急剧下降。目前，餐饮服务单位集排气系统和净化设施的清洗周期是按照消防防火管理要求进行的，即两个月清洗一次。然而按照消防防火要求进行维护保养的净化设施与满足现行排放标准的要求存在差距，因此，为保持净化设施的去除效率，避免不及时清洗维护而导致的超标排放违法行为，提出本条要求。</w:t>
      </w:r>
    </w:p>
    <w:p w14:paraId="43C31F6B">
      <w:pPr>
        <w:ind w:firstLine="480" w:firstLineChars="200"/>
      </w:pPr>
      <w:r>
        <w:rPr>
          <w:rFonts w:hint="eastAsia" w:ascii="宋体" w:hAnsi="宋体"/>
        </w:rPr>
        <w:t>本标准</w:t>
      </w:r>
      <w:r>
        <w:rPr>
          <w:rFonts w:ascii="宋体" w:hAnsi="宋体"/>
        </w:rPr>
        <w:t>4.3.6</w:t>
      </w:r>
      <w:r>
        <w:rPr>
          <w:rFonts w:hint="eastAsia" w:ascii="宋体" w:hAnsi="宋体"/>
        </w:rPr>
        <w:t>规定“餐饮服务单位应根据其规模、主要污染物及初始排放浓度选择相应去除效率的净化设备，以确保达标排放，餐饮服务单位的规模划分方法见附录</w:t>
      </w:r>
      <w:r>
        <w:rPr>
          <w:rFonts w:ascii="宋体" w:hAnsi="宋体"/>
        </w:rPr>
        <w:t>A</w:t>
      </w:r>
      <w:r>
        <w:rPr>
          <w:rFonts w:hint="eastAsia" w:ascii="宋体" w:hAnsi="宋体"/>
        </w:rPr>
        <w:t>，净化设备的污染物去除效率分级见附录</w:t>
      </w:r>
      <w:r>
        <w:rPr>
          <w:rFonts w:ascii="宋体" w:hAnsi="宋体"/>
        </w:rPr>
        <w:t>B</w:t>
      </w:r>
      <w:r>
        <w:rPr>
          <w:rFonts w:hint="eastAsia" w:ascii="宋体" w:hAnsi="宋体"/>
        </w:rPr>
        <w:t>。”，该规定考虑到不同规模、不同类别餐饮企业排放的主要污染物不同，初始排放浓度的差异较大，根据实事求是、公平公正的原则，建议餐饮服务单位应根据其规模、初始排放浓度的大小，科学选择相应去除效率的净化设备，以确保达标排放。</w:t>
      </w:r>
    </w:p>
    <w:p w14:paraId="1C958561">
      <w:pPr>
        <w:pStyle w:val="3"/>
        <w:numPr>
          <w:numberingChange w:id="26" w:author="刘海英" w:date="2017-09-08T15:13:00Z" w:original="%1:5:0:.%2:10:0:"/>
        </w:numPr>
        <w:spacing w:after="163"/>
      </w:pPr>
      <w:bookmarkStart w:id="38" w:name="_Toc492569885"/>
      <w:r>
        <w:rPr>
          <w:rFonts w:hint="eastAsia"/>
        </w:rPr>
        <w:t>污染物监测要求</w:t>
      </w:r>
      <w:bookmarkEnd w:id="38"/>
    </w:p>
    <w:p w14:paraId="3D526C57">
      <w:pPr>
        <w:ind w:firstLine="480" w:firstLineChars="200"/>
      </w:pPr>
      <w:r>
        <w:rPr>
          <w:rFonts w:hint="eastAsia"/>
        </w:rPr>
        <w:t>本标准提出了餐饮废气排放口应设置永久性测试孔、采样平台以及排污口标志，以保证监测执法人员现场监测和执法检查的安全性。本标准的采样位置和采样点的设置，结果分析与处理方法均参照</w:t>
      </w:r>
      <w:r>
        <w:t>GB18483-2001</w:t>
      </w:r>
      <w:r>
        <w:rPr>
          <w:rFonts w:hint="eastAsia"/>
        </w:rPr>
        <w:t>的规定执行。大气污染物的分析测定方法按表</w:t>
      </w:r>
      <w:r>
        <w:t>5-7</w:t>
      </w:r>
      <w:r>
        <w:rPr>
          <w:rFonts w:hint="eastAsia"/>
        </w:rPr>
        <w:t>的方法执行。</w:t>
      </w:r>
    </w:p>
    <w:p w14:paraId="6D6D7A51">
      <w:pPr>
        <w:jc w:val="center"/>
      </w:pPr>
      <w:r>
        <w:rPr>
          <w:rFonts w:hint="eastAsia"/>
        </w:rPr>
        <w:t>表</w:t>
      </w:r>
      <w:r>
        <w:t>5-7</w:t>
      </w:r>
      <w:r>
        <w:rPr>
          <w:rFonts w:hint="eastAsia"/>
        </w:rPr>
        <w:t>餐饮业大气污染物测定方法</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9"/>
        <w:gridCol w:w="1153"/>
        <w:gridCol w:w="5277"/>
        <w:gridCol w:w="1453"/>
      </w:tblGrid>
      <w:tr w14:paraId="3B618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9" w:type="dxa"/>
          </w:tcPr>
          <w:p w14:paraId="20223B19">
            <w:pPr>
              <w:pStyle w:val="40"/>
              <w:ind w:firstLine="0" w:firstLineChars="0"/>
              <w:jc w:val="left"/>
              <w:rPr>
                <w:rFonts w:ascii="Times New Roman"/>
                <w:szCs w:val="18"/>
              </w:rPr>
            </w:pPr>
            <w:r>
              <w:rPr>
                <w:rFonts w:hint="eastAsia" w:ascii="Times New Roman"/>
                <w:szCs w:val="18"/>
              </w:rPr>
              <w:t>序号</w:t>
            </w:r>
          </w:p>
        </w:tc>
        <w:tc>
          <w:tcPr>
            <w:tcW w:w="1153" w:type="dxa"/>
          </w:tcPr>
          <w:p w14:paraId="35100C5E">
            <w:pPr>
              <w:pStyle w:val="40"/>
              <w:ind w:firstLine="0" w:firstLineChars="0"/>
              <w:jc w:val="left"/>
              <w:rPr>
                <w:rFonts w:ascii="Times New Roman"/>
                <w:szCs w:val="18"/>
              </w:rPr>
            </w:pPr>
            <w:r>
              <w:rPr>
                <w:rFonts w:hint="eastAsia" w:ascii="Times New Roman"/>
                <w:szCs w:val="18"/>
              </w:rPr>
              <w:t>污染物项目</w:t>
            </w:r>
          </w:p>
        </w:tc>
        <w:tc>
          <w:tcPr>
            <w:tcW w:w="5277" w:type="dxa"/>
          </w:tcPr>
          <w:p w14:paraId="45AF0756">
            <w:pPr>
              <w:pStyle w:val="40"/>
              <w:ind w:firstLine="0" w:firstLineChars="0"/>
              <w:jc w:val="left"/>
              <w:rPr>
                <w:rFonts w:ascii="Times New Roman"/>
                <w:szCs w:val="18"/>
              </w:rPr>
            </w:pPr>
            <w:r>
              <w:rPr>
                <w:rFonts w:hint="eastAsia" w:ascii="Times New Roman"/>
                <w:szCs w:val="18"/>
              </w:rPr>
              <w:t>标准名称</w:t>
            </w:r>
          </w:p>
        </w:tc>
        <w:tc>
          <w:tcPr>
            <w:tcW w:w="1453" w:type="dxa"/>
          </w:tcPr>
          <w:p w14:paraId="540159A3">
            <w:pPr>
              <w:pStyle w:val="40"/>
              <w:ind w:firstLine="0" w:firstLineChars="0"/>
              <w:jc w:val="left"/>
              <w:rPr>
                <w:rFonts w:ascii="Times New Roman"/>
                <w:szCs w:val="18"/>
              </w:rPr>
            </w:pPr>
            <w:r>
              <w:rPr>
                <w:rFonts w:hint="eastAsia" w:ascii="Times New Roman"/>
                <w:szCs w:val="18"/>
              </w:rPr>
              <w:t>标准号</w:t>
            </w:r>
          </w:p>
        </w:tc>
      </w:tr>
      <w:tr w14:paraId="015E4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9" w:type="dxa"/>
          </w:tcPr>
          <w:p w14:paraId="0FDAE2BE">
            <w:pPr>
              <w:pStyle w:val="40"/>
              <w:ind w:firstLine="0" w:firstLineChars="0"/>
              <w:jc w:val="left"/>
              <w:rPr>
                <w:rFonts w:ascii="Times New Roman"/>
                <w:szCs w:val="18"/>
              </w:rPr>
            </w:pPr>
            <w:r>
              <w:rPr>
                <w:rFonts w:ascii="Times New Roman"/>
                <w:szCs w:val="18"/>
              </w:rPr>
              <w:t>1</w:t>
            </w:r>
          </w:p>
        </w:tc>
        <w:tc>
          <w:tcPr>
            <w:tcW w:w="1153" w:type="dxa"/>
          </w:tcPr>
          <w:p w14:paraId="6A205E3E">
            <w:pPr>
              <w:pStyle w:val="40"/>
              <w:ind w:firstLine="0" w:firstLineChars="0"/>
              <w:jc w:val="left"/>
              <w:rPr>
                <w:rFonts w:ascii="Times New Roman"/>
                <w:szCs w:val="18"/>
              </w:rPr>
            </w:pPr>
            <w:r>
              <w:rPr>
                <w:rFonts w:hint="eastAsia" w:ascii="Times New Roman"/>
                <w:szCs w:val="18"/>
              </w:rPr>
              <w:t>油烟</w:t>
            </w:r>
          </w:p>
        </w:tc>
        <w:tc>
          <w:tcPr>
            <w:tcW w:w="5277" w:type="dxa"/>
          </w:tcPr>
          <w:p w14:paraId="1D1F3FCE">
            <w:pPr>
              <w:pStyle w:val="40"/>
              <w:ind w:firstLine="0" w:firstLineChars="0"/>
              <w:jc w:val="left"/>
              <w:rPr>
                <w:rFonts w:ascii="Times New Roman"/>
                <w:szCs w:val="18"/>
              </w:rPr>
            </w:pPr>
            <w:r>
              <w:rPr>
                <w:rFonts w:hint="eastAsia" w:ascii="Times New Roman"/>
                <w:szCs w:val="18"/>
              </w:rPr>
              <w:t>饮食业油烟排放标准</w:t>
            </w:r>
          </w:p>
        </w:tc>
        <w:tc>
          <w:tcPr>
            <w:tcW w:w="1453" w:type="dxa"/>
          </w:tcPr>
          <w:p w14:paraId="11419EB7">
            <w:pPr>
              <w:pStyle w:val="40"/>
              <w:ind w:firstLine="0" w:firstLineChars="0"/>
              <w:jc w:val="left"/>
              <w:rPr>
                <w:rFonts w:ascii="Times New Roman"/>
                <w:szCs w:val="18"/>
              </w:rPr>
            </w:pPr>
            <w:r>
              <w:rPr>
                <w:rFonts w:ascii="Times New Roman"/>
                <w:szCs w:val="18"/>
              </w:rPr>
              <w:t>GB18483</w:t>
            </w:r>
          </w:p>
        </w:tc>
      </w:tr>
      <w:tr w14:paraId="55EBB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9" w:type="dxa"/>
          </w:tcPr>
          <w:p w14:paraId="2DDF29D2">
            <w:pPr>
              <w:pStyle w:val="40"/>
              <w:ind w:firstLine="0" w:firstLineChars="0"/>
              <w:jc w:val="left"/>
              <w:rPr>
                <w:rFonts w:ascii="Times New Roman"/>
                <w:szCs w:val="18"/>
              </w:rPr>
            </w:pPr>
            <w:r>
              <w:rPr>
                <w:rFonts w:ascii="Times New Roman"/>
                <w:szCs w:val="18"/>
              </w:rPr>
              <w:t>1</w:t>
            </w:r>
          </w:p>
        </w:tc>
        <w:tc>
          <w:tcPr>
            <w:tcW w:w="1153" w:type="dxa"/>
          </w:tcPr>
          <w:p w14:paraId="2A88278B">
            <w:pPr>
              <w:pStyle w:val="40"/>
              <w:ind w:firstLine="0" w:firstLineChars="0"/>
              <w:jc w:val="left"/>
              <w:rPr>
                <w:rFonts w:ascii="Times New Roman"/>
                <w:szCs w:val="18"/>
              </w:rPr>
            </w:pPr>
            <w:r>
              <w:rPr>
                <w:rFonts w:hint="eastAsia" w:ascii="Times New Roman"/>
                <w:szCs w:val="18"/>
              </w:rPr>
              <w:t>颗粒物</w:t>
            </w:r>
          </w:p>
        </w:tc>
        <w:tc>
          <w:tcPr>
            <w:tcW w:w="5277" w:type="dxa"/>
          </w:tcPr>
          <w:p w14:paraId="25D9E990">
            <w:pPr>
              <w:pStyle w:val="40"/>
              <w:ind w:firstLine="0" w:firstLineChars="0"/>
              <w:jc w:val="left"/>
              <w:rPr>
                <w:rFonts w:ascii="Times New Roman"/>
                <w:szCs w:val="18"/>
              </w:rPr>
            </w:pPr>
            <w:r>
              <w:rPr>
                <w:rFonts w:hint="eastAsia" w:ascii="Times New Roman"/>
                <w:szCs w:val="18"/>
              </w:rPr>
              <w:t>餐饮业颗粒物的测定手工称重法</w:t>
            </w:r>
          </w:p>
        </w:tc>
        <w:tc>
          <w:tcPr>
            <w:tcW w:w="1453" w:type="dxa"/>
          </w:tcPr>
          <w:p w14:paraId="6CD8DE52">
            <w:pPr>
              <w:pStyle w:val="40"/>
              <w:ind w:firstLine="0" w:firstLineChars="0"/>
              <w:jc w:val="left"/>
              <w:rPr>
                <w:rFonts w:ascii="Times New Roman"/>
                <w:szCs w:val="18"/>
              </w:rPr>
            </w:pPr>
            <w:r>
              <w:rPr>
                <w:rFonts w:hint="eastAsia" w:ascii="Times New Roman"/>
                <w:szCs w:val="18"/>
              </w:rPr>
              <w:t>与本标准配套发布，待定</w:t>
            </w:r>
          </w:p>
        </w:tc>
      </w:tr>
      <w:tr w14:paraId="0373B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39" w:type="dxa"/>
          </w:tcPr>
          <w:p w14:paraId="5652A832">
            <w:pPr>
              <w:pStyle w:val="40"/>
              <w:ind w:firstLine="0" w:firstLineChars="0"/>
              <w:jc w:val="left"/>
              <w:rPr>
                <w:rFonts w:ascii="Times New Roman"/>
                <w:szCs w:val="18"/>
              </w:rPr>
            </w:pPr>
            <w:r>
              <w:rPr>
                <w:rFonts w:ascii="Times New Roman"/>
                <w:szCs w:val="18"/>
              </w:rPr>
              <w:t>2</w:t>
            </w:r>
          </w:p>
        </w:tc>
        <w:tc>
          <w:tcPr>
            <w:tcW w:w="1153" w:type="dxa"/>
          </w:tcPr>
          <w:p w14:paraId="1FECF2C5">
            <w:pPr>
              <w:pStyle w:val="40"/>
              <w:ind w:firstLine="0" w:firstLineChars="0"/>
              <w:jc w:val="left"/>
              <w:rPr>
                <w:rFonts w:ascii="Times New Roman"/>
                <w:szCs w:val="18"/>
              </w:rPr>
            </w:pPr>
            <w:r>
              <w:rPr>
                <w:rFonts w:hint="eastAsia" w:ascii="Times New Roman"/>
                <w:szCs w:val="18"/>
              </w:rPr>
              <w:t>非甲烷总烃</w:t>
            </w:r>
          </w:p>
        </w:tc>
        <w:tc>
          <w:tcPr>
            <w:tcW w:w="5277" w:type="dxa"/>
          </w:tcPr>
          <w:p w14:paraId="1C310D0D">
            <w:pPr>
              <w:pStyle w:val="40"/>
              <w:ind w:firstLine="0" w:firstLineChars="0"/>
              <w:jc w:val="left"/>
              <w:rPr>
                <w:rFonts w:ascii="Times New Roman"/>
                <w:szCs w:val="18"/>
              </w:rPr>
            </w:pPr>
            <w:r>
              <w:rPr>
                <w:rFonts w:hint="eastAsia" w:ascii="Times New Roman"/>
                <w:szCs w:val="18"/>
              </w:rPr>
              <w:t>固定污染源废气挥发性有机物的采样气袋法</w:t>
            </w:r>
          </w:p>
          <w:p w14:paraId="167C7421">
            <w:pPr>
              <w:pStyle w:val="40"/>
              <w:ind w:firstLine="0" w:firstLineChars="0"/>
              <w:jc w:val="left"/>
              <w:rPr>
                <w:rFonts w:ascii="Times New Roman"/>
                <w:szCs w:val="18"/>
              </w:rPr>
            </w:pPr>
            <w:r>
              <w:rPr>
                <w:rFonts w:hint="eastAsia" w:ascii="Times New Roman"/>
                <w:szCs w:val="18"/>
              </w:rPr>
              <w:t>固定污染源排气中非甲烷总烃的测定气相色谱法</w:t>
            </w:r>
          </w:p>
          <w:p w14:paraId="77FBB240">
            <w:pPr>
              <w:pStyle w:val="40"/>
              <w:ind w:firstLine="0" w:firstLineChars="0"/>
              <w:jc w:val="left"/>
              <w:rPr>
                <w:rFonts w:ascii="Times New Roman"/>
                <w:szCs w:val="18"/>
              </w:rPr>
            </w:pPr>
            <w:r>
              <w:rPr>
                <w:rFonts w:hint="eastAsia" w:ascii="Times New Roman"/>
                <w:szCs w:val="18"/>
              </w:rPr>
              <w:t>固定污染源废气甲烷</w:t>
            </w:r>
            <w:r>
              <w:rPr>
                <w:rFonts w:ascii="Times New Roman"/>
                <w:szCs w:val="18"/>
              </w:rPr>
              <w:t>/</w:t>
            </w:r>
            <w:r>
              <w:rPr>
                <w:rFonts w:hint="eastAsia" w:ascii="Times New Roman"/>
                <w:szCs w:val="18"/>
              </w:rPr>
              <w:t>总烃</w:t>
            </w:r>
            <w:r>
              <w:rPr>
                <w:rFonts w:ascii="Times New Roman"/>
                <w:szCs w:val="18"/>
              </w:rPr>
              <w:t>/</w:t>
            </w:r>
            <w:r>
              <w:rPr>
                <w:rFonts w:hint="eastAsia" w:ascii="Times New Roman"/>
                <w:szCs w:val="18"/>
              </w:rPr>
              <w:t>非甲烷总烃的测定便携式氢火焰离子化检测器法</w:t>
            </w:r>
          </w:p>
        </w:tc>
        <w:tc>
          <w:tcPr>
            <w:tcW w:w="1453" w:type="dxa"/>
          </w:tcPr>
          <w:p w14:paraId="5F332A8C">
            <w:pPr>
              <w:pStyle w:val="40"/>
              <w:ind w:firstLine="0" w:firstLineChars="0"/>
              <w:jc w:val="left"/>
              <w:rPr>
                <w:rFonts w:ascii="Times New Roman"/>
                <w:szCs w:val="18"/>
              </w:rPr>
            </w:pPr>
            <w:r>
              <w:rPr>
                <w:rFonts w:ascii="Times New Roman"/>
                <w:szCs w:val="18"/>
              </w:rPr>
              <w:t>HJ732</w:t>
            </w:r>
          </w:p>
          <w:p w14:paraId="4C2360DC">
            <w:pPr>
              <w:pStyle w:val="40"/>
              <w:ind w:firstLine="0" w:firstLineChars="0"/>
              <w:jc w:val="left"/>
              <w:rPr>
                <w:rFonts w:ascii="Times New Roman"/>
                <w:szCs w:val="18"/>
              </w:rPr>
            </w:pPr>
            <w:r>
              <w:rPr>
                <w:rFonts w:ascii="Times New Roman"/>
                <w:szCs w:val="18"/>
              </w:rPr>
              <w:t>HJ/T38</w:t>
            </w:r>
          </w:p>
          <w:p w14:paraId="7E771A83">
            <w:pPr>
              <w:pStyle w:val="40"/>
              <w:ind w:firstLine="0" w:firstLineChars="0"/>
              <w:jc w:val="left"/>
              <w:rPr>
                <w:rFonts w:ascii="Times New Roman"/>
                <w:szCs w:val="18"/>
              </w:rPr>
            </w:pPr>
            <w:r>
              <w:rPr>
                <w:rFonts w:ascii="Times New Roman"/>
                <w:szCs w:val="18"/>
              </w:rPr>
              <w:t>DB11/T 1367</w:t>
            </w:r>
          </w:p>
        </w:tc>
      </w:tr>
      <w:tr w14:paraId="2E798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4"/>
          </w:tcPr>
          <w:p w14:paraId="7C3BFEA1">
            <w:pPr>
              <w:pStyle w:val="40"/>
              <w:ind w:firstLine="0" w:firstLineChars="0"/>
              <w:jc w:val="left"/>
              <w:rPr>
                <w:rFonts w:ascii="Times New Roman"/>
                <w:szCs w:val="18"/>
              </w:rPr>
            </w:pPr>
            <w:r>
              <w:rPr>
                <w:rFonts w:hint="eastAsia" w:ascii="Times New Roman"/>
                <w:szCs w:val="18"/>
              </w:rPr>
              <w:t>注：</w:t>
            </w:r>
            <w:r>
              <w:rPr>
                <w:rFonts w:hint="eastAsia" w:ascii="Times New Roman"/>
                <w:color w:val="000000"/>
                <w:szCs w:val="18"/>
              </w:rPr>
              <w:t>本标准实施之日后，国家再行发布的适用的餐饮业大气污染物分析方法也应执行。</w:t>
            </w:r>
          </w:p>
        </w:tc>
      </w:tr>
    </w:tbl>
    <w:p w14:paraId="7A92587E">
      <w:pPr>
        <w:ind w:firstLine="480" w:firstLineChars="200"/>
        <w:rPr>
          <w:szCs w:val="18"/>
        </w:rPr>
      </w:pPr>
      <w:r>
        <w:rPr>
          <w:rFonts w:hint="eastAsia"/>
        </w:rPr>
        <w:t>本标准要求餐饮服务单位大气污染物的排放情况进行监测时，采样时间应在经营的高峰时段或烹饪作业高峰时段进行；颗粒物的测定方法应满足《餐饮业颗粒物的测定手工称重法》的要求；对非甲烷总烃的测定方面，当采用气袋法采样时，应连续采集</w:t>
      </w:r>
      <w:r>
        <w:t>1</w:t>
      </w:r>
      <w:r>
        <w:rPr>
          <w:rFonts w:hint="eastAsia"/>
        </w:rPr>
        <w:t>至</w:t>
      </w:r>
      <w:r>
        <w:t>3</w:t>
      </w:r>
      <w:r>
        <w:rPr>
          <w:rFonts w:hint="eastAsia"/>
        </w:rPr>
        <w:t>个样品，每个样品不少于</w:t>
      </w:r>
      <w:r>
        <w:t>20min</w:t>
      </w:r>
      <w:r>
        <w:rPr>
          <w:rFonts w:hint="eastAsia"/>
        </w:rPr>
        <w:t>，</w:t>
      </w:r>
      <w:r>
        <w:rPr>
          <w:rFonts w:hint="eastAsia" w:ascii="宋体" w:hAnsi="宋体"/>
        </w:rPr>
        <w:t>采气量应不小于</w:t>
      </w:r>
      <w:r>
        <w:rPr>
          <w:rFonts w:ascii="宋体" w:hAnsi="宋体"/>
        </w:rPr>
        <w:t>10</w:t>
      </w:r>
      <w:r>
        <w:rPr>
          <w:rFonts w:hint="eastAsia" w:ascii="宋体" w:hAnsi="宋体"/>
        </w:rPr>
        <w:t>升，</w:t>
      </w:r>
      <w:r>
        <w:rPr>
          <w:rFonts w:hint="eastAsia"/>
        </w:rPr>
        <w:t>样品采集、运输和保存按照</w:t>
      </w:r>
      <w:r>
        <w:t>HJ732</w:t>
      </w:r>
      <w:r>
        <w:rPr>
          <w:rFonts w:hint="eastAsia"/>
        </w:rPr>
        <w:t>的规定执行，</w:t>
      </w:r>
      <w:r>
        <w:rPr>
          <w:rFonts w:hint="eastAsia" w:ascii="宋体" w:hAnsi="宋体"/>
        </w:rPr>
        <w:t>样品气体送达实验室后，</w:t>
      </w:r>
      <w:r>
        <w:rPr>
          <w:rFonts w:hint="eastAsia"/>
        </w:rPr>
        <w:t>分析操作按照</w:t>
      </w:r>
      <w:r>
        <w:t>HJ/T38</w:t>
      </w:r>
      <w:r>
        <w:rPr>
          <w:rFonts w:hint="eastAsia"/>
        </w:rPr>
        <w:t>的规定执行；非甲烷总烃的测定也可以按照</w:t>
      </w:r>
      <w:r>
        <w:rPr>
          <w:szCs w:val="18"/>
        </w:rPr>
        <w:t>DB11/T 1367</w:t>
      </w:r>
      <w:r>
        <w:rPr>
          <w:rFonts w:hint="eastAsia"/>
          <w:szCs w:val="18"/>
        </w:rPr>
        <w:t>的相关规定，采用便携式氢火焰离子化检测设备进行现场采样测试。</w:t>
      </w:r>
    </w:p>
    <w:p w14:paraId="5A048B49">
      <w:pPr>
        <w:ind w:firstLine="480" w:firstLineChars="200"/>
      </w:pPr>
      <w:r>
        <w:rPr>
          <w:rFonts w:hint="eastAsia"/>
          <w:szCs w:val="18"/>
        </w:rPr>
        <w:t>本标准规定了</w:t>
      </w:r>
      <w:r>
        <w:rPr>
          <w:rFonts w:hint="eastAsia" w:ascii="宋体" w:hAnsi="宋体"/>
        </w:rPr>
        <w:t>臭气浓度的测定按</w:t>
      </w:r>
      <w:r>
        <w:rPr>
          <w:rFonts w:ascii="宋体" w:hAnsi="宋体"/>
        </w:rPr>
        <w:t>GB14554</w:t>
      </w:r>
      <w:r>
        <w:rPr>
          <w:rFonts w:hint="eastAsia" w:ascii="宋体" w:hAnsi="宋体"/>
        </w:rPr>
        <w:t>规定执行。当餐饮服务单位边界处无法进行臭气浓度监测时，臭气监测点位应选在可能受影响的敏感建筑物窗外</w:t>
      </w:r>
      <w:r>
        <w:rPr>
          <w:rFonts w:ascii="宋体" w:hAnsi="宋体"/>
        </w:rPr>
        <w:t>1m</w:t>
      </w:r>
      <w:r>
        <w:rPr>
          <w:rFonts w:hint="eastAsia" w:ascii="宋体" w:hAnsi="宋体"/>
        </w:rPr>
        <w:t>处进行。</w:t>
      </w:r>
    </w:p>
    <w:p w14:paraId="6DD866B0">
      <w:pPr>
        <w:pStyle w:val="3"/>
        <w:numPr>
          <w:numberingChange w:id="27" w:author="刘海英" w:date="2017-09-08T15:13:00Z" w:original="%1:5:0:.%2:11:0:"/>
        </w:numPr>
        <w:spacing w:after="163"/>
      </w:pPr>
      <w:bookmarkStart w:id="39" w:name="_Toc492569886"/>
      <w:r>
        <w:rPr>
          <w:rFonts w:hint="eastAsia"/>
        </w:rPr>
        <w:t>标准监督实施要求</w:t>
      </w:r>
      <w:bookmarkEnd w:id="39"/>
    </w:p>
    <w:p w14:paraId="4A85FA5E">
      <w:pPr>
        <w:ind w:firstLine="480" w:firstLineChars="200"/>
      </w:pPr>
      <w:r>
        <w:rPr>
          <w:rFonts w:hint="eastAsia"/>
        </w:rPr>
        <w:t>本标准负责监督实施的单位参考</w:t>
      </w:r>
      <w:r>
        <w:t>GB18483-2001</w:t>
      </w:r>
      <w:r>
        <w:rPr>
          <w:rFonts w:hint="eastAsia"/>
        </w:rPr>
        <w:t>由北京市各级人民政府环境保护主管部门负责监督实施。</w:t>
      </w:r>
    </w:p>
    <w:p w14:paraId="34231DFE">
      <w:pPr>
        <w:ind w:firstLine="480" w:firstLineChars="200"/>
      </w:pPr>
      <w:r>
        <w:rPr>
          <w:rFonts w:hint="eastAsia"/>
        </w:rPr>
        <w:t>本标准的监督实施要求依据</w:t>
      </w:r>
      <w:r>
        <w:t xml:space="preserve"> GB18483-2001 </w:t>
      </w:r>
      <w:r>
        <w:rPr>
          <w:rFonts w:hint="eastAsia"/>
        </w:rPr>
        <w:t>中“</w:t>
      </w:r>
      <w:r>
        <w:t xml:space="preserve">7 </w:t>
      </w:r>
      <w:r>
        <w:rPr>
          <w:rFonts w:hint="eastAsia"/>
        </w:rPr>
        <w:t>标准实施的</w:t>
      </w:r>
      <w:r>
        <w:t xml:space="preserve"> 7.1 </w:t>
      </w:r>
      <w:r>
        <w:rPr>
          <w:rFonts w:hint="eastAsia"/>
        </w:rPr>
        <w:t>内容”并强调在任何情况下，餐饮服务企业应遵守本标准规定的餐饮大气污染物排放控制要求，安装使用符合要求的净化设备，并正常运行和定期维护。各级环保部门进行监督性检查时，可以现场即时采样或监测结果，作为判定排污行为是否符合排放标准以及实施相关环境保护管理措施的依据。</w:t>
      </w:r>
    </w:p>
    <w:p w14:paraId="66B029CD">
      <w:pPr>
        <w:ind w:firstLine="480" w:firstLineChars="200"/>
      </w:pPr>
      <w:r>
        <w:rPr>
          <w:rFonts w:hint="eastAsia"/>
        </w:rPr>
        <w:t>在监督性检查时，当发现可疑排放状况或执行其他管理要求时，可立即安排相关人员开展即时采样或监测，采样监测是应按本标准第</w:t>
      </w:r>
      <w:r>
        <w:t>5</w:t>
      </w:r>
      <w:r>
        <w:rPr>
          <w:rFonts w:hint="eastAsia"/>
        </w:rPr>
        <w:t>章规定执行，符合相关监测标准和技术规范的要求。</w:t>
      </w:r>
    </w:p>
    <w:p w14:paraId="0209D4F4">
      <w:pPr>
        <w:pStyle w:val="2"/>
        <w:numPr>
          <w:numberingChange w:id="28" w:author="刘海英" w:date="2017-09-08T15:13:00Z" w:original="%1:6:0:"/>
        </w:numPr>
        <w:spacing w:before="163" w:after="163"/>
      </w:pPr>
      <w:bookmarkStart w:id="40" w:name="_Toc492569887"/>
      <w:r>
        <w:rPr>
          <w:rFonts w:hint="eastAsia"/>
        </w:rPr>
        <w:t>排放限值论证</w:t>
      </w:r>
      <w:bookmarkEnd w:id="40"/>
    </w:p>
    <w:p w14:paraId="48AB4CAE">
      <w:pPr>
        <w:pStyle w:val="3"/>
        <w:numPr>
          <w:numberingChange w:id="29" w:author="刘海英" w:date="2017-09-08T15:13:00Z" w:original="%1:6:0:.%2:1:0:"/>
        </w:numPr>
        <w:spacing w:after="163"/>
      </w:pPr>
      <w:bookmarkStart w:id="41" w:name="_Toc492569888"/>
      <w:r>
        <w:rPr>
          <w:rFonts w:hint="eastAsia"/>
        </w:rPr>
        <w:t>餐饮污染排放现状监测</w:t>
      </w:r>
      <w:bookmarkEnd w:id="41"/>
    </w:p>
    <w:p w14:paraId="746729FD">
      <w:pPr>
        <w:pStyle w:val="4"/>
        <w:spacing w:before="163" w:after="163"/>
      </w:pPr>
      <w:r>
        <w:t>6.1.1</w:t>
      </w:r>
      <w:r>
        <w:rPr>
          <w:rFonts w:hint="eastAsia"/>
        </w:rPr>
        <w:t>油烟排放现状监测调查</w:t>
      </w:r>
    </w:p>
    <w:p w14:paraId="10794B8B">
      <w:pPr>
        <w:ind w:firstLine="480" w:firstLineChars="200"/>
      </w:pPr>
      <w:r>
        <w:rPr>
          <w:rFonts w:hint="eastAsia"/>
        </w:rPr>
        <w:t>为掌握北京市餐饮业油烟的排放水平，标准编制组选取北京</w:t>
      </w:r>
      <w:r>
        <w:t>20</w:t>
      </w:r>
      <w:r>
        <w:rPr>
          <w:rFonts w:hint="eastAsia"/>
        </w:rPr>
        <w:t>多家典型的饮企业在排放口处多次进行了油烟的采样和检测，剔除无效数据共获得了</w:t>
      </w:r>
      <w:r>
        <w:t>41</w:t>
      </w:r>
      <w:r>
        <w:rPr>
          <w:rFonts w:hint="eastAsia"/>
        </w:rPr>
        <w:t>个油烟排放浓度样本。将获得的实际排放浓度按照国标方法换算成基准风量排放浓度，实际获得</w:t>
      </w:r>
      <w:r>
        <w:t>35</w:t>
      </w:r>
      <w:r>
        <w:rPr>
          <w:rFonts w:hint="eastAsia"/>
        </w:rPr>
        <w:t>个基准风量排放浓度值。北京市</w:t>
      </w:r>
      <w:r>
        <w:t>20</w:t>
      </w:r>
      <w:r>
        <w:rPr>
          <w:rFonts w:hint="eastAsia"/>
        </w:rPr>
        <w:t>多家餐饮企业油烟的实际排放浓度和基准风量排放浓度，如表</w:t>
      </w:r>
      <w:r>
        <w:t>6-1</w:t>
      </w:r>
      <w:r>
        <w:rPr>
          <w:rFonts w:hint="eastAsia"/>
        </w:rPr>
        <w:t>和图</w:t>
      </w:r>
      <w:r>
        <w:t>6-1</w:t>
      </w:r>
      <w:r>
        <w:rPr>
          <w:rFonts w:hint="eastAsia"/>
        </w:rPr>
        <w:t>所示。</w:t>
      </w:r>
    </w:p>
    <w:p w14:paraId="19B6233D">
      <w:pPr>
        <w:jc w:val="center"/>
      </w:pPr>
      <w:r>
        <w:rPr>
          <w:rFonts w:hint="eastAsia"/>
        </w:rPr>
        <w:t>表</w:t>
      </w:r>
      <w:r>
        <w:t>6-1</w:t>
      </w:r>
      <w:r>
        <w:rPr>
          <w:rFonts w:hint="eastAsia"/>
        </w:rPr>
        <w:t>餐饮企业油烟排放监测数据</w:t>
      </w:r>
    </w:p>
    <w:tbl>
      <w:tblPr>
        <w:tblStyle w:val="18"/>
        <w:tblW w:w="8234" w:type="dxa"/>
        <w:tblInd w:w="96" w:type="dxa"/>
        <w:tblLayout w:type="fixed"/>
        <w:tblCellMar>
          <w:top w:w="0" w:type="dxa"/>
          <w:left w:w="108" w:type="dxa"/>
          <w:bottom w:w="0" w:type="dxa"/>
          <w:right w:w="108" w:type="dxa"/>
        </w:tblCellMar>
      </w:tblPr>
      <w:tblGrid>
        <w:gridCol w:w="620"/>
        <w:gridCol w:w="2007"/>
        <w:gridCol w:w="1688"/>
        <w:gridCol w:w="1934"/>
        <w:gridCol w:w="1985"/>
      </w:tblGrid>
      <w:tr w14:paraId="48A41C00">
        <w:tblPrEx>
          <w:tblCellMar>
            <w:top w:w="0" w:type="dxa"/>
            <w:left w:w="108" w:type="dxa"/>
            <w:bottom w:w="0" w:type="dxa"/>
            <w:right w:w="108" w:type="dxa"/>
          </w:tblCellMar>
        </w:tblPrEx>
        <w:trPr>
          <w:trHeight w:val="480" w:hRule="atLeast"/>
        </w:trPr>
        <w:tc>
          <w:tcPr>
            <w:tcW w:w="620" w:type="dxa"/>
            <w:tcBorders>
              <w:top w:val="single" w:color="auto" w:sz="4" w:space="0"/>
              <w:left w:val="single" w:color="auto" w:sz="4" w:space="0"/>
              <w:bottom w:val="single" w:color="auto" w:sz="4" w:space="0"/>
              <w:right w:val="single" w:color="auto" w:sz="4" w:space="0"/>
            </w:tcBorders>
            <w:vAlign w:val="center"/>
          </w:tcPr>
          <w:p w14:paraId="58288335">
            <w:pPr>
              <w:widowControl/>
              <w:spacing w:line="240" w:lineRule="auto"/>
              <w:ind w:right="210"/>
              <w:rPr>
                <w:rFonts w:ascii="宋体"/>
                <w:b/>
                <w:kern w:val="0"/>
                <w:sz w:val="20"/>
                <w:szCs w:val="20"/>
              </w:rPr>
            </w:pPr>
            <w:r>
              <w:rPr>
                <w:rFonts w:hint="eastAsia" w:ascii="宋体" w:hAnsi="宋体"/>
                <w:b/>
                <w:kern w:val="0"/>
                <w:sz w:val="20"/>
                <w:szCs w:val="20"/>
              </w:rPr>
              <w:t>序号</w:t>
            </w:r>
          </w:p>
        </w:tc>
        <w:tc>
          <w:tcPr>
            <w:tcW w:w="2007" w:type="dxa"/>
            <w:tcBorders>
              <w:top w:val="single" w:color="auto" w:sz="4" w:space="0"/>
              <w:left w:val="nil"/>
              <w:bottom w:val="single" w:color="auto" w:sz="4" w:space="0"/>
              <w:right w:val="single" w:color="auto" w:sz="4" w:space="0"/>
            </w:tcBorders>
            <w:vAlign w:val="center"/>
          </w:tcPr>
          <w:p w14:paraId="56A7D9F8">
            <w:pPr>
              <w:widowControl/>
              <w:spacing w:line="240" w:lineRule="auto"/>
              <w:jc w:val="center"/>
              <w:rPr>
                <w:rFonts w:ascii="宋体"/>
                <w:b/>
                <w:kern w:val="0"/>
                <w:sz w:val="20"/>
                <w:szCs w:val="20"/>
              </w:rPr>
            </w:pPr>
            <w:r>
              <w:rPr>
                <w:rFonts w:hint="eastAsia" w:ascii="宋体" w:hAnsi="宋体"/>
                <w:b/>
                <w:kern w:val="0"/>
                <w:sz w:val="20"/>
                <w:szCs w:val="20"/>
              </w:rPr>
              <w:t>样本编号</w:t>
            </w:r>
          </w:p>
        </w:tc>
        <w:tc>
          <w:tcPr>
            <w:tcW w:w="1688" w:type="dxa"/>
            <w:tcBorders>
              <w:top w:val="single" w:color="auto" w:sz="4" w:space="0"/>
              <w:left w:val="nil"/>
              <w:bottom w:val="single" w:color="auto" w:sz="4" w:space="0"/>
              <w:right w:val="single" w:color="auto" w:sz="4" w:space="0"/>
            </w:tcBorders>
            <w:vAlign w:val="center"/>
          </w:tcPr>
          <w:p w14:paraId="742898FC">
            <w:pPr>
              <w:widowControl/>
              <w:spacing w:line="240" w:lineRule="auto"/>
              <w:jc w:val="center"/>
              <w:rPr>
                <w:rFonts w:ascii="宋体" w:hAnsi="宋体"/>
                <w:b/>
                <w:kern w:val="0"/>
                <w:sz w:val="20"/>
                <w:szCs w:val="20"/>
              </w:rPr>
            </w:pPr>
            <w:r>
              <w:rPr>
                <w:rFonts w:hint="eastAsia" w:ascii="宋体" w:hAnsi="宋体"/>
                <w:b/>
                <w:kern w:val="0"/>
                <w:sz w:val="20"/>
                <w:szCs w:val="20"/>
              </w:rPr>
              <w:t>实测排风量</w:t>
            </w:r>
            <w:r>
              <w:rPr>
                <w:rFonts w:ascii="宋体" w:hAnsi="宋体"/>
                <w:b/>
                <w:kern w:val="0"/>
                <w:sz w:val="20"/>
                <w:szCs w:val="20"/>
              </w:rPr>
              <w:t>m3/h</w:t>
            </w:r>
          </w:p>
        </w:tc>
        <w:tc>
          <w:tcPr>
            <w:tcW w:w="1934" w:type="dxa"/>
            <w:tcBorders>
              <w:top w:val="single" w:color="auto" w:sz="4" w:space="0"/>
              <w:left w:val="nil"/>
              <w:bottom w:val="single" w:color="auto" w:sz="4" w:space="0"/>
              <w:right w:val="single" w:color="auto" w:sz="4" w:space="0"/>
            </w:tcBorders>
            <w:vAlign w:val="center"/>
          </w:tcPr>
          <w:p w14:paraId="3C63FF39">
            <w:pPr>
              <w:widowControl/>
              <w:spacing w:line="240" w:lineRule="auto"/>
              <w:jc w:val="center"/>
              <w:rPr>
                <w:rFonts w:ascii="宋体" w:hAnsi="宋体"/>
                <w:b/>
                <w:kern w:val="0"/>
                <w:sz w:val="20"/>
                <w:szCs w:val="20"/>
              </w:rPr>
            </w:pPr>
            <w:r>
              <w:rPr>
                <w:rFonts w:hint="eastAsia" w:ascii="宋体" w:hAnsi="宋体"/>
                <w:b/>
                <w:kern w:val="0"/>
                <w:sz w:val="20"/>
                <w:szCs w:val="20"/>
              </w:rPr>
              <w:t>油烟实测浓度</w:t>
            </w:r>
            <w:r>
              <w:rPr>
                <w:rFonts w:ascii="宋体" w:hAnsi="宋体"/>
                <w:b/>
                <w:kern w:val="0"/>
                <w:sz w:val="20"/>
                <w:szCs w:val="20"/>
              </w:rPr>
              <w:t>mg/m3</w:t>
            </w:r>
          </w:p>
        </w:tc>
        <w:tc>
          <w:tcPr>
            <w:tcW w:w="1985" w:type="dxa"/>
            <w:tcBorders>
              <w:top w:val="single" w:color="auto" w:sz="4" w:space="0"/>
              <w:left w:val="nil"/>
              <w:bottom w:val="single" w:color="auto" w:sz="4" w:space="0"/>
              <w:right w:val="single" w:color="auto" w:sz="4" w:space="0"/>
            </w:tcBorders>
            <w:vAlign w:val="center"/>
          </w:tcPr>
          <w:p w14:paraId="68EE1B53">
            <w:pPr>
              <w:widowControl/>
              <w:spacing w:line="240" w:lineRule="auto"/>
              <w:jc w:val="center"/>
              <w:rPr>
                <w:rFonts w:ascii="宋体" w:hAnsi="宋体"/>
                <w:b/>
                <w:kern w:val="0"/>
                <w:sz w:val="20"/>
                <w:szCs w:val="20"/>
              </w:rPr>
            </w:pPr>
            <w:r>
              <w:rPr>
                <w:rFonts w:hint="eastAsia" w:ascii="宋体" w:hAnsi="宋体"/>
                <w:b/>
                <w:kern w:val="0"/>
                <w:sz w:val="20"/>
                <w:szCs w:val="20"/>
              </w:rPr>
              <w:t>油烟基准浓度</w:t>
            </w:r>
            <w:r>
              <w:rPr>
                <w:rFonts w:ascii="宋体" w:hAnsi="宋体"/>
                <w:b/>
                <w:kern w:val="0"/>
                <w:sz w:val="20"/>
                <w:szCs w:val="20"/>
              </w:rPr>
              <w:t>mg/m3</w:t>
            </w:r>
          </w:p>
        </w:tc>
      </w:tr>
      <w:tr w14:paraId="5178B50C">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6D2F7152">
            <w:pPr>
              <w:widowControl/>
              <w:spacing w:line="240" w:lineRule="auto"/>
              <w:jc w:val="center"/>
              <w:rPr>
                <w:kern w:val="0"/>
                <w:sz w:val="20"/>
                <w:szCs w:val="20"/>
              </w:rPr>
            </w:pPr>
            <w:r>
              <w:rPr>
                <w:kern w:val="0"/>
                <w:sz w:val="20"/>
                <w:szCs w:val="20"/>
              </w:rPr>
              <w:t>1</w:t>
            </w:r>
          </w:p>
        </w:tc>
        <w:tc>
          <w:tcPr>
            <w:tcW w:w="2007" w:type="dxa"/>
            <w:tcBorders>
              <w:top w:val="nil"/>
              <w:left w:val="nil"/>
              <w:bottom w:val="single" w:color="auto" w:sz="4" w:space="0"/>
              <w:right w:val="single" w:color="auto" w:sz="4" w:space="0"/>
            </w:tcBorders>
            <w:vAlign w:val="center"/>
          </w:tcPr>
          <w:p w14:paraId="2CF3B1C7">
            <w:pPr>
              <w:widowControl/>
              <w:spacing w:line="240" w:lineRule="auto"/>
              <w:jc w:val="center"/>
              <w:rPr>
                <w:kern w:val="0"/>
                <w:sz w:val="20"/>
                <w:szCs w:val="20"/>
              </w:rPr>
            </w:pPr>
            <w:r>
              <w:rPr>
                <w:kern w:val="0"/>
                <w:sz w:val="20"/>
                <w:szCs w:val="20"/>
              </w:rPr>
              <w:t>20160223AQ</w:t>
            </w:r>
          </w:p>
        </w:tc>
        <w:tc>
          <w:tcPr>
            <w:tcW w:w="1688" w:type="dxa"/>
            <w:tcBorders>
              <w:top w:val="nil"/>
              <w:left w:val="nil"/>
              <w:bottom w:val="single" w:color="auto" w:sz="4" w:space="0"/>
              <w:right w:val="single" w:color="auto" w:sz="4" w:space="0"/>
            </w:tcBorders>
            <w:vAlign w:val="center"/>
          </w:tcPr>
          <w:p w14:paraId="35291496">
            <w:pPr>
              <w:widowControl/>
              <w:spacing w:line="240" w:lineRule="auto"/>
              <w:jc w:val="center"/>
              <w:rPr>
                <w:kern w:val="0"/>
                <w:sz w:val="20"/>
                <w:szCs w:val="20"/>
              </w:rPr>
            </w:pPr>
            <w:r>
              <w:rPr>
                <w:kern w:val="0"/>
                <w:sz w:val="20"/>
                <w:szCs w:val="20"/>
              </w:rPr>
              <w:t xml:space="preserve">12580 </w:t>
            </w:r>
          </w:p>
        </w:tc>
        <w:tc>
          <w:tcPr>
            <w:tcW w:w="1934" w:type="dxa"/>
            <w:tcBorders>
              <w:top w:val="nil"/>
              <w:left w:val="nil"/>
              <w:bottom w:val="single" w:color="auto" w:sz="4" w:space="0"/>
              <w:right w:val="single" w:color="auto" w:sz="4" w:space="0"/>
            </w:tcBorders>
            <w:vAlign w:val="center"/>
          </w:tcPr>
          <w:p w14:paraId="483F4B0C">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75F0A725">
            <w:pPr>
              <w:widowControl/>
              <w:spacing w:line="240" w:lineRule="auto"/>
              <w:jc w:val="center"/>
              <w:rPr>
                <w:kern w:val="0"/>
                <w:sz w:val="20"/>
                <w:szCs w:val="20"/>
              </w:rPr>
            </w:pPr>
            <w:r>
              <w:rPr>
                <w:kern w:val="0"/>
                <w:sz w:val="20"/>
                <w:szCs w:val="20"/>
              </w:rPr>
              <w:t xml:space="preserve">1.2 </w:t>
            </w:r>
          </w:p>
        </w:tc>
      </w:tr>
      <w:tr w14:paraId="3230219E">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AC89C85">
            <w:pPr>
              <w:widowControl/>
              <w:spacing w:line="240" w:lineRule="auto"/>
              <w:jc w:val="center"/>
              <w:rPr>
                <w:kern w:val="0"/>
                <w:sz w:val="20"/>
                <w:szCs w:val="20"/>
              </w:rPr>
            </w:pPr>
            <w:r>
              <w:rPr>
                <w:kern w:val="0"/>
                <w:sz w:val="20"/>
                <w:szCs w:val="20"/>
              </w:rPr>
              <w:t>2</w:t>
            </w:r>
          </w:p>
        </w:tc>
        <w:tc>
          <w:tcPr>
            <w:tcW w:w="2007" w:type="dxa"/>
            <w:tcBorders>
              <w:top w:val="nil"/>
              <w:left w:val="nil"/>
              <w:bottom w:val="single" w:color="auto" w:sz="4" w:space="0"/>
              <w:right w:val="single" w:color="auto" w:sz="4" w:space="0"/>
            </w:tcBorders>
            <w:vAlign w:val="center"/>
          </w:tcPr>
          <w:p w14:paraId="421492F1">
            <w:pPr>
              <w:widowControl/>
              <w:spacing w:line="240" w:lineRule="auto"/>
              <w:jc w:val="center"/>
              <w:rPr>
                <w:kern w:val="0"/>
                <w:sz w:val="20"/>
                <w:szCs w:val="20"/>
              </w:rPr>
            </w:pPr>
            <w:r>
              <w:rPr>
                <w:kern w:val="0"/>
                <w:sz w:val="20"/>
                <w:szCs w:val="20"/>
              </w:rPr>
              <w:t>20160229AQ</w:t>
            </w:r>
          </w:p>
        </w:tc>
        <w:tc>
          <w:tcPr>
            <w:tcW w:w="1688" w:type="dxa"/>
            <w:tcBorders>
              <w:top w:val="nil"/>
              <w:left w:val="nil"/>
              <w:bottom w:val="single" w:color="auto" w:sz="4" w:space="0"/>
              <w:right w:val="single" w:color="auto" w:sz="4" w:space="0"/>
            </w:tcBorders>
            <w:vAlign w:val="center"/>
          </w:tcPr>
          <w:p w14:paraId="24D3CE0E">
            <w:pPr>
              <w:widowControl/>
              <w:spacing w:line="240" w:lineRule="auto"/>
              <w:jc w:val="center"/>
              <w:rPr>
                <w:kern w:val="0"/>
                <w:sz w:val="20"/>
                <w:szCs w:val="20"/>
              </w:rPr>
            </w:pPr>
            <w:r>
              <w:rPr>
                <w:kern w:val="0"/>
                <w:sz w:val="20"/>
                <w:szCs w:val="20"/>
              </w:rPr>
              <w:t xml:space="preserve">31791 </w:t>
            </w:r>
          </w:p>
        </w:tc>
        <w:tc>
          <w:tcPr>
            <w:tcW w:w="1934" w:type="dxa"/>
            <w:tcBorders>
              <w:top w:val="nil"/>
              <w:left w:val="nil"/>
              <w:bottom w:val="single" w:color="auto" w:sz="4" w:space="0"/>
              <w:right w:val="single" w:color="auto" w:sz="4" w:space="0"/>
            </w:tcBorders>
            <w:vAlign w:val="center"/>
          </w:tcPr>
          <w:p w14:paraId="4F4844CC">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14:paraId="72C04890">
            <w:pPr>
              <w:widowControl/>
              <w:spacing w:line="240" w:lineRule="auto"/>
              <w:jc w:val="center"/>
              <w:rPr>
                <w:kern w:val="0"/>
                <w:sz w:val="20"/>
                <w:szCs w:val="20"/>
              </w:rPr>
            </w:pPr>
            <w:r>
              <w:rPr>
                <w:kern w:val="0"/>
                <w:sz w:val="20"/>
                <w:szCs w:val="20"/>
              </w:rPr>
              <w:t xml:space="preserve">2.4 </w:t>
            </w:r>
          </w:p>
        </w:tc>
      </w:tr>
      <w:tr w14:paraId="25750A0A">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0A012ECA">
            <w:pPr>
              <w:widowControl/>
              <w:spacing w:line="240" w:lineRule="auto"/>
              <w:jc w:val="center"/>
              <w:rPr>
                <w:kern w:val="0"/>
                <w:sz w:val="20"/>
                <w:szCs w:val="20"/>
              </w:rPr>
            </w:pPr>
            <w:r>
              <w:rPr>
                <w:kern w:val="0"/>
                <w:sz w:val="20"/>
                <w:szCs w:val="20"/>
              </w:rPr>
              <w:t>3</w:t>
            </w:r>
          </w:p>
        </w:tc>
        <w:tc>
          <w:tcPr>
            <w:tcW w:w="2007" w:type="dxa"/>
            <w:tcBorders>
              <w:top w:val="nil"/>
              <w:left w:val="nil"/>
              <w:bottom w:val="single" w:color="auto" w:sz="4" w:space="0"/>
              <w:right w:val="single" w:color="auto" w:sz="4" w:space="0"/>
            </w:tcBorders>
            <w:vAlign w:val="center"/>
          </w:tcPr>
          <w:p w14:paraId="5A298467">
            <w:pPr>
              <w:widowControl/>
              <w:spacing w:line="240" w:lineRule="auto"/>
              <w:jc w:val="center"/>
              <w:rPr>
                <w:kern w:val="0"/>
                <w:sz w:val="20"/>
                <w:szCs w:val="20"/>
              </w:rPr>
            </w:pPr>
            <w:r>
              <w:rPr>
                <w:kern w:val="0"/>
                <w:sz w:val="20"/>
                <w:szCs w:val="20"/>
              </w:rPr>
              <w:t>20160229PQ</w:t>
            </w:r>
          </w:p>
        </w:tc>
        <w:tc>
          <w:tcPr>
            <w:tcW w:w="1688" w:type="dxa"/>
            <w:tcBorders>
              <w:top w:val="nil"/>
              <w:left w:val="nil"/>
              <w:bottom w:val="single" w:color="auto" w:sz="4" w:space="0"/>
              <w:right w:val="single" w:color="auto" w:sz="4" w:space="0"/>
            </w:tcBorders>
            <w:vAlign w:val="center"/>
          </w:tcPr>
          <w:p w14:paraId="5EFE5279">
            <w:pPr>
              <w:widowControl/>
              <w:spacing w:line="240" w:lineRule="auto"/>
              <w:jc w:val="center"/>
              <w:rPr>
                <w:kern w:val="0"/>
                <w:sz w:val="20"/>
                <w:szCs w:val="20"/>
              </w:rPr>
            </w:pPr>
            <w:r>
              <w:rPr>
                <w:kern w:val="0"/>
                <w:sz w:val="20"/>
                <w:szCs w:val="20"/>
              </w:rPr>
              <w:t xml:space="preserve">27184 </w:t>
            </w:r>
          </w:p>
        </w:tc>
        <w:tc>
          <w:tcPr>
            <w:tcW w:w="1934" w:type="dxa"/>
            <w:tcBorders>
              <w:top w:val="nil"/>
              <w:left w:val="nil"/>
              <w:bottom w:val="single" w:color="auto" w:sz="4" w:space="0"/>
              <w:right w:val="single" w:color="auto" w:sz="4" w:space="0"/>
            </w:tcBorders>
            <w:vAlign w:val="center"/>
          </w:tcPr>
          <w:p w14:paraId="05FB0953">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14:paraId="547F2FE8">
            <w:pPr>
              <w:widowControl/>
              <w:spacing w:line="240" w:lineRule="auto"/>
              <w:jc w:val="center"/>
              <w:rPr>
                <w:kern w:val="0"/>
                <w:sz w:val="20"/>
                <w:szCs w:val="20"/>
              </w:rPr>
            </w:pPr>
            <w:r>
              <w:rPr>
                <w:kern w:val="0"/>
                <w:sz w:val="20"/>
                <w:szCs w:val="20"/>
              </w:rPr>
              <w:t xml:space="preserve">2.0 </w:t>
            </w:r>
          </w:p>
        </w:tc>
      </w:tr>
      <w:tr w14:paraId="58983658">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21BE74D">
            <w:pPr>
              <w:widowControl/>
              <w:spacing w:line="240" w:lineRule="auto"/>
              <w:jc w:val="center"/>
              <w:rPr>
                <w:kern w:val="0"/>
                <w:sz w:val="20"/>
                <w:szCs w:val="20"/>
              </w:rPr>
            </w:pPr>
            <w:r>
              <w:rPr>
                <w:kern w:val="0"/>
                <w:sz w:val="20"/>
                <w:szCs w:val="20"/>
              </w:rPr>
              <w:t>4</w:t>
            </w:r>
          </w:p>
        </w:tc>
        <w:tc>
          <w:tcPr>
            <w:tcW w:w="2007" w:type="dxa"/>
            <w:tcBorders>
              <w:top w:val="nil"/>
              <w:left w:val="nil"/>
              <w:bottom w:val="single" w:color="auto" w:sz="4" w:space="0"/>
              <w:right w:val="single" w:color="auto" w:sz="4" w:space="0"/>
            </w:tcBorders>
            <w:vAlign w:val="center"/>
          </w:tcPr>
          <w:p w14:paraId="4CBFB0E6">
            <w:pPr>
              <w:widowControl/>
              <w:spacing w:line="240" w:lineRule="auto"/>
              <w:jc w:val="center"/>
              <w:rPr>
                <w:kern w:val="0"/>
                <w:sz w:val="20"/>
                <w:szCs w:val="20"/>
              </w:rPr>
            </w:pPr>
            <w:r>
              <w:rPr>
                <w:kern w:val="0"/>
                <w:sz w:val="20"/>
                <w:szCs w:val="20"/>
              </w:rPr>
              <w:t>20160301</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14:paraId="2C101348">
            <w:pPr>
              <w:widowControl/>
              <w:spacing w:line="240" w:lineRule="auto"/>
              <w:jc w:val="center"/>
              <w:rPr>
                <w:kern w:val="0"/>
                <w:sz w:val="20"/>
                <w:szCs w:val="20"/>
              </w:rPr>
            </w:pPr>
            <w:r>
              <w:rPr>
                <w:kern w:val="0"/>
                <w:sz w:val="20"/>
                <w:szCs w:val="20"/>
              </w:rPr>
              <w:t xml:space="preserve">7739 </w:t>
            </w:r>
          </w:p>
        </w:tc>
        <w:tc>
          <w:tcPr>
            <w:tcW w:w="1934" w:type="dxa"/>
            <w:tcBorders>
              <w:top w:val="nil"/>
              <w:left w:val="nil"/>
              <w:bottom w:val="single" w:color="auto" w:sz="4" w:space="0"/>
              <w:right w:val="single" w:color="auto" w:sz="4" w:space="0"/>
            </w:tcBorders>
            <w:vAlign w:val="center"/>
          </w:tcPr>
          <w:p w14:paraId="3AA4D697">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1FE70F52">
            <w:pPr>
              <w:widowControl/>
              <w:spacing w:line="240" w:lineRule="auto"/>
              <w:jc w:val="center"/>
              <w:rPr>
                <w:kern w:val="0"/>
                <w:sz w:val="20"/>
                <w:szCs w:val="20"/>
              </w:rPr>
            </w:pPr>
            <w:r>
              <w:rPr>
                <w:kern w:val="0"/>
                <w:sz w:val="20"/>
                <w:szCs w:val="20"/>
              </w:rPr>
              <w:t xml:space="preserve">1.2 </w:t>
            </w:r>
          </w:p>
        </w:tc>
      </w:tr>
      <w:tr w14:paraId="239696C7">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876DD38">
            <w:pPr>
              <w:widowControl/>
              <w:spacing w:line="240" w:lineRule="auto"/>
              <w:jc w:val="center"/>
              <w:rPr>
                <w:kern w:val="0"/>
                <w:sz w:val="20"/>
                <w:szCs w:val="20"/>
              </w:rPr>
            </w:pPr>
            <w:r>
              <w:rPr>
                <w:kern w:val="0"/>
                <w:sz w:val="20"/>
                <w:szCs w:val="20"/>
              </w:rPr>
              <w:t>5</w:t>
            </w:r>
          </w:p>
        </w:tc>
        <w:tc>
          <w:tcPr>
            <w:tcW w:w="2007" w:type="dxa"/>
            <w:tcBorders>
              <w:top w:val="nil"/>
              <w:left w:val="nil"/>
              <w:bottom w:val="single" w:color="auto" w:sz="4" w:space="0"/>
              <w:right w:val="single" w:color="auto" w:sz="4" w:space="0"/>
            </w:tcBorders>
            <w:vAlign w:val="center"/>
          </w:tcPr>
          <w:p w14:paraId="7E0E7312">
            <w:pPr>
              <w:widowControl/>
              <w:spacing w:line="240" w:lineRule="auto"/>
              <w:jc w:val="center"/>
              <w:rPr>
                <w:kern w:val="0"/>
                <w:sz w:val="20"/>
                <w:szCs w:val="20"/>
              </w:rPr>
            </w:pPr>
            <w:r>
              <w:rPr>
                <w:kern w:val="0"/>
                <w:sz w:val="20"/>
                <w:szCs w:val="20"/>
              </w:rPr>
              <w:t>20160301</w:t>
            </w:r>
            <w:r>
              <w:rPr>
                <w:color w:val="000000"/>
                <w:kern w:val="0"/>
                <w:sz w:val="20"/>
                <w:szCs w:val="20"/>
              </w:rPr>
              <w:t>PQ</w:t>
            </w:r>
          </w:p>
        </w:tc>
        <w:tc>
          <w:tcPr>
            <w:tcW w:w="1688" w:type="dxa"/>
            <w:tcBorders>
              <w:top w:val="nil"/>
              <w:left w:val="nil"/>
              <w:bottom w:val="single" w:color="auto" w:sz="4" w:space="0"/>
              <w:right w:val="single" w:color="auto" w:sz="4" w:space="0"/>
            </w:tcBorders>
            <w:vAlign w:val="center"/>
          </w:tcPr>
          <w:p w14:paraId="5EFA70EE">
            <w:pPr>
              <w:widowControl/>
              <w:spacing w:line="240" w:lineRule="auto"/>
              <w:jc w:val="center"/>
              <w:rPr>
                <w:kern w:val="0"/>
                <w:sz w:val="20"/>
                <w:szCs w:val="20"/>
              </w:rPr>
            </w:pPr>
            <w:r>
              <w:rPr>
                <w:kern w:val="0"/>
                <w:sz w:val="20"/>
                <w:szCs w:val="20"/>
              </w:rPr>
              <w:t xml:space="preserve">6876 </w:t>
            </w:r>
          </w:p>
        </w:tc>
        <w:tc>
          <w:tcPr>
            <w:tcW w:w="1934" w:type="dxa"/>
            <w:tcBorders>
              <w:top w:val="nil"/>
              <w:left w:val="nil"/>
              <w:bottom w:val="single" w:color="auto" w:sz="4" w:space="0"/>
              <w:right w:val="single" w:color="auto" w:sz="4" w:space="0"/>
            </w:tcBorders>
            <w:vAlign w:val="center"/>
          </w:tcPr>
          <w:p w14:paraId="136A7A12">
            <w:pPr>
              <w:widowControl/>
              <w:spacing w:line="240" w:lineRule="auto"/>
              <w:jc w:val="center"/>
              <w:rPr>
                <w:kern w:val="0"/>
                <w:sz w:val="20"/>
                <w:szCs w:val="20"/>
              </w:rPr>
            </w:pPr>
            <w:r>
              <w:rPr>
                <w:kern w:val="0"/>
                <w:sz w:val="20"/>
                <w:szCs w:val="20"/>
              </w:rPr>
              <w:t xml:space="preserve">1.6 </w:t>
            </w:r>
          </w:p>
        </w:tc>
        <w:tc>
          <w:tcPr>
            <w:tcW w:w="1985" w:type="dxa"/>
            <w:tcBorders>
              <w:top w:val="nil"/>
              <w:left w:val="nil"/>
              <w:bottom w:val="single" w:color="auto" w:sz="4" w:space="0"/>
              <w:right w:val="single" w:color="auto" w:sz="4" w:space="0"/>
            </w:tcBorders>
            <w:vAlign w:val="center"/>
          </w:tcPr>
          <w:p w14:paraId="25DB27D1">
            <w:pPr>
              <w:widowControl/>
              <w:spacing w:line="240" w:lineRule="auto"/>
              <w:jc w:val="center"/>
              <w:rPr>
                <w:kern w:val="0"/>
                <w:sz w:val="20"/>
                <w:szCs w:val="20"/>
              </w:rPr>
            </w:pPr>
            <w:r>
              <w:rPr>
                <w:kern w:val="0"/>
                <w:sz w:val="20"/>
                <w:szCs w:val="20"/>
              </w:rPr>
              <w:t xml:space="preserve">1.4 </w:t>
            </w:r>
          </w:p>
        </w:tc>
      </w:tr>
      <w:tr w14:paraId="43B348FF">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09BE6C77">
            <w:pPr>
              <w:widowControl/>
              <w:spacing w:line="240" w:lineRule="auto"/>
              <w:jc w:val="center"/>
              <w:rPr>
                <w:kern w:val="0"/>
                <w:sz w:val="20"/>
                <w:szCs w:val="20"/>
              </w:rPr>
            </w:pPr>
            <w:r>
              <w:rPr>
                <w:kern w:val="0"/>
                <w:sz w:val="20"/>
                <w:szCs w:val="20"/>
              </w:rPr>
              <w:t>6</w:t>
            </w:r>
          </w:p>
        </w:tc>
        <w:tc>
          <w:tcPr>
            <w:tcW w:w="2007" w:type="dxa"/>
            <w:tcBorders>
              <w:top w:val="nil"/>
              <w:left w:val="nil"/>
              <w:bottom w:val="single" w:color="auto" w:sz="4" w:space="0"/>
              <w:right w:val="single" w:color="auto" w:sz="4" w:space="0"/>
            </w:tcBorders>
            <w:vAlign w:val="center"/>
          </w:tcPr>
          <w:p w14:paraId="63A8B5F0">
            <w:pPr>
              <w:widowControl/>
              <w:spacing w:line="240" w:lineRule="auto"/>
              <w:jc w:val="center"/>
              <w:rPr>
                <w:kern w:val="0"/>
                <w:sz w:val="20"/>
                <w:szCs w:val="20"/>
              </w:rPr>
            </w:pPr>
            <w:r>
              <w:rPr>
                <w:kern w:val="0"/>
                <w:sz w:val="20"/>
                <w:szCs w:val="20"/>
              </w:rPr>
              <w:t>20160303</w:t>
            </w:r>
            <w:r>
              <w:rPr>
                <w:color w:val="000000"/>
                <w:kern w:val="0"/>
                <w:sz w:val="20"/>
                <w:szCs w:val="20"/>
              </w:rPr>
              <w:t>AH</w:t>
            </w:r>
          </w:p>
        </w:tc>
        <w:tc>
          <w:tcPr>
            <w:tcW w:w="1688" w:type="dxa"/>
            <w:tcBorders>
              <w:top w:val="nil"/>
              <w:left w:val="nil"/>
              <w:bottom w:val="single" w:color="auto" w:sz="4" w:space="0"/>
              <w:right w:val="single" w:color="auto" w:sz="4" w:space="0"/>
            </w:tcBorders>
            <w:vAlign w:val="center"/>
          </w:tcPr>
          <w:p w14:paraId="52679DC4">
            <w:pPr>
              <w:widowControl/>
              <w:spacing w:line="240" w:lineRule="auto"/>
              <w:jc w:val="center"/>
              <w:rPr>
                <w:kern w:val="0"/>
                <w:sz w:val="20"/>
                <w:szCs w:val="20"/>
              </w:rPr>
            </w:pPr>
            <w:r>
              <w:rPr>
                <w:kern w:val="0"/>
                <w:sz w:val="20"/>
                <w:szCs w:val="20"/>
              </w:rPr>
              <w:t xml:space="preserve">10583 </w:t>
            </w:r>
          </w:p>
        </w:tc>
        <w:tc>
          <w:tcPr>
            <w:tcW w:w="1934" w:type="dxa"/>
            <w:tcBorders>
              <w:top w:val="nil"/>
              <w:left w:val="nil"/>
              <w:bottom w:val="single" w:color="auto" w:sz="4" w:space="0"/>
              <w:right w:val="single" w:color="auto" w:sz="4" w:space="0"/>
            </w:tcBorders>
            <w:vAlign w:val="center"/>
          </w:tcPr>
          <w:p w14:paraId="259C6B9D">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14:paraId="4D7D2395">
            <w:pPr>
              <w:widowControl/>
              <w:spacing w:line="240" w:lineRule="auto"/>
              <w:jc w:val="center"/>
              <w:rPr>
                <w:kern w:val="0"/>
                <w:sz w:val="20"/>
                <w:szCs w:val="20"/>
              </w:rPr>
            </w:pPr>
            <w:r>
              <w:rPr>
                <w:kern w:val="0"/>
                <w:sz w:val="20"/>
                <w:szCs w:val="20"/>
              </w:rPr>
              <w:t xml:space="preserve">2.7 </w:t>
            </w:r>
          </w:p>
        </w:tc>
      </w:tr>
      <w:tr w14:paraId="171BD612">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348B535">
            <w:pPr>
              <w:widowControl/>
              <w:spacing w:line="240" w:lineRule="auto"/>
              <w:jc w:val="center"/>
              <w:rPr>
                <w:kern w:val="0"/>
                <w:sz w:val="20"/>
                <w:szCs w:val="20"/>
              </w:rPr>
            </w:pPr>
            <w:r>
              <w:rPr>
                <w:kern w:val="0"/>
                <w:sz w:val="20"/>
                <w:szCs w:val="20"/>
              </w:rPr>
              <w:t>7</w:t>
            </w:r>
          </w:p>
        </w:tc>
        <w:tc>
          <w:tcPr>
            <w:tcW w:w="2007" w:type="dxa"/>
            <w:tcBorders>
              <w:top w:val="nil"/>
              <w:left w:val="nil"/>
              <w:bottom w:val="single" w:color="auto" w:sz="4" w:space="0"/>
              <w:right w:val="single" w:color="auto" w:sz="4" w:space="0"/>
            </w:tcBorders>
            <w:vAlign w:val="center"/>
          </w:tcPr>
          <w:p w14:paraId="1994B37E">
            <w:pPr>
              <w:widowControl/>
              <w:spacing w:line="240" w:lineRule="auto"/>
              <w:jc w:val="center"/>
              <w:rPr>
                <w:kern w:val="0"/>
                <w:sz w:val="20"/>
                <w:szCs w:val="20"/>
              </w:rPr>
            </w:pPr>
            <w:r>
              <w:rPr>
                <w:kern w:val="0"/>
                <w:sz w:val="20"/>
                <w:szCs w:val="20"/>
              </w:rPr>
              <w:t>20160303</w:t>
            </w:r>
            <w:r>
              <w:rPr>
                <w:color w:val="000000"/>
                <w:kern w:val="0"/>
                <w:sz w:val="20"/>
                <w:szCs w:val="20"/>
              </w:rPr>
              <w:t>PH</w:t>
            </w:r>
          </w:p>
        </w:tc>
        <w:tc>
          <w:tcPr>
            <w:tcW w:w="1688" w:type="dxa"/>
            <w:tcBorders>
              <w:top w:val="nil"/>
              <w:left w:val="nil"/>
              <w:bottom w:val="single" w:color="auto" w:sz="4" w:space="0"/>
              <w:right w:val="single" w:color="auto" w:sz="4" w:space="0"/>
            </w:tcBorders>
            <w:vAlign w:val="center"/>
          </w:tcPr>
          <w:p w14:paraId="54653DA7">
            <w:pPr>
              <w:widowControl/>
              <w:spacing w:line="240" w:lineRule="auto"/>
              <w:jc w:val="center"/>
              <w:rPr>
                <w:kern w:val="0"/>
                <w:sz w:val="20"/>
                <w:szCs w:val="20"/>
              </w:rPr>
            </w:pPr>
            <w:r>
              <w:rPr>
                <w:kern w:val="0"/>
                <w:sz w:val="20"/>
                <w:szCs w:val="20"/>
              </w:rPr>
              <w:t xml:space="preserve">9895 </w:t>
            </w:r>
          </w:p>
        </w:tc>
        <w:tc>
          <w:tcPr>
            <w:tcW w:w="1934" w:type="dxa"/>
            <w:tcBorders>
              <w:top w:val="nil"/>
              <w:left w:val="nil"/>
              <w:bottom w:val="single" w:color="auto" w:sz="4" w:space="0"/>
              <w:right w:val="single" w:color="auto" w:sz="4" w:space="0"/>
            </w:tcBorders>
            <w:vAlign w:val="center"/>
          </w:tcPr>
          <w:p w14:paraId="0D0FED99">
            <w:pPr>
              <w:widowControl/>
              <w:spacing w:line="240" w:lineRule="auto"/>
              <w:jc w:val="center"/>
              <w:rPr>
                <w:kern w:val="0"/>
                <w:sz w:val="20"/>
                <w:szCs w:val="20"/>
              </w:rPr>
            </w:pPr>
            <w:r>
              <w:rPr>
                <w:kern w:val="0"/>
                <w:sz w:val="20"/>
                <w:szCs w:val="20"/>
              </w:rPr>
              <w:t xml:space="preserve">0.7 </w:t>
            </w:r>
          </w:p>
        </w:tc>
        <w:tc>
          <w:tcPr>
            <w:tcW w:w="1985" w:type="dxa"/>
            <w:tcBorders>
              <w:top w:val="nil"/>
              <w:left w:val="nil"/>
              <w:bottom w:val="single" w:color="auto" w:sz="4" w:space="0"/>
              <w:right w:val="single" w:color="auto" w:sz="4" w:space="0"/>
            </w:tcBorders>
            <w:vAlign w:val="center"/>
          </w:tcPr>
          <w:p w14:paraId="0D84F386">
            <w:pPr>
              <w:widowControl/>
              <w:spacing w:line="240" w:lineRule="auto"/>
              <w:jc w:val="center"/>
              <w:rPr>
                <w:kern w:val="0"/>
                <w:sz w:val="20"/>
                <w:szCs w:val="20"/>
              </w:rPr>
            </w:pPr>
            <w:r>
              <w:rPr>
                <w:kern w:val="0"/>
                <w:sz w:val="20"/>
                <w:szCs w:val="20"/>
              </w:rPr>
              <w:t xml:space="preserve">2.1 </w:t>
            </w:r>
          </w:p>
        </w:tc>
      </w:tr>
      <w:tr w14:paraId="20771C21">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1A72663">
            <w:pPr>
              <w:widowControl/>
              <w:spacing w:line="240" w:lineRule="auto"/>
              <w:jc w:val="center"/>
              <w:rPr>
                <w:kern w:val="0"/>
                <w:sz w:val="20"/>
                <w:szCs w:val="20"/>
              </w:rPr>
            </w:pPr>
            <w:r>
              <w:rPr>
                <w:kern w:val="0"/>
                <w:sz w:val="20"/>
                <w:szCs w:val="20"/>
              </w:rPr>
              <w:t>8</w:t>
            </w:r>
          </w:p>
        </w:tc>
        <w:tc>
          <w:tcPr>
            <w:tcW w:w="2007" w:type="dxa"/>
            <w:tcBorders>
              <w:top w:val="nil"/>
              <w:left w:val="nil"/>
              <w:bottom w:val="single" w:color="auto" w:sz="4" w:space="0"/>
              <w:right w:val="single" w:color="auto" w:sz="4" w:space="0"/>
            </w:tcBorders>
            <w:vAlign w:val="center"/>
          </w:tcPr>
          <w:p w14:paraId="415BCC60">
            <w:pPr>
              <w:widowControl/>
              <w:spacing w:line="240" w:lineRule="auto"/>
              <w:jc w:val="center"/>
              <w:rPr>
                <w:kern w:val="0"/>
                <w:sz w:val="20"/>
                <w:szCs w:val="20"/>
              </w:rPr>
            </w:pPr>
            <w:r>
              <w:rPr>
                <w:kern w:val="0"/>
                <w:sz w:val="20"/>
                <w:szCs w:val="20"/>
              </w:rPr>
              <w:t>20160310</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14:paraId="6CB314B3">
            <w:pPr>
              <w:widowControl/>
              <w:spacing w:line="240" w:lineRule="auto"/>
              <w:jc w:val="center"/>
              <w:rPr>
                <w:kern w:val="0"/>
                <w:sz w:val="20"/>
                <w:szCs w:val="20"/>
              </w:rPr>
            </w:pPr>
            <w:r>
              <w:rPr>
                <w:kern w:val="0"/>
                <w:sz w:val="20"/>
                <w:szCs w:val="20"/>
              </w:rPr>
              <w:t xml:space="preserve">21280 </w:t>
            </w:r>
          </w:p>
        </w:tc>
        <w:tc>
          <w:tcPr>
            <w:tcW w:w="1934" w:type="dxa"/>
            <w:tcBorders>
              <w:top w:val="nil"/>
              <w:left w:val="nil"/>
              <w:bottom w:val="single" w:color="auto" w:sz="4" w:space="0"/>
              <w:right w:val="single" w:color="auto" w:sz="4" w:space="0"/>
            </w:tcBorders>
            <w:vAlign w:val="center"/>
          </w:tcPr>
          <w:p w14:paraId="2DC21225">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14:paraId="47945AED">
            <w:pPr>
              <w:widowControl/>
              <w:spacing w:line="240" w:lineRule="auto"/>
              <w:jc w:val="center"/>
              <w:rPr>
                <w:kern w:val="0"/>
                <w:sz w:val="20"/>
                <w:szCs w:val="20"/>
              </w:rPr>
            </w:pPr>
            <w:r>
              <w:rPr>
                <w:kern w:val="0"/>
                <w:sz w:val="20"/>
                <w:szCs w:val="20"/>
              </w:rPr>
              <w:t>-</w:t>
            </w:r>
          </w:p>
        </w:tc>
      </w:tr>
      <w:tr w14:paraId="1566D475">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B6D4363">
            <w:pPr>
              <w:widowControl/>
              <w:spacing w:line="240" w:lineRule="auto"/>
              <w:jc w:val="center"/>
              <w:rPr>
                <w:kern w:val="0"/>
                <w:sz w:val="20"/>
                <w:szCs w:val="20"/>
              </w:rPr>
            </w:pPr>
            <w:r>
              <w:rPr>
                <w:kern w:val="0"/>
                <w:sz w:val="20"/>
                <w:szCs w:val="20"/>
              </w:rPr>
              <w:t>9</w:t>
            </w:r>
          </w:p>
        </w:tc>
        <w:tc>
          <w:tcPr>
            <w:tcW w:w="2007" w:type="dxa"/>
            <w:tcBorders>
              <w:top w:val="nil"/>
              <w:left w:val="nil"/>
              <w:bottom w:val="single" w:color="auto" w:sz="4" w:space="0"/>
              <w:right w:val="single" w:color="auto" w:sz="4" w:space="0"/>
            </w:tcBorders>
            <w:vAlign w:val="center"/>
          </w:tcPr>
          <w:p w14:paraId="11807722">
            <w:pPr>
              <w:widowControl/>
              <w:spacing w:line="240" w:lineRule="auto"/>
              <w:jc w:val="center"/>
              <w:rPr>
                <w:kern w:val="0"/>
                <w:sz w:val="20"/>
                <w:szCs w:val="20"/>
              </w:rPr>
            </w:pPr>
            <w:r>
              <w:rPr>
                <w:kern w:val="0"/>
                <w:sz w:val="20"/>
                <w:szCs w:val="20"/>
              </w:rPr>
              <w:t>20160311</w:t>
            </w:r>
            <w:r>
              <w:rPr>
                <w:color w:val="000000"/>
                <w:kern w:val="0"/>
                <w:sz w:val="20"/>
                <w:szCs w:val="20"/>
              </w:rPr>
              <w:t>AH</w:t>
            </w:r>
          </w:p>
        </w:tc>
        <w:tc>
          <w:tcPr>
            <w:tcW w:w="1688" w:type="dxa"/>
            <w:tcBorders>
              <w:top w:val="nil"/>
              <w:left w:val="nil"/>
              <w:bottom w:val="single" w:color="auto" w:sz="4" w:space="0"/>
              <w:right w:val="single" w:color="auto" w:sz="4" w:space="0"/>
            </w:tcBorders>
            <w:vAlign w:val="center"/>
          </w:tcPr>
          <w:p w14:paraId="03208C81">
            <w:pPr>
              <w:widowControl/>
              <w:spacing w:line="240" w:lineRule="auto"/>
              <w:jc w:val="center"/>
              <w:rPr>
                <w:kern w:val="0"/>
                <w:sz w:val="20"/>
                <w:szCs w:val="20"/>
              </w:rPr>
            </w:pPr>
            <w:r>
              <w:rPr>
                <w:kern w:val="0"/>
                <w:sz w:val="20"/>
                <w:szCs w:val="20"/>
              </w:rPr>
              <w:t xml:space="preserve">69962 </w:t>
            </w:r>
          </w:p>
        </w:tc>
        <w:tc>
          <w:tcPr>
            <w:tcW w:w="1934" w:type="dxa"/>
            <w:tcBorders>
              <w:top w:val="nil"/>
              <w:left w:val="nil"/>
              <w:bottom w:val="single" w:color="auto" w:sz="4" w:space="0"/>
              <w:right w:val="single" w:color="auto" w:sz="4" w:space="0"/>
            </w:tcBorders>
            <w:vAlign w:val="center"/>
          </w:tcPr>
          <w:p w14:paraId="12B968E3">
            <w:pPr>
              <w:widowControl/>
              <w:spacing w:line="240" w:lineRule="auto"/>
              <w:jc w:val="center"/>
              <w:rPr>
                <w:kern w:val="0"/>
                <w:sz w:val="20"/>
                <w:szCs w:val="20"/>
              </w:rPr>
            </w:pPr>
            <w:r>
              <w:rPr>
                <w:kern w:val="0"/>
                <w:sz w:val="20"/>
                <w:szCs w:val="20"/>
              </w:rPr>
              <w:t xml:space="preserve">2.0 </w:t>
            </w:r>
          </w:p>
        </w:tc>
        <w:tc>
          <w:tcPr>
            <w:tcW w:w="1985" w:type="dxa"/>
            <w:tcBorders>
              <w:top w:val="nil"/>
              <w:left w:val="nil"/>
              <w:bottom w:val="single" w:color="auto" w:sz="4" w:space="0"/>
              <w:right w:val="single" w:color="auto" w:sz="4" w:space="0"/>
            </w:tcBorders>
            <w:vAlign w:val="center"/>
          </w:tcPr>
          <w:p w14:paraId="51C9E587">
            <w:pPr>
              <w:widowControl/>
              <w:spacing w:line="240" w:lineRule="auto"/>
              <w:jc w:val="center"/>
              <w:rPr>
                <w:kern w:val="0"/>
                <w:sz w:val="20"/>
                <w:szCs w:val="20"/>
              </w:rPr>
            </w:pPr>
            <w:r>
              <w:rPr>
                <w:kern w:val="0"/>
                <w:sz w:val="20"/>
                <w:szCs w:val="20"/>
              </w:rPr>
              <w:t>-</w:t>
            </w:r>
          </w:p>
        </w:tc>
      </w:tr>
      <w:tr w14:paraId="255AB78E">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3AB55F68">
            <w:pPr>
              <w:widowControl/>
              <w:spacing w:line="240" w:lineRule="auto"/>
              <w:jc w:val="center"/>
              <w:rPr>
                <w:kern w:val="0"/>
                <w:sz w:val="20"/>
                <w:szCs w:val="20"/>
              </w:rPr>
            </w:pPr>
            <w:r>
              <w:rPr>
                <w:kern w:val="0"/>
                <w:sz w:val="20"/>
                <w:szCs w:val="20"/>
              </w:rPr>
              <w:t>10</w:t>
            </w:r>
          </w:p>
        </w:tc>
        <w:tc>
          <w:tcPr>
            <w:tcW w:w="2007" w:type="dxa"/>
            <w:tcBorders>
              <w:top w:val="nil"/>
              <w:left w:val="nil"/>
              <w:bottom w:val="single" w:color="auto" w:sz="4" w:space="0"/>
              <w:right w:val="single" w:color="auto" w:sz="4" w:space="0"/>
            </w:tcBorders>
            <w:vAlign w:val="center"/>
          </w:tcPr>
          <w:p w14:paraId="6AC57C27">
            <w:pPr>
              <w:widowControl/>
              <w:spacing w:line="240" w:lineRule="auto"/>
              <w:jc w:val="center"/>
              <w:rPr>
                <w:kern w:val="0"/>
                <w:sz w:val="20"/>
                <w:szCs w:val="20"/>
              </w:rPr>
            </w:pPr>
            <w:r>
              <w:rPr>
                <w:kern w:val="0"/>
                <w:sz w:val="20"/>
                <w:szCs w:val="20"/>
              </w:rPr>
              <w:t>20160311</w:t>
            </w:r>
            <w:r>
              <w:rPr>
                <w:color w:val="000000"/>
                <w:kern w:val="0"/>
                <w:sz w:val="20"/>
                <w:szCs w:val="20"/>
              </w:rPr>
              <w:t>PH</w:t>
            </w:r>
          </w:p>
        </w:tc>
        <w:tc>
          <w:tcPr>
            <w:tcW w:w="1688" w:type="dxa"/>
            <w:tcBorders>
              <w:top w:val="nil"/>
              <w:left w:val="nil"/>
              <w:bottom w:val="single" w:color="auto" w:sz="4" w:space="0"/>
              <w:right w:val="single" w:color="auto" w:sz="4" w:space="0"/>
            </w:tcBorders>
            <w:vAlign w:val="center"/>
          </w:tcPr>
          <w:p w14:paraId="52C9B633">
            <w:pPr>
              <w:widowControl/>
              <w:spacing w:line="240" w:lineRule="auto"/>
              <w:jc w:val="center"/>
              <w:rPr>
                <w:kern w:val="0"/>
                <w:sz w:val="20"/>
                <w:szCs w:val="20"/>
              </w:rPr>
            </w:pPr>
            <w:r>
              <w:rPr>
                <w:kern w:val="0"/>
                <w:sz w:val="20"/>
                <w:szCs w:val="20"/>
              </w:rPr>
              <w:t xml:space="preserve">67693 </w:t>
            </w:r>
          </w:p>
        </w:tc>
        <w:tc>
          <w:tcPr>
            <w:tcW w:w="1934" w:type="dxa"/>
            <w:tcBorders>
              <w:top w:val="nil"/>
              <w:left w:val="nil"/>
              <w:bottom w:val="single" w:color="auto" w:sz="4" w:space="0"/>
              <w:right w:val="single" w:color="auto" w:sz="4" w:space="0"/>
            </w:tcBorders>
            <w:vAlign w:val="center"/>
          </w:tcPr>
          <w:p w14:paraId="6B4E8B90">
            <w:pPr>
              <w:widowControl/>
              <w:spacing w:line="240" w:lineRule="auto"/>
              <w:jc w:val="center"/>
              <w:rPr>
                <w:kern w:val="0"/>
                <w:sz w:val="20"/>
                <w:szCs w:val="20"/>
              </w:rPr>
            </w:pPr>
            <w:r>
              <w:rPr>
                <w:kern w:val="0"/>
                <w:sz w:val="20"/>
                <w:szCs w:val="20"/>
              </w:rPr>
              <w:t xml:space="preserve">2.0 </w:t>
            </w:r>
          </w:p>
        </w:tc>
        <w:tc>
          <w:tcPr>
            <w:tcW w:w="1985" w:type="dxa"/>
            <w:tcBorders>
              <w:top w:val="nil"/>
              <w:left w:val="nil"/>
              <w:bottom w:val="single" w:color="auto" w:sz="4" w:space="0"/>
              <w:right w:val="single" w:color="auto" w:sz="4" w:space="0"/>
            </w:tcBorders>
            <w:vAlign w:val="center"/>
          </w:tcPr>
          <w:p w14:paraId="53F82B31">
            <w:pPr>
              <w:widowControl/>
              <w:spacing w:line="240" w:lineRule="auto"/>
              <w:jc w:val="center"/>
              <w:rPr>
                <w:kern w:val="0"/>
                <w:sz w:val="20"/>
                <w:szCs w:val="20"/>
              </w:rPr>
            </w:pPr>
            <w:r>
              <w:rPr>
                <w:kern w:val="0"/>
                <w:sz w:val="20"/>
                <w:szCs w:val="20"/>
              </w:rPr>
              <w:t>-</w:t>
            </w:r>
          </w:p>
        </w:tc>
      </w:tr>
      <w:tr w14:paraId="0542C135">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1F2D332">
            <w:pPr>
              <w:widowControl/>
              <w:spacing w:line="240" w:lineRule="auto"/>
              <w:jc w:val="center"/>
              <w:rPr>
                <w:kern w:val="0"/>
                <w:sz w:val="20"/>
                <w:szCs w:val="20"/>
              </w:rPr>
            </w:pPr>
            <w:r>
              <w:rPr>
                <w:kern w:val="0"/>
                <w:sz w:val="20"/>
                <w:szCs w:val="20"/>
              </w:rPr>
              <w:t>11</w:t>
            </w:r>
          </w:p>
        </w:tc>
        <w:tc>
          <w:tcPr>
            <w:tcW w:w="2007" w:type="dxa"/>
            <w:tcBorders>
              <w:top w:val="nil"/>
              <w:left w:val="nil"/>
              <w:bottom w:val="single" w:color="auto" w:sz="4" w:space="0"/>
              <w:right w:val="single" w:color="auto" w:sz="4" w:space="0"/>
            </w:tcBorders>
            <w:vAlign w:val="center"/>
          </w:tcPr>
          <w:p w14:paraId="604EA5CA">
            <w:pPr>
              <w:widowControl/>
              <w:spacing w:line="240" w:lineRule="auto"/>
              <w:jc w:val="center"/>
              <w:rPr>
                <w:kern w:val="0"/>
                <w:sz w:val="20"/>
                <w:szCs w:val="20"/>
              </w:rPr>
            </w:pPr>
            <w:r>
              <w:rPr>
                <w:kern w:val="0"/>
                <w:sz w:val="20"/>
                <w:szCs w:val="20"/>
              </w:rPr>
              <w:t>20160316</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14:paraId="66E4D014">
            <w:pPr>
              <w:widowControl/>
              <w:spacing w:line="240" w:lineRule="auto"/>
              <w:jc w:val="center"/>
              <w:rPr>
                <w:kern w:val="0"/>
                <w:sz w:val="20"/>
                <w:szCs w:val="20"/>
              </w:rPr>
            </w:pPr>
            <w:r>
              <w:rPr>
                <w:kern w:val="0"/>
                <w:sz w:val="20"/>
                <w:szCs w:val="20"/>
              </w:rPr>
              <w:t xml:space="preserve">13876 </w:t>
            </w:r>
          </w:p>
        </w:tc>
        <w:tc>
          <w:tcPr>
            <w:tcW w:w="1934" w:type="dxa"/>
            <w:tcBorders>
              <w:top w:val="nil"/>
              <w:left w:val="nil"/>
              <w:bottom w:val="single" w:color="auto" w:sz="4" w:space="0"/>
              <w:right w:val="single" w:color="auto" w:sz="4" w:space="0"/>
            </w:tcBorders>
            <w:vAlign w:val="center"/>
          </w:tcPr>
          <w:p w14:paraId="6FFC0BBA">
            <w:pPr>
              <w:widowControl/>
              <w:spacing w:line="240" w:lineRule="auto"/>
              <w:jc w:val="center"/>
              <w:rPr>
                <w:kern w:val="0"/>
                <w:sz w:val="20"/>
                <w:szCs w:val="20"/>
              </w:rPr>
            </w:pPr>
            <w:r>
              <w:rPr>
                <w:kern w:val="0"/>
                <w:sz w:val="20"/>
                <w:szCs w:val="20"/>
              </w:rPr>
              <w:t xml:space="preserve">1.7 </w:t>
            </w:r>
          </w:p>
        </w:tc>
        <w:tc>
          <w:tcPr>
            <w:tcW w:w="1985" w:type="dxa"/>
            <w:tcBorders>
              <w:top w:val="nil"/>
              <w:left w:val="nil"/>
              <w:bottom w:val="single" w:color="auto" w:sz="4" w:space="0"/>
              <w:right w:val="single" w:color="auto" w:sz="4" w:space="0"/>
            </w:tcBorders>
            <w:vAlign w:val="center"/>
          </w:tcPr>
          <w:p w14:paraId="22590EAB">
            <w:pPr>
              <w:widowControl/>
              <w:spacing w:line="240" w:lineRule="auto"/>
              <w:jc w:val="center"/>
              <w:rPr>
                <w:kern w:val="0"/>
                <w:sz w:val="20"/>
                <w:szCs w:val="20"/>
              </w:rPr>
            </w:pPr>
            <w:r>
              <w:rPr>
                <w:kern w:val="0"/>
                <w:sz w:val="20"/>
                <w:szCs w:val="20"/>
              </w:rPr>
              <w:t xml:space="preserve">5.9 </w:t>
            </w:r>
          </w:p>
        </w:tc>
      </w:tr>
      <w:tr w14:paraId="7ACD8318">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853E077">
            <w:pPr>
              <w:widowControl/>
              <w:spacing w:line="240" w:lineRule="auto"/>
              <w:jc w:val="center"/>
              <w:rPr>
                <w:kern w:val="0"/>
                <w:sz w:val="20"/>
                <w:szCs w:val="20"/>
              </w:rPr>
            </w:pPr>
            <w:r>
              <w:rPr>
                <w:kern w:val="0"/>
                <w:sz w:val="20"/>
                <w:szCs w:val="20"/>
              </w:rPr>
              <w:t>12</w:t>
            </w:r>
          </w:p>
        </w:tc>
        <w:tc>
          <w:tcPr>
            <w:tcW w:w="2007" w:type="dxa"/>
            <w:tcBorders>
              <w:top w:val="nil"/>
              <w:left w:val="nil"/>
              <w:bottom w:val="single" w:color="auto" w:sz="4" w:space="0"/>
              <w:right w:val="single" w:color="auto" w:sz="4" w:space="0"/>
            </w:tcBorders>
            <w:vAlign w:val="center"/>
          </w:tcPr>
          <w:p w14:paraId="52BAA65B">
            <w:pPr>
              <w:widowControl/>
              <w:spacing w:line="240" w:lineRule="auto"/>
              <w:jc w:val="center"/>
              <w:rPr>
                <w:kern w:val="0"/>
                <w:sz w:val="20"/>
                <w:szCs w:val="20"/>
              </w:rPr>
            </w:pPr>
            <w:r>
              <w:rPr>
                <w:kern w:val="0"/>
                <w:sz w:val="20"/>
                <w:szCs w:val="20"/>
              </w:rPr>
              <w:t>20160316</w:t>
            </w:r>
            <w:r>
              <w:rPr>
                <w:color w:val="000000"/>
                <w:kern w:val="0"/>
                <w:sz w:val="20"/>
                <w:szCs w:val="20"/>
              </w:rPr>
              <w:t>PQ</w:t>
            </w:r>
          </w:p>
        </w:tc>
        <w:tc>
          <w:tcPr>
            <w:tcW w:w="1688" w:type="dxa"/>
            <w:tcBorders>
              <w:top w:val="nil"/>
              <w:left w:val="nil"/>
              <w:bottom w:val="single" w:color="auto" w:sz="4" w:space="0"/>
              <w:right w:val="single" w:color="auto" w:sz="4" w:space="0"/>
            </w:tcBorders>
            <w:vAlign w:val="center"/>
          </w:tcPr>
          <w:p w14:paraId="350684DE">
            <w:pPr>
              <w:widowControl/>
              <w:spacing w:line="240" w:lineRule="auto"/>
              <w:jc w:val="center"/>
              <w:rPr>
                <w:kern w:val="0"/>
                <w:sz w:val="20"/>
                <w:szCs w:val="20"/>
              </w:rPr>
            </w:pPr>
            <w:r>
              <w:rPr>
                <w:kern w:val="0"/>
                <w:sz w:val="20"/>
                <w:szCs w:val="20"/>
              </w:rPr>
              <w:t xml:space="preserve">15908 </w:t>
            </w:r>
          </w:p>
        </w:tc>
        <w:tc>
          <w:tcPr>
            <w:tcW w:w="1934" w:type="dxa"/>
            <w:tcBorders>
              <w:top w:val="nil"/>
              <w:left w:val="nil"/>
              <w:bottom w:val="single" w:color="auto" w:sz="4" w:space="0"/>
              <w:right w:val="single" w:color="auto" w:sz="4" w:space="0"/>
            </w:tcBorders>
            <w:vAlign w:val="center"/>
          </w:tcPr>
          <w:p w14:paraId="7A56BC8F">
            <w:pPr>
              <w:widowControl/>
              <w:spacing w:line="240" w:lineRule="auto"/>
              <w:jc w:val="center"/>
              <w:rPr>
                <w:kern w:val="0"/>
                <w:sz w:val="20"/>
                <w:szCs w:val="20"/>
              </w:rPr>
            </w:pPr>
            <w:r>
              <w:rPr>
                <w:kern w:val="0"/>
                <w:sz w:val="20"/>
                <w:szCs w:val="20"/>
              </w:rPr>
              <w:t xml:space="preserve">0.7 </w:t>
            </w:r>
          </w:p>
        </w:tc>
        <w:tc>
          <w:tcPr>
            <w:tcW w:w="1985" w:type="dxa"/>
            <w:tcBorders>
              <w:top w:val="nil"/>
              <w:left w:val="nil"/>
              <w:bottom w:val="single" w:color="auto" w:sz="4" w:space="0"/>
              <w:right w:val="single" w:color="auto" w:sz="4" w:space="0"/>
            </w:tcBorders>
            <w:vAlign w:val="center"/>
          </w:tcPr>
          <w:p w14:paraId="20C4C43A">
            <w:pPr>
              <w:widowControl/>
              <w:spacing w:line="240" w:lineRule="auto"/>
              <w:jc w:val="center"/>
              <w:rPr>
                <w:kern w:val="0"/>
                <w:sz w:val="20"/>
                <w:szCs w:val="20"/>
              </w:rPr>
            </w:pPr>
            <w:r>
              <w:rPr>
                <w:kern w:val="0"/>
                <w:sz w:val="20"/>
                <w:szCs w:val="20"/>
              </w:rPr>
              <w:t xml:space="preserve">2.5 </w:t>
            </w:r>
          </w:p>
        </w:tc>
      </w:tr>
      <w:tr w14:paraId="4D9D75E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A668F90">
            <w:pPr>
              <w:widowControl/>
              <w:spacing w:line="240" w:lineRule="auto"/>
              <w:jc w:val="center"/>
              <w:rPr>
                <w:kern w:val="0"/>
                <w:sz w:val="20"/>
                <w:szCs w:val="20"/>
              </w:rPr>
            </w:pPr>
            <w:r>
              <w:rPr>
                <w:kern w:val="0"/>
                <w:sz w:val="20"/>
                <w:szCs w:val="20"/>
              </w:rPr>
              <w:t>13</w:t>
            </w:r>
          </w:p>
        </w:tc>
        <w:tc>
          <w:tcPr>
            <w:tcW w:w="2007" w:type="dxa"/>
            <w:tcBorders>
              <w:top w:val="nil"/>
              <w:left w:val="nil"/>
              <w:bottom w:val="single" w:color="auto" w:sz="4" w:space="0"/>
              <w:right w:val="single" w:color="auto" w:sz="4" w:space="0"/>
            </w:tcBorders>
            <w:vAlign w:val="center"/>
          </w:tcPr>
          <w:p w14:paraId="1AE3CFF4">
            <w:pPr>
              <w:widowControl/>
              <w:spacing w:line="240" w:lineRule="auto"/>
              <w:jc w:val="center"/>
              <w:rPr>
                <w:kern w:val="0"/>
                <w:sz w:val="20"/>
                <w:szCs w:val="20"/>
              </w:rPr>
            </w:pPr>
            <w:r>
              <w:rPr>
                <w:kern w:val="0"/>
                <w:sz w:val="20"/>
                <w:szCs w:val="20"/>
              </w:rPr>
              <w:t>20160317</w:t>
            </w:r>
            <w:r>
              <w:rPr>
                <w:color w:val="000000"/>
                <w:kern w:val="0"/>
                <w:sz w:val="20"/>
                <w:szCs w:val="20"/>
              </w:rPr>
              <w:t>AQ</w:t>
            </w:r>
          </w:p>
        </w:tc>
        <w:tc>
          <w:tcPr>
            <w:tcW w:w="1688" w:type="dxa"/>
            <w:tcBorders>
              <w:top w:val="nil"/>
              <w:left w:val="nil"/>
              <w:bottom w:val="single" w:color="auto" w:sz="4" w:space="0"/>
              <w:right w:val="single" w:color="auto" w:sz="4" w:space="0"/>
            </w:tcBorders>
            <w:vAlign w:val="center"/>
          </w:tcPr>
          <w:p w14:paraId="4B924073">
            <w:pPr>
              <w:widowControl/>
              <w:spacing w:line="240" w:lineRule="auto"/>
              <w:jc w:val="center"/>
              <w:rPr>
                <w:kern w:val="0"/>
                <w:sz w:val="20"/>
                <w:szCs w:val="20"/>
              </w:rPr>
            </w:pPr>
            <w:r>
              <w:rPr>
                <w:kern w:val="0"/>
                <w:sz w:val="20"/>
                <w:szCs w:val="20"/>
              </w:rPr>
              <w:t xml:space="preserve">27059 </w:t>
            </w:r>
          </w:p>
        </w:tc>
        <w:tc>
          <w:tcPr>
            <w:tcW w:w="1934" w:type="dxa"/>
            <w:tcBorders>
              <w:top w:val="nil"/>
              <w:left w:val="nil"/>
              <w:bottom w:val="single" w:color="auto" w:sz="4" w:space="0"/>
              <w:right w:val="single" w:color="auto" w:sz="4" w:space="0"/>
            </w:tcBorders>
            <w:vAlign w:val="center"/>
          </w:tcPr>
          <w:p w14:paraId="41AC6B64">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14:paraId="56102C72">
            <w:pPr>
              <w:widowControl/>
              <w:spacing w:line="240" w:lineRule="auto"/>
              <w:jc w:val="center"/>
              <w:rPr>
                <w:kern w:val="0"/>
                <w:sz w:val="20"/>
                <w:szCs w:val="20"/>
              </w:rPr>
            </w:pPr>
            <w:r>
              <w:rPr>
                <w:kern w:val="0"/>
                <w:sz w:val="20"/>
                <w:szCs w:val="20"/>
              </w:rPr>
              <w:t>-</w:t>
            </w:r>
          </w:p>
        </w:tc>
      </w:tr>
      <w:tr w14:paraId="230EF3F6">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6F739B1F">
            <w:pPr>
              <w:widowControl/>
              <w:spacing w:line="240" w:lineRule="auto"/>
              <w:jc w:val="center"/>
              <w:rPr>
                <w:kern w:val="0"/>
                <w:sz w:val="20"/>
                <w:szCs w:val="20"/>
              </w:rPr>
            </w:pPr>
            <w:r>
              <w:rPr>
                <w:kern w:val="0"/>
                <w:sz w:val="20"/>
                <w:szCs w:val="20"/>
              </w:rPr>
              <w:t>14</w:t>
            </w:r>
          </w:p>
        </w:tc>
        <w:tc>
          <w:tcPr>
            <w:tcW w:w="2007" w:type="dxa"/>
            <w:tcBorders>
              <w:top w:val="nil"/>
              <w:left w:val="nil"/>
              <w:bottom w:val="single" w:color="auto" w:sz="4" w:space="0"/>
              <w:right w:val="single" w:color="auto" w:sz="4" w:space="0"/>
            </w:tcBorders>
            <w:vAlign w:val="center"/>
          </w:tcPr>
          <w:p w14:paraId="022399AD">
            <w:pPr>
              <w:widowControl/>
              <w:spacing w:line="240" w:lineRule="auto"/>
              <w:jc w:val="center"/>
              <w:rPr>
                <w:kern w:val="0"/>
                <w:sz w:val="20"/>
                <w:szCs w:val="20"/>
              </w:rPr>
            </w:pPr>
            <w:r>
              <w:rPr>
                <w:kern w:val="0"/>
                <w:sz w:val="20"/>
                <w:szCs w:val="20"/>
              </w:rPr>
              <w:t>20160317</w:t>
            </w:r>
            <w:r>
              <w:rPr>
                <w:color w:val="000000"/>
                <w:kern w:val="0"/>
                <w:sz w:val="20"/>
                <w:szCs w:val="20"/>
              </w:rPr>
              <w:t>PQ</w:t>
            </w:r>
          </w:p>
        </w:tc>
        <w:tc>
          <w:tcPr>
            <w:tcW w:w="1688" w:type="dxa"/>
            <w:tcBorders>
              <w:top w:val="nil"/>
              <w:left w:val="nil"/>
              <w:bottom w:val="single" w:color="auto" w:sz="4" w:space="0"/>
              <w:right w:val="single" w:color="auto" w:sz="4" w:space="0"/>
            </w:tcBorders>
            <w:vAlign w:val="center"/>
          </w:tcPr>
          <w:p w14:paraId="15299039">
            <w:pPr>
              <w:widowControl/>
              <w:spacing w:line="240" w:lineRule="auto"/>
              <w:jc w:val="center"/>
              <w:rPr>
                <w:kern w:val="0"/>
                <w:sz w:val="20"/>
                <w:szCs w:val="20"/>
              </w:rPr>
            </w:pPr>
            <w:r>
              <w:rPr>
                <w:kern w:val="0"/>
                <w:sz w:val="20"/>
                <w:szCs w:val="20"/>
              </w:rPr>
              <w:t xml:space="preserve">26836 </w:t>
            </w:r>
          </w:p>
        </w:tc>
        <w:tc>
          <w:tcPr>
            <w:tcW w:w="1934" w:type="dxa"/>
            <w:tcBorders>
              <w:top w:val="nil"/>
              <w:left w:val="nil"/>
              <w:bottom w:val="single" w:color="auto" w:sz="4" w:space="0"/>
              <w:right w:val="single" w:color="auto" w:sz="4" w:space="0"/>
            </w:tcBorders>
            <w:vAlign w:val="center"/>
          </w:tcPr>
          <w:p w14:paraId="4B3BEA3A">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44B686E5">
            <w:pPr>
              <w:widowControl/>
              <w:spacing w:line="240" w:lineRule="auto"/>
              <w:jc w:val="center"/>
              <w:rPr>
                <w:kern w:val="0"/>
                <w:sz w:val="20"/>
                <w:szCs w:val="20"/>
              </w:rPr>
            </w:pPr>
            <w:r>
              <w:rPr>
                <w:kern w:val="0"/>
                <w:sz w:val="20"/>
                <w:szCs w:val="20"/>
              </w:rPr>
              <w:t>-</w:t>
            </w:r>
          </w:p>
        </w:tc>
      </w:tr>
      <w:tr w14:paraId="6B1B100A">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0815D02">
            <w:pPr>
              <w:widowControl/>
              <w:spacing w:line="240" w:lineRule="auto"/>
              <w:jc w:val="center"/>
              <w:rPr>
                <w:kern w:val="0"/>
                <w:sz w:val="20"/>
                <w:szCs w:val="20"/>
              </w:rPr>
            </w:pPr>
            <w:r>
              <w:rPr>
                <w:kern w:val="0"/>
                <w:sz w:val="20"/>
                <w:szCs w:val="20"/>
              </w:rPr>
              <w:t>15</w:t>
            </w:r>
          </w:p>
        </w:tc>
        <w:tc>
          <w:tcPr>
            <w:tcW w:w="2007" w:type="dxa"/>
            <w:tcBorders>
              <w:top w:val="nil"/>
              <w:left w:val="nil"/>
              <w:bottom w:val="single" w:color="auto" w:sz="4" w:space="0"/>
              <w:right w:val="single" w:color="auto" w:sz="4" w:space="0"/>
            </w:tcBorders>
            <w:vAlign w:val="center"/>
          </w:tcPr>
          <w:p w14:paraId="14A675CC">
            <w:pPr>
              <w:widowControl/>
              <w:spacing w:line="240" w:lineRule="auto"/>
              <w:jc w:val="center"/>
              <w:rPr>
                <w:kern w:val="0"/>
                <w:sz w:val="20"/>
                <w:szCs w:val="20"/>
              </w:rPr>
            </w:pPr>
            <w:r>
              <w:rPr>
                <w:kern w:val="0"/>
                <w:sz w:val="20"/>
                <w:szCs w:val="20"/>
              </w:rPr>
              <w:t>20160322</w:t>
            </w:r>
            <w:r>
              <w:rPr>
                <w:color w:val="000000"/>
                <w:kern w:val="0"/>
                <w:sz w:val="20"/>
                <w:szCs w:val="20"/>
              </w:rPr>
              <w:t>PK</w:t>
            </w:r>
          </w:p>
        </w:tc>
        <w:tc>
          <w:tcPr>
            <w:tcW w:w="1688" w:type="dxa"/>
            <w:tcBorders>
              <w:top w:val="nil"/>
              <w:left w:val="nil"/>
              <w:bottom w:val="single" w:color="auto" w:sz="4" w:space="0"/>
              <w:right w:val="single" w:color="auto" w:sz="4" w:space="0"/>
            </w:tcBorders>
            <w:vAlign w:val="center"/>
          </w:tcPr>
          <w:p w14:paraId="77F974BC">
            <w:pPr>
              <w:widowControl/>
              <w:spacing w:line="240" w:lineRule="auto"/>
              <w:jc w:val="center"/>
              <w:rPr>
                <w:kern w:val="0"/>
                <w:sz w:val="20"/>
                <w:szCs w:val="20"/>
              </w:rPr>
            </w:pPr>
            <w:r>
              <w:rPr>
                <w:kern w:val="0"/>
                <w:sz w:val="20"/>
                <w:szCs w:val="20"/>
              </w:rPr>
              <w:t xml:space="preserve">2811 </w:t>
            </w:r>
          </w:p>
        </w:tc>
        <w:tc>
          <w:tcPr>
            <w:tcW w:w="1934" w:type="dxa"/>
            <w:tcBorders>
              <w:top w:val="nil"/>
              <w:left w:val="nil"/>
              <w:bottom w:val="single" w:color="auto" w:sz="4" w:space="0"/>
              <w:right w:val="single" w:color="auto" w:sz="4" w:space="0"/>
            </w:tcBorders>
            <w:vAlign w:val="center"/>
          </w:tcPr>
          <w:p w14:paraId="7F7F1FF6">
            <w:pPr>
              <w:widowControl/>
              <w:spacing w:line="240" w:lineRule="auto"/>
              <w:jc w:val="center"/>
              <w:rPr>
                <w:kern w:val="0"/>
                <w:sz w:val="20"/>
                <w:szCs w:val="20"/>
              </w:rPr>
            </w:pPr>
            <w:r>
              <w:rPr>
                <w:kern w:val="0"/>
                <w:sz w:val="20"/>
                <w:szCs w:val="20"/>
              </w:rPr>
              <w:t xml:space="preserve">0.9 </w:t>
            </w:r>
          </w:p>
        </w:tc>
        <w:tc>
          <w:tcPr>
            <w:tcW w:w="1985" w:type="dxa"/>
            <w:tcBorders>
              <w:top w:val="nil"/>
              <w:left w:val="nil"/>
              <w:bottom w:val="single" w:color="auto" w:sz="4" w:space="0"/>
              <w:right w:val="single" w:color="auto" w:sz="4" w:space="0"/>
            </w:tcBorders>
            <w:vAlign w:val="center"/>
          </w:tcPr>
          <w:p w14:paraId="40161D94">
            <w:pPr>
              <w:widowControl/>
              <w:spacing w:line="240" w:lineRule="auto"/>
              <w:jc w:val="center"/>
              <w:rPr>
                <w:kern w:val="0"/>
                <w:sz w:val="20"/>
                <w:szCs w:val="20"/>
              </w:rPr>
            </w:pPr>
            <w:r>
              <w:rPr>
                <w:kern w:val="0"/>
                <w:sz w:val="20"/>
                <w:szCs w:val="20"/>
              </w:rPr>
              <w:t xml:space="preserve">0.7 </w:t>
            </w:r>
          </w:p>
        </w:tc>
      </w:tr>
      <w:tr w14:paraId="4C6C2D05">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6BDF86E">
            <w:pPr>
              <w:widowControl/>
              <w:spacing w:line="240" w:lineRule="auto"/>
              <w:jc w:val="center"/>
              <w:rPr>
                <w:kern w:val="0"/>
                <w:sz w:val="20"/>
                <w:szCs w:val="20"/>
              </w:rPr>
            </w:pPr>
            <w:r>
              <w:rPr>
                <w:kern w:val="0"/>
                <w:sz w:val="20"/>
                <w:szCs w:val="20"/>
              </w:rPr>
              <w:t>16</w:t>
            </w:r>
          </w:p>
        </w:tc>
        <w:tc>
          <w:tcPr>
            <w:tcW w:w="2007" w:type="dxa"/>
            <w:tcBorders>
              <w:top w:val="nil"/>
              <w:left w:val="nil"/>
              <w:bottom w:val="single" w:color="auto" w:sz="4" w:space="0"/>
              <w:right w:val="single" w:color="auto" w:sz="4" w:space="0"/>
            </w:tcBorders>
            <w:vAlign w:val="center"/>
          </w:tcPr>
          <w:p w14:paraId="756DA79D">
            <w:pPr>
              <w:widowControl/>
              <w:spacing w:line="240" w:lineRule="auto"/>
              <w:jc w:val="center"/>
              <w:rPr>
                <w:kern w:val="0"/>
                <w:sz w:val="20"/>
                <w:szCs w:val="20"/>
              </w:rPr>
            </w:pPr>
            <w:r>
              <w:rPr>
                <w:kern w:val="0"/>
                <w:sz w:val="20"/>
                <w:szCs w:val="20"/>
              </w:rPr>
              <w:t>20160405</w:t>
            </w:r>
            <w:r>
              <w:rPr>
                <w:color w:val="000000"/>
                <w:kern w:val="0"/>
                <w:sz w:val="20"/>
                <w:szCs w:val="20"/>
              </w:rPr>
              <w:t>AH</w:t>
            </w:r>
          </w:p>
        </w:tc>
        <w:tc>
          <w:tcPr>
            <w:tcW w:w="1688" w:type="dxa"/>
            <w:tcBorders>
              <w:top w:val="nil"/>
              <w:left w:val="nil"/>
              <w:bottom w:val="single" w:color="auto" w:sz="4" w:space="0"/>
              <w:right w:val="single" w:color="auto" w:sz="4" w:space="0"/>
            </w:tcBorders>
            <w:vAlign w:val="center"/>
          </w:tcPr>
          <w:p w14:paraId="3808CA55">
            <w:pPr>
              <w:widowControl/>
              <w:spacing w:line="240" w:lineRule="auto"/>
              <w:jc w:val="center"/>
              <w:rPr>
                <w:kern w:val="0"/>
                <w:sz w:val="20"/>
                <w:szCs w:val="20"/>
              </w:rPr>
            </w:pPr>
            <w:r>
              <w:rPr>
                <w:kern w:val="0"/>
                <w:sz w:val="20"/>
                <w:szCs w:val="20"/>
              </w:rPr>
              <w:t xml:space="preserve">7227 </w:t>
            </w:r>
          </w:p>
        </w:tc>
        <w:tc>
          <w:tcPr>
            <w:tcW w:w="1934" w:type="dxa"/>
            <w:tcBorders>
              <w:top w:val="nil"/>
              <w:left w:val="nil"/>
              <w:bottom w:val="single" w:color="auto" w:sz="4" w:space="0"/>
              <w:right w:val="single" w:color="auto" w:sz="4" w:space="0"/>
            </w:tcBorders>
            <w:vAlign w:val="center"/>
          </w:tcPr>
          <w:p w14:paraId="050F1EEC">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48E6EC8D">
            <w:pPr>
              <w:widowControl/>
              <w:spacing w:line="240" w:lineRule="auto"/>
              <w:jc w:val="center"/>
              <w:rPr>
                <w:kern w:val="0"/>
                <w:sz w:val="20"/>
                <w:szCs w:val="20"/>
              </w:rPr>
            </w:pPr>
            <w:r>
              <w:rPr>
                <w:kern w:val="0"/>
                <w:sz w:val="20"/>
                <w:szCs w:val="20"/>
              </w:rPr>
              <w:t xml:space="preserve">0.5 </w:t>
            </w:r>
          </w:p>
        </w:tc>
      </w:tr>
      <w:tr w14:paraId="7350B7CF">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1F316ABD">
            <w:pPr>
              <w:widowControl/>
              <w:spacing w:line="240" w:lineRule="auto"/>
              <w:jc w:val="center"/>
              <w:rPr>
                <w:kern w:val="0"/>
                <w:sz w:val="20"/>
                <w:szCs w:val="20"/>
              </w:rPr>
            </w:pPr>
            <w:r>
              <w:rPr>
                <w:kern w:val="0"/>
                <w:sz w:val="20"/>
                <w:szCs w:val="20"/>
              </w:rPr>
              <w:t>17</w:t>
            </w:r>
          </w:p>
        </w:tc>
        <w:tc>
          <w:tcPr>
            <w:tcW w:w="2007" w:type="dxa"/>
            <w:tcBorders>
              <w:top w:val="nil"/>
              <w:left w:val="nil"/>
              <w:bottom w:val="single" w:color="auto" w:sz="4" w:space="0"/>
              <w:right w:val="single" w:color="auto" w:sz="4" w:space="0"/>
            </w:tcBorders>
            <w:vAlign w:val="center"/>
          </w:tcPr>
          <w:p w14:paraId="694922A0">
            <w:pPr>
              <w:widowControl/>
              <w:spacing w:line="240" w:lineRule="auto"/>
              <w:jc w:val="center"/>
              <w:rPr>
                <w:kern w:val="0"/>
                <w:sz w:val="20"/>
                <w:szCs w:val="20"/>
              </w:rPr>
            </w:pPr>
            <w:r>
              <w:rPr>
                <w:kern w:val="0"/>
                <w:sz w:val="20"/>
                <w:szCs w:val="20"/>
              </w:rPr>
              <w:t>20160405</w:t>
            </w:r>
            <w:r>
              <w:rPr>
                <w:color w:val="000000"/>
                <w:kern w:val="0"/>
                <w:sz w:val="20"/>
                <w:szCs w:val="20"/>
              </w:rPr>
              <w:t>PH</w:t>
            </w:r>
          </w:p>
        </w:tc>
        <w:tc>
          <w:tcPr>
            <w:tcW w:w="1688" w:type="dxa"/>
            <w:tcBorders>
              <w:top w:val="nil"/>
              <w:left w:val="nil"/>
              <w:bottom w:val="single" w:color="auto" w:sz="4" w:space="0"/>
              <w:right w:val="single" w:color="auto" w:sz="4" w:space="0"/>
            </w:tcBorders>
            <w:vAlign w:val="center"/>
          </w:tcPr>
          <w:p w14:paraId="0ECF0E01">
            <w:pPr>
              <w:widowControl/>
              <w:spacing w:line="240" w:lineRule="auto"/>
              <w:jc w:val="center"/>
              <w:rPr>
                <w:kern w:val="0"/>
                <w:sz w:val="20"/>
                <w:szCs w:val="20"/>
              </w:rPr>
            </w:pPr>
            <w:r>
              <w:rPr>
                <w:kern w:val="0"/>
                <w:sz w:val="20"/>
                <w:szCs w:val="20"/>
              </w:rPr>
              <w:t xml:space="preserve">7076 </w:t>
            </w:r>
          </w:p>
        </w:tc>
        <w:tc>
          <w:tcPr>
            <w:tcW w:w="1934" w:type="dxa"/>
            <w:tcBorders>
              <w:top w:val="nil"/>
              <w:left w:val="nil"/>
              <w:bottom w:val="single" w:color="auto" w:sz="4" w:space="0"/>
              <w:right w:val="single" w:color="auto" w:sz="4" w:space="0"/>
            </w:tcBorders>
            <w:vAlign w:val="center"/>
          </w:tcPr>
          <w:p w14:paraId="353A7581">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12741E6A">
            <w:pPr>
              <w:widowControl/>
              <w:spacing w:line="240" w:lineRule="auto"/>
              <w:jc w:val="center"/>
              <w:rPr>
                <w:kern w:val="0"/>
                <w:sz w:val="20"/>
                <w:szCs w:val="20"/>
              </w:rPr>
            </w:pPr>
            <w:r>
              <w:rPr>
                <w:kern w:val="0"/>
                <w:sz w:val="20"/>
                <w:szCs w:val="20"/>
              </w:rPr>
              <w:t xml:space="preserve">1.3 </w:t>
            </w:r>
          </w:p>
        </w:tc>
      </w:tr>
      <w:tr w14:paraId="3FE31209">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8206B4D">
            <w:pPr>
              <w:widowControl/>
              <w:spacing w:line="240" w:lineRule="auto"/>
              <w:jc w:val="center"/>
              <w:rPr>
                <w:kern w:val="0"/>
                <w:sz w:val="20"/>
                <w:szCs w:val="20"/>
              </w:rPr>
            </w:pPr>
            <w:r>
              <w:rPr>
                <w:kern w:val="0"/>
                <w:sz w:val="20"/>
                <w:szCs w:val="20"/>
              </w:rPr>
              <w:t>18</w:t>
            </w:r>
          </w:p>
        </w:tc>
        <w:tc>
          <w:tcPr>
            <w:tcW w:w="2007" w:type="dxa"/>
            <w:tcBorders>
              <w:top w:val="nil"/>
              <w:left w:val="nil"/>
              <w:bottom w:val="nil"/>
              <w:right w:val="single" w:color="auto" w:sz="4" w:space="0"/>
            </w:tcBorders>
            <w:vAlign w:val="center"/>
          </w:tcPr>
          <w:p w14:paraId="03DE88A1">
            <w:pPr>
              <w:widowControl/>
              <w:spacing w:line="240" w:lineRule="auto"/>
              <w:jc w:val="center"/>
              <w:rPr>
                <w:kern w:val="0"/>
                <w:sz w:val="20"/>
                <w:szCs w:val="20"/>
              </w:rPr>
            </w:pPr>
            <w:r>
              <w:rPr>
                <w:kern w:val="0"/>
                <w:sz w:val="20"/>
                <w:szCs w:val="20"/>
              </w:rPr>
              <w:t>20160712AQ1</w:t>
            </w:r>
          </w:p>
        </w:tc>
        <w:tc>
          <w:tcPr>
            <w:tcW w:w="1688" w:type="dxa"/>
            <w:tcBorders>
              <w:top w:val="nil"/>
              <w:left w:val="nil"/>
              <w:bottom w:val="single" w:color="auto" w:sz="4" w:space="0"/>
              <w:right w:val="single" w:color="auto" w:sz="4" w:space="0"/>
            </w:tcBorders>
            <w:vAlign w:val="center"/>
          </w:tcPr>
          <w:p w14:paraId="2ED64EC6">
            <w:pPr>
              <w:widowControl/>
              <w:spacing w:line="240" w:lineRule="auto"/>
              <w:jc w:val="center"/>
              <w:rPr>
                <w:kern w:val="0"/>
                <w:sz w:val="20"/>
                <w:szCs w:val="20"/>
              </w:rPr>
            </w:pPr>
            <w:r>
              <w:rPr>
                <w:kern w:val="0"/>
                <w:sz w:val="20"/>
                <w:szCs w:val="20"/>
              </w:rPr>
              <w:t xml:space="preserve">7197 </w:t>
            </w:r>
          </w:p>
        </w:tc>
        <w:tc>
          <w:tcPr>
            <w:tcW w:w="1934" w:type="dxa"/>
            <w:tcBorders>
              <w:top w:val="nil"/>
              <w:left w:val="nil"/>
              <w:bottom w:val="single" w:color="auto" w:sz="4" w:space="0"/>
              <w:right w:val="single" w:color="auto" w:sz="4" w:space="0"/>
            </w:tcBorders>
            <w:vAlign w:val="center"/>
          </w:tcPr>
          <w:p w14:paraId="327407A2">
            <w:pPr>
              <w:widowControl/>
              <w:spacing w:line="240" w:lineRule="auto"/>
              <w:jc w:val="center"/>
              <w:rPr>
                <w:kern w:val="0"/>
                <w:sz w:val="20"/>
                <w:szCs w:val="20"/>
              </w:rPr>
            </w:pPr>
            <w:r>
              <w:rPr>
                <w:kern w:val="0"/>
                <w:sz w:val="20"/>
                <w:szCs w:val="20"/>
              </w:rPr>
              <w:t xml:space="preserve">1.9 </w:t>
            </w:r>
          </w:p>
        </w:tc>
        <w:tc>
          <w:tcPr>
            <w:tcW w:w="1985" w:type="dxa"/>
            <w:tcBorders>
              <w:top w:val="nil"/>
              <w:left w:val="nil"/>
              <w:bottom w:val="single" w:color="auto" w:sz="4" w:space="0"/>
              <w:right w:val="single" w:color="auto" w:sz="4" w:space="0"/>
            </w:tcBorders>
            <w:vAlign w:val="center"/>
          </w:tcPr>
          <w:p w14:paraId="1ED675EE">
            <w:pPr>
              <w:widowControl/>
              <w:spacing w:line="240" w:lineRule="auto"/>
              <w:jc w:val="center"/>
              <w:rPr>
                <w:kern w:val="0"/>
                <w:sz w:val="20"/>
                <w:szCs w:val="20"/>
              </w:rPr>
            </w:pPr>
            <w:r>
              <w:rPr>
                <w:kern w:val="0"/>
                <w:sz w:val="20"/>
                <w:szCs w:val="20"/>
              </w:rPr>
              <w:t xml:space="preserve">2.6 </w:t>
            </w:r>
          </w:p>
        </w:tc>
      </w:tr>
      <w:tr w14:paraId="3251218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E307A64">
            <w:pPr>
              <w:widowControl/>
              <w:spacing w:line="240" w:lineRule="auto"/>
              <w:jc w:val="center"/>
              <w:rPr>
                <w:kern w:val="0"/>
                <w:sz w:val="20"/>
                <w:szCs w:val="20"/>
              </w:rPr>
            </w:pPr>
            <w:r>
              <w:rPr>
                <w:kern w:val="0"/>
                <w:sz w:val="20"/>
                <w:szCs w:val="20"/>
              </w:rPr>
              <w:t>19</w:t>
            </w:r>
          </w:p>
        </w:tc>
        <w:tc>
          <w:tcPr>
            <w:tcW w:w="2007" w:type="dxa"/>
            <w:tcBorders>
              <w:top w:val="single" w:color="auto" w:sz="4" w:space="0"/>
              <w:left w:val="nil"/>
              <w:bottom w:val="nil"/>
              <w:right w:val="single" w:color="auto" w:sz="4" w:space="0"/>
            </w:tcBorders>
            <w:vAlign w:val="center"/>
          </w:tcPr>
          <w:p w14:paraId="790B69C8">
            <w:pPr>
              <w:widowControl/>
              <w:spacing w:line="240" w:lineRule="auto"/>
              <w:jc w:val="center"/>
              <w:rPr>
                <w:kern w:val="0"/>
                <w:sz w:val="20"/>
                <w:szCs w:val="20"/>
              </w:rPr>
            </w:pPr>
            <w:r>
              <w:rPr>
                <w:kern w:val="0"/>
                <w:sz w:val="20"/>
                <w:szCs w:val="20"/>
              </w:rPr>
              <w:t>20160712AQ2</w:t>
            </w:r>
          </w:p>
        </w:tc>
        <w:tc>
          <w:tcPr>
            <w:tcW w:w="1688" w:type="dxa"/>
            <w:tcBorders>
              <w:top w:val="nil"/>
              <w:left w:val="nil"/>
              <w:bottom w:val="single" w:color="auto" w:sz="4" w:space="0"/>
              <w:right w:val="single" w:color="auto" w:sz="4" w:space="0"/>
            </w:tcBorders>
            <w:vAlign w:val="center"/>
          </w:tcPr>
          <w:p w14:paraId="3A3E2726">
            <w:pPr>
              <w:widowControl/>
              <w:spacing w:line="240" w:lineRule="auto"/>
              <w:jc w:val="center"/>
              <w:rPr>
                <w:kern w:val="0"/>
                <w:sz w:val="20"/>
                <w:szCs w:val="20"/>
              </w:rPr>
            </w:pPr>
            <w:r>
              <w:rPr>
                <w:kern w:val="0"/>
                <w:sz w:val="20"/>
                <w:szCs w:val="20"/>
              </w:rPr>
              <w:t xml:space="preserve">7496 </w:t>
            </w:r>
          </w:p>
        </w:tc>
        <w:tc>
          <w:tcPr>
            <w:tcW w:w="1934" w:type="dxa"/>
            <w:tcBorders>
              <w:top w:val="nil"/>
              <w:left w:val="nil"/>
              <w:bottom w:val="single" w:color="auto" w:sz="4" w:space="0"/>
              <w:right w:val="single" w:color="auto" w:sz="4" w:space="0"/>
            </w:tcBorders>
            <w:vAlign w:val="center"/>
          </w:tcPr>
          <w:p w14:paraId="49CE08DD">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16E448A2">
            <w:pPr>
              <w:widowControl/>
              <w:spacing w:line="240" w:lineRule="auto"/>
              <w:jc w:val="center"/>
              <w:rPr>
                <w:kern w:val="0"/>
                <w:sz w:val="20"/>
                <w:szCs w:val="20"/>
              </w:rPr>
            </w:pPr>
            <w:r>
              <w:rPr>
                <w:kern w:val="0"/>
                <w:sz w:val="20"/>
                <w:szCs w:val="20"/>
              </w:rPr>
              <w:t xml:space="preserve">0.5 </w:t>
            </w:r>
          </w:p>
        </w:tc>
      </w:tr>
      <w:tr w14:paraId="707381B7">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322EDC1">
            <w:pPr>
              <w:widowControl/>
              <w:spacing w:line="240" w:lineRule="auto"/>
              <w:jc w:val="center"/>
              <w:rPr>
                <w:kern w:val="0"/>
                <w:sz w:val="20"/>
                <w:szCs w:val="20"/>
              </w:rPr>
            </w:pPr>
            <w:r>
              <w:rPr>
                <w:kern w:val="0"/>
                <w:sz w:val="20"/>
                <w:szCs w:val="20"/>
              </w:rPr>
              <w:t>20</w:t>
            </w:r>
          </w:p>
        </w:tc>
        <w:tc>
          <w:tcPr>
            <w:tcW w:w="2007" w:type="dxa"/>
            <w:tcBorders>
              <w:top w:val="single" w:color="auto" w:sz="4" w:space="0"/>
              <w:left w:val="nil"/>
              <w:bottom w:val="nil"/>
              <w:right w:val="single" w:color="auto" w:sz="4" w:space="0"/>
            </w:tcBorders>
            <w:vAlign w:val="center"/>
          </w:tcPr>
          <w:p w14:paraId="4D50B42D">
            <w:pPr>
              <w:widowControl/>
              <w:spacing w:line="240" w:lineRule="auto"/>
              <w:jc w:val="center"/>
              <w:rPr>
                <w:kern w:val="0"/>
                <w:sz w:val="20"/>
                <w:szCs w:val="20"/>
              </w:rPr>
            </w:pPr>
            <w:r>
              <w:rPr>
                <w:kern w:val="0"/>
                <w:sz w:val="20"/>
                <w:szCs w:val="20"/>
              </w:rPr>
              <w:t>20160712PQ1</w:t>
            </w:r>
          </w:p>
        </w:tc>
        <w:tc>
          <w:tcPr>
            <w:tcW w:w="1688" w:type="dxa"/>
            <w:tcBorders>
              <w:top w:val="nil"/>
              <w:left w:val="nil"/>
              <w:bottom w:val="single" w:color="auto" w:sz="4" w:space="0"/>
              <w:right w:val="single" w:color="auto" w:sz="4" w:space="0"/>
            </w:tcBorders>
            <w:vAlign w:val="center"/>
          </w:tcPr>
          <w:p w14:paraId="7C846055">
            <w:pPr>
              <w:widowControl/>
              <w:spacing w:line="240" w:lineRule="auto"/>
              <w:jc w:val="center"/>
              <w:rPr>
                <w:kern w:val="0"/>
                <w:sz w:val="20"/>
                <w:szCs w:val="20"/>
              </w:rPr>
            </w:pPr>
            <w:r>
              <w:rPr>
                <w:kern w:val="0"/>
                <w:sz w:val="20"/>
                <w:szCs w:val="20"/>
              </w:rPr>
              <w:t xml:space="preserve">7842 </w:t>
            </w:r>
          </w:p>
        </w:tc>
        <w:tc>
          <w:tcPr>
            <w:tcW w:w="1934" w:type="dxa"/>
            <w:tcBorders>
              <w:top w:val="nil"/>
              <w:left w:val="nil"/>
              <w:bottom w:val="single" w:color="auto" w:sz="4" w:space="0"/>
              <w:right w:val="single" w:color="auto" w:sz="4" w:space="0"/>
            </w:tcBorders>
            <w:vAlign w:val="center"/>
          </w:tcPr>
          <w:p w14:paraId="55BC6FE8">
            <w:pPr>
              <w:widowControl/>
              <w:spacing w:line="240" w:lineRule="auto"/>
              <w:jc w:val="center"/>
              <w:rPr>
                <w:kern w:val="0"/>
                <w:sz w:val="20"/>
                <w:szCs w:val="20"/>
              </w:rPr>
            </w:pPr>
            <w:r>
              <w:rPr>
                <w:kern w:val="0"/>
                <w:sz w:val="20"/>
                <w:szCs w:val="20"/>
              </w:rPr>
              <w:t xml:space="preserve">2.3 </w:t>
            </w:r>
          </w:p>
        </w:tc>
        <w:tc>
          <w:tcPr>
            <w:tcW w:w="1985" w:type="dxa"/>
            <w:tcBorders>
              <w:top w:val="nil"/>
              <w:left w:val="nil"/>
              <w:bottom w:val="single" w:color="auto" w:sz="4" w:space="0"/>
              <w:right w:val="single" w:color="auto" w:sz="4" w:space="0"/>
            </w:tcBorders>
            <w:vAlign w:val="center"/>
          </w:tcPr>
          <w:p w14:paraId="6AAC0B68">
            <w:pPr>
              <w:widowControl/>
              <w:spacing w:line="240" w:lineRule="auto"/>
              <w:jc w:val="center"/>
              <w:rPr>
                <w:kern w:val="0"/>
                <w:sz w:val="20"/>
                <w:szCs w:val="20"/>
              </w:rPr>
            </w:pPr>
            <w:r>
              <w:rPr>
                <w:kern w:val="0"/>
                <w:sz w:val="20"/>
                <w:szCs w:val="20"/>
              </w:rPr>
              <w:t xml:space="preserve">3.2 </w:t>
            </w:r>
          </w:p>
        </w:tc>
      </w:tr>
      <w:tr w14:paraId="5BDA19C5">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B1977DC">
            <w:pPr>
              <w:widowControl/>
              <w:spacing w:line="240" w:lineRule="auto"/>
              <w:jc w:val="center"/>
              <w:rPr>
                <w:kern w:val="0"/>
                <w:sz w:val="20"/>
                <w:szCs w:val="20"/>
              </w:rPr>
            </w:pPr>
            <w:r>
              <w:rPr>
                <w:kern w:val="0"/>
                <w:sz w:val="20"/>
                <w:szCs w:val="20"/>
              </w:rPr>
              <w:t>21</w:t>
            </w:r>
          </w:p>
        </w:tc>
        <w:tc>
          <w:tcPr>
            <w:tcW w:w="2007" w:type="dxa"/>
            <w:tcBorders>
              <w:top w:val="single" w:color="auto" w:sz="4" w:space="0"/>
              <w:left w:val="nil"/>
              <w:bottom w:val="nil"/>
              <w:right w:val="single" w:color="auto" w:sz="4" w:space="0"/>
            </w:tcBorders>
            <w:vAlign w:val="center"/>
          </w:tcPr>
          <w:p w14:paraId="3B7C552F">
            <w:pPr>
              <w:widowControl/>
              <w:spacing w:line="240" w:lineRule="auto"/>
              <w:jc w:val="center"/>
              <w:rPr>
                <w:kern w:val="0"/>
                <w:sz w:val="20"/>
                <w:szCs w:val="20"/>
              </w:rPr>
            </w:pPr>
            <w:r>
              <w:rPr>
                <w:kern w:val="0"/>
                <w:sz w:val="20"/>
                <w:szCs w:val="20"/>
              </w:rPr>
              <w:t>20160712PQ2</w:t>
            </w:r>
          </w:p>
        </w:tc>
        <w:tc>
          <w:tcPr>
            <w:tcW w:w="1688" w:type="dxa"/>
            <w:tcBorders>
              <w:top w:val="nil"/>
              <w:left w:val="nil"/>
              <w:bottom w:val="single" w:color="auto" w:sz="4" w:space="0"/>
              <w:right w:val="single" w:color="auto" w:sz="4" w:space="0"/>
            </w:tcBorders>
            <w:vAlign w:val="center"/>
          </w:tcPr>
          <w:p w14:paraId="3501AE69">
            <w:pPr>
              <w:widowControl/>
              <w:spacing w:line="240" w:lineRule="auto"/>
              <w:jc w:val="center"/>
              <w:rPr>
                <w:kern w:val="0"/>
                <w:sz w:val="20"/>
                <w:szCs w:val="20"/>
              </w:rPr>
            </w:pPr>
            <w:r>
              <w:rPr>
                <w:kern w:val="0"/>
                <w:sz w:val="20"/>
                <w:szCs w:val="20"/>
              </w:rPr>
              <w:t xml:space="preserve">7641 </w:t>
            </w:r>
          </w:p>
        </w:tc>
        <w:tc>
          <w:tcPr>
            <w:tcW w:w="1934" w:type="dxa"/>
            <w:tcBorders>
              <w:top w:val="nil"/>
              <w:left w:val="nil"/>
              <w:bottom w:val="single" w:color="auto" w:sz="4" w:space="0"/>
              <w:right w:val="single" w:color="auto" w:sz="4" w:space="0"/>
            </w:tcBorders>
            <w:vAlign w:val="center"/>
          </w:tcPr>
          <w:p w14:paraId="1617FAFB">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14:paraId="78A02B57">
            <w:pPr>
              <w:widowControl/>
              <w:spacing w:line="240" w:lineRule="auto"/>
              <w:jc w:val="center"/>
              <w:rPr>
                <w:kern w:val="0"/>
                <w:sz w:val="20"/>
                <w:szCs w:val="20"/>
              </w:rPr>
            </w:pPr>
            <w:r>
              <w:rPr>
                <w:kern w:val="0"/>
                <w:sz w:val="20"/>
                <w:szCs w:val="20"/>
              </w:rPr>
              <w:t xml:space="preserve">0.2 </w:t>
            </w:r>
          </w:p>
        </w:tc>
      </w:tr>
      <w:tr w14:paraId="331251BD">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71B3167">
            <w:pPr>
              <w:widowControl/>
              <w:spacing w:line="240" w:lineRule="auto"/>
              <w:jc w:val="center"/>
              <w:rPr>
                <w:kern w:val="0"/>
                <w:sz w:val="20"/>
                <w:szCs w:val="20"/>
              </w:rPr>
            </w:pPr>
            <w:r>
              <w:rPr>
                <w:kern w:val="0"/>
                <w:sz w:val="20"/>
                <w:szCs w:val="20"/>
              </w:rPr>
              <w:t>22</w:t>
            </w:r>
          </w:p>
        </w:tc>
        <w:tc>
          <w:tcPr>
            <w:tcW w:w="2007" w:type="dxa"/>
            <w:tcBorders>
              <w:top w:val="single" w:color="auto" w:sz="4" w:space="0"/>
              <w:left w:val="nil"/>
              <w:bottom w:val="single" w:color="auto" w:sz="4" w:space="0"/>
              <w:right w:val="single" w:color="auto" w:sz="4" w:space="0"/>
            </w:tcBorders>
            <w:vAlign w:val="center"/>
          </w:tcPr>
          <w:p w14:paraId="26E711D0">
            <w:pPr>
              <w:widowControl/>
              <w:spacing w:line="240" w:lineRule="auto"/>
              <w:jc w:val="center"/>
              <w:rPr>
                <w:kern w:val="0"/>
                <w:sz w:val="20"/>
                <w:szCs w:val="20"/>
              </w:rPr>
            </w:pPr>
            <w:r>
              <w:rPr>
                <w:kern w:val="0"/>
                <w:sz w:val="20"/>
                <w:szCs w:val="20"/>
              </w:rPr>
              <w:t>20160713AQ</w:t>
            </w:r>
          </w:p>
        </w:tc>
        <w:tc>
          <w:tcPr>
            <w:tcW w:w="1688" w:type="dxa"/>
            <w:tcBorders>
              <w:top w:val="nil"/>
              <w:left w:val="nil"/>
              <w:bottom w:val="single" w:color="auto" w:sz="4" w:space="0"/>
              <w:right w:val="single" w:color="auto" w:sz="4" w:space="0"/>
            </w:tcBorders>
            <w:vAlign w:val="center"/>
          </w:tcPr>
          <w:p w14:paraId="1C4BB698">
            <w:pPr>
              <w:widowControl/>
              <w:spacing w:line="240" w:lineRule="auto"/>
              <w:jc w:val="center"/>
              <w:rPr>
                <w:kern w:val="0"/>
                <w:sz w:val="20"/>
                <w:szCs w:val="20"/>
              </w:rPr>
            </w:pPr>
            <w:r>
              <w:rPr>
                <w:kern w:val="0"/>
                <w:sz w:val="20"/>
                <w:szCs w:val="20"/>
              </w:rPr>
              <w:t xml:space="preserve">40635 </w:t>
            </w:r>
          </w:p>
        </w:tc>
        <w:tc>
          <w:tcPr>
            <w:tcW w:w="1934" w:type="dxa"/>
            <w:tcBorders>
              <w:top w:val="nil"/>
              <w:left w:val="nil"/>
              <w:bottom w:val="single" w:color="auto" w:sz="4" w:space="0"/>
              <w:right w:val="single" w:color="auto" w:sz="4" w:space="0"/>
            </w:tcBorders>
            <w:vAlign w:val="center"/>
          </w:tcPr>
          <w:p w14:paraId="2498A649">
            <w:pPr>
              <w:widowControl/>
              <w:spacing w:line="240" w:lineRule="auto"/>
              <w:jc w:val="center"/>
              <w:rPr>
                <w:kern w:val="0"/>
                <w:sz w:val="20"/>
                <w:szCs w:val="20"/>
              </w:rPr>
            </w:pPr>
            <w:r>
              <w:rPr>
                <w:kern w:val="0"/>
                <w:sz w:val="20"/>
                <w:szCs w:val="20"/>
              </w:rPr>
              <w:t xml:space="preserve">1.7 </w:t>
            </w:r>
          </w:p>
        </w:tc>
        <w:tc>
          <w:tcPr>
            <w:tcW w:w="1985" w:type="dxa"/>
            <w:tcBorders>
              <w:top w:val="nil"/>
              <w:left w:val="nil"/>
              <w:bottom w:val="single" w:color="auto" w:sz="4" w:space="0"/>
              <w:right w:val="single" w:color="auto" w:sz="4" w:space="0"/>
            </w:tcBorders>
            <w:vAlign w:val="center"/>
          </w:tcPr>
          <w:p w14:paraId="5DE202DC">
            <w:pPr>
              <w:widowControl/>
              <w:spacing w:line="240" w:lineRule="auto"/>
              <w:jc w:val="center"/>
              <w:rPr>
                <w:kern w:val="0"/>
                <w:sz w:val="20"/>
                <w:szCs w:val="20"/>
              </w:rPr>
            </w:pPr>
            <w:r>
              <w:rPr>
                <w:kern w:val="0"/>
                <w:sz w:val="20"/>
                <w:szCs w:val="20"/>
              </w:rPr>
              <w:t xml:space="preserve">3.1 </w:t>
            </w:r>
          </w:p>
        </w:tc>
      </w:tr>
      <w:tr w14:paraId="4E6D29EE">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6C4E5AAD">
            <w:pPr>
              <w:widowControl/>
              <w:spacing w:line="240" w:lineRule="auto"/>
              <w:jc w:val="center"/>
              <w:rPr>
                <w:kern w:val="0"/>
                <w:sz w:val="20"/>
                <w:szCs w:val="20"/>
              </w:rPr>
            </w:pPr>
            <w:r>
              <w:rPr>
                <w:kern w:val="0"/>
                <w:sz w:val="20"/>
                <w:szCs w:val="20"/>
              </w:rPr>
              <w:t>23</w:t>
            </w:r>
          </w:p>
        </w:tc>
        <w:tc>
          <w:tcPr>
            <w:tcW w:w="2007" w:type="dxa"/>
            <w:tcBorders>
              <w:top w:val="nil"/>
              <w:left w:val="nil"/>
              <w:bottom w:val="single" w:color="auto" w:sz="4" w:space="0"/>
              <w:right w:val="single" w:color="auto" w:sz="4" w:space="0"/>
            </w:tcBorders>
            <w:vAlign w:val="center"/>
          </w:tcPr>
          <w:p w14:paraId="54BF104A">
            <w:pPr>
              <w:widowControl/>
              <w:spacing w:line="240" w:lineRule="auto"/>
              <w:jc w:val="center"/>
              <w:rPr>
                <w:kern w:val="0"/>
                <w:sz w:val="20"/>
                <w:szCs w:val="20"/>
              </w:rPr>
            </w:pPr>
            <w:r>
              <w:rPr>
                <w:kern w:val="0"/>
                <w:sz w:val="20"/>
                <w:szCs w:val="20"/>
              </w:rPr>
              <w:t>20160713PQ</w:t>
            </w:r>
          </w:p>
        </w:tc>
        <w:tc>
          <w:tcPr>
            <w:tcW w:w="1688" w:type="dxa"/>
            <w:tcBorders>
              <w:top w:val="nil"/>
              <w:left w:val="nil"/>
              <w:bottom w:val="single" w:color="auto" w:sz="4" w:space="0"/>
              <w:right w:val="single" w:color="auto" w:sz="4" w:space="0"/>
            </w:tcBorders>
            <w:vAlign w:val="center"/>
          </w:tcPr>
          <w:p w14:paraId="37EAB7EA">
            <w:pPr>
              <w:widowControl/>
              <w:spacing w:line="240" w:lineRule="auto"/>
              <w:jc w:val="center"/>
              <w:rPr>
                <w:kern w:val="0"/>
                <w:sz w:val="20"/>
                <w:szCs w:val="20"/>
              </w:rPr>
            </w:pPr>
            <w:r>
              <w:rPr>
                <w:kern w:val="0"/>
                <w:sz w:val="20"/>
                <w:szCs w:val="20"/>
              </w:rPr>
              <w:t xml:space="preserve">36996 </w:t>
            </w:r>
          </w:p>
        </w:tc>
        <w:tc>
          <w:tcPr>
            <w:tcW w:w="1934" w:type="dxa"/>
            <w:tcBorders>
              <w:top w:val="nil"/>
              <w:left w:val="nil"/>
              <w:bottom w:val="single" w:color="auto" w:sz="4" w:space="0"/>
              <w:right w:val="single" w:color="auto" w:sz="4" w:space="0"/>
            </w:tcBorders>
            <w:vAlign w:val="center"/>
          </w:tcPr>
          <w:p w14:paraId="6E93D6B2">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3EC84D8F">
            <w:pPr>
              <w:widowControl/>
              <w:spacing w:line="240" w:lineRule="auto"/>
              <w:jc w:val="center"/>
              <w:rPr>
                <w:kern w:val="0"/>
                <w:sz w:val="20"/>
                <w:szCs w:val="20"/>
              </w:rPr>
            </w:pPr>
            <w:r>
              <w:rPr>
                <w:kern w:val="0"/>
                <w:sz w:val="20"/>
                <w:szCs w:val="20"/>
              </w:rPr>
              <w:t xml:space="preserve">2.2 </w:t>
            </w:r>
          </w:p>
        </w:tc>
      </w:tr>
      <w:tr w14:paraId="77747D49">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3F3FDAB5">
            <w:pPr>
              <w:widowControl/>
              <w:spacing w:line="240" w:lineRule="auto"/>
              <w:jc w:val="center"/>
              <w:rPr>
                <w:kern w:val="0"/>
                <w:sz w:val="20"/>
                <w:szCs w:val="20"/>
              </w:rPr>
            </w:pPr>
            <w:r>
              <w:rPr>
                <w:kern w:val="0"/>
                <w:sz w:val="20"/>
                <w:szCs w:val="20"/>
              </w:rPr>
              <w:t>24</w:t>
            </w:r>
          </w:p>
        </w:tc>
        <w:tc>
          <w:tcPr>
            <w:tcW w:w="2007" w:type="dxa"/>
            <w:tcBorders>
              <w:top w:val="nil"/>
              <w:left w:val="nil"/>
              <w:bottom w:val="single" w:color="auto" w:sz="4" w:space="0"/>
              <w:right w:val="single" w:color="auto" w:sz="4" w:space="0"/>
            </w:tcBorders>
            <w:vAlign w:val="center"/>
          </w:tcPr>
          <w:p w14:paraId="612FA753">
            <w:pPr>
              <w:widowControl/>
              <w:spacing w:line="240" w:lineRule="auto"/>
              <w:jc w:val="center"/>
              <w:rPr>
                <w:kern w:val="0"/>
                <w:sz w:val="20"/>
                <w:szCs w:val="20"/>
              </w:rPr>
            </w:pPr>
            <w:r>
              <w:rPr>
                <w:kern w:val="0"/>
                <w:sz w:val="20"/>
                <w:szCs w:val="20"/>
              </w:rPr>
              <w:t>20160714AH</w:t>
            </w:r>
          </w:p>
        </w:tc>
        <w:tc>
          <w:tcPr>
            <w:tcW w:w="1688" w:type="dxa"/>
            <w:tcBorders>
              <w:top w:val="nil"/>
              <w:left w:val="nil"/>
              <w:bottom w:val="single" w:color="auto" w:sz="4" w:space="0"/>
              <w:right w:val="single" w:color="auto" w:sz="4" w:space="0"/>
            </w:tcBorders>
            <w:vAlign w:val="center"/>
          </w:tcPr>
          <w:p w14:paraId="14B23C18">
            <w:pPr>
              <w:widowControl/>
              <w:spacing w:line="240" w:lineRule="auto"/>
              <w:jc w:val="center"/>
              <w:rPr>
                <w:kern w:val="0"/>
                <w:sz w:val="20"/>
                <w:szCs w:val="20"/>
              </w:rPr>
            </w:pPr>
            <w:r>
              <w:rPr>
                <w:kern w:val="0"/>
                <w:sz w:val="20"/>
                <w:szCs w:val="20"/>
              </w:rPr>
              <w:t xml:space="preserve">14394 </w:t>
            </w:r>
          </w:p>
        </w:tc>
        <w:tc>
          <w:tcPr>
            <w:tcW w:w="1934" w:type="dxa"/>
            <w:tcBorders>
              <w:top w:val="nil"/>
              <w:left w:val="nil"/>
              <w:bottom w:val="single" w:color="auto" w:sz="4" w:space="0"/>
              <w:right w:val="single" w:color="auto" w:sz="4" w:space="0"/>
            </w:tcBorders>
            <w:vAlign w:val="center"/>
          </w:tcPr>
          <w:p w14:paraId="3D938DCB">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14:paraId="0476901B">
            <w:pPr>
              <w:widowControl/>
              <w:spacing w:line="240" w:lineRule="auto"/>
              <w:jc w:val="center"/>
              <w:rPr>
                <w:kern w:val="0"/>
                <w:sz w:val="20"/>
                <w:szCs w:val="20"/>
              </w:rPr>
            </w:pPr>
            <w:r>
              <w:rPr>
                <w:kern w:val="0"/>
                <w:sz w:val="20"/>
                <w:szCs w:val="20"/>
              </w:rPr>
              <w:t xml:space="preserve">0.3 </w:t>
            </w:r>
          </w:p>
        </w:tc>
      </w:tr>
      <w:tr w14:paraId="618F7FE4">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3CD606E">
            <w:pPr>
              <w:widowControl/>
              <w:spacing w:line="240" w:lineRule="auto"/>
              <w:jc w:val="center"/>
              <w:rPr>
                <w:kern w:val="0"/>
                <w:sz w:val="20"/>
                <w:szCs w:val="20"/>
              </w:rPr>
            </w:pPr>
            <w:r>
              <w:rPr>
                <w:kern w:val="0"/>
                <w:sz w:val="20"/>
                <w:szCs w:val="20"/>
              </w:rPr>
              <w:t>25</w:t>
            </w:r>
          </w:p>
        </w:tc>
        <w:tc>
          <w:tcPr>
            <w:tcW w:w="2007" w:type="dxa"/>
            <w:tcBorders>
              <w:top w:val="nil"/>
              <w:left w:val="nil"/>
              <w:bottom w:val="single" w:color="auto" w:sz="4" w:space="0"/>
              <w:right w:val="single" w:color="auto" w:sz="4" w:space="0"/>
            </w:tcBorders>
            <w:vAlign w:val="center"/>
          </w:tcPr>
          <w:p w14:paraId="50D81D1C">
            <w:pPr>
              <w:widowControl/>
              <w:spacing w:line="240" w:lineRule="auto"/>
              <w:jc w:val="center"/>
              <w:rPr>
                <w:kern w:val="0"/>
                <w:sz w:val="20"/>
                <w:szCs w:val="20"/>
              </w:rPr>
            </w:pPr>
            <w:r>
              <w:rPr>
                <w:kern w:val="0"/>
                <w:sz w:val="20"/>
                <w:szCs w:val="20"/>
              </w:rPr>
              <w:t>20160714PH</w:t>
            </w:r>
          </w:p>
        </w:tc>
        <w:tc>
          <w:tcPr>
            <w:tcW w:w="1688" w:type="dxa"/>
            <w:tcBorders>
              <w:top w:val="nil"/>
              <w:left w:val="nil"/>
              <w:bottom w:val="single" w:color="auto" w:sz="4" w:space="0"/>
              <w:right w:val="single" w:color="auto" w:sz="4" w:space="0"/>
            </w:tcBorders>
            <w:vAlign w:val="center"/>
          </w:tcPr>
          <w:p w14:paraId="6F953ABC">
            <w:pPr>
              <w:widowControl/>
              <w:spacing w:line="240" w:lineRule="auto"/>
              <w:jc w:val="center"/>
              <w:rPr>
                <w:kern w:val="0"/>
                <w:sz w:val="20"/>
                <w:szCs w:val="20"/>
              </w:rPr>
            </w:pPr>
            <w:r>
              <w:rPr>
                <w:kern w:val="0"/>
                <w:sz w:val="20"/>
                <w:szCs w:val="20"/>
              </w:rPr>
              <w:t xml:space="preserve">8707 </w:t>
            </w:r>
          </w:p>
        </w:tc>
        <w:tc>
          <w:tcPr>
            <w:tcW w:w="1934" w:type="dxa"/>
            <w:tcBorders>
              <w:top w:val="nil"/>
              <w:left w:val="nil"/>
              <w:bottom w:val="single" w:color="auto" w:sz="4" w:space="0"/>
              <w:right w:val="single" w:color="auto" w:sz="4" w:space="0"/>
            </w:tcBorders>
            <w:vAlign w:val="center"/>
          </w:tcPr>
          <w:p w14:paraId="07DDE69F">
            <w:pPr>
              <w:widowControl/>
              <w:spacing w:line="240" w:lineRule="auto"/>
              <w:jc w:val="center"/>
              <w:rPr>
                <w:kern w:val="0"/>
                <w:sz w:val="20"/>
                <w:szCs w:val="20"/>
              </w:rPr>
            </w:pPr>
            <w:r>
              <w:rPr>
                <w:kern w:val="0"/>
                <w:sz w:val="20"/>
                <w:szCs w:val="20"/>
              </w:rPr>
              <w:t xml:space="preserve">0.5 </w:t>
            </w:r>
          </w:p>
        </w:tc>
        <w:tc>
          <w:tcPr>
            <w:tcW w:w="1985" w:type="dxa"/>
            <w:tcBorders>
              <w:top w:val="nil"/>
              <w:left w:val="nil"/>
              <w:bottom w:val="single" w:color="auto" w:sz="4" w:space="0"/>
              <w:right w:val="single" w:color="auto" w:sz="4" w:space="0"/>
            </w:tcBorders>
            <w:vAlign w:val="center"/>
          </w:tcPr>
          <w:p w14:paraId="58288198">
            <w:pPr>
              <w:widowControl/>
              <w:spacing w:line="240" w:lineRule="auto"/>
              <w:jc w:val="center"/>
              <w:rPr>
                <w:kern w:val="0"/>
                <w:sz w:val="20"/>
                <w:szCs w:val="20"/>
              </w:rPr>
            </w:pPr>
            <w:r>
              <w:rPr>
                <w:kern w:val="0"/>
                <w:sz w:val="20"/>
                <w:szCs w:val="20"/>
              </w:rPr>
              <w:t xml:space="preserve">0.3 </w:t>
            </w:r>
          </w:p>
        </w:tc>
      </w:tr>
      <w:tr w14:paraId="6C5125AF">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F6C7689">
            <w:pPr>
              <w:widowControl/>
              <w:spacing w:line="240" w:lineRule="auto"/>
              <w:jc w:val="center"/>
              <w:rPr>
                <w:kern w:val="0"/>
                <w:sz w:val="20"/>
                <w:szCs w:val="20"/>
              </w:rPr>
            </w:pPr>
            <w:r>
              <w:rPr>
                <w:kern w:val="0"/>
                <w:sz w:val="20"/>
                <w:szCs w:val="20"/>
              </w:rPr>
              <w:t>26</w:t>
            </w:r>
          </w:p>
        </w:tc>
        <w:tc>
          <w:tcPr>
            <w:tcW w:w="2007" w:type="dxa"/>
            <w:tcBorders>
              <w:top w:val="nil"/>
              <w:left w:val="nil"/>
              <w:bottom w:val="single" w:color="auto" w:sz="4" w:space="0"/>
              <w:right w:val="single" w:color="auto" w:sz="4" w:space="0"/>
            </w:tcBorders>
            <w:vAlign w:val="center"/>
          </w:tcPr>
          <w:p w14:paraId="422F69AE">
            <w:pPr>
              <w:widowControl/>
              <w:spacing w:line="240" w:lineRule="auto"/>
              <w:jc w:val="center"/>
              <w:rPr>
                <w:kern w:val="0"/>
                <w:sz w:val="20"/>
                <w:szCs w:val="20"/>
              </w:rPr>
            </w:pPr>
            <w:r>
              <w:rPr>
                <w:kern w:val="0"/>
                <w:sz w:val="20"/>
                <w:szCs w:val="20"/>
              </w:rPr>
              <w:t>20160721AH</w:t>
            </w:r>
          </w:p>
        </w:tc>
        <w:tc>
          <w:tcPr>
            <w:tcW w:w="1688" w:type="dxa"/>
            <w:tcBorders>
              <w:top w:val="nil"/>
              <w:left w:val="nil"/>
              <w:bottom w:val="single" w:color="auto" w:sz="4" w:space="0"/>
              <w:right w:val="single" w:color="auto" w:sz="4" w:space="0"/>
            </w:tcBorders>
            <w:vAlign w:val="center"/>
          </w:tcPr>
          <w:p w14:paraId="528BFD11">
            <w:pPr>
              <w:widowControl/>
              <w:spacing w:line="240" w:lineRule="auto"/>
              <w:jc w:val="center"/>
              <w:rPr>
                <w:kern w:val="0"/>
                <w:sz w:val="20"/>
                <w:szCs w:val="20"/>
              </w:rPr>
            </w:pPr>
            <w:r>
              <w:rPr>
                <w:kern w:val="0"/>
                <w:sz w:val="20"/>
                <w:szCs w:val="20"/>
              </w:rPr>
              <w:t xml:space="preserve">3694 </w:t>
            </w:r>
          </w:p>
        </w:tc>
        <w:tc>
          <w:tcPr>
            <w:tcW w:w="1934" w:type="dxa"/>
            <w:tcBorders>
              <w:top w:val="nil"/>
              <w:left w:val="nil"/>
              <w:bottom w:val="single" w:color="auto" w:sz="4" w:space="0"/>
              <w:right w:val="single" w:color="auto" w:sz="4" w:space="0"/>
            </w:tcBorders>
            <w:vAlign w:val="center"/>
          </w:tcPr>
          <w:p w14:paraId="535BB7D0">
            <w:pPr>
              <w:widowControl/>
              <w:spacing w:line="240" w:lineRule="auto"/>
              <w:jc w:val="center"/>
              <w:rPr>
                <w:kern w:val="0"/>
                <w:sz w:val="20"/>
                <w:szCs w:val="20"/>
              </w:rPr>
            </w:pPr>
            <w:r>
              <w:rPr>
                <w:kern w:val="0"/>
                <w:sz w:val="20"/>
                <w:szCs w:val="20"/>
              </w:rPr>
              <w:t xml:space="preserve">0.7 </w:t>
            </w:r>
          </w:p>
        </w:tc>
        <w:tc>
          <w:tcPr>
            <w:tcW w:w="1985" w:type="dxa"/>
            <w:tcBorders>
              <w:top w:val="nil"/>
              <w:left w:val="nil"/>
              <w:bottom w:val="single" w:color="auto" w:sz="4" w:space="0"/>
              <w:right w:val="single" w:color="auto" w:sz="4" w:space="0"/>
            </w:tcBorders>
            <w:vAlign w:val="center"/>
          </w:tcPr>
          <w:p w14:paraId="4336752F">
            <w:pPr>
              <w:widowControl/>
              <w:spacing w:line="240" w:lineRule="auto"/>
              <w:jc w:val="center"/>
              <w:rPr>
                <w:kern w:val="0"/>
                <w:sz w:val="20"/>
                <w:szCs w:val="20"/>
              </w:rPr>
            </w:pPr>
            <w:r>
              <w:rPr>
                <w:kern w:val="0"/>
                <w:sz w:val="20"/>
                <w:szCs w:val="20"/>
              </w:rPr>
              <w:t xml:space="preserve">0.5 </w:t>
            </w:r>
          </w:p>
        </w:tc>
      </w:tr>
      <w:tr w14:paraId="3484BDE2">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01FAB037">
            <w:pPr>
              <w:widowControl/>
              <w:spacing w:line="240" w:lineRule="auto"/>
              <w:jc w:val="center"/>
              <w:rPr>
                <w:kern w:val="0"/>
                <w:sz w:val="20"/>
                <w:szCs w:val="20"/>
              </w:rPr>
            </w:pPr>
            <w:r>
              <w:rPr>
                <w:kern w:val="0"/>
                <w:sz w:val="20"/>
                <w:szCs w:val="20"/>
              </w:rPr>
              <w:t>27</w:t>
            </w:r>
          </w:p>
        </w:tc>
        <w:tc>
          <w:tcPr>
            <w:tcW w:w="2007" w:type="dxa"/>
            <w:tcBorders>
              <w:top w:val="nil"/>
              <w:left w:val="nil"/>
              <w:bottom w:val="single" w:color="auto" w:sz="4" w:space="0"/>
              <w:right w:val="single" w:color="auto" w:sz="4" w:space="0"/>
            </w:tcBorders>
            <w:vAlign w:val="center"/>
          </w:tcPr>
          <w:p w14:paraId="4CB9EBBD">
            <w:pPr>
              <w:widowControl/>
              <w:spacing w:line="240" w:lineRule="auto"/>
              <w:jc w:val="center"/>
              <w:rPr>
                <w:kern w:val="0"/>
                <w:sz w:val="20"/>
                <w:szCs w:val="20"/>
              </w:rPr>
            </w:pPr>
            <w:r>
              <w:rPr>
                <w:kern w:val="0"/>
                <w:sz w:val="20"/>
                <w:szCs w:val="20"/>
              </w:rPr>
              <w:t>20160721PH</w:t>
            </w:r>
          </w:p>
        </w:tc>
        <w:tc>
          <w:tcPr>
            <w:tcW w:w="1688" w:type="dxa"/>
            <w:tcBorders>
              <w:top w:val="nil"/>
              <w:left w:val="nil"/>
              <w:bottom w:val="single" w:color="auto" w:sz="4" w:space="0"/>
              <w:right w:val="single" w:color="auto" w:sz="4" w:space="0"/>
            </w:tcBorders>
            <w:vAlign w:val="center"/>
          </w:tcPr>
          <w:p w14:paraId="1A6AA8ED">
            <w:pPr>
              <w:widowControl/>
              <w:spacing w:line="240" w:lineRule="auto"/>
              <w:jc w:val="center"/>
              <w:rPr>
                <w:kern w:val="0"/>
                <w:sz w:val="20"/>
                <w:szCs w:val="20"/>
              </w:rPr>
            </w:pPr>
            <w:r>
              <w:rPr>
                <w:kern w:val="0"/>
                <w:sz w:val="20"/>
                <w:szCs w:val="20"/>
              </w:rPr>
              <w:t xml:space="preserve">3622 </w:t>
            </w:r>
          </w:p>
        </w:tc>
        <w:tc>
          <w:tcPr>
            <w:tcW w:w="1934" w:type="dxa"/>
            <w:tcBorders>
              <w:top w:val="nil"/>
              <w:left w:val="nil"/>
              <w:bottom w:val="single" w:color="auto" w:sz="4" w:space="0"/>
              <w:right w:val="single" w:color="auto" w:sz="4" w:space="0"/>
            </w:tcBorders>
            <w:vAlign w:val="center"/>
          </w:tcPr>
          <w:p w14:paraId="7BCD85E4">
            <w:pPr>
              <w:widowControl/>
              <w:spacing w:line="240" w:lineRule="auto"/>
              <w:jc w:val="center"/>
              <w:rPr>
                <w:kern w:val="0"/>
                <w:sz w:val="20"/>
                <w:szCs w:val="20"/>
              </w:rPr>
            </w:pPr>
            <w:r>
              <w:rPr>
                <w:kern w:val="0"/>
                <w:sz w:val="20"/>
                <w:szCs w:val="20"/>
              </w:rPr>
              <w:t xml:space="preserve">1.1 </w:t>
            </w:r>
          </w:p>
        </w:tc>
        <w:tc>
          <w:tcPr>
            <w:tcW w:w="1985" w:type="dxa"/>
            <w:tcBorders>
              <w:top w:val="nil"/>
              <w:left w:val="nil"/>
              <w:bottom w:val="single" w:color="auto" w:sz="4" w:space="0"/>
              <w:right w:val="single" w:color="auto" w:sz="4" w:space="0"/>
            </w:tcBorders>
            <w:vAlign w:val="center"/>
          </w:tcPr>
          <w:p w14:paraId="236A9DD3">
            <w:pPr>
              <w:widowControl/>
              <w:spacing w:line="240" w:lineRule="auto"/>
              <w:jc w:val="center"/>
              <w:rPr>
                <w:kern w:val="0"/>
                <w:sz w:val="20"/>
                <w:szCs w:val="20"/>
              </w:rPr>
            </w:pPr>
            <w:r>
              <w:rPr>
                <w:kern w:val="0"/>
                <w:sz w:val="20"/>
                <w:szCs w:val="20"/>
              </w:rPr>
              <w:t xml:space="preserve">0.7 </w:t>
            </w:r>
          </w:p>
        </w:tc>
      </w:tr>
      <w:tr w14:paraId="261F354C">
        <w:tblPrEx>
          <w:tblCellMar>
            <w:top w:w="0" w:type="dxa"/>
            <w:left w:w="108" w:type="dxa"/>
            <w:bottom w:w="0" w:type="dxa"/>
            <w:right w:w="108" w:type="dxa"/>
          </w:tblCellMar>
        </w:tblPrEx>
        <w:trPr>
          <w:trHeight w:val="412" w:hRule="atLeast"/>
        </w:trPr>
        <w:tc>
          <w:tcPr>
            <w:tcW w:w="620" w:type="dxa"/>
            <w:tcBorders>
              <w:top w:val="nil"/>
              <w:left w:val="single" w:color="auto" w:sz="4" w:space="0"/>
              <w:bottom w:val="single" w:color="auto" w:sz="4" w:space="0"/>
              <w:right w:val="single" w:color="auto" w:sz="4" w:space="0"/>
            </w:tcBorders>
            <w:vAlign w:val="center"/>
          </w:tcPr>
          <w:p w14:paraId="0F50B1D6">
            <w:pPr>
              <w:widowControl/>
              <w:spacing w:line="240" w:lineRule="auto"/>
              <w:jc w:val="center"/>
              <w:rPr>
                <w:kern w:val="0"/>
                <w:sz w:val="20"/>
                <w:szCs w:val="20"/>
              </w:rPr>
            </w:pPr>
            <w:r>
              <w:rPr>
                <w:kern w:val="0"/>
                <w:sz w:val="20"/>
                <w:szCs w:val="20"/>
              </w:rPr>
              <w:t>28</w:t>
            </w:r>
          </w:p>
        </w:tc>
        <w:tc>
          <w:tcPr>
            <w:tcW w:w="2007" w:type="dxa"/>
            <w:tcBorders>
              <w:top w:val="nil"/>
              <w:left w:val="nil"/>
              <w:bottom w:val="single" w:color="auto" w:sz="4" w:space="0"/>
              <w:right w:val="single" w:color="auto" w:sz="4" w:space="0"/>
            </w:tcBorders>
            <w:vAlign w:val="center"/>
          </w:tcPr>
          <w:p w14:paraId="766C2C5B">
            <w:pPr>
              <w:widowControl/>
              <w:spacing w:line="240" w:lineRule="auto"/>
              <w:jc w:val="center"/>
              <w:rPr>
                <w:kern w:val="0"/>
                <w:sz w:val="20"/>
                <w:szCs w:val="20"/>
              </w:rPr>
            </w:pPr>
            <w:r>
              <w:rPr>
                <w:kern w:val="0"/>
                <w:sz w:val="20"/>
                <w:szCs w:val="20"/>
              </w:rPr>
              <w:t>20160722AQ</w:t>
            </w:r>
          </w:p>
        </w:tc>
        <w:tc>
          <w:tcPr>
            <w:tcW w:w="1688" w:type="dxa"/>
            <w:tcBorders>
              <w:top w:val="nil"/>
              <w:left w:val="nil"/>
              <w:bottom w:val="single" w:color="auto" w:sz="4" w:space="0"/>
              <w:right w:val="single" w:color="auto" w:sz="4" w:space="0"/>
            </w:tcBorders>
            <w:vAlign w:val="center"/>
          </w:tcPr>
          <w:p w14:paraId="52A8E24A">
            <w:pPr>
              <w:widowControl/>
              <w:spacing w:line="240" w:lineRule="auto"/>
              <w:jc w:val="center"/>
              <w:rPr>
                <w:kern w:val="0"/>
                <w:sz w:val="20"/>
                <w:szCs w:val="20"/>
              </w:rPr>
            </w:pPr>
            <w:r>
              <w:rPr>
                <w:kern w:val="0"/>
                <w:sz w:val="20"/>
                <w:szCs w:val="20"/>
              </w:rPr>
              <w:t xml:space="preserve">15929 </w:t>
            </w:r>
          </w:p>
        </w:tc>
        <w:tc>
          <w:tcPr>
            <w:tcW w:w="1934" w:type="dxa"/>
            <w:tcBorders>
              <w:top w:val="nil"/>
              <w:left w:val="nil"/>
              <w:bottom w:val="single" w:color="auto" w:sz="4" w:space="0"/>
              <w:right w:val="single" w:color="auto" w:sz="4" w:space="0"/>
            </w:tcBorders>
            <w:vAlign w:val="center"/>
          </w:tcPr>
          <w:p w14:paraId="55C0DA62">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14:paraId="071A65B9">
            <w:pPr>
              <w:widowControl/>
              <w:spacing w:line="240" w:lineRule="auto"/>
              <w:jc w:val="center"/>
              <w:rPr>
                <w:kern w:val="0"/>
                <w:sz w:val="20"/>
                <w:szCs w:val="20"/>
              </w:rPr>
            </w:pPr>
            <w:r>
              <w:rPr>
                <w:kern w:val="0"/>
                <w:sz w:val="20"/>
                <w:szCs w:val="20"/>
              </w:rPr>
              <w:t>-</w:t>
            </w:r>
          </w:p>
        </w:tc>
      </w:tr>
      <w:tr w14:paraId="51E05084">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1C81C57">
            <w:pPr>
              <w:widowControl/>
              <w:spacing w:line="240" w:lineRule="auto"/>
              <w:jc w:val="center"/>
              <w:rPr>
                <w:kern w:val="0"/>
                <w:sz w:val="20"/>
                <w:szCs w:val="20"/>
              </w:rPr>
            </w:pPr>
            <w:r>
              <w:rPr>
                <w:kern w:val="0"/>
                <w:sz w:val="20"/>
                <w:szCs w:val="20"/>
              </w:rPr>
              <w:t>29</w:t>
            </w:r>
          </w:p>
        </w:tc>
        <w:tc>
          <w:tcPr>
            <w:tcW w:w="2007" w:type="dxa"/>
            <w:tcBorders>
              <w:top w:val="nil"/>
              <w:left w:val="nil"/>
              <w:bottom w:val="nil"/>
              <w:right w:val="single" w:color="auto" w:sz="4" w:space="0"/>
            </w:tcBorders>
            <w:vAlign w:val="center"/>
          </w:tcPr>
          <w:p w14:paraId="6A344D31">
            <w:pPr>
              <w:widowControl/>
              <w:spacing w:line="240" w:lineRule="auto"/>
              <w:jc w:val="center"/>
              <w:rPr>
                <w:kern w:val="0"/>
                <w:sz w:val="20"/>
                <w:szCs w:val="20"/>
              </w:rPr>
            </w:pPr>
            <w:r>
              <w:rPr>
                <w:kern w:val="0"/>
                <w:sz w:val="20"/>
                <w:szCs w:val="20"/>
              </w:rPr>
              <w:t>20160726AQ</w:t>
            </w:r>
          </w:p>
        </w:tc>
        <w:tc>
          <w:tcPr>
            <w:tcW w:w="1688" w:type="dxa"/>
            <w:tcBorders>
              <w:top w:val="nil"/>
              <w:left w:val="nil"/>
              <w:bottom w:val="single" w:color="auto" w:sz="4" w:space="0"/>
              <w:right w:val="single" w:color="auto" w:sz="4" w:space="0"/>
            </w:tcBorders>
            <w:vAlign w:val="center"/>
          </w:tcPr>
          <w:p w14:paraId="3BF0F5DD">
            <w:pPr>
              <w:widowControl/>
              <w:spacing w:line="240" w:lineRule="auto"/>
              <w:jc w:val="center"/>
              <w:rPr>
                <w:kern w:val="0"/>
                <w:sz w:val="20"/>
                <w:szCs w:val="20"/>
              </w:rPr>
            </w:pPr>
            <w:r>
              <w:rPr>
                <w:kern w:val="0"/>
                <w:sz w:val="20"/>
                <w:szCs w:val="20"/>
              </w:rPr>
              <w:t xml:space="preserve">7857 </w:t>
            </w:r>
          </w:p>
        </w:tc>
        <w:tc>
          <w:tcPr>
            <w:tcW w:w="1934" w:type="dxa"/>
            <w:tcBorders>
              <w:top w:val="nil"/>
              <w:left w:val="nil"/>
              <w:bottom w:val="single" w:color="auto" w:sz="4" w:space="0"/>
              <w:right w:val="single" w:color="auto" w:sz="4" w:space="0"/>
            </w:tcBorders>
            <w:vAlign w:val="center"/>
          </w:tcPr>
          <w:p w14:paraId="016BD839">
            <w:pPr>
              <w:widowControl/>
              <w:spacing w:line="240" w:lineRule="auto"/>
              <w:jc w:val="center"/>
              <w:rPr>
                <w:kern w:val="0"/>
                <w:sz w:val="20"/>
                <w:szCs w:val="20"/>
              </w:rPr>
            </w:pPr>
            <w:r>
              <w:rPr>
                <w:kern w:val="0"/>
                <w:sz w:val="20"/>
                <w:szCs w:val="20"/>
              </w:rPr>
              <w:t xml:space="preserve">0.6 </w:t>
            </w:r>
          </w:p>
        </w:tc>
        <w:tc>
          <w:tcPr>
            <w:tcW w:w="1985" w:type="dxa"/>
            <w:tcBorders>
              <w:top w:val="nil"/>
              <w:left w:val="nil"/>
              <w:bottom w:val="single" w:color="auto" w:sz="4" w:space="0"/>
              <w:right w:val="single" w:color="auto" w:sz="4" w:space="0"/>
            </w:tcBorders>
            <w:vAlign w:val="center"/>
          </w:tcPr>
          <w:p w14:paraId="1F5AF524">
            <w:pPr>
              <w:widowControl/>
              <w:spacing w:line="240" w:lineRule="auto"/>
              <w:jc w:val="center"/>
              <w:rPr>
                <w:kern w:val="0"/>
                <w:sz w:val="20"/>
                <w:szCs w:val="20"/>
              </w:rPr>
            </w:pPr>
            <w:r>
              <w:rPr>
                <w:kern w:val="0"/>
                <w:sz w:val="20"/>
                <w:szCs w:val="20"/>
              </w:rPr>
              <w:t xml:space="preserve">1.2 </w:t>
            </w:r>
          </w:p>
        </w:tc>
      </w:tr>
      <w:tr w14:paraId="2F5AA34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9A75EC5">
            <w:pPr>
              <w:widowControl/>
              <w:spacing w:line="240" w:lineRule="auto"/>
              <w:jc w:val="center"/>
              <w:rPr>
                <w:kern w:val="0"/>
                <w:sz w:val="20"/>
                <w:szCs w:val="20"/>
              </w:rPr>
            </w:pPr>
            <w:r>
              <w:rPr>
                <w:kern w:val="0"/>
                <w:sz w:val="20"/>
                <w:szCs w:val="20"/>
              </w:rPr>
              <w:t>30</w:t>
            </w:r>
          </w:p>
        </w:tc>
        <w:tc>
          <w:tcPr>
            <w:tcW w:w="2007" w:type="dxa"/>
            <w:tcBorders>
              <w:top w:val="single" w:color="auto" w:sz="4" w:space="0"/>
              <w:left w:val="nil"/>
              <w:bottom w:val="nil"/>
              <w:right w:val="single" w:color="auto" w:sz="4" w:space="0"/>
            </w:tcBorders>
            <w:vAlign w:val="center"/>
          </w:tcPr>
          <w:p w14:paraId="28DE3564">
            <w:pPr>
              <w:widowControl/>
              <w:spacing w:line="240" w:lineRule="auto"/>
              <w:jc w:val="center"/>
              <w:rPr>
                <w:kern w:val="0"/>
                <w:sz w:val="20"/>
                <w:szCs w:val="20"/>
              </w:rPr>
            </w:pPr>
            <w:r>
              <w:rPr>
                <w:kern w:val="0"/>
                <w:sz w:val="20"/>
                <w:szCs w:val="20"/>
              </w:rPr>
              <w:t>20160726AH</w:t>
            </w:r>
          </w:p>
        </w:tc>
        <w:tc>
          <w:tcPr>
            <w:tcW w:w="1688" w:type="dxa"/>
            <w:tcBorders>
              <w:top w:val="nil"/>
              <w:left w:val="nil"/>
              <w:bottom w:val="single" w:color="auto" w:sz="4" w:space="0"/>
              <w:right w:val="single" w:color="auto" w:sz="4" w:space="0"/>
            </w:tcBorders>
            <w:vAlign w:val="center"/>
          </w:tcPr>
          <w:p w14:paraId="32EC177A">
            <w:pPr>
              <w:widowControl/>
              <w:spacing w:line="240" w:lineRule="auto"/>
              <w:jc w:val="center"/>
              <w:rPr>
                <w:kern w:val="0"/>
                <w:sz w:val="20"/>
                <w:szCs w:val="20"/>
              </w:rPr>
            </w:pPr>
            <w:r>
              <w:rPr>
                <w:kern w:val="0"/>
                <w:sz w:val="20"/>
                <w:szCs w:val="20"/>
              </w:rPr>
              <w:t xml:space="preserve">10564 </w:t>
            </w:r>
          </w:p>
        </w:tc>
        <w:tc>
          <w:tcPr>
            <w:tcW w:w="1934" w:type="dxa"/>
            <w:tcBorders>
              <w:top w:val="nil"/>
              <w:left w:val="nil"/>
              <w:bottom w:val="single" w:color="auto" w:sz="4" w:space="0"/>
              <w:right w:val="single" w:color="auto" w:sz="4" w:space="0"/>
            </w:tcBorders>
            <w:vAlign w:val="center"/>
          </w:tcPr>
          <w:p w14:paraId="43073E22">
            <w:pPr>
              <w:widowControl/>
              <w:spacing w:line="240" w:lineRule="auto"/>
              <w:jc w:val="center"/>
              <w:rPr>
                <w:kern w:val="0"/>
                <w:sz w:val="20"/>
                <w:szCs w:val="20"/>
              </w:rPr>
            </w:pPr>
            <w:r>
              <w:rPr>
                <w:kern w:val="0"/>
                <w:sz w:val="20"/>
                <w:szCs w:val="20"/>
              </w:rPr>
              <w:t xml:space="preserve">0.2 </w:t>
            </w:r>
          </w:p>
        </w:tc>
        <w:tc>
          <w:tcPr>
            <w:tcW w:w="1985" w:type="dxa"/>
            <w:tcBorders>
              <w:top w:val="nil"/>
              <w:left w:val="nil"/>
              <w:bottom w:val="single" w:color="auto" w:sz="4" w:space="0"/>
              <w:right w:val="single" w:color="auto" w:sz="4" w:space="0"/>
            </w:tcBorders>
            <w:vAlign w:val="center"/>
          </w:tcPr>
          <w:p w14:paraId="311CE370">
            <w:pPr>
              <w:widowControl/>
              <w:spacing w:line="240" w:lineRule="auto"/>
              <w:jc w:val="center"/>
              <w:rPr>
                <w:kern w:val="0"/>
                <w:sz w:val="20"/>
                <w:szCs w:val="20"/>
              </w:rPr>
            </w:pPr>
            <w:r>
              <w:rPr>
                <w:kern w:val="0"/>
                <w:sz w:val="20"/>
                <w:szCs w:val="20"/>
              </w:rPr>
              <w:t xml:space="preserve">0.6 </w:t>
            </w:r>
          </w:p>
        </w:tc>
      </w:tr>
      <w:tr w14:paraId="6FEA03A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05EB5AF4">
            <w:pPr>
              <w:widowControl/>
              <w:spacing w:line="240" w:lineRule="auto"/>
              <w:jc w:val="center"/>
              <w:rPr>
                <w:kern w:val="0"/>
                <w:sz w:val="20"/>
                <w:szCs w:val="20"/>
              </w:rPr>
            </w:pPr>
            <w:r>
              <w:rPr>
                <w:kern w:val="0"/>
                <w:sz w:val="20"/>
                <w:szCs w:val="20"/>
              </w:rPr>
              <w:t>31</w:t>
            </w:r>
          </w:p>
        </w:tc>
        <w:tc>
          <w:tcPr>
            <w:tcW w:w="2007" w:type="dxa"/>
            <w:tcBorders>
              <w:top w:val="single" w:color="auto" w:sz="4" w:space="0"/>
              <w:left w:val="nil"/>
              <w:bottom w:val="nil"/>
              <w:right w:val="single" w:color="auto" w:sz="4" w:space="0"/>
            </w:tcBorders>
            <w:vAlign w:val="center"/>
          </w:tcPr>
          <w:p w14:paraId="77B6B3F3">
            <w:pPr>
              <w:widowControl/>
              <w:spacing w:line="240" w:lineRule="auto"/>
              <w:jc w:val="center"/>
              <w:rPr>
                <w:kern w:val="0"/>
                <w:sz w:val="20"/>
                <w:szCs w:val="20"/>
              </w:rPr>
            </w:pPr>
            <w:r>
              <w:rPr>
                <w:kern w:val="0"/>
                <w:sz w:val="20"/>
                <w:szCs w:val="20"/>
              </w:rPr>
              <w:t>20160726PQ</w:t>
            </w:r>
          </w:p>
        </w:tc>
        <w:tc>
          <w:tcPr>
            <w:tcW w:w="1688" w:type="dxa"/>
            <w:tcBorders>
              <w:top w:val="nil"/>
              <w:left w:val="nil"/>
              <w:bottom w:val="single" w:color="auto" w:sz="4" w:space="0"/>
              <w:right w:val="single" w:color="auto" w:sz="4" w:space="0"/>
            </w:tcBorders>
            <w:vAlign w:val="center"/>
          </w:tcPr>
          <w:p w14:paraId="52195B4B">
            <w:pPr>
              <w:widowControl/>
              <w:spacing w:line="240" w:lineRule="auto"/>
              <w:jc w:val="center"/>
              <w:rPr>
                <w:kern w:val="0"/>
                <w:sz w:val="20"/>
                <w:szCs w:val="20"/>
              </w:rPr>
            </w:pPr>
            <w:r>
              <w:rPr>
                <w:kern w:val="0"/>
                <w:sz w:val="20"/>
                <w:szCs w:val="20"/>
              </w:rPr>
              <w:t xml:space="preserve">8190 </w:t>
            </w:r>
          </w:p>
        </w:tc>
        <w:tc>
          <w:tcPr>
            <w:tcW w:w="1934" w:type="dxa"/>
            <w:tcBorders>
              <w:top w:val="nil"/>
              <w:left w:val="nil"/>
              <w:bottom w:val="single" w:color="auto" w:sz="4" w:space="0"/>
              <w:right w:val="single" w:color="auto" w:sz="4" w:space="0"/>
            </w:tcBorders>
            <w:vAlign w:val="center"/>
          </w:tcPr>
          <w:p w14:paraId="0803FC3C">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14:paraId="4295B598">
            <w:pPr>
              <w:widowControl/>
              <w:spacing w:line="240" w:lineRule="auto"/>
              <w:jc w:val="center"/>
              <w:rPr>
                <w:kern w:val="0"/>
                <w:sz w:val="20"/>
                <w:szCs w:val="20"/>
              </w:rPr>
            </w:pPr>
            <w:r>
              <w:rPr>
                <w:kern w:val="0"/>
                <w:sz w:val="20"/>
                <w:szCs w:val="20"/>
              </w:rPr>
              <w:t xml:space="preserve">0.8 </w:t>
            </w:r>
          </w:p>
        </w:tc>
      </w:tr>
      <w:tr w14:paraId="4BB6B067">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430DBA8">
            <w:pPr>
              <w:widowControl/>
              <w:spacing w:line="240" w:lineRule="auto"/>
              <w:jc w:val="center"/>
              <w:rPr>
                <w:kern w:val="0"/>
                <w:sz w:val="20"/>
                <w:szCs w:val="20"/>
              </w:rPr>
            </w:pPr>
            <w:r>
              <w:rPr>
                <w:kern w:val="0"/>
                <w:sz w:val="20"/>
                <w:szCs w:val="20"/>
              </w:rPr>
              <w:t>32</w:t>
            </w:r>
          </w:p>
        </w:tc>
        <w:tc>
          <w:tcPr>
            <w:tcW w:w="2007" w:type="dxa"/>
            <w:tcBorders>
              <w:top w:val="single" w:color="auto" w:sz="4" w:space="0"/>
              <w:left w:val="nil"/>
              <w:bottom w:val="nil"/>
              <w:right w:val="single" w:color="auto" w:sz="4" w:space="0"/>
            </w:tcBorders>
            <w:vAlign w:val="center"/>
          </w:tcPr>
          <w:p w14:paraId="14AB3295">
            <w:pPr>
              <w:widowControl/>
              <w:spacing w:line="240" w:lineRule="auto"/>
              <w:jc w:val="center"/>
              <w:rPr>
                <w:kern w:val="0"/>
                <w:sz w:val="20"/>
                <w:szCs w:val="20"/>
              </w:rPr>
            </w:pPr>
            <w:r>
              <w:rPr>
                <w:kern w:val="0"/>
                <w:sz w:val="20"/>
                <w:szCs w:val="20"/>
              </w:rPr>
              <w:t>20160726PH</w:t>
            </w:r>
          </w:p>
        </w:tc>
        <w:tc>
          <w:tcPr>
            <w:tcW w:w="1688" w:type="dxa"/>
            <w:tcBorders>
              <w:top w:val="nil"/>
              <w:left w:val="nil"/>
              <w:bottom w:val="single" w:color="auto" w:sz="4" w:space="0"/>
              <w:right w:val="single" w:color="auto" w:sz="4" w:space="0"/>
            </w:tcBorders>
            <w:vAlign w:val="center"/>
          </w:tcPr>
          <w:p w14:paraId="3C7D465A">
            <w:pPr>
              <w:widowControl/>
              <w:spacing w:line="240" w:lineRule="auto"/>
              <w:jc w:val="center"/>
              <w:rPr>
                <w:kern w:val="0"/>
                <w:sz w:val="20"/>
                <w:szCs w:val="20"/>
              </w:rPr>
            </w:pPr>
            <w:r>
              <w:rPr>
                <w:kern w:val="0"/>
                <w:sz w:val="20"/>
                <w:szCs w:val="20"/>
              </w:rPr>
              <w:t xml:space="preserve">9882 </w:t>
            </w:r>
          </w:p>
        </w:tc>
        <w:tc>
          <w:tcPr>
            <w:tcW w:w="1934" w:type="dxa"/>
            <w:tcBorders>
              <w:top w:val="nil"/>
              <w:left w:val="nil"/>
              <w:bottom w:val="single" w:color="auto" w:sz="4" w:space="0"/>
              <w:right w:val="single" w:color="auto" w:sz="4" w:space="0"/>
            </w:tcBorders>
            <w:vAlign w:val="center"/>
          </w:tcPr>
          <w:p w14:paraId="1ACA49C9">
            <w:pPr>
              <w:widowControl/>
              <w:spacing w:line="240" w:lineRule="auto"/>
              <w:jc w:val="center"/>
              <w:rPr>
                <w:kern w:val="0"/>
                <w:sz w:val="20"/>
                <w:szCs w:val="20"/>
              </w:rPr>
            </w:pPr>
            <w:r>
              <w:rPr>
                <w:kern w:val="0"/>
                <w:sz w:val="20"/>
                <w:szCs w:val="20"/>
              </w:rPr>
              <w:t xml:space="preserve">0.4 </w:t>
            </w:r>
          </w:p>
        </w:tc>
        <w:tc>
          <w:tcPr>
            <w:tcW w:w="1985" w:type="dxa"/>
            <w:tcBorders>
              <w:top w:val="nil"/>
              <w:left w:val="nil"/>
              <w:bottom w:val="single" w:color="auto" w:sz="4" w:space="0"/>
              <w:right w:val="single" w:color="auto" w:sz="4" w:space="0"/>
            </w:tcBorders>
            <w:vAlign w:val="center"/>
          </w:tcPr>
          <w:p w14:paraId="5C960DBA">
            <w:pPr>
              <w:widowControl/>
              <w:spacing w:line="240" w:lineRule="auto"/>
              <w:jc w:val="center"/>
              <w:rPr>
                <w:kern w:val="0"/>
                <w:sz w:val="20"/>
                <w:szCs w:val="20"/>
              </w:rPr>
            </w:pPr>
            <w:r>
              <w:rPr>
                <w:kern w:val="0"/>
                <w:sz w:val="20"/>
                <w:szCs w:val="20"/>
              </w:rPr>
              <w:t xml:space="preserve">1.1 </w:t>
            </w:r>
          </w:p>
        </w:tc>
      </w:tr>
      <w:tr w14:paraId="1D971F3D">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4936120B">
            <w:pPr>
              <w:widowControl/>
              <w:spacing w:line="240" w:lineRule="auto"/>
              <w:jc w:val="center"/>
              <w:rPr>
                <w:kern w:val="0"/>
                <w:sz w:val="20"/>
                <w:szCs w:val="20"/>
              </w:rPr>
            </w:pPr>
            <w:r>
              <w:rPr>
                <w:kern w:val="0"/>
                <w:sz w:val="20"/>
                <w:szCs w:val="20"/>
              </w:rPr>
              <w:t>33</w:t>
            </w:r>
          </w:p>
        </w:tc>
        <w:tc>
          <w:tcPr>
            <w:tcW w:w="2007" w:type="dxa"/>
            <w:tcBorders>
              <w:top w:val="single" w:color="auto" w:sz="4" w:space="0"/>
              <w:left w:val="nil"/>
              <w:bottom w:val="nil"/>
              <w:right w:val="single" w:color="auto" w:sz="4" w:space="0"/>
            </w:tcBorders>
            <w:vAlign w:val="center"/>
          </w:tcPr>
          <w:p w14:paraId="4370C125">
            <w:pPr>
              <w:widowControl/>
              <w:spacing w:line="240" w:lineRule="auto"/>
              <w:jc w:val="center"/>
              <w:rPr>
                <w:kern w:val="0"/>
                <w:sz w:val="20"/>
                <w:szCs w:val="20"/>
              </w:rPr>
            </w:pPr>
            <w:r>
              <w:rPr>
                <w:kern w:val="0"/>
                <w:sz w:val="20"/>
                <w:szCs w:val="20"/>
              </w:rPr>
              <w:t>20160727PQ</w:t>
            </w:r>
          </w:p>
        </w:tc>
        <w:tc>
          <w:tcPr>
            <w:tcW w:w="1688" w:type="dxa"/>
            <w:tcBorders>
              <w:top w:val="nil"/>
              <w:left w:val="nil"/>
              <w:bottom w:val="single" w:color="auto" w:sz="4" w:space="0"/>
              <w:right w:val="single" w:color="auto" w:sz="4" w:space="0"/>
            </w:tcBorders>
            <w:vAlign w:val="center"/>
          </w:tcPr>
          <w:p w14:paraId="0CC93AE7">
            <w:pPr>
              <w:widowControl/>
              <w:spacing w:line="240" w:lineRule="auto"/>
              <w:jc w:val="center"/>
              <w:rPr>
                <w:kern w:val="0"/>
                <w:sz w:val="20"/>
                <w:szCs w:val="20"/>
              </w:rPr>
            </w:pPr>
            <w:r>
              <w:rPr>
                <w:kern w:val="0"/>
                <w:sz w:val="20"/>
                <w:szCs w:val="20"/>
              </w:rPr>
              <w:t xml:space="preserve">10159 </w:t>
            </w:r>
          </w:p>
        </w:tc>
        <w:tc>
          <w:tcPr>
            <w:tcW w:w="1934" w:type="dxa"/>
            <w:tcBorders>
              <w:top w:val="nil"/>
              <w:left w:val="nil"/>
              <w:bottom w:val="single" w:color="auto" w:sz="4" w:space="0"/>
              <w:right w:val="single" w:color="auto" w:sz="4" w:space="0"/>
            </w:tcBorders>
            <w:vAlign w:val="center"/>
          </w:tcPr>
          <w:p w14:paraId="6FBBD034">
            <w:pPr>
              <w:widowControl/>
              <w:spacing w:line="240" w:lineRule="auto"/>
              <w:jc w:val="center"/>
              <w:rPr>
                <w:kern w:val="0"/>
                <w:sz w:val="20"/>
                <w:szCs w:val="20"/>
              </w:rPr>
            </w:pPr>
            <w:r>
              <w:rPr>
                <w:kern w:val="0"/>
                <w:sz w:val="20"/>
                <w:szCs w:val="20"/>
              </w:rPr>
              <w:t xml:space="preserve">0.2 </w:t>
            </w:r>
          </w:p>
        </w:tc>
        <w:tc>
          <w:tcPr>
            <w:tcW w:w="1985" w:type="dxa"/>
            <w:tcBorders>
              <w:top w:val="nil"/>
              <w:left w:val="nil"/>
              <w:bottom w:val="single" w:color="auto" w:sz="4" w:space="0"/>
              <w:right w:val="single" w:color="auto" w:sz="4" w:space="0"/>
            </w:tcBorders>
            <w:vAlign w:val="center"/>
          </w:tcPr>
          <w:p w14:paraId="7C8B5CE8">
            <w:pPr>
              <w:widowControl/>
              <w:spacing w:line="240" w:lineRule="auto"/>
              <w:jc w:val="center"/>
              <w:rPr>
                <w:kern w:val="0"/>
                <w:sz w:val="20"/>
                <w:szCs w:val="20"/>
              </w:rPr>
            </w:pPr>
            <w:r>
              <w:rPr>
                <w:kern w:val="0"/>
                <w:sz w:val="20"/>
                <w:szCs w:val="20"/>
              </w:rPr>
              <w:t xml:space="preserve">0.4 </w:t>
            </w:r>
          </w:p>
        </w:tc>
      </w:tr>
      <w:tr w14:paraId="74E4EFAC">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926F3D6">
            <w:pPr>
              <w:widowControl/>
              <w:spacing w:line="240" w:lineRule="auto"/>
              <w:jc w:val="center"/>
              <w:rPr>
                <w:kern w:val="0"/>
                <w:sz w:val="20"/>
                <w:szCs w:val="20"/>
              </w:rPr>
            </w:pPr>
            <w:r>
              <w:rPr>
                <w:kern w:val="0"/>
                <w:sz w:val="20"/>
                <w:szCs w:val="20"/>
              </w:rPr>
              <w:t>34</w:t>
            </w:r>
          </w:p>
        </w:tc>
        <w:tc>
          <w:tcPr>
            <w:tcW w:w="2007" w:type="dxa"/>
            <w:tcBorders>
              <w:top w:val="single" w:color="auto" w:sz="4" w:space="0"/>
              <w:left w:val="nil"/>
              <w:bottom w:val="nil"/>
              <w:right w:val="single" w:color="auto" w:sz="4" w:space="0"/>
            </w:tcBorders>
            <w:vAlign w:val="center"/>
          </w:tcPr>
          <w:p w14:paraId="658E7447">
            <w:pPr>
              <w:widowControl/>
              <w:spacing w:line="240" w:lineRule="auto"/>
              <w:jc w:val="center"/>
              <w:rPr>
                <w:kern w:val="0"/>
                <w:sz w:val="20"/>
                <w:szCs w:val="20"/>
              </w:rPr>
            </w:pPr>
            <w:r>
              <w:rPr>
                <w:kern w:val="0"/>
                <w:sz w:val="20"/>
                <w:szCs w:val="20"/>
              </w:rPr>
              <w:t>20160727PH</w:t>
            </w:r>
          </w:p>
        </w:tc>
        <w:tc>
          <w:tcPr>
            <w:tcW w:w="1688" w:type="dxa"/>
            <w:tcBorders>
              <w:top w:val="nil"/>
              <w:left w:val="nil"/>
              <w:bottom w:val="single" w:color="auto" w:sz="4" w:space="0"/>
              <w:right w:val="single" w:color="auto" w:sz="4" w:space="0"/>
            </w:tcBorders>
            <w:vAlign w:val="center"/>
          </w:tcPr>
          <w:p w14:paraId="43E0DC4A">
            <w:pPr>
              <w:widowControl/>
              <w:spacing w:line="240" w:lineRule="auto"/>
              <w:jc w:val="center"/>
              <w:rPr>
                <w:kern w:val="0"/>
                <w:sz w:val="20"/>
                <w:szCs w:val="20"/>
              </w:rPr>
            </w:pPr>
            <w:r>
              <w:rPr>
                <w:kern w:val="0"/>
                <w:sz w:val="20"/>
                <w:szCs w:val="20"/>
              </w:rPr>
              <w:t xml:space="preserve">14673 </w:t>
            </w:r>
          </w:p>
        </w:tc>
        <w:tc>
          <w:tcPr>
            <w:tcW w:w="1934" w:type="dxa"/>
            <w:tcBorders>
              <w:top w:val="nil"/>
              <w:left w:val="nil"/>
              <w:bottom w:val="single" w:color="auto" w:sz="4" w:space="0"/>
              <w:right w:val="single" w:color="auto" w:sz="4" w:space="0"/>
            </w:tcBorders>
            <w:vAlign w:val="center"/>
          </w:tcPr>
          <w:p w14:paraId="2024243C">
            <w:pPr>
              <w:widowControl/>
              <w:spacing w:line="240" w:lineRule="auto"/>
              <w:jc w:val="center"/>
              <w:rPr>
                <w:kern w:val="0"/>
                <w:sz w:val="20"/>
                <w:szCs w:val="20"/>
              </w:rPr>
            </w:pPr>
            <w:r>
              <w:rPr>
                <w:kern w:val="0"/>
                <w:sz w:val="20"/>
                <w:szCs w:val="20"/>
              </w:rPr>
              <w:t xml:space="preserve">0.3 </w:t>
            </w:r>
          </w:p>
        </w:tc>
        <w:tc>
          <w:tcPr>
            <w:tcW w:w="1985" w:type="dxa"/>
            <w:tcBorders>
              <w:top w:val="nil"/>
              <w:left w:val="nil"/>
              <w:bottom w:val="single" w:color="auto" w:sz="4" w:space="0"/>
              <w:right w:val="single" w:color="auto" w:sz="4" w:space="0"/>
            </w:tcBorders>
            <w:vAlign w:val="center"/>
          </w:tcPr>
          <w:p w14:paraId="52C28E07">
            <w:pPr>
              <w:widowControl/>
              <w:spacing w:line="240" w:lineRule="auto"/>
              <w:jc w:val="center"/>
              <w:rPr>
                <w:kern w:val="0"/>
                <w:sz w:val="20"/>
                <w:szCs w:val="20"/>
              </w:rPr>
            </w:pPr>
            <w:r>
              <w:rPr>
                <w:kern w:val="0"/>
                <w:sz w:val="20"/>
                <w:szCs w:val="20"/>
              </w:rPr>
              <w:t xml:space="preserve">0.9 </w:t>
            </w:r>
          </w:p>
        </w:tc>
      </w:tr>
      <w:tr w14:paraId="52ACABB0">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1796074B">
            <w:pPr>
              <w:widowControl/>
              <w:spacing w:line="240" w:lineRule="auto"/>
              <w:jc w:val="center"/>
              <w:rPr>
                <w:kern w:val="0"/>
                <w:sz w:val="20"/>
                <w:szCs w:val="20"/>
              </w:rPr>
            </w:pPr>
            <w:r>
              <w:rPr>
                <w:kern w:val="0"/>
                <w:sz w:val="20"/>
                <w:szCs w:val="20"/>
              </w:rPr>
              <w:t>35</w:t>
            </w:r>
          </w:p>
        </w:tc>
        <w:tc>
          <w:tcPr>
            <w:tcW w:w="2007" w:type="dxa"/>
            <w:tcBorders>
              <w:top w:val="single" w:color="auto" w:sz="4" w:space="0"/>
              <w:left w:val="nil"/>
              <w:bottom w:val="nil"/>
              <w:right w:val="single" w:color="auto" w:sz="4" w:space="0"/>
            </w:tcBorders>
            <w:vAlign w:val="center"/>
          </w:tcPr>
          <w:p w14:paraId="340B1857">
            <w:pPr>
              <w:widowControl/>
              <w:spacing w:line="240" w:lineRule="auto"/>
              <w:jc w:val="center"/>
              <w:rPr>
                <w:kern w:val="0"/>
                <w:sz w:val="20"/>
                <w:szCs w:val="20"/>
              </w:rPr>
            </w:pPr>
            <w:r>
              <w:rPr>
                <w:kern w:val="0"/>
                <w:sz w:val="20"/>
                <w:szCs w:val="20"/>
              </w:rPr>
              <w:t>20160728AQ</w:t>
            </w:r>
          </w:p>
        </w:tc>
        <w:tc>
          <w:tcPr>
            <w:tcW w:w="1688" w:type="dxa"/>
            <w:tcBorders>
              <w:top w:val="nil"/>
              <w:left w:val="nil"/>
              <w:bottom w:val="single" w:color="auto" w:sz="4" w:space="0"/>
              <w:right w:val="single" w:color="auto" w:sz="4" w:space="0"/>
            </w:tcBorders>
            <w:vAlign w:val="center"/>
          </w:tcPr>
          <w:p w14:paraId="769A419B">
            <w:pPr>
              <w:widowControl/>
              <w:spacing w:line="240" w:lineRule="auto"/>
              <w:jc w:val="center"/>
              <w:rPr>
                <w:kern w:val="0"/>
                <w:sz w:val="20"/>
                <w:szCs w:val="20"/>
              </w:rPr>
            </w:pPr>
            <w:r>
              <w:rPr>
                <w:kern w:val="0"/>
                <w:sz w:val="20"/>
                <w:szCs w:val="20"/>
              </w:rPr>
              <w:t xml:space="preserve">10243 </w:t>
            </w:r>
          </w:p>
        </w:tc>
        <w:tc>
          <w:tcPr>
            <w:tcW w:w="1934" w:type="dxa"/>
            <w:tcBorders>
              <w:top w:val="nil"/>
              <w:left w:val="nil"/>
              <w:bottom w:val="single" w:color="auto" w:sz="4" w:space="0"/>
              <w:right w:val="single" w:color="auto" w:sz="4" w:space="0"/>
            </w:tcBorders>
            <w:vAlign w:val="center"/>
          </w:tcPr>
          <w:p w14:paraId="06E55B72">
            <w:pPr>
              <w:widowControl/>
              <w:spacing w:line="240" w:lineRule="auto"/>
              <w:jc w:val="center"/>
              <w:rPr>
                <w:kern w:val="0"/>
                <w:sz w:val="20"/>
                <w:szCs w:val="20"/>
              </w:rPr>
            </w:pPr>
            <w:r>
              <w:rPr>
                <w:kern w:val="0"/>
                <w:sz w:val="20"/>
                <w:szCs w:val="20"/>
              </w:rPr>
              <w:t xml:space="preserve">2.7 </w:t>
            </w:r>
          </w:p>
        </w:tc>
        <w:tc>
          <w:tcPr>
            <w:tcW w:w="1985" w:type="dxa"/>
            <w:tcBorders>
              <w:top w:val="nil"/>
              <w:left w:val="nil"/>
              <w:bottom w:val="single" w:color="auto" w:sz="4" w:space="0"/>
              <w:right w:val="single" w:color="auto" w:sz="4" w:space="0"/>
            </w:tcBorders>
            <w:vAlign w:val="center"/>
          </w:tcPr>
          <w:p w14:paraId="52EC2236">
            <w:pPr>
              <w:widowControl/>
              <w:spacing w:line="240" w:lineRule="auto"/>
              <w:jc w:val="center"/>
              <w:rPr>
                <w:kern w:val="0"/>
                <w:sz w:val="20"/>
                <w:szCs w:val="20"/>
              </w:rPr>
            </w:pPr>
            <w:r>
              <w:rPr>
                <w:kern w:val="0"/>
                <w:sz w:val="20"/>
                <w:szCs w:val="20"/>
              </w:rPr>
              <w:t xml:space="preserve">4.4 </w:t>
            </w:r>
          </w:p>
        </w:tc>
      </w:tr>
      <w:tr w14:paraId="0627BB1B">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528B36A">
            <w:pPr>
              <w:widowControl/>
              <w:spacing w:line="240" w:lineRule="auto"/>
              <w:jc w:val="center"/>
              <w:rPr>
                <w:kern w:val="0"/>
                <w:sz w:val="20"/>
                <w:szCs w:val="20"/>
              </w:rPr>
            </w:pPr>
            <w:r>
              <w:rPr>
                <w:kern w:val="0"/>
                <w:sz w:val="20"/>
                <w:szCs w:val="20"/>
              </w:rPr>
              <w:t>36</w:t>
            </w:r>
          </w:p>
        </w:tc>
        <w:tc>
          <w:tcPr>
            <w:tcW w:w="2007" w:type="dxa"/>
            <w:tcBorders>
              <w:top w:val="single" w:color="auto" w:sz="4" w:space="0"/>
              <w:left w:val="nil"/>
              <w:bottom w:val="nil"/>
              <w:right w:val="single" w:color="auto" w:sz="4" w:space="0"/>
            </w:tcBorders>
            <w:vAlign w:val="center"/>
          </w:tcPr>
          <w:p w14:paraId="58071EC9">
            <w:pPr>
              <w:widowControl/>
              <w:spacing w:line="240" w:lineRule="auto"/>
              <w:jc w:val="center"/>
              <w:rPr>
                <w:kern w:val="0"/>
                <w:sz w:val="20"/>
                <w:szCs w:val="20"/>
              </w:rPr>
            </w:pPr>
            <w:r>
              <w:rPr>
                <w:kern w:val="0"/>
                <w:sz w:val="20"/>
                <w:szCs w:val="20"/>
              </w:rPr>
              <w:t>20160728AH</w:t>
            </w:r>
          </w:p>
        </w:tc>
        <w:tc>
          <w:tcPr>
            <w:tcW w:w="1688" w:type="dxa"/>
            <w:tcBorders>
              <w:top w:val="nil"/>
              <w:left w:val="nil"/>
              <w:bottom w:val="single" w:color="auto" w:sz="4" w:space="0"/>
              <w:right w:val="single" w:color="auto" w:sz="4" w:space="0"/>
            </w:tcBorders>
            <w:vAlign w:val="center"/>
          </w:tcPr>
          <w:p w14:paraId="7DCDBAE8">
            <w:pPr>
              <w:widowControl/>
              <w:spacing w:line="240" w:lineRule="auto"/>
              <w:jc w:val="center"/>
              <w:rPr>
                <w:kern w:val="0"/>
                <w:sz w:val="20"/>
                <w:szCs w:val="20"/>
              </w:rPr>
            </w:pPr>
            <w:r>
              <w:rPr>
                <w:kern w:val="0"/>
                <w:sz w:val="20"/>
                <w:szCs w:val="20"/>
              </w:rPr>
              <w:t xml:space="preserve">15197 </w:t>
            </w:r>
          </w:p>
        </w:tc>
        <w:tc>
          <w:tcPr>
            <w:tcW w:w="1934" w:type="dxa"/>
            <w:tcBorders>
              <w:top w:val="nil"/>
              <w:left w:val="nil"/>
              <w:bottom w:val="single" w:color="auto" w:sz="4" w:space="0"/>
              <w:right w:val="single" w:color="auto" w:sz="4" w:space="0"/>
            </w:tcBorders>
            <w:vAlign w:val="center"/>
          </w:tcPr>
          <w:p w14:paraId="56D2ED00">
            <w:pPr>
              <w:widowControl/>
              <w:spacing w:line="240" w:lineRule="auto"/>
              <w:jc w:val="center"/>
              <w:rPr>
                <w:kern w:val="0"/>
                <w:sz w:val="20"/>
                <w:szCs w:val="20"/>
              </w:rPr>
            </w:pPr>
            <w:r>
              <w:rPr>
                <w:kern w:val="0"/>
                <w:sz w:val="20"/>
                <w:szCs w:val="20"/>
              </w:rPr>
              <w:t xml:space="preserve">2.1 </w:t>
            </w:r>
          </w:p>
        </w:tc>
        <w:tc>
          <w:tcPr>
            <w:tcW w:w="1985" w:type="dxa"/>
            <w:tcBorders>
              <w:top w:val="nil"/>
              <w:left w:val="nil"/>
              <w:bottom w:val="single" w:color="auto" w:sz="4" w:space="0"/>
              <w:right w:val="single" w:color="auto" w:sz="4" w:space="0"/>
            </w:tcBorders>
            <w:vAlign w:val="center"/>
          </w:tcPr>
          <w:p w14:paraId="643405D9">
            <w:pPr>
              <w:widowControl/>
              <w:spacing w:line="240" w:lineRule="auto"/>
              <w:jc w:val="center"/>
              <w:rPr>
                <w:kern w:val="0"/>
                <w:sz w:val="20"/>
                <w:szCs w:val="20"/>
              </w:rPr>
            </w:pPr>
            <w:r>
              <w:rPr>
                <w:kern w:val="0"/>
                <w:sz w:val="20"/>
                <w:szCs w:val="20"/>
              </w:rPr>
              <w:t xml:space="preserve">3.3 </w:t>
            </w:r>
          </w:p>
        </w:tc>
      </w:tr>
      <w:tr w14:paraId="26D9D474">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5056862F">
            <w:pPr>
              <w:widowControl/>
              <w:spacing w:line="240" w:lineRule="auto"/>
              <w:jc w:val="center"/>
              <w:rPr>
                <w:kern w:val="0"/>
                <w:sz w:val="20"/>
                <w:szCs w:val="20"/>
              </w:rPr>
            </w:pPr>
            <w:r>
              <w:rPr>
                <w:kern w:val="0"/>
                <w:sz w:val="20"/>
                <w:szCs w:val="20"/>
              </w:rPr>
              <w:t>37</w:t>
            </w:r>
          </w:p>
        </w:tc>
        <w:tc>
          <w:tcPr>
            <w:tcW w:w="2007" w:type="dxa"/>
            <w:tcBorders>
              <w:top w:val="single" w:color="auto" w:sz="4" w:space="0"/>
              <w:left w:val="nil"/>
              <w:bottom w:val="nil"/>
              <w:right w:val="single" w:color="auto" w:sz="4" w:space="0"/>
            </w:tcBorders>
            <w:vAlign w:val="center"/>
          </w:tcPr>
          <w:p w14:paraId="1920293B">
            <w:pPr>
              <w:widowControl/>
              <w:spacing w:line="240" w:lineRule="auto"/>
              <w:jc w:val="center"/>
              <w:rPr>
                <w:kern w:val="0"/>
                <w:sz w:val="20"/>
                <w:szCs w:val="20"/>
              </w:rPr>
            </w:pPr>
            <w:r>
              <w:rPr>
                <w:kern w:val="0"/>
                <w:sz w:val="20"/>
                <w:szCs w:val="20"/>
              </w:rPr>
              <w:t>20160728PQ</w:t>
            </w:r>
          </w:p>
        </w:tc>
        <w:tc>
          <w:tcPr>
            <w:tcW w:w="1688" w:type="dxa"/>
            <w:tcBorders>
              <w:top w:val="nil"/>
              <w:left w:val="nil"/>
              <w:bottom w:val="single" w:color="auto" w:sz="4" w:space="0"/>
              <w:right w:val="single" w:color="auto" w:sz="4" w:space="0"/>
            </w:tcBorders>
            <w:vAlign w:val="center"/>
          </w:tcPr>
          <w:p w14:paraId="490051FA">
            <w:pPr>
              <w:widowControl/>
              <w:spacing w:line="240" w:lineRule="auto"/>
              <w:jc w:val="center"/>
              <w:rPr>
                <w:kern w:val="0"/>
                <w:sz w:val="20"/>
                <w:szCs w:val="20"/>
              </w:rPr>
            </w:pPr>
            <w:r>
              <w:rPr>
                <w:kern w:val="0"/>
                <w:sz w:val="20"/>
                <w:szCs w:val="20"/>
              </w:rPr>
              <w:t xml:space="preserve">9613 </w:t>
            </w:r>
          </w:p>
        </w:tc>
        <w:tc>
          <w:tcPr>
            <w:tcW w:w="1934" w:type="dxa"/>
            <w:tcBorders>
              <w:top w:val="nil"/>
              <w:left w:val="nil"/>
              <w:bottom w:val="single" w:color="auto" w:sz="4" w:space="0"/>
              <w:right w:val="single" w:color="auto" w:sz="4" w:space="0"/>
            </w:tcBorders>
            <w:vAlign w:val="center"/>
          </w:tcPr>
          <w:p w14:paraId="4E9C092C">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1D150119">
            <w:pPr>
              <w:widowControl/>
              <w:spacing w:line="240" w:lineRule="auto"/>
              <w:jc w:val="center"/>
              <w:rPr>
                <w:kern w:val="0"/>
                <w:sz w:val="20"/>
                <w:szCs w:val="20"/>
              </w:rPr>
            </w:pPr>
            <w:r>
              <w:rPr>
                <w:kern w:val="0"/>
                <w:sz w:val="20"/>
                <w:szCs w:val="20"/>
              </w:rPr>
              <w:t xml:space="preserve">2.1 </w:t>
            </w:r>
          </w:p>
        </w:tc>
      </w:tr>
      <w:tr w14:paraId="2DAAE7B1">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3EA0320E">
            <w:pPr>
              <w:widowControl/>
              <w:spacing w:line="240" w:lineRule="auto"/>
              <w:jc w:val="center"/>
              <w:rPr>
                <w:kern w:val="0"/>
                <w:sz w:val="20"/>
                <w:szCs w:val="20"/>
              </w:rPr>
            </w:pPr>
            <w:r>
              <w:rPr>
                <w:kern w:val="0"/>
                <w:sz w:val="20"/>
                <w:szCs w:val="20"/>
              </w:rPr>
              <w:t>38</w:t>
            </w:r>
          </w:p>
        </w:tc>
        <w:tc>
          <w:tcPr>
            <w:tcW w:w="2007" w:type="dxa"/>
            <w:tcBorders>
              <w:top w:val="single" w:color="auto" w:sz="4" w:space="0"/>
              <w:left w:val="nil"/>
              <w:bottom w:val="nil"/>
              <w:right w:val="single" w:color="auto" w:sz="4" w:space="0"/>
            </w:tcBorders>
            <w:vAlign w:val="center"/>
          </w:tcPr>
          <w:p w14:paraId="75C78949">
            <w:pPr>
              <w:widowControl/>
              <w:spacing w:line="240" w:lineRule="auto"/>
              <w:jc w:val="center"/>
              <w:rPr>
                <w:kern w:val="0"/>
                <w:sz w:val="20"/>
                <w:szCs w:val="20"/>
              </w:rPr>
            </w:pPr>
            <w:r>
              <w:rPr>
                <w:kern w:val="0"/>
                <w:sz w:val="20"/>
                <w:szCs w:val="20"/>
              </w:rPr>
              <w:t>20160728PH</w:t>
            </w:r>
          </w:p>
        </w:tc>
        <w:tc>
          <w:tcPr>
            <w:tcW w:w="1688" w:type="dxa"/>
            <w:tcBorders>
              <w:top w:val="nil"/>
              <w:left w:val="nil"/>
              <w:bottom w:val="single" w:color="auto" w:sz="4" w:space="0"/>
              <w:right w:val="single" w:color="auto" w:sz="4" w:space="0"/>
            </w:tcBorders>
            <w:vAlign w:val="center"/>
          </w:tcPr>
          <w:p w14:paraId="2541D254">
            <w:pPr>
              <w:widowControl/>
              <w:spacing w:line="240" w:lineRule="auto"/>
              <w:jc w:val="center"/>
              <w:rPr>
                <w:kern w:val="0"/>
                <w:sz w:val="20"/>
                <w:szCs w:val="20"/>
              </w:rPr>
            </w:pPr>
            <w:r>
              <w:rPr>
                <w:kern w:val="0"/>
                <w:sz w:val="20"/>
                <w:szCs w:val="20"/>
              </w:rPr>
              <w:t xml:space="preserve">9863 </w:t>
            </w:r>
          </w:p>
        </w:tc>
        <w:tc>
          <w:tcPr>
            <w:tcW w:w="1934" w:type="dxa"/>
            <w:tcBorders>
              <w:top w:val="nil"/>
              <w:left w:val="nil"/>
              <w:bottom w:val="single" w:color="auto" w:sz="4" w:space="0"/>
              <w:right w:val="single" w:color="auto" w:sz="4" w:space="0"/>
            </w:tcBorders>
            <w:vAlign w:val="center"/>
          </w:tcPr>
          <w:p w14:paraId="6860F49C">
            <w:pPr>
              <w:widowControl/>
              <w:spacing w:line="240" w:lineRule="auto"/>
              <w:jc w:val="center"/>
              <w:rPr>
                <w:kern w:val="0"/>
                <w:sz w:val="20"/>
                <w:szCs w:val="20"/>
              </w:rPr>
            </w:pPr>
            <w:r>
              <w:rPr>
                <w:kern w:val="0"/>
                <w:sz w:val="20"/>
                <w:szCs w:val="20"/>
              </w:rPr>
              <w:t xml:space="preserve">0.9 </w:t>
            </w:r>
          </w:p>
        </w:tc>
        <w:tc>
          <w:tcPr>
            <w:tcW w:w="1985" w:type="dxa"/>
            <w:tcBorders>
              <w:top w:val="nil"/>
              <w:left w:val="nil"/>
              <w:bottom w:val="single" w:color="auto" w:sz="4" w:space="0"/>
              <w:right w:val="single" w:color="auto" w:sz="4" w:space="0"/>
            </w:tcBorders>
            <w:vAlign w:val="center"/>
          </w:tcPr>
          <w:p w14:paraId="3DDF4B48">
            <w:pPr>
              <w:widowControl/>
              <w:spacing w:line="240" w:lineRule="auto"/>
              <w:jc w:val="center"/>
              <w:rPr>
                <w:kern w:val="0"/>
                <w:sz w:val="20"/>
                <w:szCs w:val="20"/>
              </w:rPr>
            </w:pPr>
            <w:r>
              <w:rPr>
                <w:kern w:val="0"/>
                <w:sz w:val="20"/>
                <w:szCs w:val="20"/>
              </w:rPr>
              <w:t xml:space="preserve">1.2 </w:t>
            </w:r>
          </w:p>
        </w:tc>
      </w:tr>
      <w:tr w14:paraId="36CC18EA">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687CA03A">
            <w:pPr>
              <w:widowControl/>
              <w:spacing w:line="240" w:lineRule="auto"/>
              <w:jc w:val="center"/>
              <w:rPr>
                <w:kern w:val="0"/>
                <w:sz w:val="20"/>
                <w:szCs w:val="20"/>
              </w:rPr>
            </w:pPr>
            <w:r>
              <w:rPr>
                <w:kern w:val="0"/>
                <w:sz w:val="20"/>
                <w:szCs w:val="20"/>
              </w:rPr>
              <w:t>39</w:t>
            </w:r>
          </w:p>
        </w:tc>
        <w:tc>
          <w:tcPr>
            <w:tcW w:w="2007" w:type="dxa"/>
            <w:tcBorders>
              <w:top w:val="single" w:color="auto" w:sz="4" w:space="0"/>
              <w:left w:val="nil"/>
              <w:bottom w:val="single" w:color="auto" w:sz="4" w:space="0"/>
              <w:right w:val="single" w:color="auto" w:sz="4" w:space="0"/>
            </w:tcBorders>
            <w:vAlign w:val="center"/>
          </w:tcPr>
          <w:p w14:paraId="50BC9FFA">
            <w:pPr>
              <w:widowControl/>
              <w:spacing w:line="240" w:lineRule="auto"/>
              <w:jc w:val="center"/>
              <w:rPr>
                <w:kern w:val="0"/>
                <w:sz w:val="20"/>
                <w:szCs w:val="20"/>
              </w:rPr>
            </w:pPr>
            <w:r>
              <w:rPr>
                <w:kern w:val="0"/>
                <w:sz w:val="20"/>
                <w:szCs w:val="20"/>
              </w:rPr>
              <w:t>20160729AQ</w:t>
            </w:r>
          </w:p>
        </w:tc>
        <w:tc>
          <w:tcPr>
            <w:tcW w:w="1688" w:type="dxa"/>
            <w:tcBorders>
              <w:top w:val="nil"/>
              <w:left w:val="nil"/>
              <w:bottom w:val="single" w:color="auto" w:sz="4" w:space="0"/>
              <w:right w:val="single" w:color="auto" w:sz="4" w:space="0"/>
            </w:tcBorders>
            <w:vAlign w:val="center"/>
          </w:tcPr>
          <w:p w14:paraId="7E0FFE1A">
            <w:pPr>
              <w:widowControl/>
              <w:spacing w:line="240" w:lineRule="auto"/>
              <w:jc w:val="center"/>
              <w:rPr>
                <w:kern w:val="0"/>
                <w:sz w:val="20"/>
                <w:szCs w:val="20"/>
              </w:rPr>
            </w:pPr>
            <w:r>
              <w:rPr>
                <w:kern w:val="0"/>
                <w:sz w:val="20"/>
                <w:szCs w:val="20"/>
              </w:rPr>
              <w:t xml:space="preserve">3443 </w:t>
            </w:r>
          </w:p>
        </w:tc>
        <w:tc>
          <w:tcPr>
            <w:tcW w:w="1934" w:type="dxa"/>
            <w:tcBorders>
              <w:top w:val="nil"/>
              <w:left w:val="nil"/>
              <w:bottom w:val="single" w:color="auto" w:sz="4" w:space="0"/>
              <w:right w:val="single" w:color="auto" w:sz="4" w:space="0"/>
            </w:tcBorders>
            <w:vAlign w:val="center"/>
          </w:tcPr>
          <w:p w14:paraId="43B1FE67">
            <w:pPr>
              <w:widowControl/>
              <w:spacing w:line="240" w:lineRule="auto"/>
              <w:jc w:val="center"/>
              <w:rPr>
                <w:kern w:val="0"/>
                <w:sz w:val="20"/>
                <w:szCs w:val="20"/>
              </w:rPr>
            </w:pPr>
            <w:r>
              <w:rPr>
                <w:kern w:val="0"/>
                <w:sz w:val="20"/>
                <w:szCs w:val="20"/>
              </w:rPr>
              <w:t xml:space="preserve">1.0 </w:t>
            </w:r>
          </w:p>
        </w:tc>
        <w:tc>
          <w:tcPr>
            <w:tcW w:w="1985" w:type="dxa"/>
            <w:tcBorders>
              <w:top w:val="nil"/>
              <w:left w:val="nil"/>
              <w:bottom w:val="single" w:color="auto" w:sz="4" w:space="0"/>
              <w:right w:val="single" w:color="auto" w:sz="4" w:space="0"/>
            </w:tcBorders>
            <w:vAlign w:val="center"/>
          </w:tcPr>
          <w:p w14:paraId="70332C20">
            <w:pPr>
              <w:widowControl/>
              <w:spacing w:line="240" w:lineRule="auto"/>
              <w:jc w:val="center"/>
              <w:rPr>
                <w:kern w:val="0"/>
                <w:sz w:val="20"/>
                <w:szCs w:val="20"/>
              </w:rPr>
            </w:pPr>
            <w:r>
              <w:rPr>
                <w:kern w:val="0"/>
                <w:sz w:val="20"/>
                <w:szCs w:val="20"/>
              </w:rPr>
              <w:t xml:space="preserve">1.4 </w:t>
            </w:r>
          </w:p>
        </w:tc>
      </w:tr>
      <w:tr w14:paraId="3E7CAECF">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2ADF4D41">
            <w:pPr>
              <w:widowControl/>
              <w:spacing w:line="240" w:lineRule="auto"/>
              <w:jc w:val="center"/>
              <w:rPr>
                <w:kern w:val="0"/>
                <w:sz w:val="20"/>
                <w:szCs w:val="20"/>
              </w:rPr>
            </w:pPr>
            <w:r>
              <w:rPr>
                <w:kern w:val="0"/>
                <w:sz w:val="20"/>
                <w:szCs w:val="20"/>
              </w:rPr>
              <w:t>40</w:t>
            </w:r>
          </w:p>
        </w:tc>
        <w:tc>
          <w:tcPr>
            <w:tcW w:w="2007" w:type="dxa"/>
            <w:tcBorders>
              <w:top w:val="nil"/>
              <w:left w:val="nil"/>
              <w:bottom w:val="single" w:color="auto" w:sz="4" w:space="0"/>
              <w:right w:val="single" w:color="auto" w:sz="4" w:space="0"/>
            </w:tcBorders>
            <w:vAlign w:val="center"/>
          </w:tcPr>
          <w:p w14:paraId="0A5E1E5D">
            <w:pPr>
              <w:widowControl/>
              <w:spacing w:line="240" w:lineRule="auto"/>
              <w:jc w:val="center"/>
              <w:rPr>
                <w:kern w:val="0"/>
                <w:sz w:val="20"/>
                <w:szCs w:val="20"/>
              </w:rPr>
            </w:pPr>
            <w:r>
              <w:rPr>
                <w:kern w:val="0"/>
                <w:sz w:val="20"/>
                <w:szCs w:val="20"/>
              </w:rPr>
              <w:t>20160729PQ</w:t>
            </w:r>
          </w:p>
        </w:tc>
        <w:tc>
          <w:tcPr>
            <w:tcW w:w="1688" w:type="dxa"/>
            <w:tcBorders>
              <w:top w:val="nil"/>
              <w:left w:val="nil"/>
              <w:bottom w:val="single" w:color="auto" w:sz="4" w:space="0"/>
              <w:right w:val="single" w:color="auto" w:sz="4" w:space="0"/>
            </w:tcBorders>
            <w:vAlign w:val="center"/>
          </w:tcPr>
          <w:p w14:paraId="4D2FFBFF">
            <w:pPr>
              <w:widowControl/>
              <w:spacing w:line="240" w:lineRule="auto"/>
              <w:jc w:val="center"/>
              <w:rPr>
                <w:kern w:val="0"/>
                <w:sz w:val="20"/>
                <w:szCs w:val="20"/>
              </w:rPr>
            </w:pPr>
            <w:r>
              <w:rPr>
                <w:kern w:val="0"/>
                <w:sz w:val="20"/>
                <w:szCs w:val="20"/>
              </w:rPr>
              <w:t xml:space="preserve">2983 </w:t>
            </w:r>
          </w:p>
        </w:tc>
        <w:tc>
          <w:tcPr>
            <w:tcW w:w="1934" w:type="dxa"/>
            <w:tcBorders>
              <w:top w:val="nil"/>
              <w:left w:val="nil"/>
              <w:bottom w:val="single" w:color="auto" w:sz="4" w:space="0"/>
              <w:right w:val="single" w:color="auto" w:sz="4" w:space="0"/>
            </w:tcBorders>
            <w:vAlign w:val="center"/>
          </w:tcPr>
          <w:p w14:paraId="203C5732">
            <w:pPr>
              <w:widowControl/>
              <w:spacing w:line="240" w:lineRule="auto"/>
              <w:jc w:val="center"/>
              <w:rPr>
                <w:kern w:val="0"/>
                <w:sz w:val="20"/>
                <w:szCs w:val="20"/>
              </w:rPr>
            </w:pPr>
            <w:r>
              <w:rPr>
                <w:kern w:val="0"/>
                <w:sz w:val="20"/>
                <w:szCs w:val="20"/>
              </w:rPr>
              <w:t xml:space="preserve">1.3 </w:t>
            </w:r>
          </w:p>
        </w:tc>
        <w:tc>
          <w:tcPr>
            <w:tcW w:w="1985" w:type="dxa"/>
            <w:tcBorders>
              <w:top w:val="nil"/>
              <w:left w:val="nil"/>
              <w:bottom w:val="single" w:color="auto" w:sz="4" w:space="0"/>
              <w:right w:val="single" w:color="auto" w:sz="4" w:space="0"/>
            </w:tcBorders>
            <w:vAlign w:val="center"/>
          </w:tcPr>
          <w:p w14:paraId="1AEFFDE6">
            <w:pPr>
              <w:widowControl/>
              <w:spacing w:line="240" w:lineRule="auto"/>
              <w:jc w:val="center"/>
              <w:rPr>
                <w:kern w:val="0"/>
                <w:sz w:val="20"/>
                <w:szCs w:val="20"/>
              </w:rPr>
            </w:pPr>
            <w:r>
              <w:rPr>
                <w:kern w:val="0"/>
                <w:sz w:val="20"/>
                <w:szCs w:val="20"/>
              </w:rPr>
              <w:t xml:space="preserve">1.7 </w:t>
            </w:r>
          </w:p>
        </w:tc>
      </w:tr>
      <w:tr w14:paraId="485FEDAC">
        <w:tblPrEx>
          <w:tblCellMar>
            <w:top w:w="0" w:type="dxa"/>
            <w:left w:w="108" w:type="dxa"/>
            <w:bottom w:w="0" w:type="dxa"/>
            <w:right w:w="108" w:type="dxa"/>
          </w:tblCellMar>
        </w:tblPrEx>
        <w:trPr>
          <w:trHeight w:val="270" w:hRule="atLeast"/>
        </w:trPr>
        <w:tc>
          <w:tcPr>
            <w:tcW w:w="620" w:type="dxa"/>
            <w:tcBorders>
              <w:top w:val="nil"/>
              <w:left w:val="single" w:color="auto" w:sz="4" w:space="0"/>
              <w:bottom w:val="single" w:color="auto" w:sz="4" w:space="0"/>
              <w:right w:val="single" w:color="auto" w:sz="4" w:space="0"/>
            </w:tcBorders>
            <w:vAlign w:val="center"/>
          </w:tcPr>
          <w:p w14:paraId="710C6012">
            <w:pPr>
              <w:widowControl/>
              <w:spacing w:line="240" w:lineRule="auto"/>
              <w:jc w:val="center"/>
              <w:rPr>
                <w:kern w:val="0"/>
                <w:sz w:val="20"/>
                <w:szCs w:val="20"/>
              </w:rPr>
            </w:pPr>
            <w:r>
              <w:rPr>
                <w:kern w:val="0"/>
                <w:sz w:val="20"/>
                <w:szCs w:val="20"/>
              </w:rPr>
              <w:t>41</w:t>
            </w:r>
          </w:p>
        </w:tc>
        <w:tc>
          <w:tcPr>
            <w:tcW w:w="2007" w:type="dxa"/>
            <w:tcBorders>
              <w:top w:val="nil"/>
              <w:left w:val="nil"/>
              <w:bottom w:val="single" w:color="auto" w:sz="4" w:space="0"/>
              <w:right w:val="single" w:color="auto" w:sz="4" w:space="0"/>
            </w:tcBorders>
            <w:vAlign w:val="center"/>
          </w:tcPr>
          <w:p w14:paraId="3E0EA3B9">
            <w:pPr>
              <w:widowControl/>
              <w:spacing w:line="240" w:lineRule="auto"/>
              <w:jc w:val="center"/>
              <w:rPr>
                <w:kern w:val="0"/>
                <w:sz w:val="20"/>
                <w:szCs w:val="20"/>
              </w:rPr>
            </w:pPr>
            <w:r>
              <w:rPr>
                <w:kern w:val="0"/>
                <w:sz w:val="20"/>
                <w:szCs w:val="20"/>
              </w:rPr>
              <w:t>20160801AQ</w:t>
            </w:r>
          </w:p>
        </w:tc>
        <w:tc>
          <w:tcPr>
            <w:tcW w:w="1688" w:type="dxa"/>
            <w:tcBorders>
              <w:top w:val="nil"/>
              <w:left w:val="nil"/>
              <w:bottom w:val="single" w:color="auto" w:sz="4" w:space="0"/>
              <w:right w:val="single" w:color="auto" w:sz="4" w:space="0"/>
            </w:tcBorders>
            <w:vAlign w:val="center"/>
          </w:tcPr>
          <w:p w14:paraId="393BA29C">
            <w:pPr>
              <w:widowControl/>
              <w:spacing w:line="240" w:lineRule="auto"/>
              <w:jc w:val="center"/>
              <w:rPr>
                <w:kern w:val="0"/>
                <w:sz w:val="20"/>
                <w:szCs w:val="20"/>
              </w:rPr>
            </w:pPr>
            <w:r>
              <w:rPr>
                <w:kern w:val="0"/>
                <w:sz w:val="20"/>
                <w:szCs w:val="20"/>
              </w:rPr>
              <w:t xml:space="preserve">6181 </w:t>
            </w:r>
          </w:p>
        </w:tc>
        <w:tc>
          <w:tcPr>
            <w:tcW w:w="1934" w:type="dxa"/>
            <w:tcBorders>
              <w:top w:val="nil"/>
              <w:left w:val="nil"/>
              <w:bottom w:val="single" w:color="auto" w:sz="4" w:space="0"/>
              <w:right w:val="single" w:color="auto" w:sz="4" w:space="0"/>
            </w:tcBorders>
            <w:vAlign w:val="center"/>
          </w:tcPr>
          <w:p w14:paraId="2669B4FC">
            <w:pPr>
              <w:widowControl/>
              <w:spacing w:line="240" w:lineRule="auto"/>
              <w:jc w:val="center"/>
              <w:rPr>
                <w:kern w:val="0"/>
                <w:sz w:val="20"/>
                <w:szCs w:val="20"/>
              </w:rPr>
            </w:pPr>
            <w:r>
              <w:rPr>
                <w:kern w:val="0"/>
                <w:sz w:val="20"/>
                <w:szCs w:val="20"/>
              </w:rPr>
              <w:t xml:space="preserve">1.5 </w:t>
            </w:r>
          </w:p>
        </w:tc>
        <w:tc>
          <w:tcPr>
            <w:tcW w:w="1985" w:type="dxa"/>
            <w:tcBorders>
              <w:top w:val="nil"/>
              <w:left w:val="nil"/>
              <w:bottom w:val="single" w:color="auto" w:sz="4" w:space="0"/>
              <w:right w:val="single" w:color="auto" w:sz="4" w:space="0"/>
            </w:tcBorders>
            <w:vAlign w:val="center"/>
          </w:tcPr>
          <w:p w14:paraId="32CB53D9">
            <w:pPr>
              <w:widowControl/>
              <w:spacing w:line="240" w:lineRule="auto"/>
              <w:jc w:val="center"/>
              <w:rPr>
                <w:kern w:val="0"/>
                <w:sz w:val="20"/>
                <w:szCs w:val="20"/>
              </w:rPr>
            </w:pPr>
            <w:r>
              <w:rPr>
                <w:kern w:val="0"/>
                <w:sz w:val="20"/>
                <w:szCs w:val="20"/>
              </w:rPr>
              <w:t xml:space="preserve">5.4 </w:t>
            </w:r>
          </w:p>
        </w:tc>
      </w:tr>
    </w:tbl>
    <w:p w14:paraId="57849938">
      <w:r>
        <w:pict>
          <v:shape id="_x0000_i1034" o:spt="75" type="#_x0000_t75" style="height:179.25pt;width:399pt;" filled="f" o:preferrelative="t" stroked="f" coordsize="21600,21600">
            <v:path/>
            <v:fill on="f" focussize="0,0"/>
            <v:stroke on="f" joinstyle="miter"/>
            <v:imagedata r:id="rId18" o:title=""/>
            <o:lock v:ext="edit" aspectratio="f"/>
            <w10:wrap type="none"/>
            <w10:anchorlock/>
          </v:shape>
        </w:pict>
      </w:r>
    </w:p>
    <w:p w14:paraId="261E29EB">
      <w:pPr>
        <w:jc w:val="center"/>
      </w:pPr>
      <w:r>
        <w:rPr>
          <w:rFonts w:hint="eastAsia"/>
        </w:rPr>
        <w:t>图</w:t>
      </w:r>
      <w:r>
        <w:t>6-1</w:t>
      </w:r>
      <w:r>
        <w:rPr>
          <w:rFonts w:hint="eastAsia"/>
        </w:rPr>
        <w:t>餐饮企业油烟排放浓度分布</w:t>
      </w:r>
    </w:p>
    <w:p w14:paraId="281D969D">
      <w:pPr>
        <w:jc w:val="center"/>
      </w:pPr>
      <w:r>
        <w:rPr>
          <w:rFonts w:hint="eastAsia"/>
        </w:rPr>
        <w:t>表</w:t>
      </w:r>
      <w:r>
        <w:t>6-2</w:t>
      </w:r>
      <w:r>
        <w:rPr>
          <w:rFonts w:hint="eastAsia"/>
        </w:rPr>
        <w:t>餐饮企业油烟浓度区间分布统计</w:t>
      </w:r>
    </w:p>
    <w:tbl>
      <w:tblPr>
        <w:tblStyle w:val="18"/>
        <w:tblW w:w="8240" w:type="dxa"/>
        <w:tblInd w:w="103" w:type="dxa"/>
        <w:tblLayout w:type="fixed"/>
        <w:tblCellMar>
          <w:top w:w="0" w:type="dxa"/>
          <w:left w:w="108" w:type="dxa"/>
          <w:bottom w:w="0" w:type="dxa"/>
          <w:right w:w="108" w:type="dxa"/>
        </w:tblCellMar>
      </w:tblPr>
      <w:tblGrid>
        <w:gridCol w:w="1560"/>
        <w:gridCol w:w="1280"/>
        <w:gridCol w:w="1560"/>
        <w:gridCol w:w="1559"/>
        <w:gridCol w:w="1417"/>
        <w:gridCol w:w="864"/>
      </w:tblGrid>
      <w:tr w14:paraId="6F42BFEF">
        <w:tblPrEx>
          <w:tblCellMar>
            <w:top w:w="0" w:type="dxa"/>
            <w:left w:w="108" w:type="dxa"/>
            <w:bottom w:w="0" w:type="dxa"/>
            <w:right w:w="108" w:type="dxa"/>
          </w:tblCellMar>
        </w:tblPrEx>
        <w:trPr>
          <w:trHeight w:val="285" w:hRule="atLeast"/>
        </w:trPr>
        <w:tc>
          <w:tcPr>
            <w:tcW w:w="1560" w:type="dxa"/>
            <w:tcBorders>
              <w:top w:val="single" w:color="auto" w:sz="4" w:space="0"/>
              <w:left w:val="single" w:color="auto" w:sz="4" w:space="0"/>
              <w:bottom w:val="single" w:color="auto" w:sz="4" w:space="0"/>
              <w:right w:val="single" w:color="auto" w:sz="4" w:space="0"/>
            </w:tcBorders>
            <w:vAlign w:val="center"/>
          </w:tcPr>
          <w:p w14:paraId="4C0A9653">
            <w:pPr>
              <w:widowControl/>
              <w:spacing w:line="240" w:lineRule="auto"/>
              <w:jc w:val="left"/>
              <w:rPr>
                <w:rFonts w:ascii="宋体" w:cs="宋体"/>
                <w:color w:val="000000"/>
                <w:kern w:val="0"/>
                <w:sz w:val="22"/>
              </w:rPr>
            </w:pPr>
            <w:r>
              <w:rPr>
                <w:rFonts w:hint="eastAsia" w:ascii="宋体" w:hAnsi="宋体" w:cs="宋体"/>
                <w:color w:val="000000"/>
                <w:kern w:val="0"/>
                <w:sz w:val="22"/>
              </w:rPr>
              <w:t>油烟浓度区间</w:t>
            </w:r>
          </w:p>
        </w:tc>
        <w:tc>
          <w:tcPr>
            <w:tcW w:w="1280" w:type="dxa"/>
            <w:tcBorders>
              <w:top w:val="single" w:color="auto" w:sz="4" w:space="0"/>
              <w:left w:val="nil"/>
              <w:bottom w:val="single" w:color="auto" w:sz="4" w:space="0"/>
              <w:right w:val="single" w:color="auto" w:sz="4" w:space="0"/>
            </w:tcBorders>
            <w:vAlign w:val="center"/>
          </w:tcPr>
          <w:p w14:paraId="1C14DC93">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cs="宋体"/>
                <w:color w:val="000000"/>
                <w:kern w:val="0"/>
                <w:sz w:val="22"/>
              </w:rPr>
              <w:t>0,</w:t>
            </w:r>
            <w:r>
              <w:rPr>
                <w:rFonts w:hint="eastAsia" w:ascii="宋体" w:hAnsi="宋体" w:cs="宋体"/>
                <w:color w:val="000000"/>
                <w:kern w:val="0"/>
                <w:sz w:val="22"/>
              </w:rPr>
              <w:t>＜</w:t>
            </w:r>
            <w:r>
              <w:rPr>
                <w:rFonts w:ascii="宋体" w:hAnsi="宋体" w:cs="宋体"/>
                <w:color w:val="000000"/>
                <w:kern w:val="0"/>
                <w:sz w:val="22"/>
              </w:rPr>
              <w:t>0.5</w:t>
            </w:r>
          </w:p>
        </w:tc>
        <w:tc>
          <w:tcPr>
            <w:tcW w:w="1560" w:type="dxa"/>
            <w:tcBorders>
              <w:top w:val="single" w:color="auto" w:sz="4" w:space="0"/>
              <w:left w:val="nil"/>
              <w:bottom w:val="single" w:color="auto" w:sz="4" w:space="0"/>
              <w:right w:val="single" w:color="auto" w:sz="4" w:space="0"/>
            </w:tcBorders>
            <w:vAlign w:val="center"/>
          </w:tcPr>
          <w:p w14:paraId="4AB0AF89">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0.5,</w:t>
            </w:r>
            <w:r>
              <w:rPr>
                <w:rFonts w:hint="eastAsia" w:ascii="宋体" w:hAnsi="宋体" w:cs="宋体"/>
                <w:color w:val="000000"/>
                <w:kern w:val="0"/>
                <w:sz w:val="22"/>
              </w:rPr>
              <w:t>＜</w:t>
            </w:r>
            <w:r>
              <w:rPr>
                <w:rFonts w:ascii="宋体" w:hAnsi="宋体" w:cs="宋体"/>
                <w:color w:val="000000"/>
                <w:kern w:val="0"/>
                <w:sz w:val="22"/>
              </w:rPr>
              <w:t>1.0</w:t>
            </w:r>
          </w:p>
        </w:tc>
        <w:tc>
          <w:tcPr>
            <w:tcW w:w="1559" w:type="dxa"/>
            <w:tcBorders>
              <w:top w:val="single" w:color="auto" w:sz="4" w:space="0"/>
              <w:left w:val="nil"/>
              <w:bottom w:val="single" w:color="auto" w:sz="4" w:space="0"/>
              <w:right w:val="single" w:color="auto" w:sz="4" w:space="0"/>
            </w:tcBorders>
            <w:vAlign w:val="center"/>
          </w:tcPr>
          <w:p w14:paraId="338467C8">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1.0,</w:t>
            </w:r>
            <w:r>
              <w:rPr>
                <w:rFonts w:hint="eastAsia" w:ascii="宋体" w:hAnsi="宋体" w:cs="宋体"/>
                <w:color w:val="000000"/>
                <w:kern w:val="0"/>
                <w:sz w:val="22"/>
              </w:rPr>
              <w:t>＜</w:t>
            </w:r>
            <w:r>
              <w:rPr>
                <w:rFonts w:ascii="宋体" w:hAnsi="宋体" w:cs="宋体"/>
                <w:color w:val="000000"/>
                <w:kern w:val="0"/>
                <w:sz w:val="22"/>
              </w:rPr>
              <w:t>1.5</w:t>
            </w:r>
          </w:p>
        </w:tc>
        <w:tc>
          <w:tcPr>
            <w:tcW w:w="1417" w:type="dxa"/>
            <w:tcBorders>
              <w:top w:val="single" w:color="auto" w:sz="4" w:space="0"/>
              <w:left w:val="nil"/>
              <w:bottom w:val="single" w:color="auto" w:sz="4" w:space="0"/>
              <w:right w:val="single" w:color="auto" w:sz="4" w:space="0"/>
            </w:tcBorders>
            <w:vAlign w:val="center"/>
          </w:tcPr>
          <w:p w14:paraId="137D8053">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1.5,</w:t>
            </w:r>
            <w:r>
              <w:rPr>
                <w:rFonts w:hint="eastAsia" w:ascii="宋体" w:hAnsi="宋体" w:cs="宋体"/>
                <w:color w:val="000000"/>
                <w:kern w:val="0"/>
                <w:sz w:val="22"/>
              </w:rPr>
              <w:t>＜</w:t>
            </w:r>
            <w:r>
              <w:rPr>
                <w:rFonts w:ascii="宋体" w:hAnsi="宋体" w:cs="宋体"/>
                <w:color w:val="000000"/>
                <w:kern w:val="0"/>
                <w:sz w:val="22"/>
              </w:rPr>
              <w:t>2</w:t>
            </w:r>
          </w:p>
        </w:tc>
        <w:tc>
          <w:tcPr>
            <w:tcW w:w="864" w:type="dxa"/>
            <w:tcBorders>
              <w:top w:val="single" w:color="auto" w:sz="4" w:space="0"/>
              <w:left w:val="nil"/>
              <w:bottom w:val="single" w:color="auto" w:sz="4" w:space="0"/>
              <w:right w:val="single" w:color="auto" w:sz="4" w:space="0"/>
            </w:tcBorders>
            <w:vAlign w:val="center"/>
          </w:tcPr>
          <w:p w14:paraId="5256D24C">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w:t>
            </w:r>
          </w:p>
        </w:tc>
      </w:tr>
      <w:tr w14:paraId="46AA79B4">
        <w:tblPrEx>
          <w:tblCellMar>
            <w:top w:w="0" w:type="dxa"/>
            <w:left w:w="108" w:type="dxa"/>
            <w:bottom w:w="0" w:type="dxa"/>
            <w:right w:w="108" w:type="dxa"/>
          </w:tblCellMar>
        </w:tblPrEx>
        <w:trPr>
          <w:trHeight w:val="285" w:hRule="atLeast"/>
        </w:trPr>
        <w:tc>
          <w:tcPr>
            <w:tcW w:w="1560" w:type="dxa"/>
            <w:tcBorders>
              <w:top w:val="nil"/>
              <w:left w:val="single" w:color="auto" w:sz="4" w:space="0"/>
              <w:bottom w:val="single" w:color="auto" w:sz="4" w:space="0"/>
              <w:right w:val="single" w:color="auto" w:sz="4" w:space="0"/>
            </w:tcBorders>
            <w:vAlign w:val="center"/>
          </w:tcPr>
          <w:p w14:paraId="1A2BF4FF">
            <w:pPr>
              <w:widowControl/>
              <w:spacing w:line="240" w:lineRule="auto"/>
              <w:jc w:val="left"/>
              <w:rPr>
                <w:rFonts w:ascii="宋体" w:cs="宋体"/>
                <w:color w:val="000000"/>
                <w:kern w:val="0"/>
                <w:sz w:val="22"/>
              </w:rPr>
            </w:pPr>
            <w:r>
              <w:rPr>
                <w:rFonts w:hint="eastAsia" w:ascii="宋体" w:hAnsi="宋体" w:cs="宋体"/>
                <w:color w:val="000000"/>
                <w:kern w:val="0"/>
                <w:sz w:val="22"/>
              </w:rPr>
              <w:t>监测样本数量</w:t>
            </w:r>
          </w:p>
        </w:tc>
        <w:tc>
          <w:tcPr>
            <w:tcW w:w="1280" w:type="dxa"/>
            <w:tcBorders>
              <w:top w:val="nil"/>
              <w:left w:val="nil"/>
              <w:bottom w:val="single" w:color="auto" w:sz="4" w:space="0"/>
              <w:right w:val="single" w:color="auto" w:sz="4" w:space="0"/>
            </w:tcBorders>
            <w:vAlign w:val="center"/>
          </w:tcPr>
          <w:p w14:paraId="338F613B">
            <w:pPr>
              <w:widowControl/>
              <w:spacing w:line="240" w:lineRule="auto"/>
              <w:jc w:val="center"/>
              <w:rPr>
                <w:color w:val="000000"/>
                <w:kern w:val="0"/>
                <w:sz w:val="20"/>
                <w:szCs w:val="20"/>
              </w:rPr>
            </w:pPr>
            <w:r>
              <w:rPr>
                <w:color w:val="000000"/>
                <w:kern w:val="0"/>
                <w:sz w:val="20"/>
                <w:szCs w:val="20"/>
              </w:rPr>
              <w:t>4</w:t>
            </w:r>
          </w:p>
        </w:tc>
        <w:tc>
          <w:tcPr>
            <w:tcW w:w="1560" w:type="dxa"/>
            <w:tcBorders>
              <w:top w:val="nil"/>
              <w:left w:val="nil"/>
              <w:bottom w:val="single" w:color="auto" w:sz="4" w:space="0"/>
              <w:right w:val="single" w:color="auto" w:sz="4" w:space="0"/>
            </w:tcBorders>
            <w:vAlign w:val="center"/>
          </w:tcPr>
          <w:p w14:paraId="2E0C8FA1">
            <w:pPr>
              <w:widowControl/>
              <w:spacing w:line="240" w:lineRule="auto"/>
              <w:jc w:val="center"/>
              <w:rPr>
                <w:color w:val="000000"/>
                <w:kern w:val="0"/>
                <w:sz w:val="20"/>
                <w:szCs w:val="20"/>
              </w:rPr>
            </w:pPr>
            <w:r>
              <w:rPr>
                <w:color w:val="000000"/>
                <w:kern w:val="0"/>
                <w:sz w:val="20"/>
                <w:szCs w:val="20"/>
              </w:rPr>
              <w:t>8</w:t>
            </w:r>
          </w:p>
        </w:tc>
        <w:tc>
          <w:tcPr>
            <w:tcW w:w="1559" w:type="dxa"/>
            <w:tcBorders>
              <w:top w:val="nil"/>
              <w:left w:val="nil"/>
              <w:bottom w:val="single" w:color="auto" w:sz="4" w:space="0"/>
              <w:right w:val="single" w:color="auto" w:sz="4" w:space="0"/>
            </w:tcBorders>
            <w:vAlign w:val="center"/>
          </w:tcPr>
          <w:p w14:paraId="2DD07181">
            <w:pPr>
              <w:widowControl/>
              <w:spacing w:line="240" w:lineRule="auto"/>
              <w:jc w:val="center"/>
              <w:rPr>
                <w:color w:val="000000"/>
                <w:kern w:val="0"/>
                <w:sz w:val="20"/>
                <w:szCs w:val="20"/>
              </w:rPr>
            </w:pPr>
            <w:r>
              <w:rPr>
                <w:color w:val="000000"/>
                <w:kern w:val="0"/>
                <w:sz w:val="20"/>
                <w:szCs w:val="20"/>
              </w:rPr>
              <w:t>8</w:t>
            </w:r>
          </w:p>
        </w:tc>
        <w:tc>
          <w:tcPr>
            <w:tcW w:w="1417" w:type="dxa"/>
            <w:tcBorders>
              <w:top w:val="nil"/>
              <w:left w:val="nil"/>
              <w:bottom w:val="single" w:color="auto" w:sz="4" w:space="0"/>
              <w:right w:val="single" w:color="auto" w:sz="4" w:space="0"/>
            </w:tcBorders>
            <w:vAlign w:val="center"/>
          </w:tcPr>
          <w:p w14:paraId="1DAA735B">
            <w:pPr>
              <w:widowControl/>
              <w:spacing w:line="240" w:lineRule="auto"/>
              <w:jc w:val="center"/>
              <w:rPr>
                <w:color w:val="000000"/>
                <w:kern w:val="0"/>
                <w:sz w:val="20"/>
                <w:szCs w:val="20"/>
              </w:rPr>
            </w:pPr>
            <w:r>
              <w:rPr>
                <w:color w:val="000000"/>
                <w:kern w:val="0"/>
                <w:sz w:val="20"/>
                <w:szCs w:val="20"/>
              </w:rPr>
              <w:t>1</w:t>
            </w:r>
          </w:p>
        </w:tc>
        <w:tc>
          <w:tcPr>
            <w:tcW w:w="864" w:type="dxa"/>
            <w:tcBorders>
              <w:top w:val="nil"/>
              <w:left w:val="nil"/>
              <w:bottom w:val="single" w:color="auto" w:sz="4" w:space="0"/>
              <w:right w:val="single" w:color="auto" w:sz="4" w:space="0"/>
            </w:tcBorders>
            <w:vAlign w:val="center"/>
          </w:tcPr>
          <w:p w14:paraId="5354D82A">
            <w:pPr>
              <w:widowControl/>
              <w:spacing w:line="240" w:lineRule="auto"/>
              <w:jc w:val="center"/>
              <w:rPr>
                <w:color w:val="000000"/>
                <w:kern w:val="0"/>
                <w:sz w:val="20"/>
                <w:szCs w:val="20"/>
              </w:rPr>
            </w:pPr>
            <w:r>
              <w:rPr>
                <w:color w:val="000000"/>
                <w:kern w:val="0"/>
                <w:sz w:val="20"/>
                <w:szCs w:val="20"/>
              </w:rPr>
              <w:t>14</w:t>
            </w:r>
          </w:p>
        </w:tc>
      </w:tr>
    </w:tbl>
    <w:p w14:paraId="2727B170">
      <w:pPr>
        <w:ind w:firstLine="600" w:firstLineChars="250"/>
        <w:rPr>
          <w:color w:val="FF0000"/>
        </w:rPr>
      </w:pPr>
      <w:r>
        <w:rPr>
          <w:rFonts w:hint="eastAsia"/>
        </w:rPr>
        <w:t>将餐饮企业油烟排放浓度按浓度区间进行统计，见表</w:t>
      </w:r>
      <w:r>
        <w:t>6-2</w:t>
      </w:r>
      <w:r>
        <w:rPr>
          <w:rFonts w:hint="eastAsia"/>
        </w:rPr>
        <w:t>。结合图</w:t>
      </w:r>
      <w:r>
        <w:t>6-1</w:t>
      </w:r>
      <w:r>
        <w:rPr>
          <w:rFonts w:hint="eastAsia"/>
        </w:rPr>
        <w:t>和表</w:t>
      </w:r>
      <w:r>
        <w:t>6-2</w:t>
      </w:r>
      <w:r>
        <w:rPr>
          <w:rFonts w:hint="eastAsia"/>
        </w:rPr>
        <w:t>分析，油烟排放浓度在</w:t>
      </w:r>
      <w:r>
        <w:t>1.0mg/m</w:t>
      </w:r>
      <w:r>
        <w:rPr>
          <w:vertAlign w:val="superscript"/>
        </w:rPr>
        <w:t>3</w:t>
      </w:r>
      <w:r>
        <w:rPr>
          <w:rFonts w:hint="eastAsia"/>
        </w:rPr>
        <w:t>以下的监测样本有</w:t>
      </w:r>
      <w:r>
        <w:t>12</w:t>
      </w:r>
      <w:r>
        <w:rPr>
          <w:rFonts w:hint="eastAsia"/>
        </w:rPr>
        <w:t>个，占比为</w:t>
      </w:r>
      <w:r>
        <w:t>34%</w:t>
      </w:r>
      <w:r>
        <w:rPr>
          <w:rFonts w:hint="eastAsia"/>
        </w:rPr>
        <w:t>。其中</w:t>
      </w:r>
      <w:r>
        <w:t>9</w:t>
      </w:r>
      <w:r>
        <w:rPr>
          <w:rFonts w:hint="eastAsia"/>
        </w:rPr>
        <w:t>个监测样本浓度在</w:t>
      </w:r>
      <w:r>
        <w:t>1.0mg/m</w:t>
      </w:r>
      <w:r>
        <w:rPr>
          <w:vertAlign w:val="superscript"/>
        </w:rPr>
        <w:t>3</w:t>
      </w:r>
      <w:r>
        <w:t>~2.0mg/m</w:t>
      </w:r>
      <w:r>
        <w:rPr>
          <w:vertAlign w:val="superscript"/>
        </w:rPr>
        <w:t>3</w:t>
      </w:r>
      <w:r>
        <w:rPr>
          <w:rFonts w:hint="eastAsia"/>
        </w:rPr>
        <w:t>之间，超过</w:t>
      </w:r>
      <w:r>
        <w:t>2.0mg/m</w:t>
      </w:r>
      <w:r>
        <w:rPr>
          <w:vertAlign w:val="superscript"/>
        </w:rPr>
        <w:t>3</w:t>
      </w:r>
      <w:r>
        <w:rPr>
          <w:rFonts w:hint="eastAsia"/>
        </w:rPr>
        <w:t>的监测样本有</w:t>
      </w:r>
      <w:r>
        <w:t>14</w:t>
      </w:r>
      <w:r>
        <w:rPr>
          <w:rFonts w:hint="eastAsia"/>
        </w:rPr>
        <w:t>个，最高排放浓度为</w:t>
      </w:r>
      <w:r>
        <w:t>6mg/m</w:t>
      </w:r>
      <w:r>
        <w:rPr>
          <w:vertAlign w:val="superscript"/>
        </w:rPr>
        <w:t>3</w:t>
      </w:r>
      <w:r>
        <w:rPr>
          <w:rFonts w:hint="eastAsia"/>
        </w:rPr>
        <w:t>。</w:t>
      </w:r>
      <w:r>
        <w:rPr>
          <w:color w:val="FF0000"/>
        </w:rPr>
        <w:t xml:space="preserve"> </w:t>
      </w:r>
    </w:p>
    <w:p w14:paraId="4051ECCA">
      <w:pPr>
        <w:pStyle w:val="4"/>
        <w:spacing w:before="163" w:after="163"/>
      </w:pPr>
      <w:r>
        <w:t>6.1.2</w:t>
      </w:r>
      <w:r>
        <w:rPr>
          <w:rFonts w:hint="eastAsia"/>
        </w:rPr>
        <w:t>颗粒物排放现状监测调查</w:t>
      </w:r>
    </w:p>
    <w:p w14:paraId="120FF7BE">
      <w:pPr>
        <w:ind w:firstLine="480" w:firstLineChars="200"/>
      </w:pPr>
      <w:r>
        <w:rPr>
          <w:rFonts w:hint="eastAsia"/>
        </w:rPr>
        <w:t>为掌握北京市餐饮业颗粒物的排放水平，标准编制组选取北京</w:t>
      </w:r>
      <w:r>
        <w:t>24</w:t>
      </w:r>
      <w:r>
        <w:rPr>
          <w:rFonts w:hint="eastAsia"/>
        </w:rPr>
        <w:t>家典型的餐饮企业在排放口处多次进行了重量法颗粒物的采样和检测，剔除无效数据共获得了</w:t>
      </w:r>
      <w:r>
        <w:t>42</w:t>
      </w:r>
      <w:r>
        <w:rPr>
          <w:rFonts w:hint="eastAsia"/>
        </w:rPr>
        <w:t>个颗粒物排放浓度样本。将获得的实际排放浓度按照国标方法换算成单个灶头基准风量时的排放浓度，实际获得</w:t>
      </w:r>
      <w:r>
        <w:t>37</w:t>
      </w:r>
      <w:r>
        <w:rPr>
          <w:rFonts w:hint="eastAsia"/>
        </w:rPr>
        <w:t>个基准排放浓度值。北京市典型餐饮企业排放颗粒物的实测浓度和基准风量浓度如表</w:t>
      </w:r>
      <w:r>
        <w:t>6-3</w:t>
      </w:r>
      <w:r>
        <w:rPr>
          <w:rFonts w:hint="eastAsia"/>
        </w:rPr>
        <w:t>和图</w:t>
      </w:r>
      <w:r>
        <w:t>6-2</w:t>
      </w:r>
      <w:r>
        <w:rPr>
          <w:rFonts w:hint="eastAsia"/>
        </w:rPr>
        <w:t>所示。</w:t>
      </w:r>
    </w:p>
    <w:p w14:paraId="4C06AA68">
      <w:pPr>
        <w:jc w:val="center"/>
      </w:pPr>
      <w:r>
        <w:rPr>
          <w:rFonts w:hint="eastAsia"/>
        </w:rPr>
        <w:t>表</w:t>
      </w:r>
      <w:r>
        <w:t>6-3</w:t>
      </w:r>
      <w:r>
        <w:rPr>
          <w:rFonts w:hint="eastAsia"/>
        </w:rPr>
        <w:t>餐饮企业颗粒物排放监测数据</w:t>
      </w:r>
    </w:p>
    <w:tbl>
      <w:tblPr>
        <w:tblStyle w:val="18"/>
        <w:tblW w:w="8522" w:type="dxa"/>
        <w:tblInd w:w="0" w:type="dxa"/>
        <w:tblLayout w:type="fixed"/>
        <w:tblCellMar>
          <w:top w:w="0" w:type="dxa"/>
          <w:left w:w="108" w:type="dxa"/>
          <w:bottom w:w="0" w:type="dxa"/>
          <w:right w:w="108" w:type="dxa"/>
        </w:tblCellMar>
      </w:tblPr>
      <w:tblGrid>
        <w:gridCol w:w="525"/>
        <w:gridCol w:w="1546"/>
        <w:gridCol w:w="1331"/>
        <w:gridCol w:w="2030"/>
        <w:gridCol w:w="2030"/>
        <w:gridCol w:w="1060"/>
      </w:tblGrid>
      <w:tr w14:paraId="4B63FF72">
        <w:tblPrEx>
          <w:tblCellMar>
            <w:top w:w="0" w:type="dxa"/>
            <w:left w:w="108" w:type="dxa"/>
            <w:bottom w:w="0" w:type="dxa"/>
            <w:right w:w="108" w:type="dxa"/>
          </w:tblCellMar>
        </w:tblPrEx>
        <w:trPr>
          <w:trHeight w:val="20" w:hRule="atLeast"/>
        </w:trPr>
        <w:tc>
          <w:tcPr>
            <w:tcW w:w="525" w:type="dxa"/>
            <w:tcBorders>
              <w:top w:val="single" w:color="auto" w:sz="4" w:space="0"/>
              <w:left w:val="single" w:color="auto" w:sz="4" w:space="0"/>
              <w:bottom w:val="single" w:color="auto" w:sz="4" w:space="0"/>
              <w:right w:val="single" w:color="auto" w:sz="4" w:space="0"/>
            </w:tcBorders>
            <w:vAlign w:val="center"/>
          </w:tcPr>
          <w:p w14:paraId="3A072EF9">
            <w:pPr>
              <w:widowControl/>
              <w:spacing w:line="240" w:lineRule="auto"/>
              <w:jc w:val="left"/>
              <w:rPr>
                <w:b/>
                <w:color w:val="000000"/>
                <w:kern w:val="0"/>
                <w:sz w:val="21"/>
                <w:szCs w:val="21"/>
              </w:rPr>
            </w:pPr>
            <w:r>
              <w:rPr>
                <w:rFonts w:hint="eastAsia" w:hAnsi="宋体"/>
                <w:b/>
                <w:color w:val="000000"/>
                <w:kern w:val="0"/>
                <w:sz w:val="21"/>
                <w:szCs w:val="21"/>
              </w:rPr>
              <w:t>序号</w:t>
            </w:r>
          </w:p>
        </w:tc>
        <w:tc>
          <w:tcPr>
            <w:tcW w:w="1546" w:type="dxa"/>
            <w:tcBorders>
              <w:top w:val="single" w:color="auto" w:sz="4" w:space="0"/>
              <w:left w:val="nil"/>
              <w:bottom w:val="single" w:color="auto" w:sz="4" w:space="0"/>
              <w:right w:val="single" w:color="auto" w:sz="4" w:space="0"/>
            </w:tcBorders>
            <w:vAlign w:val="center"/>
          </w:tcPr>
          <w:p w14:paraId="6B2E4441">
            <w:pPr>
              <w:widowControl/>
              <w:spacing w:line="240" w:lineRule="auto"/>
              <w:jc w:val="left"/>
              <w:rPr>
                <w:b/>
                <w:color w:val="000000"/>
                <w:kern w:val="0"/>
                <w:sz w:val="21"/>
                <w:szCs w:val="21"/>
              </w:rPr>
            </w:pPr>
            <w:r>
              <w:rPr>
                <w:rFonts w:hint="eastAsia" w:hAnsi="宋体"/>
                <w:b/>
                <w:color w:val="000000"/>
                <w:kern w:val="0"/>
                <w:sz w:val="21"/>
                <w:szCs w:val="21"/>
              </w:rPr>
              <w:t>采样时间</w:t>
            </w:r>
          </w:p>
        </w:tc>
        <w:tc>
          <w:tcPr>
            <w:tcW w:w="1331" w:type="dxa"/>
            <w:tcBorders>
              <w:top w:val="single" w:color="auto" w:sz="4" w:space="0"/>
              <w:left w:val="nil"/>
              <w:bottom w:val="single" w:color="auto" w:sz="4" w:space="0"/>
              <w:right w:val="single" w:color="auto" w:sz="4" w:space="0"/>
            </w:tcBorders>
            <w:vAlign w:val="center"/>
          </w:tcPr>
          <w:p w14:paraId="409921A2">
            <w:pPr>
              <w:widowControl/>
              <w:spacing w:line="240" w:lineRule="auto"/>
              <w:jc w:val="left"/>
              <w:rPr>
                <w:b/>
                <w:color w:val="000000"/>
                <w:kern w:val="0"/>
                <w:sz w:val="21"/>
                <w:szCs w:val="21"/>
              </w:rPr>
            </w:pPr>
            <w:r>
              <w:rPr>
                <w:rFonts w:hint="eastAsia" w:hAnsi="宋体"/>
                <w:b/>
                <w:color w:val="000000"/>
                <w:kern w:val="0"/>
                <w:sz w:val="21"/>
                <w:szCs w:val="21"/>
              </w:rPr>
              <w:t>实测排风量</w:t>
            </w:r>
            <w:r>
              <w:rPr>
                <w:b/>
                <w:color w:val="000000"/>
                <w:kern w:val="0"/>
                <w:sz w:val="21"/>
                <w:szCs w:val="21"/>
              </w:rPr>
              <w:t>(m</w:t>
            </w:r>
            <w:r>
              <w:rPr>
                <w:b/>
                <w:color w:val="000000"/>
                <w:kern w:val="0"/>
                <w:sz w:val="21"/>
                <w:szCs w:val="21"/>
                <w:vertAlign w:val="superscript"/>
              </w:rPr>
              <w:t>3</w:t>
            </w:r>
            <w:r>
              <w:rPr>
                <w:b/>
                <w:color w:val="000000"/>
                <w:kern w:val="0"/>
                <w:sz w:val="21"/>
                <w:szCs w:val="21"/>
              </w:rPr>
              <w:t>/h)</w:t>
            </w:r>
          </w:p>
        </w:tc>
        <w:tc>
          <w:tcPr>
            <w:tcW w:w="2030" w:type="dxa"/>
            <w:tcBorders>
              <w:top w:val="single" w:color="auto" w:sz="4" w:space="0"/>
              <w:left w:val="nil"/>
              <w:bottom w:val="single" w:color="auto" w:sz="4" w:space="0"/>
              <w:right w:val="single" w:color="auto" w:sz="4" w:space="0"/>
            </w:tcBorders>
            <w:vAlign w:val="center"/>
          </w:tcPr>
          <w:p w14:paraId="4B55C74D">
            <w:pPr>
              <w:widowControl/>
              <w:spacing w:line="240" w:lineRule="auto"/>
              <w:jc w:val="left"/>
              <w:rPr>
                <w:b/>
                <w:color w:val="000000"/>
                <w:kern w:val="0"/>
                <w:sz w:val="21"/>
                <w:szCs w:val="21"/>
              </w:rPr>
            </w:pPr>
            <w:r>
              <w:rPr>
                <w:rFonts w:hint="eastAsia" w:hAnsi="宋体"/>
                <w:b/>
                <w:color w:val="000000"/>
                <w:kern w:val="0"/>
                <w:sz w:val="21"/>
                <w:szCs w:val="21"/>
              </w:rPr>
              <w:t>颗粒物实测平均浓度（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2030" w:type="dxa"/>
            <w:tcBorders>
              <w:top w:val="single" w:color="auto" w:sz="4" w:space="0"/>
              <w:left w:val="nil"/>
              <w:bottom w:val="single" w:color="auto" w:sz="4" w:space="0"/>
              <w:right w:val="single" w:color="auto" w:sz="4" w:space="0"/>
            </w:tcBorders>
            <w:vAlign w:val="center"/>
          </w:tcPr>
          <w:p w14:paraId="33418E94">
            <w:pPr>
              <w:widowControl/>
              <w:spacing w:line="240" w:lineRule="auto"/>
              <w:jc w:val="left"/>
              <w:rPr>
                <w:b/>
                <w:color w:val="000000"/>
                <w:kern w:val="0"/>
                <w:sz w:val="21"/>
                <w:szCs w:val="21"/>
              </w:rPr>
            </w:pPr>
            <w:r>
              <w:rPr>
                <w:rFonts w:hint="eastAsia" w:hAnsi="宋体"/>
                <w:b/>
                <w:color w:val="000000"/>
                <w:kern w:val="0"/>
                <w:sz w:val="21"/>
                <w:szCs w:val="21"/>
              </w:rPr>
              <w:t>颗粒物基准平均浓度（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1060" w:type="dxa"/>
            <w:tcBorders>
              <w:top w:val="single" w:color="auto" w:sz="4" w:space="0"/>
              <w:left w:val="nil"/>
              <w:bottom w:val="single" w:color="auto" w:sz="4" w:space="0"/>
              <w:right w:val="single" w:color="auto" w:sz="4" w:space="0"/>
            </w:tcBorders>
            <w:vAlign w:val="center"/>
          </w:tcPr>
          <w:p w14:paraId="1AD7AF4F">
            <w:pPr>
              <w:widowControl/>
              <w:spacing w:line="240" w:lineRule="auto"/>
              <w:jc w:val="left"/>
              <w:rPr>
                <w:b/>
                <w:color w:val="000000"/>
                <w:kern w:val="0"/>
                <w:sz w:val="21"/>
                <w:szCs w:val="21"/>
              </w:rPr>
            </w:pPr>
            <w:r>
              <w:rPr>
                <w:rFonts w:hint="eastAsia" w:hAnsi="宋体"/>
                <w:b/>
                <w:color w:val="000000"/>
                <w:kern w:val="0"/>
                <w:sz w:val="21"/>
                <w:szCs w:val="21"/>
              </w:rPr>
              <w:t>实际使用灶头数</w:t>
            </w:r>
          </w:p>
        </w:tc>
      </w:tr>
      <w:tr w14:paraId="302109C3">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7181650">
            <w:pPr>
              <w:widowControl/>
              <w:spacing w:line="240" w:lineRule="auto"/>
              <w:jc w:val="right"/>
              <w:rPr>
                <w:color w:val="000000"/>
                <w:kern w:val="0"/>
                <w:sz w:val="21"/>
                <w:szCs w:val="21"/>
              </w:rPr>
            </w:pPr>
            <w:r>
              <w:rPr>
                <w:color w:val="000000"/>
                <w:kern w:val="0"/>
                <w:sz w:val="21"/>
                <w:szCs w:val="21"/>
              </w:rPr>
              <w:t>1</w:t>
            </w:r>
          </w:p>
        </w:tc>
        <w:tc>
          <w:tcPr>
            <w:tcW w:w="1546" w:type="dxa"/>
            <w:tcBorders>
              <w:top w:val="nil"/>
              <w:left w:val="nil"/>
              <w:bottom w:val="single" w:color="auto" w:sz="4" w:space="0"/>
              <w:right w:val="single" w:color="auto" w:sz="4" w:space="0"/>
            </w:tcBorders>
            <w:vAlign w:val="center"/>
          </w:tcPr>
          <w:p w14:paraId="17DCE929">
            <w:pPr>
              <w:widowControl/>
              <w:spacing w:line="240" w:lineRule="auto"/>
              <w:jc w:val="left"/>
              <w:rPr>
                <w:color w:val="000000"/>
                <w:kern w:val="0"/>
                <w:sz w:val="21"/>
                <w:szCs w:val="21"/>
              </w:rPr>
            </w:pPr>
            <w:r>
              <w:rPr>
                <w:color w:val="000000"/>
                <w:kern w:val="0"/>
                <w:sz w:val="21"/>
                <w:szCs w:val="21"/>
              </w:rPr>
              <w:t>20160229</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31180F6">
            <w:pPr>
              <w:widowControl/>
              <w:spacing w:line="240" w:lineRule="auto"/>
              <w:jc w:val="center"/>
              <w:rPr>
                <w:color w:val="000000"/>
                <w:kern w:val="0"/>
                <w:sz w:val="21"/>
                <w:szCs w:val="21"/>
              </w:rPr>
            </w:pPr>
            <w:r>
              <w:rPr>
                <w:color w:val="000000"/>
                <w:kern w:val="0"/>
                <w:sz w:val="21"/>
                <w:szCs w:val="21"/>
              </w:rPr>
              <w:t>31791</w:t>
            </w:r>
          </w:p>
        </w:tc>
        <w:tc>
          <w:tcPr>
            <w:tcW w:w="2030" w:type="dxa"/>
            <w:tcBorders>
              <w:top w:val="nil"/>
              <w:left w:val="nil"/>
              <w:bottom w:val="single" w:color="auto" w:sz="4" w:space="0"/>
              <w:right w:val="single" w:color="auto" w:sz="4" w:space="0"/>
            </w:tcBorders>
            <w:vAlign w:val="center"/>
          </w:tcPr>
          <w:p w14:paraId="7279B8D0">
            <w:pPr>
              <w:widowControl/>
              <w:spacing w:line="240" w:lineRule="auto"/>
              <w:jc w:val="center"/>
              <w:rPr>
                <w:color w:val="000000"/>
                <w:kern w:val="0"/>
                <w:sz w:val="21"/>
                <w:szCs w:val="21"/>
              </w:rPr>
            </w:pPr>
            <w:r>
              <w:rPr>
                <w:color w:val="000000"/>
                <w:kern w:val="0"/>
                <w:sz w:val="21"/>
                <w:szCs w:val="21"/>
              </w:rPr>
              <w:t>4.1</w:t>
            </w:r>
          </w:p>
        </w:tc>
        <w:tc>
          <w:tcPr>
            <w:tcW w:w="2030" w:type="dxa"/>
            <w:tcBorders>
              <w:top w:val="nil"/>
              <w:left w:val="nil"/>
              <w:bottom w:val="single" w:color="auto" w:sz="4" w:space="0"/>
              <w:right w:val="single" w:color="auto" w:sz="4" w:space="0"/>
            </w:tcBorders>
            <w:vAlign w:val="center"/>
          </w:tcPr>
          <w:p w14:paraId="6689441E">
            <w:pPr>
              <w:widowControl/>
              <w:spacing w:line="240" w:lineRule="auto"/>
              <w:jc w:val="center"/>
              <w:rPr>
                <w:color w:val="000000"/>
                <w:kern w:val="0"/>
                <w:sz w:val="21"/>
                <w:szCs w:val="21"/>
              </w:rPr>
            </w:pPr>
            <w:r>
              <w:rPr>
                <w:color w:val="000000"/>
                <w:kern w:val="0"/>
                <w:sz w:val="21"/>
                <w:szCs w:val="21"/>
              </w:rPr>
              <w:t>5.4</w:t>
            </w:r>
          </w:p>
        </w:tc>
        <w:tc>
          <w:tcPr>
            <w:tcW w:w="1060" w:type="dxa"/>
            <w:tcBorders>
              <w:top w:val="nil"/>
              <w:left w:val="nil"/>
              <w:bottom w:val="single" w:color="auto" w:sz="4" w:space="0"/>
              <w:right w:val="single" w:color="auto" w:sz="4" w:space="0"/>
            </w:tcBorders>
            <w:vAlign w:val="center"/>
          </w:tcPr>
          <w:p w14:paraId="76127295">
            <w:pPr>
              <w:widowControl/>
              <w:spacing w:line="240" w:lineRule="auto"/>
              <w:jc w:val="center"/>
              <w:rPr>
                <w:color w:val="000000"/>
                <w:kern w:val="0"/>
                <w:sz w:val="21"/>
                <w:szCs w:val="21"/>
              </w:rPr>
            </w:pPr>
            <w:r>
              <w:rPr>
                <w:color w:val="000000"/>
                <w:kern w:val="0"/>
                <w:sz w:val="21"/>
                <w:szCs w:val="21"/>
              </w:rPr>
              <w:t>12</w:t>
            </w:r>
          </w:p>
        </w:tc>
      </w:tr>
      <w:tr w14:paraId="475FB1C2">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3168571">
            <w:pPr>
              <w:widowControl/>
              <w:spacing w:line="240" w:lineRule="auto"/>
              <w:jc w:val="right"/>
              <w:rPr>
                <w:color w:val="000000"/>
                <w:kern w:val="0"/>
                <w:sz w:val="21"/>
                <w:szCs w:val="21"/>
              </w:rPr>
            </w:pPr>
            <w:r>
              <w:rPr>
                <w:color w:val="000000"/>
                <w:kern w:val="0"/>
                <w:sz w:val="21"/>
                <w:szCs w:val="21"/>
              </w:rPr>
              <w:t>2</w:t>
            </w:r>
          </w:p>
        </w:tc>
        <w:tc>
          <w:tcPr>
            <w:tcW w:w="1546" w:type="dxa"/>
            <w:tcBorders>
              <w:top w:val="nil"/>
              <w:left w:val="nil"/>
              <w:bottom w:val="single" w:color="auto" w:sz="4" w:space="0"/>
              <w:right w:val="single" w:color="auto" w:sz="4" w:space="0"/>
            </w:tcBorders>
            <w:vAlign w:val="center"/>
          </w:tcPr>
          <w:p w14:paraId="6F980644">
            <w:pPr>
              <w:widowControl/>
              <w:spacing w:line="240" w:lineRule="auto"/>
              <w:jc w:val="left"/>
              <w:rPr>
                <w:color w:val="000000"/>
                <w:kern w:val="0"/>
                <w:sz w:val="21"/>
                <w:szCs w:val="21"/>
              </w:rPr>
            </w:pPr>
            <w:r>
              <w:rPr>
                <w:color w:val="000000"/>
                <w:kern w:val="0"/>
                <w:sz w:val="21"/>
                <w:szCs w:val="21"/>
              </w:rPr>
              <w:t>20160229</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0D2F65A3">
            <w:pPr>
              <w:widowControl/>
              <w:spacing w:line="240" w:lineRule="auto"/>
              <w:jc w:val="center"/>
              <w:rPr>
                <w:color w:val="000000"/>
                <w:kern w:val="0"/>
                <w:sz w:val="21"/>
                <w:szCs w:val="21"/>
              </w:rPr>
            </w:pPr>
            <w:r>
              <w:rPr>
                <w:color w:val="000000"/>
                <w:kern w:val="0"/>
                <w:sz w:val="21"/>
                <w:szCs w:val="21"/>
              </w:rPr>
              <w:t>27184</w:t>
            </w:r>
          </w:p>
        </w:tc>
        <w:tc>
          <w:tcPr>
            <w:tcW w:w="2030" w:type="dxa"/>
            <w:tcBorders>
              <w:top w:val="nil"/>
              <w:left w:val="nil"/>
              <w:bottom w:val="single" w:color="auto" w:sz="4" w:space="0"/>
              <w:right w:val="single" w:color="auto" w:sz="4" w:space="0"/>
            </w:tcBorders>
            <w:vAlign w:val="center"/>
          </w:tcPr>
          <w:p w14:paraId="43D00F87">
            <w:pPr>
              <w:widowControl/>
              <w:spacing w:line="240" w:lineRule="auto"/>
              <w:jc w:val="center"/>
              <w:rPr>
                <w:color w:val="000000"/>
                <w:kern w:val="0"/>
                <w:sz w:val="21"/>
                <w:szCs w:val="21"/>
              </w:rPr>
            </w:pPr>
            <w:r>
              <w:rPr>
                <w:color w:val="000000"/>
                <w:kern w:val="0"/>
                <w:sz w:val="21"/>
                <w:szCs w:val="21"/>
              </w:rPr>
              <w:t>3.8</w:t>
            </w:r>
          </w:p>
        </w:tc>
        <w:tc>
          <w:tcPr>
            <w:tcW w:w="2030" w:type="dxa"/>
            <w:tcBorders>
              <w:top w:val="nil"/>
              <w:left w:val="nil"/>
              <w:bottom w:val="single" w:color="auto" w:sz="4" w:space="0"/>
              <w:right w:val="single" w:color="auto" w:sz="4" w:space="0"/>
            </w:tcBorders>
            <w:vAlign w:val="center"/>
          </w:tcPr>
          <w:p w14:paraId="4EFBE87A">
            <w:pPr>
              <w:widowControl/>
              <w:spacing w:line="240" w:lineRule="auto"/>
              <w:jc w:val="center"/>
              <w:rPr>
                <w:color w:val="000000"/>
                <w:kern w:val="0"/>
                <w:sz w:val="21"/>
                <w:szCs w:val="21"/>
              </w:rPr>
            </w:pPr>
            <w:r>
              <w:rPr>
                <w:color w:val="000000"/>
                <w:kern w:val="0"/>
                <w:sz w:val="21"/>
                <w:szCs w:val="21"/>
              </w:rPr>
              <w:t>4.4</w:t>
            </w:r>
          </w:p>
        </w:tc>
        <w:tc>
          <w:tcPr>
            <w:tcW w:w="1060" w:type="dxa"/>
            <w:tcBorders>
              <w:top w:val="nil"/>
              <w:left w:val="nil"/>
              <w:bottom w:val="single" w:color="auto" w:sz="4" w:space="0"/>
              <w:right w:val="single" w:color="auto" w:sz="4" w:space="0"/>
            </w:tcBorders>
            <w:vAlign w:val="center"/>
          </w:tcPr>
          <w:p w14:paraId="0FF6380C">
            <w:pPr>
              <w:widowControl/>
              <w:spacing w:line="240" w:lineRule="auto"/>
              <w:jc w:val="center"/>
              <w:rPr>
                <w:color w:val="000000"/>
                <w:kern w:val="0"/>
                <w:sz w:val="21"/>
                <w:szCs w:val="21"/>
              </w:rPr>
            </w:pPr>
            <w:r>
              <w:rPr>
                <w:color w:val="000000"/>
                <w:kern w:val="0"/>
                <w:sz w:val="21"/>
                <w:szCs w:val="21"/>
              </w:rPr>
              <w:t>12</w:t>
            </w:r>
          </w:p>
        </w:tc>
      </w:tr>
      <w:tr w14:paraId="696867CA">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F1D4E47">
            <w:pPr>
              <w:widowControl/>
              <w:spacing w:line="240" w:lineRule="auto"/>
              <w:jc w:val="right"/>
              <w:rPr>
                <w:color w:val="000000"/>
                <w:kern w:val="0"/>
                <w:sz w:val="21"/>
                <w:szCs w:val="21"/>
              </w:rPr>
            </w:pPr>
            <w:r>
              <w:rPr>
                <w:color w:val="000000"/>
                <w:kern w:val="0"/>
                <w:sz w:val="21"/>
                <w:szCs w:val="21"/>
              </w:rPr>
              <w:t>3</w:t>
            </w:r>
          </w:p>
        </w:tc>
        <w:tc>
          <w:tcPr>
            <w:tcW w:w="1546" w:type="dxa"/>
            <w:tcBorders>
              <w:top w:val="nil"/>
              <w:left w:val="nil"/>
              <w:bottom w:val="single" w:color="auto" w:sz="4" w:space="0"/>
              <w:right w:val="single" w:color="auto" w:sz="4" w:space="0"/>
            </w:tcBorders>
            <w:vAlign w:val="center"/>
          </w:tcPr>
          <w:p w14:paraId="052690C4">
            <w:pPr>
              <w:widowControl/>
              <w:spacing w:line="240" w:lineRule="auto"/>
              <w:jc w:val="left"/>
              <w:rPr>
                <w:color w:val="000000"/>
                <w:kern w:val="0"/>
                <w:sz w:val="21"/>
                <w:szCs w:val="21"/>
              </w:rPr>
            </w:pPr>
            <w:r>
              <w:rPr>
                <w:color w:val="000000"/>
                <w:kern w:val="0"/>
                <w:sz w:val="21"/>
                <w:szCs w:val="21"/>
              </w:rPr>
              <w:t>20160713</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7677EBF8">
            <w:pPr>
              <w:widowControl/>
              <w:spacing w:line="240" w:lineRule="auto"/>
              <w:jc w:val="center"/>
              <w:rPr>
                <w:color w:val="000000"/>
                <w:kern w:val="0"/>
                <w:sz w:val="21"/>
                <w:szCs w:val="21"/>
              </w:rPr>
            </w:pPr>
            <w:r>
              <w:rPr>
                <w:color w:val="000000"/>
                <w:kern w:val="0"/>
                <w:sz w:val="21"/>
                <w:szCs w:val="21"/>
              </w:rPr>
              <w:t>40635</w:t>
            </w:r>
          </w:p>
        </w:tc>
        <w:tc>
          <w:tcPr>
            <w:tcW w:w="2030" w:type="dxa"/>
            <w:tcBorders>
              <w:top w:val="nil"/>
              <w:left w:val="nil"/>
              <w:bottom w:val="single" w:color="auto" w:sz="4" w:space="0"/>
              <w:right w:val="single" w:color="auto" w:sz="4" w:space="0"/>
            </w:tcBorders>
            <w:vAlign w:val="center"/>
          </w:tcPr>
          <w:p w14:paraId="2BAC8361">
            <w:pPr>
              <w:widowControl/>
              <w:spacing w:line="240" w:lineRule="auto"/>
              <w:jc w:val="center"/>
              <w:rPr>
                <w:color w:val="000000"/>
                <w:kern w:val="0"/>
                <w:sz w:val="21"/>
                <w:szCs w:val="21"/>
              </w:rPr>
            </w:pPr>
            <w:r>
              <w:rPr>
                <w:color w:val="000000"/>
                <w:kern w:val="0"/>
                <w:sz w:val="21"/>
                <w:szCs w:val="21"/>
              </w:rPr>
              <w:t>2.9</w:t>
            </w:r>
          </w:p>
        </w:tc>
        <w:tc>
          <w:tcPr>
            <w:tcW w:w="2030" w:type="dxa"/>
            <w:tcBorders>
              <w:top w:val="nil"/>
              <w:left w:val="nil"/>
              <w:bottom w:val="single" w:color="auto" w:sz="4" w:space="0"/>
              <w:right w:val="single" w:color="auto" w:sz="4" w:space="0"/>
            </w:tcBorders>
            <w:vAlign w:val="center"/>
          </w:tcPr>
          <w:p w14:paraId="47B8E424">
            <w:pPr>
              <w:widowControl/>
              <w:spacing w:line="240" w:lineRule="auto"/>
              <w:jc w:val="center"/>
              <w:rPr>
                <w:color w:val="000000"/>
                <w:kern w:val="0"/>
                <w:sz w:val="21"/>
                <w:szCs w:val="21"/>
              </w:rPr>
            </w:pPr>
            <w:r>
              <w:rPr>
                <w:color w:val="000000"/>
                <w:kern w:val="0"/>
                <w:sz w:val="21"/>
                <w:szCs w:val="21"/>
              </w:rPr>
              <w:t>4.9</w:t>
            </w:r>
          </w:p>
        </w:tc>
        <w:tc>
          <w:tcPr>
            <w:tcW w:w="1060" w:type="dxa"/>
            <w:tcBorders>
              <w:top w:val="nil"/>
              <w:left w:val="nil"/>
              <w:bottom w:val="single" w:color="auto" w:sz="4" w:space="0"/>
              <w:right w:val="single" w:color="auto" w:sz="4" w:space="0"/>
            </w:tcBorders>
            <w:vAlign w:val="center"/>
          </w:tcPr>
          <w:p w14:paraId="45F62411">
            <w:pPr>
              <w:widowControl/>
              <w:spacing w:line="240" w:lineRule="auto"/>
              <w:jc w:val="center"/>
              <w:rPr>
                <w:color w:val="000000"/>
                <w:kern w:val="0"/>
                <w:sz w:val="21"/>
                <w:szCs w:val="21"/>
              </w:rPr>
            </w:pPr>
            <w:r>
              <w:rPr>
                <w:color w:val="000000"/>
                <w:kern w:val="0"/>
                <w:sz w:val="21"/>
                <w:szCs w:val="21"/>
              </w:rPr>
              <w:t>12</w:t>
            </w:r>
          </w:p>
        </w:tc>
      </w:tr>
      <w:tr w14:paraId="1145AFD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73688EC3">
            <w:pPr>
              <w:widowControl/>
              <w:spacing w:line="240" w:lineRule="auto"/>
              <w:jc w:val="right"/>
              <w:rPr>
                <w:color w:val="000000"/>
                <w:kern w:val="0"/>
                <w:sz w:val="21"/>
                <w:szCs w:val="21"/>
              </w:rPr>
            </w:pPr>
            <w:r>
              <w:rPr>
                <w:color w:val="000000"/>
                <w:kern w:val="0"/>
                <w:sz w:val="21"/>
                <w:szCs w:val="21"/>
              </w:rPr>
              <w:t>4</w:t>
            </w:r>
          </w:p>
        </w:tc>
        <w:tc>
          <w:tcPr>
            <w:tcW w:w="1546" w:type="dxa"/>
            <w:tcBorders>
              <w:top w:val="nil"/>
              <w:left w:val="nil"/>
              <w:bottom w:val="single" w:color="auto" w:sz="4" w:space="0"/>
              <w:right w:val="single" w:color="auto" w:sz="4" w:space="0"/>
            </w:tcBorders>
            <w:vAlign w:val="center"/>
          </w:tcPr>
          <w:p w14:paraId="2C7A32DB">
            <w:pPr>
              <w:widowControl/>
              <w:spacing w:line="240" w:lineRule="auto"/>
              <w:jc w:val="left"/>
              <w:rPr>
                <w:color w:val="000000"/>
                <w:kern w:val="0"/>
                <w:sz w:val="21"/>
                <w:szCs w:val="21"/>
              </w:rPr>
            </w:pPr>
            <w:r>
              <w:rPr>
                <w:color w:val="000000"/>
                <w:kern w:val="0"/>
                <w:sz w:val="21"/>
                <w:szCs w:val="21"/>
              </w:rPr>
              <w:t>20160713</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09B2D341">
            <w:pPr>
              <w:widowControl/>
              <w:spacing w:line="240" w:lineRule="auto"/>
              <w:jc w:val="center"/>
              <w:rPr>
                <w:color w:val="000000"/>
                <w:kern w:val="0"/>
                <w:sz w:val="21"/>
                <w:szCs w:val="21"/>
              </w:rPr>
            </w:pPr>
            <w:r>
              <w:rPr>
                <w:color w:val="000000"/>
                <w:kern w:val="0"/>
                <w:sz w:val="21"/>
                <w:szCs w:val="21"/>
              </w:rPr>
              <w:t>36996</w:t>
            </w:r>
          </w:p>
        </w:tc>
        <w:tc>
          <w:tcPr>
            <w:tcW w:w="2030" w:type="dxa"/>
            <w:tcBorders>
              <w:top w:val="nil"/>
              <w:left w:val="nil"/>
              <w:bottom w:val="single" w:color="auto" w:sz="4" w:space="0"/>
              <w:right w:val="single" w:color="auto" w:sz="4" w:space="0"/>
            </w:tcBorders>
            <w:vAlign w:val="center"/>
          </w:tcPr>
          <w:p w14:paraId="5B881BFD">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14:paraId="687A66C6">
            <w:pPr>
              <w:widowControl/>
              <w:spacing w:line="240" w:lineRule="auto"/>
              <w:jc w:val="center"/>
              <w:rPr>
                <w:color w:val="000000"/>
                <w:kern w:val="0"/>
                <w:sz w:val="21"/>
                <w:szCs w:val="21"/>
              </w:rPr>
            </w:pPr>
            <w:r>
              <w:rPr>
                <w:color w:val="000000"/>
                <w:kern w:val="0"/>
                <w:sz w:val="21"/>
                <w:szCs w:val="21"/>
              </w:rPr>
              <w:t>3.5</w:t>
            </w:r>
          </w:p>
        </w:tc>
        <w:tc>
          <w:tcPr>
            <w:tcW w:w="1060" w:type="dxa"/>
            <w:tcBorders>
              <w:top w:val="nil"/>
              <w:left w:val="nil"/>
              <w:bottom w:val="single" w:color="auto" w:sz="4" w:space="0"/>
              <w:right w:val="single" w:color="auto" w:sz="4" w:space="0"/>
            </w:tcBorders>
            <w:vAlign w:val="center"/>
          </w:tcPr>
          <w:p w14:paraId="33133BFF">
            <w:pPr>
              <w:widowControl/>
              <w:spacing w:line="240" w:lineRule="auto"/>
              <w:jc w:val="center"/>
              <w:rPr>
                <w:color w:val="000000"/>
                <w:kern w:val="0"/>
                <w:sz w:val="21"/>
                <w:szCs w:val="21"/>
              </w:rPr>
            </w:pPr>
            <w:r>
              <w:rPr>
                <w:color w:val="000000"/>
                <w:kern w:val="0"/>
                <w:sz w:val="21"/>
                <w:szCs w:val="21"/>
              </w:rPr>
              <w:t>12</w:t>
            </w:r>
          </w:p>
        </w:tc>
      </w:tr>
      <w:tr w14:paraId="5F72ADDF">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68F635B">
            <w:pPr>
              <w:widowControl/>
              <w:spacing w:line="240" w:lineRule="auto"/>
              <w:jc w:val="right"/>
              <w:rPr>
                <w:color w:val="000000"/>
                <w:kern w:val="0"/>
                <w:sz w:val="21"/>
                <w:szCs w:val="21"/>
              </w:rPr>
            </w:pPr>
            <w:r>
              <w:rPr>
                <w:color w:val="000000"/>
                <w:kern w:val="0"/>
                <w:sz w:val="21"/>
                <w:szCs w:val="21"/>
              </w:rPr>
              <w:t>5</w:t>
            </w:r>
          </w:p>
        </w:tc>
        <w:tc>
          <w:tcPr>
            <w:tcW w:w="1546" w:type="dxa"/>
            <w:tcBorders>
              <w:top w:val="nil"/>
              <w:left w:val="nil"/>
              <w:bottom w:val="single" w:color="auto" w:sz="4" w:space="0"/>
              <w:right w:val="single" w:color="auto" w:sz="4" w:space="0"/>
            </w:tcBorders>
            <w:vAlign w:val="center"/>
          </w:tcPr>
          <w:p w14:paraId="311D65ED">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3C05571F">
            <w:pPr>
              <w:widowControl/>
              <w:spacing w:line="240" w:lineRule="auto"/>
              <w:jc w:val="center"/>
              <w:rPr>
                <w:color w:val="000000"/>
                <w:kern w:val="0"/>
                <w:sz w:val="21"/>
                <w:szCs w:val="21"/>
              </w:rPr>
            </w:pPr>
            <w:r>
              <w:rPr>
                <w:color w:val="000000"/>
                <w:kern w:val="0"/>
                <w:sz w:val="21"/>
                <w:szCs w:val="21"/>
              </w:rPr>
              <w:t>7857</w:t>
            </w:r>
          </w:p>
        </w:tc>
        <w:tc>
          <w:tcPr>
            <w:tcW w:w="2030" w:type="dxa"/>
            <w:tcBorders>
              <w:top w:val="nil"/>
              <w:left w:val="nil"/>
              <w:bottom w:val="single" w:color="auto" w:sz="4" w:space="0"/>
              <w:right w:val="single" w:color="auto" w:sz="4" w:space="0"/>
            </w:tcBorders>
            <w:vAlign w:val="center"/>
          </w:tcPr>
          <w:p w14:paraId="5D65D669">
            <w:pPr>
              <w:widowControl/>
              <w:spacing w:line="240" w:lineRule="auto"/>
              <w:jc w:val="center"/>
              <w:rPr>
                <w:color w:val="000000"/>
                <w:kern w:val="0"/>
                <w:sz w:val="21"/>
                <w:szCs w:val="21"/>
              </w:rPr>
            </w:pPr>
            <w:r>
              <w:rPr>
                <w:color w:val="000000"/>
                <w:kern w:val="0"/>
                <w:sz w:val="21"/>
                <w:szCs w:val="21"/>
              </w:rPr>
              <w:t>2.6</w:t>
            </w:r>
          </w:p>
        </w:tc>
        <w:tc>
          <w:tcPr>
            <w:tcW w:w="2030" w:type="dxa"/>
            <w:tcBorders>
              <w:top w:val="nil"/>
              <w:left w:val="nil"/>
              <w:bottom w:val="single" w:color="auto" w:sz="4" w:space="0"/>
              <w:right w:val="single" w:color="auto" w:sz="4" w:space="0"/>
            </w:tcBorders>
            <w:vAlign w:val="center"/>
          </w:tcPr>
          <w:p w14:paraId="7D3406C0">
            <w:pPr>
              <w:widowControl/>
              <w:spacing w:line="240" w:lineRule="auto"/>
              <w:jc w:val="center"/>
              <w:rPr>
                <w:color w:val="000000"/>
                <w:kern w:val="0"/>
                <w:sz w:val="21"/>
                <w:szCs w:val="21"/>
              </w:rPr>
            </w:pPr>
            <w:r>
              <w:rPr>
                <w:color w:val="000000"/>
                <w:kern w:val="0"/>
                <w:sz w:val="21"/>
                <w:szCs w:val="21"/>
              </w:rPr>
              <w:t>5.2</w:t>
            </w:r>
          </w:p>
        </w:tc>
        <w:tc>
          <w:tcPr>
            <w:tcW w:w="1060" w:type="dxa"/>
            <w:tcBorders>
              <w:top w:val="nil"/>
              <w:left w:val="nil"/>
              <w:bottom w:val="single" w:color="auto" w:sz="4" w:space="0"/>
              <w:right w:val="single" w:color="auto" w:sz="4" w:space="0"/>
            </w:tcBorders>
            <w:vAlign w:val="center"/>
          </w:tcPr>
          <w:p w14:paraId="0D668615">
            <w:pPr>
              <w:widowControl/>
              <w:spacing w:line="240" w:lineRule="auto"/>
              <w:jc w:val="center"/>
              <w:rPr>
                <w:color w:val="000000"/>
                <w:kern w:val="0"/>
                <w:sz w:val="21"/>
                <w:szCs w:val="21"/>
              </w:rPr>
            </w:pPr>
            <w:r>
              <w:rPr>
                <w:color w:val="000000"/>
                <w:kern w:val="0"/>
                <w:sz w:val="21"/>
                <w:szCs w:val="21"/>
              </w:rPr>
              <w:t>2</w:t>
            </w:r>
          </w:p>
        </w:tc>
      </w:tr>
      <w:tr w14:paraId="2E0F3ADB">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5045DACB">
            <w:pPr>
              <w:widowControl/>
              <w:spacing w:line="240" w:lineRule="auto"/>
              <w:jc w:val="right"/>
              <w:rPr>
                <w:color w:val="000000"/>
                <w:kern w:val="0"/>
                <w:sz w:val="21"/>
                <w:szCs w:val="21"/>
              </w:rPr>
            </w:pPr>
            <w:r>
              <w:rPr>
                <w:color w:val="000000"/>
                <w:kern w:val="0"/>
                <w:sz w:val="21"/>
                <w:szCs w:val="21"/>
              </w:rPr>
              <w:t>6</w:t>
            </w:r>
          </w:p>
        </w:tc>
        <w:tc>
          <w:tcPr>
            <w:tcW w:w="1546" w:type="dxa"/>
            <w:tcBorders>
              <w:top w:val="nil"/>
              <w:left w:val="nil"/>
              <w:bottom w:val="single" w:color="auto" w:sz="4" w:space="0"/>
              <w:right w:val="single" w:color="auto" w:sz="4" w:space="0"/>
            </w:tcBorders>
            <w:vAlign w:val="center"/>
          </w:tcPr>
          <w:p w14:paraId="6071F61A">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3AC8D650">
            <w:pPr>
              <w:widowControl/>
              <w:spacing w:line="240" w:lineRule="auto"/>
              <w:jc w:val="center"/>
              <w:rPr>
                <w:color w:val="000000"/>
                <w:kern w:val="0"/>
                <w:sz w:val="21"/>
                <w:szCs w:val="21"/>
              </w:rPr>
            </w:pPr>
            <w:r>
              <w:rPr>
                <w:color w:val="000000"/>
                <w:kern w:val="0"/>
                <w:sz w:val="21"/>
                <w:szCs w:val="21"/>
              </w:rPr>
              <w:t>10564</w:t>
            </w:r>
          </w:p>
        </w:tc>
        <w:tc>
          <w:tcPr>
            <w:tcW w:w="2030" w:type="dxa"/>
            <w:tcBorders>
              <w:top w:val="nil"/>
              <w:left w:val="nil"/>
              <w:bottom w:val="single" w:color="auto" w:sz="4" w:space="0"/>
              <w:right w:val="single" w:color="auto" w:sz="4" w:space="0"/>
            </w:tcBorders>
            <w:vAlign w:val="center"/>
          </w:tcPr>
          <w:p w14:paraId="6D847121">
            <w:pPr>
              <w:widowControl/>
              <w:spacing w:line="240" w:lineRule="auto"/>
              <w:jc w:val="center"/>
              <w:rPr>
                <w:color w:val="000000"/>
                <w:kern w:val="0"/>
                <w:sz w:val="21"/>
                <w:szCs w:val="21"/>
              </w:rPr>
            </w:pPr>
            <w:r>
              <w:rPr>
                <w:color w:val="000000"/>
                <w:kern w:val="0"/>
                <w:sz w:val="21"/>
                <w:szCs w:val="21"/>
              </w:rPr>
              <w:t>1.6</w:t>
            </w:r>
          </w:p>
        </w:tc>
        <w:tc>
          <w:tcPr>
            <w:tcW w:w="2030" w:type="dxa"/>
            <w:tcBorders>
              <w:top w:val="nil"/>
              <w:left w:val="nil"/>
              <w:bottom w:val="single" w:color="auto" w:sz="4" w:space="0"/>
              <w:right w:val="single" w:color="auto" w:sz="4" w:space="0"/>
            </w:tcBorders>
            <w:vAlign w:val="center"/>
          </w:tcPr>
          <w:p w14:paraId="3FC9C4F3">
            <w:pPr>
              <w:widowControl/>
              <w:spacing w:line="240" w:lineRule="auto"/>
              <w:jc w:val="center"/>
              <w:rPr>
                <w:color w:val="000000"/>
                <w:kern w:val="0"/>
                <w:sz w:val="21"/>
                <w:szCs w:val="21"/>
              </w:rPr>
            </w:pPr>
            <w:r>
              <w:rPr>
                <w:color w:val="000000"/>
                <w:kern w:val="0"/>
                <w:sz w:val="21"/>
                <w:szCs w:val="21"/>
              </w:rPr>
              <w:t>4.1</w:t>
            </w:r>
          </w:p>
        </w:tc>
        <w:tc>
          <w:tcPr>
            <w:tcW w:w="1060" w:type="dxa"/>
            <w:tcBorders>
              <w:top w:val="nil"/>
              <w:left w:val="nil"/>
              <w:bottom w:val="single" w:color="auto" w:sz="4" w:space="0"/>
              <w:right w:val="single" w:color="auto" w:sz="4" w:space="0"/>
            </w:tcBorders>
            <w:vAlign w:val="center"/>
          </w:tcPr>
          <w:p w14:paraId="7147F62F">
            <w:pPr>
              <w:widowControl/>
              <w:spacing w:line="240" w:lineRule="auto"/>
              <w:jc w:val="center"/>
              <w:rPr>
                <w:color w:val="000000"/>
                <w:kern w:val="0"/>
                <w:sz w:val="21"/>
                <w:szCs w:val="21"/>
              </w:rPr>
            </w:pPr>
            <w:r>
              <w:rPr>
                <w:color w:val="000000"/>
                <w:kern w:val="0"/>
                <w:sz w:val="21"/>
                <w:szCs w:val="21"/>
              </w:rPr>
              <w:t>2</w:t>
            </w:r>
          </w:p>
        </w:tc>
      </w:tr>
      <w:tr w14:paraId="1776EA3D">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AF8C84A">
            <w:pPr>
              <w:widowControl/>
              <w:spacing w:line="240" w:lineRule="auto"/>
              <w:jc w:val="right"/>
              <w:rPr>
                <w:color w:val="000000"/>
                <w:kern w:val="0"/>
                <w:sz w:val="21"/>
                <w:szCs w:val="21"/>
              </w:rPr>
            </w:pPr>
            <w:r>
              <w:rPr>
                <w:color w:val="000000"/>
                <w:kern w:val="0"/>
                <w:sz w:val="21"/>
                <w:szCs w:val="21"/>
              </w:rPr>
              <w:t>7</w:t>
            </w:r>
          </w:p>
        </w:tc>
        <w:tc>
          <w:tcPr>
            <w:tcW w:w="1546" w:type="dxa"/>
            <w:tcBorders>
              <w:top w:val="nil"/>
              <w:left w:val="nil"/>
              <w:bottom w:val="single" w:color="auto" w:sz="4" w:space="0"/>
              <w:right w:val="single" w:color="auto" w:sz="4" w:space="0"/>
            </w:tcBorders>
            <w:vAlign w:val="center"/>
          </w:tcPr>
          <w:p w14:paraId="1D8797E6">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7202981">
            <w:pPr>
              <w:widowControl/>
              <w:spacing w:line="240" w:lineRule="auto"/>
              <w:jc w:val="center"/>
              <w:rPr>
                <w:color w:val="000000"/>
                <w:kern w:val="0"/>
                <w:sz w:val="21"/>
                <w:szCs w:val="21"/>
              </w:rPr>
            </w:pPr>
            <w:r>
              <w:rPr>
                <w:color w:val="000000"/>
                <w:kern w:val="0"/>
                <w:sz w:val="21"/>
                <w:szCs w:val="21"/>
              </w:rPr>
              <w:t>8190</w:t>
            </w:r>
          </w:p>
        </w:tc>
        <w:tc>
          <w:tcPr>
            <w:tcW w:w="2030" w:type="dxa"/>
            <w:tcBorders>
              <w:top w:val="nil"/>
              <w:left w:val="nil"/>
              <w:bottom w:val="single" w:color="auto" w:sz="4" w:space="0"/>
              <w:right w:val="single" w:color="auto" w:sz="4" w:space="0"/>
            </w:tcBorders>
            <w:vAlign w:val="center"/>
          </w:tcPr>
          <w:p w14:paraId="3AE2E44B">
            <w:pPr>
              <w:widowControl/>
              <w:spacing w:line="240" w:lineRule="auto"/>
              <w:jc w:val="center"/>
              <w:rPr>
                <w:color w:val="000000"/>
                <w:kern w:val="0"/>
                <w:sz w:val="21"/>
                <w:szCs w:val="21"/>
              </w:rPr>
            </w:pPr>
            <w:r>
              <w:rPr>
                <w:color w:val="000000"/>
                <w:kern w:val="0"/>
                <w:sz w:val="21"/>
                <w:szCs w:val="21"/>
              </w:rPr>
              <w:t>1.8</w:t>
            </w:r>
          </w:p>
        </w:tc>
        <w:tc>
          <w:tcPr>
            <w:tcW w:w="2030" w:type="dxa"/>
            <w:tcBorders>
              <w:top w:val="nil"/>
              <w:left w:val="nil"/>
              <w:bottom w:val="single" w:color="auto" w:sz="4" w:space="0"/>
              <w:right w:val="single" w:color="auto" w:sz="4" w:space="0"/>
            </w:tcBorders>
            <w:vAlign w:val="center"/>
          </w:tcPr>
          <w:p w14:paraId="6EE62528">
            <w:pPr>
              <w:widowControl/>
              <w:spacing w:line="240" w:lineRule="auto"/>
              <w:jc w:val="center"/>
              <w:rPr>
                <w:color w:val="000000"/>
                <w:kern w:val="0"/>
                <w:sz w:val="21"/>
                <w:szCs w:val="21"/>
              </w:rPr>
            </w:pPr>
            <w:r>
              <w:rPr>
                <w:color w:val="000000"/>
                <w:kern w:val="0"/>
                <w:sz w:val="21"/>
                <w:szCs w:val="21"/>
              </w:rPr>
              <w:t>3.7</w:t>
            </w:r>
          </w:p>
        </w:tc>
        <w:tc>
          <w:tcPr>
            <w:tcW w:w="1060" w:type="dxa"/>
            <w:tcBorders>
              <w:top w:val="nil"/>
              <w:left w:val="nil"/>
              <w:bottom w:val="single" w:color="auto" w:sz="4" w:space="0"/>
              <w:right w:val="single" w:color="auto" w:sz="4" w:space="0"/>
            </w:tcBorders>
            <w:vAlign w:val="center"/>
          </w:tcPr>
          <w:p w14:paraId="573F0ACE">
            <w:pPr>
              <w:widowControl/>
              <w:spacing w:line="240" w:lineRule="auto"/>
              <w:jc w:val="center"/>
              <w:rPr>
                <w:color w:val="000000"/>
                <w:kern w:val="0"/>
                <w:sz w:val="21"/>
                <w:szCs w:val="21"/>
              </w:rPr>
            </w:pPr>
            <w:r>
              <w:rPr>
                <w:color w:val="000000"/>
                <w:kern w:val="0"/>
                <w:sz w:val="21"/>
                <w:szCs w:val="21"/>
              </w:rPr>
              <w:t>2</w:t>
            </w:r>
          </w:p>
        </w:tc>
      </w:tr>
      <w:tr w14:paraId="1E8DE7A0">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35BD1F7B">
            <w:pPr>
              <w:widowControl/>
              <w:spacing w:line="240" w:lineRule="auto"/>
              <w:jc w:val="right"/>
              <w:rPr>
                <w:color w:val="000000"/>
                <w:kern w:val="0"/>
                <w:sz w:val="21"/>
                <w:szCs w:val="21"/>
              </w:rPr>
            </w:pPr>
            <w:r>
              <w:rPr>
                <w:color w:val="000000"/>
                <w:kern w:val="0"/>
                <w:sz w:val="21"/>
                <w:szCs w:val="21"/>
              </w:rPr>
              <w:t>8</w:t>
            </w:r>
          </w:p>
        </w:tc>
        <w:tc>
          <w:tcPr>
            <w:tcW w:w="1546" w:type="dxa"/>
            <w:tcBorders>
              <w:top w:val="nil"/>
              <w:left w:val="nil"/>
              <w:bottom w:val="single" w:color="auto" w:sz="4" w:space="0"/>
              <w:right w:val="single" w:color="auto" w:sz="4" w:space="0"/>
            </w:tcBorders>
            <w:vAlign w:val="center"/>
          </w:tcPr>
          <w:p w14:paraId="477FC4B3">
            <w:pPr>
              <w:widowControl/>
              <w:spacing w:line="240" w:lineRule="auto"/>
              <w:jc w:val="left"/>
              <w:rPr>
                <w:color w:val="000000"/>
                <w:kern w:val="0"/>
                <w:sz w:val="21"/>
                <w:szCs w:val="21"/>
              </w:rPr>
            </w:pPr>
            <w:r>
              <w:rPr>
                <w:color w:val="000000"/>
                <w:kern w:val="0"/>
                <w:sz w:val="21"/>
                <w:szCs w:val="21"/>
              </w:rPr>
              <w:t>20160726</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70D4008A">
            <w:pPr>
              <w:widowControl/>
              <w:spacing w:line="240" w:lineRule="auto"/>
              <w:jc w:val="center"/>
              <w:rPr>
                <w:color w:val="000000"/>
                <w:kern w:val="0"/>
                <w:sz w:val="21"/>
                <w:szCs w:val="21"/>
              </w:rPr>
            </w:pPr>
            <w:r>
              <w:rPr>
                <w:color w:val="000000"/>
                <w:kern w:val="0"/>
                <w:sz w:val="21"/>
                <w:szCs w:val="21"/>
              </w:rPr>
              <w:t>9882</w:t>
            </w:r>
          </w:p>
        </w:tc>
        <w:tc>
          <w:tcPr>
            <w:tcW w:w="2030" w:type="dxa"/>
            <w:tcBorders>
              <w:top w:val="nil"/>
              <w:left w:val="nil"/>
              <w:bottom w:val="single" w:color="auto" w:sz="4" w:space="0"/>
              <w:right w:val="single" w:color="auto" w:sz="4" w:space="0"/>
            </w:tcBorders>
            <w:vAlign w:val="center"/>
          </w:tcPr>
          <w:p w14:paraId="20ED3C3E">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14:paraId="077B093D">
            <w:pPr>
              <w:widowControl/>
              <w:spacing w:line="240" w:lineRule="auto"/>
              <w:jc w:val="center"/>
              <w:rPr>
                <w:color w:val="000000"/>
                <w:kern w:val="0"/>
                <w:sz w:val="21"/>
                <w:szCs w:val="21"/>
              </w:rPr>
            </w:pPr>
            <w:r>
              <w:rPr>
                <w:color w:val="000000"/>
                <w:kern w:val="0"/>
                <w:sz w:val="21"/>
                <w:szCs w:val="21"/>
              </w:rPr>
              <w:t>5.6</w:t>
            </w:r>
          </w:p>
        </w:tc>
        <w:tc>
          <w:tcPr>
            <w:tcW w:w="1060" w:type="dxa"/>
            <w:tcBorders>
              <w:top w:val="nil"/>
              <w:left w:val="nil"/>
              <w:bottom w:val="single" w:color="auto" w:sz="4" w:space="0"/>
              <w:right w:val="single" w:color="auto" w:sz="4" w:space="0"/>
            </w:tcBorders>
            <w:vAlign w:val="center"/>
          </w:tcPr>
          <w:p w14:paraId="35A99BB6">
            <w:pPr>
              <w:widowControl/>
              <w:spacing w:line="240" w:lineRule="auto"/>
              <w:jc w:val="center"/>
              <w:rPr>
                <w:color w:val="000000"/>
                <w:kern w:val="0"/>
                <w:sz w:val="21"/>
                <w:szCs w:val="21"/>
              </w:rPr>
            </w:pPr>
            <w:r>
              <w:rPr>
                <w:color w:val="000000"/>
                <w:kern w:val="0"/>
                <w:sz w:val="21"/>
                <w:szCs w:val="21"/>
              </w:rPr>
              <w:t>2</w:t>
            </w:r>
          </w:p>
        </w:tc>
      </w:tr>
      <w:tr w14:paraId="21D9E04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5851C402">
            <w:pPr>
              <w:widowControl/>
              <w:spacing w:line="240" w:lineRule="auto"/>
              <w:jc w:val="right"/>
              <w:rPr>
                <w:color w:val="000000"/>
                <w:kern w:val="0"/>
                <w:sz w:val="21"/>
                <w:szCs w:val="21"/>
              </w:rPr>
            </w:pPr>
            <w:r>
              <w:rPr>
                <w:color w:val="000000"/>
                <w:kern w:val="0"/>
                <w:sz w:val="21"/>
                <w:szCs w:val="21"/>
              </w:rPr>
              <w:t>9</w:t>
            </w:r>
          </w:p>
        </w:tc>
        <w:tc>
          <w:tcPr>
            <w:tcW w:w="1546" w:type="dxa"/>
            <w:tcBorders>
              <w:top w:val="nil"/>
              <w:left w:val="nil"/>
              <w:bottom w:val="single" w:color="auto" w:sz="4" w:space="0"/>
              <w:right w:val="single" w:color="auto" w:sz="4" w:space="0"/>
            </w:tcBorders>
            <w:vAlign w:val="center"/>
          </w:tcPr>
          <w:p w14:paraId="10B7DCBB">
            <w:pPr>
              <w:widowControl/>
              <w:spacing w:line="240" w:lineRule="auto"/>
              <w:jc w:val="left"/>
              <w:rPr>
                <w:color w:val="000000"/>
                <w:kern w:val="0"/>
                <w:sz w:val="21"/>
                <w:szCs w:val="21"/>
              </w:rPr>
            </w:pPr>
            <w:r>
              <w:rPr>
                <w:color w:val="000000"/>
                <w:kern w:val="0"/>
                <w:sz w:val="21"/>
                <w:szCs w:val="21"/>
              </w:rPr>
              <w:t>20160802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080E36EB">
            <w:pPr>
              <w:widowControl/>
              <w:spacing w:line="240" w:lineRule="auto"/>
              <w:jc w:val="center"/>
              <w:rPr>
                <w:color w:val="000000"/>
                <w:kern w:val="0"/>
                <w:sz w:val="21"/>
                <w:szCs w:val="21"/>
              </w:rPr>
            </w:pPr>
            <w:r>
              <w:rPr>
                <w:color w:val="000000"/>
                <w:kern w:val="0"/>
                <w:sz w:val="21"/>
                <w:szCs w:val="21"/>
              </w:rPr>
              <w:t>13086</w:t>
            </w:r>
          </w:p>
        </w:tc>
        <w:tc>
          <w:tcPr>
            <w:tcW w:w="2030" w:type="dxa"/>
            <w:tcBorders>
              <w:top w:val="nil"/>
              <w:left w:val="nil"/>
              <w:bottom w:val="single" w:color="auto" w:sz="4" w:space="0"/>
              <w:right w:val="single" w:color="auto" w:sz="4" w:space="0"/>
            </w:tcBorders>
            <w:vAlign w:val="center"/>
          </w:tcPr>
          <w:p w14:paraId="3CDD2F0B">
            <w:pPr>
              <w:widowControl/>
              <w:spacing w:line="240" w:lineRule="auto"/>
              <w:jc w:val="center"/>
              <w:rPr>
                <w:color w:val="000000"/>
                <w:kern w:val="0"/>
                <w:sz w:val="21"/>
                <w:szCs w:val="21"/>
              </w:rPr>
            </w:pPr>
            <w:r>
              <w:rPr>
                <w:color w:val="000000"/>
                <w:kern w:val="0"/>
                <w:sz w:val="21"/>
                <w:szCs w:val="21"/>
              </w:rPr>
              <w:t>7.8</w:t>
            </w:r>
          </w:p>
        </w:tc>
        <w:tc>
          <w:tcPr>
            <w:tcW w:w="2030" w:type="dxa"/>
            <w:tcBorders>
              <w:top w:val="nil"/>
              <w:left w:val="nil"/>
              <w:bottom w:val="single" w:color="auto" w:sz="4" w:space="0"/>
              <w:right w:val="single" w:color="auto" w:sz="4" w:space="0"/>
            </w:tcBorders>
            <w:vAlign w:val="center"/>
          </w:tcPr>
          <w:p w14:paraId="5EA514FF">
            <w:pPr>
              <w:widowControl/>
              <w:spacing w:line="240" w:lineRule="auto"/>
              <w:jc w:val="center"/>
              <w:rPr>
                <w:color w:val="000000"/>
                <w:kern w:val="0"/>
                <w:sz w:val="21"/>
                <w:szCs w:val="21"/>
              </w:rPr>
            </w:pPr>
            <w:r>
              <w:rPr>
                <w:color w:val="000000"/>
                <w:kern w:val="0"/>
                <w:sz w:val="21"/>
                <w:szCs w:val="21"/>
              </w:rPr>
              <w:t>8.5</w:t>
            </w:r>
          </w:p>
        </w:tc>
        <w:tc>
          <w:tcPr>
            <w:tcW w:w="1060" w:type="dxa"/>
            <w:tcBorders>
              <w:top w:val="nil"/>
              <w:left w:val="nil"/>
              <w:bottom w:val="single" w:color="auto" w:sz="4" w:space="0"/>
              <w:right w:val="single" w:color="auto" w:sz="4" w:space="0"/>
            </w:tcBorders>
            <w:vAlign w:val="center"/>
          </w:tcPr>
          <w:p w14:paraId="235AF1BE">
            <w:pPr>
              <w:widowControl/>
              <w:spacing w:line="240" w:lineRule="auto"/>
              <w:jc w:val="center"/>
              <w:rPr>
                <w:color w:val="000000"/>
                <w:kern w:val="0"/>
                <w:sz w:val="21"/>
                <w:szCs w:val="21"/>
              </w:rPr>
            </w:pPr>
            <w:r>
              <w:rPr>
                <w:color w:val="000000"/>
                <w:kern w:val="0"/>
                <w:sz w:val="21"/>
                <w:szCs w:val="21"/>
              </w:rPr>
              <w:t>6</w:t>
            </w:r>
          </w:p>
        </w:tc>
      </w:tr>
      <w:tr w14:paraId="045C1248">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5D744F8B">
            <w:pPr>
              <w:widowControl/>
              <w:spacing w:line="240" w:lineRule="auto"/>
              <w:jc w:val="right"/>
              <w:rPr>
                <w:color w:val="000000"/>
                <w:kern w:val="0"/>
                <w:sz w:val="21"/>
                <w:szCs w:val="21"/>
              </w:rPr>
            </w:pPr>
            <w:r>
              <w:rPr>
                <w:color w:val="000000"/>
                <w:kern w:val="0"/>
                <w:sz w:val="21"/>
                <w:szCs w:val="21"/>
              </w:rPr>
              <w:t>10</w:t>
            </w:r>
          </w:p>
        </w:tc>
        <w:tc>
          <w:tcPr>
            <w:tcW w:w="1546" w:type="dxa"/>
            <w:tcBorders>
              <w:top w:val="nil"/>
              <w:left w:val="nil"/>
              <w:bottom w:val="single" w:color="auto" w:sz="4" w:space="0"/>
              <w:right w:val="single" w:color="auto" w:sz="4" w:space="0"/>
            </w:tcBorders>
            <w:vAlign w:val="center"/>
          </w:tcPr>
          <w:p w14:paraId="6DF9E9E7">
            <w:pPr>
              <w:widowControl/>
              <w:spacing w:line="240" w:lineRule="auto"/>
              <w:jc w:val="left"/>
              <w:rPr>
                <w:color w:val="000000"/>
                <w:kern w:val="0"/>
                <w:sz w:val="21"/>
                <w:szCs w:val="21"/>
              </w:rPr>
            </w:pPr>
            <w:r>
              <w:rPr>
                <w:color w:val="000000"/>
                <w:kern w:val="0"/>
                <w:sz w:val="21"/>
                <w:szCs w:val="21"/>
              </w:rPr>
              <w:t>20160802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A04024C">
            <w:pPr>
              <w:widowControl/>
              <w:spacing w:line="240" w:lineRule="auto"/>
              <w:jc w:val="center"/>
              <w:rPr>
                <w:color w:val="000000"/>
                <w:kern w:val="0"/>
                <w:sz w:val="21"/>
                <w:szCs w:val="21"/>
              </w:rPr>
            </w:pPr>
            <w:r>
              <w:rPr>
                <w:color w:val="000000"/>
                <w:kern w:val="0"/>
                <w:sz w:val="21"/>
                <w:szCs w:val="21"/>
              </w:rPr>
              <w:t>13360</w:t>
            </w:r>
          </w:p>
        </w:tc>
        <w:tc>
          <w:tcPr>
            <w:tcW w:w="2030" w:type="dxa"/>
            <w:tcBorders>
              <w:top w:val="nil"/>
              <w:left w:val="nil"/>
              <w:bottom w:val="single" w:color="auto" w:sz="4" w:space="0"/>
              <w:right w:val="single" w:color="auto" w:sz="4" w:space="0"/>
            </w:tcBorders>
            <w:vAlign w:val="center"/>
          </w:tcPr>
          <w:p w14:paraId="300B07B3">
            <w:pPr>
              <w:widowControl/>
              <w:spacing w:line="240" w:lineRule="auto"/>
              <w:jc w:val="center"/>
              <w:rPr>
                <w:color w:val="000000"/>
                <w:kern w:val="0"/>
                <w:sz w:val="21"/>
                <w:szCs w:val="21"/>
              </w:rPr>
            </w:pPr>
            <w:r>
              <w:rPr>
                <w:color w:val="000000"/>
                <w:kern w:val="0"/>
                <w:sz w:val="21"/>
                <w:szCs w:val="21"/>
              </w:rPr>
              <w:t>8.7</w:t>
            </w:r>
          </w:p>
        </w:tc>
        <w:tc>
          <w:tcPr>
            <w:tcW w:w="2030" w:type="dxa"/>
            <w:tcBorders>
              <w:top w:val="nil"/>
              <w:left w:val="nil"/>
              <w:bottom w:val="single" w:color="auto" w:sz="4" w:space="0"/>
              <w:right w:val="single" w:color="auto" w:sz="4" w:space="0"/>
            </w:tcBorders>
            <w:vAlign w:val="center"/>
          </w:tcPr>
          <w:p w14:paraId="1C58B846">
            <w:pPr>
              <w:widowControl/>
              <w:spacing w:line="240" w:lineRule="auto"/>
              <w:jc w:val="center"/>
              <w:rPr>
                <w:color w:val="000000"/>
                <w:kern w:val="0"/>
                <w:sz w:val="21"/>
                <w:szCs w:val="21"/>
              </w:rPr>
            </w:pPr>
            <w:r>
              <w:rPr>
                <w:color w:val="000000"/>
                <w:kern w:val="0"/>
                <w:sz w:val="21"/>
                <w:szCs w:val="21"/>
              </w:rPr>
              <w:t>9.6</w:t>
            </w:r>
          </w:p>
        </w:tc>
        <w:tc>
          <w:tcPr>
            <w:tcW w:w="1060" w:type="dxa"/>
            <w:tcBorders>
              <w:top w:val="nil"/>
              <w:left w:val="nil"/>
              <w:bottom w:val="single" w:color="auto" w:sz="4" w:space="0"/>
              <w:right w:val="single" w:color="auto" w:sz="4" w:space="0"/>
            </w:tcBorders>
            <w:vAlign w:val="center"/>
          </w:tcPr>
          <w:p w14:paraId="761778D4">
            <w:pPr>
              <w:widowControl/>
              <w:spacing w:line="240" w:lineRule="auto"/>
              <w:jc w:val="center"/>
              <w:rPr>
                <w:color w:val="000000"/>
                <w:kern w:val="0"/>
                <w:sz w:val="21"/>
                <w:szCs w:val="21"/>
              </w:rPr>
            </w:pPr>
            <w:r>
              <w:rPr>
                <w:color w:val="000000"/>
                <w:kern w:val="0"/>
                <w:sz w:val="21"/>
                <w:szCs w:val="21"/>
              </w:rPr>
              <w:t>6</w:t>
            </w:r>
          </w:p>
        </w:tc>
      </w:tr>
      <w:tr w14:paraId="2105EC20">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6D807DBE">
            <w:pPr>
              <w:widowControl/>
              <w:spacing w:line="240" w:lineRule="auto"/>
              <w:jc w:val="right"/>
              <w:rPr>
                <w:color w:val="000000"/>
                <w:kern w:val="0"/>
                <w:sz w:val="21"/>
                <w:szCs w:val="21"/>
              </w:rPr>
            </w:pPr>
            <w:r>
              <w:rPr>
                <w:color w:val="000000"/>
                <w:kern w:val="0"/>
                <w:sz w:val="21"/>
                <w:szCs w:val="21"/>
              </w:rPr>
              <w:t>11</w:t>
            </w:r>
          </w:p>
        </w:tc>
        <w:tc>
          <w:tcPr>
            <w:tcW w:w="1546" w:type="dxa"/>
            <w:tcBorders>
              <w:top w:val="nil"/>
              <w:left w:val="nil"/>
              <w:bottom w:val="single" w:color="auto" w:sz="4" w:space="0"/>
              <w:right w:val="single" w:color="auto" w:sz="4" w:space="0"/>
            </w:tcBorders>
            <w:vAlign w:val="center"/>
          </w:tcPr>
          <w:p w14:paraId="62961931">
            <w:pPr>
              <w:widowControl/>
              <w:spacing w:line="240" w:lineRule="auto"/>
              <w:jc w:val="left"/>
              <w:rPr>
                <w:color w:val="000000"/>
                <w:kern w:val="0"/>
                <w:sz w:val="21"/>
                <w:szCs w:val="21"/>
              </w:rPr>
            </w:pPr>
            <w:r>
              <w:rPr>
                <w:color w:val="000000"/>
                <w:kern w:val="0"/>
                <w:sz w:val="21"/>
                <w:szCs w:val="21"/>
              </w:rPr>
              <w:t>20160301</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711E9631">
            <w:pPr>
              <w:widowControl/>
              <w:spacing w:line="240" w:lineRule="auto"/>
              <w:jc w:val="center"/>
              <w:rPr>
                <w:color w:val="000000"/>
                <w:kern w:val="0"/>
                <w:sz w:val="21"/>
                <w:szCs w:val="21"/>
              </w:rPr>
            </w:pPr>
            <w:r>
              <w:rPr>
                <w:color w:val="000000"/>
                <w:kern w:val="0"/>
                <w:sz w:val="21"/>
                <w:szCs w:val="21"/>
              </w:rPr>
              <w:t>7739</w:t>
            </w:r>
          </w:p>
        </w:tc>
        <w:tc>
          <w:tcPr>
            <w:tcW w:w="2030" w:type="dxa"/>
            <w:tcBorders>
              <w:top w:val="nil"/>
              <w:left w:val="nil"/>
              <w:bottom w:val="single" w:color="auto" w:sz="4" w:space="0"/>
              <w:right w:val="single" w:color="auto" w:sz="4" w:space="0"/>
            </w:tcBorders>
            <w:vAlign w:val="center"/>
          </w:tcPr>
          <w:p w14:paraId="659BE6AD">
            <w:pPr>
              <w:widowControl/>
              <w:spacing w:line="240" w:lineRule="auto"/>
              <w:jc w:val="center"/>
              <w:rPr>
                <w:color w:val="000000"/>
                <w:kern w:val="0"/>
                <w:sz w:val="21"/>
                <w:szCs w:val="21"/>
              </w:rPr>
            </w:pPr>
            <w:r>
              <w:rPr>
                <w:color w:val="000000"/>
                <w:kern w:val="0"/>
                <w:sz w:val="21"/>
                <w:szCs w:val="21"/>
              </w:rPr>
              <w:t>4.5</w:t>
            </w:r>
          </w:p>
        </w:tc>
        <w:tc>
          <w:tcPr>
            <w:tcW w:w="2030" w:type="dxa"/>
            <w:tcBorders>
              <w:top w:val="nil"/>
              <w:left w:val="nil"/>
              <w:bottom w:val="single" w:color="auto" w:sz="4" w:space="0"/>
              <w:right w:val="single" w:color="auto" w:sz="4" w:space="0"/>
            </w:tcBorders>
            <w:vAlign w:val="center"/>
          </w:tcPr>
          <w:p w14:paraId="0A586E0E">
            <w:pPr>
              <w:widowControl/>
              <w:spacing w:line="240" w:lineRule="auto"/>
              <w:jc w:val="center"/>
              <w:rPr>
                <w:color w:val="000000"/>
                <w:kern w:val="0"/>
                <w:sz w:val="21"/>
                <w:szCs w:val="21"/>
              </w:rPr>
            </w:pPr>
            <w:r>
              <w:rPr>
                <w:color w:val="000000"/>
                <w:kern w:val="0"/>
                <w:sz w:val="21"/>
                <w:szCs w:val="21"/>
              </w:rPr>
              <w:t>4.2</w:t>
            </w:r>
          </w:p>
        </w:tc>
        <w:tc>
          <w:tcPr>
            <w:tcW w:w="1060" w:type="dxa"/>
            <w:tcBorders>
              <w:top w:val="nil"/>
              <w:left w:val="nil"/>
              <w:bottom w:val="single" w:color="auto" w:sz="4" w:space="0"/>
              <w:right w:val="single" w:color="auto" w:sz="4" w:space="0"/>
            </w:tcBorders>
            <w:vAlign w:val="center"/>
          </w:tcPr>
          <w:p w14:paraId="3210DF0A">
            <w:pPr>
              <w:widowControl/>
              <w:spacing w:line="240" w:lineRule="auto"/>
              <w:jc w:val="center"/>
              <w:rPr>
                <w:color w:val="000000"/>
                <w:kern w:val="0"/>
                <w:sz w:val="21"/>
                <w:szCs w:val="21"/>
              </w:rPr>
            </w:pPr>
            <w:r>
              <w:rPr>
                <w:color w:val="000000"/>
                <w:kern w:val="0"/>
                <w:sz w:val="21"/>
                <w:szCs w:val="21"/>
              </w:rPr>
              <w:t>4</w:t>
            </w:r>
          </w:p>
        </w:tc>
      </w:tr>
      <w:tr w14:paraId="389E4DA8">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69478A39">
            <w:pPr>
              <w:widowControl/>
              <w:spacing w:line="240" w:lineRule="auto"/>
              <w:jc w:val="right"/>
              <w:rPr>
                <w:color w:val="000000"/>
                <w:kern w:val="0"/>
                <w:sz w:val="21"/>
                <w:szCs w:val="21"/>
              </w:rPr>
            </w:pPr>
            <w:r>
              <w:rPr>
                <w:color w:val="000000"/>
                <w:kern w:val="0"/>
                <w:sz w:val="21"/>
                <w:szCs w:val="21"/>
              </w:rPr>
              <w:t>12</w:t>
            </w:r>
          </w:p>
        </w:tc>
        <w:tc>
          <w:tcPr>
            <w:tcW w:w="1546" w:type="dxa"/>
            <w:tcBorders>
              <w:top w:val="nil"/>
              <w:left w:val="nil"/>
              <w:bottom w:val="single" w:color="auto" w:sz="4" w:space="0"/>
              <w:right w:val="single" w:color="auto" w:sz="4" w:space="0"/>
            </w:tcBorders>
            <w:vAlign w:val="center"/>
          </w:tcPr>
          <w:p w14:paraId="7158AB8B">
            <w:pPr>
              <w:widowControl/>
              <w:spacing w:line="240" w:lineRule="auto"/>
              <w:jc w:val="left"/>
              <w:rPr>
                <w:color w:val="000000"/>
                <w:kern w:val="0"/>
                <w:sz w:val="21"/>
                <w:szCs w:val="21"/>
              </w:rPr>
            </w:pPr>
            <w:r>
              <w:rPr>
                <w:color w:val="000000"/>
                <w:kern w:val="0"/>
                <w:sz w:val="21"/>
                <w:szCs w:val="21"/>
              </w:rPr>
              <w:t>20160301</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77D1DABE">
            <w:pPr>
              <w:widowControl/>
              <w:spacing w:line="240" w:lineRule="auto"/>
              <w:jc w:val="center"/>
              <w:rPr>
                <w:color w:val="000000"/>
                <w:kern w:val="0"/>
                <w:sz w:val="21"/>
                <w:szCs w:val="21"/>
              </w:rPr>
            </w:pPr>
            <w:r>
              <w:rPr>
                <w:color w:val="000000"/>
                <w:kern w:val="0"/>
                <w:sz w:val="21"/>
                <w:szCs w:val="21"/>
              </w:rPr>
              <w:t>6876</w:t>
            </w:r>
          </w:p>
        </w:tc>
        <w:tc>
          <w:tcPr>
            <w:tcW w:w="2030" w:type="dxa"/>
            <w:tcBorders>
              <w:top w:val="nil"/>
              <w:left w:val="nil"/>
              <w:bottom w:val="single" w:color="auto" w:sz="4" w:space="0"/>
              <w:right w:val="single" w:color="auto" w:sz="4" w:space="0"/>
            </w:tcBorders>
            <w:vAlign w:val="center"/>
          </w:tcPr>
          <w:p w14:paraId="7692601A">
            <w:pPr>
              <w:widowControl/>
              <w:spacing w:line="240" w:lineRule="auto"/>
              <w:jc w:val="center"/>
              <w:rPr>
                <w:color w:val="000000"/>
                <w:kern w:val="0"/>
                <w:sz w:val="21"/>
                <w:szCs w:val="21"/>
              </w:rPr>
            </w:pPr>
            <w:r>
              <w:rPr>
                <w:color w:val="000000"/>
                <w:kern w:val="0"/>
                <w:sz w:val="21"/>
                <w:szCs w:val="21"/>
              </w:rPr>
              <w:t>4.3</w:t>
            </w:r>
          </w:p>
        </w:tc>
        <w:tc>
          <w:tcPr>
            <w:tcW w:w="2030" w:type="dxa"/>
            <w:tcBorders>
              <w:top w:val="nil"/>
              <w:left w:val="nil"/>
              <w:bottom w:val="single" w:color="auto" w:sz="4" w:space="0"/>
              <w:right w:val="single" w:color="auto" w:sz="4" w:space="0"/>
            </w:tcBorders>
            <w:vAlign w:val="center"/>
          </w:tcPr>
          <w:p w14:paraId="6469B747">
            <w:pPr>
              <w:widowControl/>
              <w:spacing w:line="240" w:lineRule="auto"/>
              <w:jc w:val="center"/>
              <w:rPr>
                <w:color w:val="000000"/>
                <w:kern w:val="0"/>
                <w:sz w:val="21"/>
                <w:szCs w:val="21"/>
              </w:rPr>
            </w:pPr>
            <w:r>
              <w:rPr>
                <w:color w:val="000000"/>
                <w:kern w:val="0"/>
                <w:sz w:val="21"/>
                <w:szCs w:val="21"/>
              </w:rPr>
              <w:t>3.7</w:t>
            </w:r>
          </w:p>
        </w:tc>
        <w:tc>
          <w:tcPr>
            <w:tcW w:w="1060" w:type="dxa"/>
            <w:tcBorders>
              <w:top w:val="nil"/>
              <w:left w:val="nil"/>
              <w:bottom w:val="single" w:color="auto" w:sz="4" w:space="0"/>
              <w:right w:val="single" w:color="auto" w:sz="4" w:space="0"/>
            </w:tcBorders>
            <w:vAlign w:val="center"/>
          </w:tcPr>
          <w:p w14:paraId="3AE866B2">
            <w:pPr>
              <w:widowControl/>
              <w:spacing w:line="240" w:lineRule="auto"/>
              <w:jc w:val="center"/>
              <w:rPr>
                <w:color w:val="000000"/>
                <w:kern w:val="0"/>
                <w:sz w:val="21"/>
                <w:szCs w:val="21"/>
              </w:rPr>
            </w:pPr>
            <w:r>
              <w:rPr>
                <w:color w:val="000000"/>
                <w:kern w:val="0"/>
                <w:sz w:val="21"/>
                <w:szCs w:val="21"/>
              </w:rPr>
              <w:t>4</w:t>
            </w:r>
          </w:p>
        </w:tc>
      </w:tr>
      <w:tr w14:paraId="05A37E8E">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9875A1D">
            <w:pPr>
              <w:widowControl/>
              <w:spacing w:line="240" w:lineRule="auto"/>
              <w:jc w:val="right"/>
              <w:rPr>
                <w:color w:val="000000"/>
                <w:kern w:val="0"/>
                <w:sz w:val="21"/>
                <w:szCs w:val="21"/>
              </w:rPr>
            </w:pPr>
            <w:r>
              <w:rPr>
                <w:color w:val="000000"/>
                <w:kern w:val="0"/>
                <w:sz w:val="21"/>
                <w:szCs w:val="21"/>
              </w:rPr>
              <w:t>13</w:t>
            </w:r>
          </w:p>
        </w:tc>
        <w:tc>
          <w:tcPr>
            <w:tcW w:w="1546" w:type="dxa"/>
            <w:tcBorders>
              <w:top w:val="nil"/>
              <w:left w:val="nil"/>
              <w:bottom w:val="single" w:color="auto" w:sz="4" w:space="0"/>
              <w:right w:val="single" w:color="auto" w:sz="4" w:space="0"/>
            </w:tcBorders>
            <w:vAlign w:val="center"/>
          </w:tcPr>
          <w:p w14:paraId="6B0C1E53">
            <w:pPr>
              <w:widowControl/>
              <w:spacing w:line="240" w:lineRule="auto"/>
              <w:jc w:val="left"/>
              <w:rPr>
                <w:color w:val="000000"/>
                <w:kern w:val="0"/>
                <w:sz w:val="21"/>
                <w:szCs w:val="21"/>
              </w:rPr>
            </w:pPr>
            <w:r>
              <w:rPr>
                <w:color w:val="000000"/>
                <w:kern w:val="0"/>
                <w:sz w:val="21"/>
                <w:szCs w:val="21"/>
              </w:rPr>
              <w:t>20160712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4BFC4428">
            <w:pPr>
              <w:widowControl/>
              <w:spacing w:line="240" w:lineRule="auto"/>
              <w:jc w:val="center"/>
              <w:rPr>
                <w:color w:val="000000"/>
                <w:kern w:val="0"/>
                <w:sz w:val="21"/>
                <w:szCs w:val="21"/>
              </w:rPr>
            </w:pPr>
            <w:r>
              <w:rPr>
                <w:color w:val="000000"/>
                <w:kern w:val="0"/>
                <w:sz w:val="21"/>
                <w:szCs w:val="21"/>
              </w:rPr>
              <w:t>7197</w:t>
            </w:r>
          </w:p>
        </w:tc>
        <w:tc>
          <w:tcPr>
            <w:tcW w:w="2030" w:type="dxa"/>
            <w:tcBorders>
              <w:top w:val="nil"/>
              <w:left w:val="nil"/>
              <w:bottom w:val="single" w:color="auto" w:sz="4" w:space="0"/>
              <w:right w:val="single" w:color="auto" w:sz="4" w:space="0"/>
            </w:tcBorders>
            <w:vAlign w:val="center"/>
          </w:tcPr>
          <w:p w14:paraId="4F12B5E3">
            <w:pPr>
              <w:widowControl/>
              <w:spacing w:line="240" w:lineRule="auto"/>
              <w:jc w:val="center"/>
              <w:rPr>
                <w:color w:val="000000"/>
                <w:kern w:val="0"/>
                <w:sz w:val="21"/>
                <w:szCs w:val="21"/>
              </w:rPr>
            </w:pPr>
            <w:r>
              <w:rPr>
                <w:color w:val="000000"/>
                <w:kern w:val="0"/>
                <w:sz w:val="21"/>
                <w:szCs w:val="21"/>
              </w:rPr>
              <w:t>4.7</w:t>
            </w:r>
          </w:p>
        </w:tc>
        <w:tc>
          <w:tcPr>
            <w:tcW w:w="2030" w:type="dxa"/>
            <w:tcBorders>
              <w:top w:val="nil"/>
              <w:left w:val="nil"/>
              <w:bottom w:val="single" w:color="auto" w:sz="4" w:space="0"/>
              <w:right w:val="single" w:color="auto" w:sz="4" w:space="0"/>
            </w:tcBorders>
            <w:vAlign w:val="center"/>
          </w:tcPr>
          <w:p w14:paraId="27801B1B">
            <w:pPr>
              <w:widowControl/>
              <w:spacing w:line="240" w:lineRule="auto"/>
              <w:jc w:val="center"/>
              <w:rPr>
                <w:color w:val="000000"/>
                <w:kern w:val="0"/>
                <w:sz w:val="21"/>
                <w:szCs w:val="21"/>
              </w:rPr>
            </w:pPr>
            <w:r>
              <w:rPr>
                <w:color w:val="000000"/>
                <w:kern w:val="0"/>
                <w:sz w:val="21"/>
                <w:szCs w:val="21"/>
              </w:rPr>
              <w:t>4.2</w:t>
            </w:r>
          </w:p>
        </w:tc>
        <w:tc>
          <w:tcPr>
            <w:tcW w:w="1060" w:type="dxa"/>
            <w:tcBorders>
              <w:top w:val="nil"/>
              <w:left w:val="nil"/>
              <w:bottom w:val="single" w:color="auto" w:sz="4" w:space="0"/>
              <w:right w:val="single" w:color="auto" w:sz="4" w:space="0"/>
            </w:tcBorders>
            <w:vAlign w:val="center"/>
          </w:tcPr>
          <w:p w14:paraId="2F167059">
            <w:pPr>
              <w:widowControl/>
              <w:spacing w:line="240" w:lineRule="auto"/>
              <w:jc w:val="center"/>
              <w:rPr>
                <w:color w:val="000000"/>
                <w:kern w:val="0"/>
                <w:sz w:val="21"/>
                <w:szCs w:val="21"/>
              </w:rPr>
            </w:pPr>
            <w:r>
              <w:rPr>
                <w:color w:val="000000"/>
                <w:kern w:val="0"/>
                <w:sz w:val="21"/>
                <w:szCs w:val="21"/>
              </w:rPr>
              <w:t>6</w:t>
            </w:r>
          </w:p>
        </w:tc>
      </w:tr>
      <w:tr w14:paraId="2D1E069B">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5FEF0C3">
            <w:pPr>
              <w:widowControl/>
              <w:spacing w:line="240" w:lineRule="auto"/>
              <w:jc w:val="right"/>
              <w:rPr>
                <w:color w:val="000000"/>
                <w:kern w:val="0"/>
                <w:sz w:val="21"/>
                <w:szCs w:val="21"/>
              </w:rPr>
            </w:pPr>
            <w:r>
              <w:rPr>
                <w:color w:val="000000"/>
                <w:kern w:val="0"/>
                <w:sz w:val="21"/>
                <w:szCs w:val="21"/>
              </w:rPr>
              <w:t>14</w:t>
            </w:r>
          </w:p>
        </w:tc>
        <w:tc>
          <w:tcPr>
            <w:tcW w:w="1546" w:type="dxa"/>
            <w:tcBorders>
              <w:top w:val="nil"/>
              <w:left w:val="nil"/>
              <w:bottom w:val="single" w:color="auto" w:sz="4" w:space="0"/>
              <w:right w:val="single" w:color="auto" w:sz="4" w:space="0"/>
            </w:tcBorders>
            <w:vAlign w:val="center"/>
          </w:tcPr>
          <w:p w14:paraId="73184B23">
            <w:pPr>
              <w:widowControl/>
              <w:spacing w:line="240" w:lineRule="auto"/>
              <w:jc w:val="left"/>
              <w:rPr>
                <w:color w:val="000000"/>
                <w:kern w:val="0"/>
                <w:sz w:val="21"/>
                <w:szCs w:val="21"/>
              </w:rPr>
            </w:pPr>
            <w:r>
              <w:rPr>
                <w:color w:val="000000"/>
                <w:kern w:val="0"/>
                <w:sz w:val="21"/>
                <w:szCs w:val="21"/>
              </w:rPr>
              <w:t>20160712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5712EEB0">
            <w:pPr>
              <w:widowControl/>
              <w:spacing w:line="240" w:lineRule="auto"/>
              <w:jc w:val="center"/>
              <w:rPr>
                <w:color w:val="000000"/>
                <w:kern w:val="0"/>
                <w:sz w:val="21"/>
                <w:szCs w:val="21"/>
              </w:rPr>
            </w:pPr>
            <w:r>
              <w:rPr>
                <w:color w:val="000000"/>
                <w:kern w:val="0"/>
                <w:sz w:val="21"/>
                <w:szCs w:val="21"/>
              </w:rPr>
              <w:t>7496</w:t>
            </w:r>
          </w:p>
        </w:tc>
        <w:tc>
          <w:tcPr>
            <w:tcW w:w="2030" w:type="dxa"/>
            <w:tcBorders>
              <w:top w:val="nil"/>
              <w:left w:val="nil"/>
              <w:bottom w:val="single" w:color="auto" w:sz="4" w:space="0"/>
              <w:right w:val="single" w:color="auto" w:sz="4" w:space="0"/>
            </w:tcBorders>
            <w:vAlign w:val="center"/>
          </w:tcPr>
          <w:p w14:paraId="64B9CE23">
            <w:pPr>
              <w:widowControl/>
              <w:spacing w:line="240" w:lineRule="auto"/>
              <w:jc w:val="center"/>
              <w:rPr>
                <w:color w:val="000000"/>
                <w:kern w:val="0"/>
                <w:sz w:val="21"/>
                <w:szCs w:val="21"/>
              </w:rPr>
            </w:pPr>
            <w:r>
              <w:rPr>
                <w:color w:val="000000"/>
                <w:kern w:val="0"/>
                <w:sz w:val="21"/>
                <w:szCs w:val="21"/>
              </w:rPr>
              <w:t>2.0</w:t>
            </w:r>
          </w:p>
        </w:tc>
        <w:tc>
          <w:tcPr>
            <w:tcW w:w="2030" w:type="dxa"/>
            <w:tcBorders>
              <w:top w:val="nil"/>
              <w:left w:val="nil"/>
              <w:bottom w:val="single" w:color="auto" w:sz="4" w:space="0"/>
              <w:right w:val="single" w:color="auto" w:sz="4" w:space="0"/>
            </w:tcBorders>
            <w:vAlign w:val="center"/>
          </w:tcPr>
          <w:p w14:paraId="008BB2D6">
            <w:pPr>
              <w:widowControl/>
              <w:spacing w:line="240" w:lineRule="auto"/>
              <w:jc w:val="center"/>
              <w:rPr>
                <w:color w:val="000000"/>
                <w:kern w:val="0"/>
                <w:sz w:val="21"/>
                <w:szCs w:val="21"/>
              </w:rPr>
            </w:pPr>
            <w:r>
              <w:rPr>
                <w:color w:val="000000"/>
                <w:kern w:val="0"/>
                <w:sz w:val="21"/>
                <w:szCs w:val="21"/>
              </w:rPr>
              <w:t>1.9</w:t>
            </w:r>
          </w:p>
        </w:tc>
        <w:tc>
          <w:tcPr>
            <w:tcW w:w="1060" w:type="dxa"/>
            <w:tcBorders>
              <w:top w:val="nil"/>
              <w:left w:val="nil"/>
              <w:bottom w:val="single" w:color="auto" w:sz="4" w:space="0"/>
              <w:right w:val="single" w:color="auto" w:sz="4" w:space="0"/>
            </w:tcBorders>
            <w:vAlign w:val="center"/>
          </w:tcPr>
          <w:p w14:paraId="68D1EB5C">
            <w:pPr>
              <w:widowControl/>
              <w:spacing w:line="240" w:lineRule="auto"/>
              <w:jc w:val="center"/>
              <w:rPr>
                <w:color w:val="000000"/>
                <w:kern w:val="0"/>
                <w:sz w:val="21"/>
                <w:szCs w:val="21"/>
              </w:rPr>
            </w:pPr>
            <w:r>
              <w:rPr>
                <w:color w:val="000000"/>
                <w:kern w:val="0"/>
                <w:sz w:val="21"/>
                <w:szCs w:val="21"/>
              </w:rPr>
              <w:t>6</w:t>
            </w:r>
          </w:p>
        </w:tc>
      </w:tr>
      <w:tr w14:paraId="312BFA4A">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B59ED06">
            <w:pPr>
              <w:widowControl/>
              <w:spacing w:line="240" w:lineRule="auto"/>
              <w:jc w:val="right"/>
              <w:rPr>
                <w:color w:val="000000"/>
                <w:kern w:val="0"/>
                <w:sz w:val="21"/>
                <w:szCs w:val="21"/>
              </w:rPr>
            </w:pPr>
            <w:r>
              <w:rPr>
                <w:color w:val="000000"/>
                <w:kern w:val="0"/>
                <w:sz w:val="21"/>
                <w:szCs w:val="21"/>
              </w:rPr>
              <w:t>15</w:t>
            </w:r>
          </w:p>
        </w:tc>
        <w:tc>
          <w:tcPr>
            <w:tcW w:w="1546" w:type="dxa"/>
            <w:tcBorders>
              <w:top w:val="nil"/>
              <w:left w:val="nil"/>
              <w:bottom w:val="single" w:color="auto" w:sz="4" w:space="0"/>
              <w:right w:val="single" w:color="auto" w:sz="4" w:space="0"/>
            </w:tcBorders>
            <w:vAlign w:val="center"/>
          </w:tcPr>
          <w:p w14:paraId="6A01DA59">
            <w:pPr>
              <w:widowControl/>
              <w:spacing w:line="240" w:lineRule="auto"/>
              <w:jc w:val="left"/>
              <w:rPr>
                <w:color w:val="000000"/>
                <w:kern w:val="0"/>
                <w:sz w:val="21"/>
                <w:szCs w:val="21"/>
              </w:rPr>
            </w:pPr>
            <w:r>
              <w:rPr>
                <w:color w:val="000000"/>
                <w:kern w:val="0"/>
                <w:sz w:val="21"/>
                <w:szCs w:val="21"/>
              </w:rPr>
              <w:t>20160712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4E78840">
            <w:pPr>
              <w:widowControl/>
              <w:spacing w:line="240" w:lineRule="auto"/>
              <w:jc w:val="center"/>
              <w:rPr>
                <w:color w:val="000000"/>
                <w:kern w:val="0"/>
                <w:sz w:val="21"/>
                <w:szCs w:val="21"/>
              </w:rPr>
            </w:pPr>
            <w:r>
              <w:rPr>
                <w:color w:val="000000"/>
                <w:kern w:val="0"/>
                <w:sz w:val="21"/>
                <w:szCs w:val="21"/>
              </w:rPr>
              <w:t>7842</w:t>
            </w:r>
          </w:p>
        </w:tc>
        <w:tc>
          <w:tcPr>
            <w:tcW w:w="2030" w:type="dxa"/>
            <w:tcBorders>
              <w:top w:val="nil"/>
              <w:left w:val="nil"/>
              <w:bottom w:val="single" w:color="auto" w:sz="4" w:space="0"/>
              <w:right w:val="single" w:color="auto" w:sz="4" w:space="0"/>
            </w:tcBorders>
            <w:vAlign w:val="center"/>
          </w:tcPr>
          <w:p w14:paraId="372A90B3">
            <w:pPr>
              <w:widowControl/>
              <w:spacing w:line="240" w:lineRule="auto"/>
              <w:jc w:val="center"/>
              <w:rPr>
                <w:color w:val="000000"/>
                <w:kern w:val="0"/>
                <w:sz w:val="21"/>
                <w:szCs w:val="21"/>
              </w:rPr>
            </w:pPr>
            <w:r>
              <w:rPr>
                <w:color w:val="000000"/>
                <w:kern w:val="0"/>
                <w:sz w:val="21"/>
                <w:szCs w:val="21"/>
              </w:rPr>
              <w:t>4.8</w:t>
            </w:r>
          </w:p>
        </w:tc>
        <w:tc>
          <w:tcPr>
            <w:tcW w:w="2030" w:type="dxa"/>
            <w:tcBorders>
              <w:top w:val="nil"/>
              <w:left w:val="nil"/>
              <w:bottom w:val="single" w:color="auto" w:sz="4" w:space="0"/>
              <w:right w:val="single" w:color="auto" w:sz="4" w:space="0"/>
            </w:tcBorders>
            <w:vAlign w:val="center"/>
          </w:tcPr>
          <w:p w14:paraId="0E21592D">
            <w:pPr>
              <w:widowControl/>
              <w:spacing w:line="240" w:lineRule="auto"/>
              <w:jc w:val="center"/>
              <w:rPr>
                <w:color w:val="000000"/>
                <w:kern w:val="0"/>
                <w:sz w:val="21"/>
                <w:szCs w:val="21"/>
              </w:rPr>
            </w:pPr>
            <w:r>
              <w:rPr>
                <w:color w:val="000000"/>
                <w:kern w:val="0"/>
                <w:sz w:val="21"/>
                <w:szCs w:val="21"/>
              </w:rPr>
              <w:t>4.7</w:t>
            </w:r>
          </w:p>
        </w:tc>
        <w:tc>
          <w:tcPr>
            <w:tcW w:w="1060" w:type="dxa"/>
            <w:tcBorders>
              <w:top w:val="nil"/>
              <w:left w:val="nil"/>
              <w:bottom w:val="single" w:color="auto" w:sz="4" w:space="0"/>
              <w:right w:val="single" w:color="auto" w:sz="4" w:space="0"/>
            </w:tcBorders>
            <w:vAlign w:val="center"/>
          </w:tcPr>
          <w:p w14:paraId="3D3CFC73">
            <w:pPr>
              <w:widowControl/>
              <w:spacing w:line="240" w:lineRule="auto"/>
              <w:jc w:val="center"/>
              <w:rPr>
                <w:color w:val="000000"/>
                <w:kern w:val="0"/>
                <w:sz w:val="21"/>
                <w:szCs w:val="21"/>
              </w:rPr>
            </w:pPr>
            <w:r>
              <w:rPr>
                <w:color w:val="000000"/>
                <w:kern w:val="0"/>
                <w:sz w:val="21"/>
                <w:szCs w:val="21"/>
              </w:rPr>
              <w:t>6</w:t>
            </w:r>
          </w:p>
        </w:tc>
      </w:tr>
      <w:tr w14:paraId="52A3B6C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0954296">
            <w:pPr>
              <w:widowControl/>
              <w:spacing w:line="240" w:lineRule="auto"/>
              <w:jc w:val="right"/>
              <w:rPr>
                <w:color w:val="000000"/>
                <w:kern w:val="0"/>
                <w:sz w:val="21"/>
                <w:szCs w:val="21"/>
              </w:rPr>
            </w:pPr>
            <w:r>
              <w:rPr>
                <w:color w:val="000000"/>
                <w:kern w:val="0"/>
                <w:sz w:val="21"/>
                <w:szCs w:val="21"/>
              </w:rPr>
              <w:t>16</w:t>
            </w:r>
          </w:p>
        </w:tc>
        <w:tc>
          <w:tcPr>
            <w:tcW w:w="1546" w:type="dxa"/>
            <w:tcBorders>
              <w:top w:val="nil"/>
              <w:left w:val="nil"/>
              <w:bottom w:val="single" w:color="auto" w:sz="4" w:space="0"/>
              <w:right w:val="single" w:color="auto" w:sz="4" w:space="0"/>
            </w:tcBorders>
            <w:vAlign w:val="center"/>
          </w:tcPr>
          <w:p w14:paraId="012E7BFB">
            <w:pPr>
              <w:widowControl/>
              <w:spacing w:line="240" w:lineRule="auto"/>
              <w:jc w:val="left"/>
              <w:rPr>
                <w:color w:val="000000"/>
                <w:kern w:val="0"/>
                <w:sz w:val="21"/>
                <w:szCs w:val="21"/>
              </w:rPr>
            </w:pPr>
            <w:r>
              <w:rPr>
                <w:color w:val="000000"/>
                <w:kern w:val="0"/>
                <w:sz w:val="21"/>
                <w:szCs w:val="21"/>
              </w:rPr>
              <w:t>20160405</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4761CDFE">
            <w:pPr>
              <w:widowControl/>
              <w:spacing w:line="240" w:lineRule="auto"/>
              <w:jc w:val="center"/>
              <w:rPr>
                <w:color w:val="000000"/>
                <w:kern w:val="0"/>
                <w:sz w:val="21"/>
                <w:szCs w:val="21"/>
              </w:rPr>
            </w:pPr>
            <w:r>
              <w:rPr>
                <w:color w:val="000000"/>
                <w:kern w:val="0"/>
                <w:sz w:val="21"/>
                <w:szCs w:val="21"/>
              </w:rPr>
              <w:t>7227</w:t>
            </w:r>
          </w:p>
        </w:tc>
        <w:tc>
          <w:tcPr>
            <w:tcW w:w="2030" w:type="dxa"/>
            <w:tcBorders>
              <w:top w:val="nil"/>
              <w:left w:val="nil"/>
              <w:bottom w:val="single" w:color="auto" w:sz="4" w:space="0"/>
              <w:right w:val="single" w:color="auto" w:sz="4" w:space="0"/>
            </w:tcBorders>
            <w:vAlign w:val="center"/>
          </w:tcPr>
          <w:p w14:paraId="718421BD">
            <w:pPr>
              <w:widowControl/>
              <w:spacing w:line="240" w:lineRule="auto"/>
              <w:jc w:val="center"/>
              <w:rPr>
                <w:color w:val="000000"/>
                <w:kern w:val="0"/>
                <w:sz w:val="21"/>
                <w:szCs w:val="21"/>
              </w:rPr>
            </w:pPr>
            <w:r>
              <w:rPr>
                <w:color w:val="000000"/>
                <w:kern w:val="0"/>
                <w:sz w:val="21"/>
                <w:szCs w:val="21"/>
              </w:rPr>
              <w:t>3.6</w:t>
            </w:r>
          </w:p>
        </w:tc>
        <w:tc>
          <w:tcPr>
            <w:tcW w:w="2030" w:type="dxa"/>
            <w:tcBorders>
              <w:top w:val="nil"/>
              <w:left w:val="nil"/>
              <w:bottom w:val="single" w:color="auto" w:sz="4" w:space="0"/>
              <w:right w:val="single" w:color="auto" w:sz="4" w:space="0"/>
            </w:tcBorders>
            <w:vAlign w:val="center"/>
          </w:tcPr>
          <w:p w14:paraId="5893E591">
            <w:pPr>
              <w:widowControl/>
              <w:spacing w:line="240" w:lineRule="auto"/>
              <w:jc w:val="center"/>
              <w:rPr>
                <w:color w:val="000000"/>
                <w:kern w:val="0"/>
                <w:sz w:val="21"/>
                <w:szCs w:val="21"/>
              </w:rPr>
            </w:pPr>
            <w:r>
              <w:rPr>
                <w:color w:val="000000"/>
                <w:kern w:val="0"/>
                <w:sz w:val="21"/>
                <w:szCs w:val="21"/>
              </w:rPr>
              <w:t>2.5</w:t>
            </w:r>
          </w:p>
        </w:tc>
        <w:tc>
          <w:tcPr>
            <w:tcW w:w="1060" w:type="dxa"/>
            <w:tcBorders>
              <w:top w:val="nil"/>
              <w:left w:val="nil"/>
              <w:bottom w:val="single" w:color="auto" w:sz="4" w:space="0"/>
              <w:right w:val="single" w:color="auto" w:sz="4" w:space="0"/>
            </w:tcBorders>
            <w:vAlign w:val="center"/>
          </w:tcPr>
          <w:p w14:paraId="4BE374DA">
            <w:pPr>
              <w:widowControl/>
              <w:spacing w:line="240" w:lineRule="auto"/>
              <w:jc w:val="center"/>
              <w:rPr>
                <w:color w:val="000000"/>
                <w:kern w:val="0"/>
                <w:sz w:val="21"/>
                <w:szCs w:val="21"/>
              </w:rPr>
            </w:pPr>
            <w:r>
              <w:rPr>
                <w:color w:val="000000"/>
                <w:kern w:val="0"/>
                <w:sz w:val="21"/>
                <w:szCs w:val="21"/>
              </w:rPr>
              <w:t>5</w:t>
            </w:r>
          </w:p>
        </w:tc>
      </w:tr>
      <w:tr w14:paraId="17B14BD1">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FF93A2C">
            <w:pPr>
              <w:widowControl/>
              <w:spacing w:line="240" w:lineRule="auto"/>
              <w:jc w:val="right"/>
              <w:rPr>
                <w:color w:val="000000"/>
                <w:kern w:val="0"/>
                <w:sz w:val="21"/>
                <w:szCs w:val="21"/>
              </w:rPr>
            </w:pPr>
            <w:r>
              <w:rPr>
                <w:color w:val="000000"/>
                <w:kern w:val="0"/>
                <w:sz w:val="21"/>
                <w:szCs w:val="21"/>
              </w:rPr>
              <w:t>17</w:t>
            </w:r>
          </w:p>
        </w:tc>
        <w:tc>
          <w:tcPr>
            <w:tcW w:w="1546" w:type="dxa"/>
            <w:tcBorders>
              <w:top w:val="nil"/>
              <w:left w:val="nil"/>
              <w:bottom w:val="single" w:color="auto" w:sz="4" w:space="0"/>
              <w:right w:val="single" w:color="auto" w:sz="4" w:space="0"/>
            </w:tcBorders>
            <w:vAlign w:val="center"/>
          </w:tcPr>
          <w:p w14:paraId="1ACE919F">
            <w:pPr>
              <w:widowControl/>
              <w:spacing w:line="240" w:lineRule="auto"/>
              <w:jc w:val="left"/>
              <w:rPr>
                <w:color w:val="000000"/>
                <w:kern w:val="0"/>
                <w:sz w:val="21"/>
                <w:szCs w:val="21"/>
              </w:rPr>
            </w:pPr>
            <w:r>
              <w:rPr>
                <w:color w:val="000000"/>
                <w:kern w:val="0"/>
                <w:sz w:val="21"/>
                <w:szCs w:val="21"/>
              </w:rPr>
              <w:t>20160405</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4CB7280B">
            <w:pPr>
              <w:widowControl/>
              <w:spacing w:line="240" w:lineRule="auto"/>
              <w:jc w:val="center"/>
              <w:rPr>
                <w:color w:val="000000"/>
                <w:kern w:val="0"/>
                <w:sz w:val="21"/>
                <w:szCs w:val="21"/>
              </w:rPr>
            </w:pPr>
            <w:r>
              <w:rPr>
                <w:color w:val="000000"/>
                <w:kern w:val="0"/>
                <w:sz w:val="21"/>
                <w:szCs w:val="21"/>
              </w:rPr>
              <w:t>7076</w:t>
            </w:r>
          </w:p>
        </w:tc>
        <w:tc>
          <w:tcPr>
            <w:tcW w:w="2030" w:type="dxa"/>
            <w:tcBorders>
              <w:top w:val="nil"/>
              <w:left w:val="nil"/>
              <w:bottom w:val="single" w:color="auto" w:sz="4" w:space="0"/>
              <w:right w:val="single" w:color="auto" w:sz="4" w:space="0"/>
            </w:tcBorders>
            <w:vAlign w:val="center"/>
          </w:tcPr>
          <w:p w14:paraId="29B00C6D">
            <w:pPr>
              <w:widowControl/>
              <w:spacing w:line="240" w:lineRule="auto"/>
              <w:jc w:val="center"/>
              <w:rPr>
                <w:color w:val="000000"/>
                <w:kern w:val="0"/>
                <w:sz w:val="21"/>
                <w:szCs w:val="21"/>
              </w:rPr>
            </w:pPr>
            <w:r>
              <w:rPr>
                <w:color w:val="000000"/>
                <w:kern w:val="0"/>
                <w:sz w:val="21"/>
                <w:szCs w:val="21"/>
              </w:rPr>
              <w:t>6.5</w:t>
            </w:r>
          </w:p>
        </w:tc>
        <w:tc>
          <w:tcPr>
            <w:tcW w:w="2030" w:type="dxa"/>
            <w:tcBorders>
              <w:top w:val="nil"/>
              <w:left w:val="nil"/>
              <w:bottom w:val="single" w:color="auto" w:sz="4" w:space="0"/>
              <w:right w:val="single" w:color="auto" w:sz="4" w:space="0"/>
            </w:tcBorders>
            <w:vAlign w:val="center"/>
          </w:tcPr>
          <w:p w14:paraId="170F127E">
            <w:pPr>
              <w:widowControl/>
              <w:spacing w:line="240" w:lineRule="auto"/>
              <w:jc w:val="center"/>
              <w:rPr>
                <w:color w:val="000000"/>
                <w:kern w:val="0"/>
                <w:sz w:val="21"/>
                <w:szCs w:val="21"/>
              </w:rPr>
            </w:pPr>
            <w:r>
              <w:rPr>
                <w:color w:val="000000"/>
                <w:kern w:val="0"/>
                <w:sz w:val="21"/>
                <w:szCs w:val="21"/>
              </w:rPr>
              <w:t>4.5</w:t>
            </w:r>
          </w:p>
        </w:tc>
        <w:tc>
          <w:tcPr>
            <w:tcW w:w="1060" w:type="dxa"/>
            <w:tcBorders>
              <w:top w:val="nil"/>
              <w:left w:val="nil"/>
              <w:bottom w:val="single" w:color="auto" w:sz="4" w:space="0"/>
              <w:right w:val="single" w:color="auto" w:sz="4" w:space="0"/>
            </w:tcBorders>
            <w:vAlign w:val="center"/>
          </w:tcPr>
          <w:p w14:paraId="30405660">
            <w:pPr>
              <w:widowControl/>
              <w:spacing w:line="240" w:lineRule="auto"/>
              <w:jc w:val="center"/>
              <w:rPr>
                <w:color w:val="000000"/>
                <w:kern w:val="0"/>
                <w:sz w:val="21"/>
                <w:szCs w:val="21"/>
              </w:rPr>
            </w:pPr>
            <w:r>
              <w:rPr>
                <w:color w:val="000000"/>
                <w:kern w:val="0"/>
                <w:sz w:val="21"/>
                <w:szCs w:val="21"/>
              </w:rPr>
              <w:t>5</w:t>
            </w:r>
          </w:p>
        </w:tc>
      </w:tr>
      <w:tr w14:paraId="5C8F6A21">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47CD539C">
            <w:pPr>
              <w:widowControl/>
              <w:spacing w:line="240" w:lineRule="auto"/>
              <w:jc w:val="right"/>
              <w:rPr>
                <w:color w:val="000000"/>
                <w:kern w:val="0"/>
                <w:sz w:val="21"/>
                <w:szCs w:val="21"/>
              </w:rPr>
            </w:pPr>
            <w:r>
              <w:rPr>
                <w:color w:val="000000"/>
                <w:kern w:val="0"/>
                <w:sz w:val="21"/>
                <w:szCs w:val="21"/>
              </w:rPr>
              <w:t>18</w:t>
            </w:r>
          </w:p>
        </w:tc>
        <w:tc>
          <w:tcPr>
            <w:tcW w:w="1546" w:type="dxa"/>
            <w:tcBorders>
              <w:top w:val="nil"/>
              <w:left w:val="nil"/>
              <w:bottom w:val="single" w:color="auto" w:sz="4" w:space="0"/>
              <w:right w:val="single" w:color="auto" w:sz="4" w:space="0"/>
            </w:tcBorders>
            <w:vAlign w:val="center"/>
          </w:tcPr>
          <w:p w14:paraId="392B05EF">
            <w:pPr>
              <w:widowControl/>
              <w:spacing w:line="240" w:lineRule="auto"/>
              <w:jc w:val="left"/>
              <w:rPr>
                <w:color w:val="000000"/>
                <w:kern w:val="0"/>
                <w:sz w:val="21"/>
                <w:szCs w:val="21"/>
              </w:rPr>
            </w:pPr>
            <w:r>
              <w:rPr>
                <w:color w:val="000000"/>
                <w:kern w:val="0"/>
                <w:sz w:val="21"/>
                <w:szCs w:val="21"/>
              </w:rPr>
              <w:t>20160302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11D33580">
            <w:pPr>
              <w:widowControl/>
              <w:spacing w:line="240" w:lineRule="auto"/>
              <w:jc w:val="center"/>
              <w:rPr>
                <w:color w:val="000000"/>
                <w:kern w:val="0"/>
                <w:sz w:val="21"/>
                <w:szCs w:val="21"/>
              </w:rPr>
            </w:pPr>
            <w:r>
              <w:rPr>
                <w:color w:val="000000"/>
                <w:kern w:val="0"/>
                <w:sz w:val="21"/>
                <w:szCs w:val="21"/>
              </w:rPr>
              <w:t>10226</w:t>
            </w:r>
          </w:p>
        </w:tc>
        <w:tc>
          <w:tcPr>
            <w:tcW w:w="2030" w:type="dxa"/>
            <w:tcBorders>
              <w:top w:val="nil"/>
              <w:left w:val="nil"/>
              <w:bottom w:val="single" w:color="auto" w:sz="4" w:space="0"/>
              <w:right w:val="single" w:color="auto" w:sz="4" w:space="0"/>
            </w:tcBorders>
            <w:vAlign w:val="center"/>
          </w:tcPr>
          <w:p w14:paraId="08E0DEBB">
            <w:pPr>
              <w:widowControl/>
              <w:spacing w:line="240" w:lineRule="auto"/>
              <w:jc w:val="center"/>
              <w:rPr>
                <w:color w:val="000000"/>
                <w:kern w:val="0"/>
                <w:sz w:val="21"/>
                <w:szCs w:val="21"/>
              </w:rPr>
            </w:pPr>
            <w:r>
              <w:rPr>
                <w:color w:val="000000"/>
                <w:kern w:val="0"/>
                <w:sz w:val="21"/>
                <w:szCs w:val="21"/>
              </w:rPr>
              <w:t>41.6</w:t>
            </w:r>
          </w:p>
        </w:tc>
        <w:tc>
          <w:tcPr>
            <w:tcW w:w="2030" w:type="dxa"/>
            <w:tcBorders>
              <w:top w:val="nil"/>
              <w:left w:val="nil"/>
              <w:bottom w:val="single" w:color="auto" w:sz="4" w:space="0"/>
              <w:right w:val="single" w:color="auto" w:sz="4" w:space="0"/>
            </w:tcBorders>
            <w:vAlign w:val="center"/>
          </w:tcPr>
          <w:p w14:paraId="4E359276">
            <w:pPr>
              <w:widowControl/>
              <w:spacing w:line="240" w:lineRule="auto"/>
              <w:jc w:val="center"/>
              <w:rPr>
                <w:color w:val="000000"/>
                <w:kern w:val="0"/>
                <w:sz w:val="21"/>
                <w:szCs w:val="21"/>
              </w:rPr>
            </w:pPr>
            <w:r>
              <w:rPr>
                <w:color w:val="000000"/>
                <w:kern w:val="0"/>
                <w:sz w:val="21"/>
                <w:szCs w:val="21"/>
              </w:rPr>
              <w:t>42.7</w:t>
            </w:r>
          </w:p>
        </w:tc>
        <w:tc>
          <w:tcPr>
            <w:tcW w:w="1060" w:type="dxa"/>
            <w:tcBorders>
              <w:top w:val="nil"/>
              <w:left w:val="nil"/>
              <w:bottom w:val="single" w:color="auto" w:sz="4" w:space="0"/>
              <w:right w:val="single" w:color="auto" w:sz="4" w:space="0"/>
            </w:tcBorders>
            <w:vAlign w:val="center"/>
          </w:tcPr>
          <w:p w14:paraId="469F9C04">
            <w:pPr>
              <w:widowControl/>
              <w:spacing w:line="240" w:lineRule="auto"/>
              <w:jc w:val="center"/>
              <w:rPr>
                <w:color w:val="000000"/>
                <w:kern w:val="0"/>
                <w:sz w:val="21"/>
                <w:szCs w:val="21"/>
              </w:rPr>
            </w:pPr>
            <w:r>
              <w:rPr>
                <w:color w:val="000000"/>
                <w:kern w:val="0"/>
                <w:sz w:val="21"/>
                <w:szCs w:val="21"/>
              </w:rPr>
              <w:t>5</w:t>
            </w:r>
          </w:p>
        </w:tc>
      </w:tr>
      <w:tr w14:paraId="551844A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D39A21A">
            <w:pPr>
              <w:widowControl/>
              <w:spacing w:line="240" w:lineRule="auto"/>
              <w:jc w:val="right"/>
              <w:rPr>
                <w:color w:val="000000"/>
                <w:kern w:val="0"/>
                <w:sz w:val="21"/>
                <w:szCs w:val="21"/>
              </w:rPr>
            </w:pPr>
            <w:r>
              <w:rPr>
                <w:color w:val="000000"/>
                <w:kern w:val="0"/>
                <w:sz w:val="21"/>
                <w:szCs w:val="21"/>
              </w:rPr>
              <w:t>19</w:t>
            </w:r>
          </w:p>
        </w:tc>
        <w:tc>
          <w:tcPr>
            <w:tcW w:w="1546" w:type="dxa"/>
            <w:tcBorders>
              <w:top w:val="nil"/>
              <w:left w:val="nil"/>
              <w:bottom w:val="single" w:color="auto" w:sz="4" w:space="0"/>
              <w:right w:val="single" w:color="auto" w:sz="4" w:space="0"/>
            </w:tcBorders>
            <w:vAlign w:val="center"/>
          </w:tcPr>
          <w:p w14:paraId="46EE290A">
            <w:pPr>
              <w:widowControl/>
              <w:spacing w:line="240" w:lineRule="auto"/>
              <w:jc w:val="left"/>
              <w:rPr>
                <w:color w:val="000000"/>
                <w:kern w:val="0"/>
                <w:sz w:val="21"/>
                <w:szCs w:val="21"/>
              </w:rPr>
            </w:pPr>
            <w:r>
              <w:rPr>
                <w:color w:val="000000"/>
                <w:kern w:val="0"/>
                <w:sz w:val="21"/>
                <w:szCs w:val="21"/>
              </w:rPr>
              <w:t>20160302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6CF99C31">
            <w:pPr>
              <w:widowControl/>
              <w:spacing w:line="240" w:lineRule="auto"/>
              <w:jc w:val="center"/>
              <w:rPr>
                <w:color w:val="000000"/>
                <w:kern w:val="0"/>
                <w:sz w:val="21"/>
                <w:szCs w:val="21"/>
              </w:rPr>
            </w:pPr>
            <w:r>
              <w:rPr>
                <w:color w:val="000000"/>
                <w:kern w:val="0"/>
                <w:sz w:val="21"/>
                <w:szCs w:val="21"/>
              </w:rPr>
              <w:t>10234</w:t>
            </w:r>
          </w:p>
        </w:tc>
        <w:tc>
          <w:tcPr>
            <w:tcW w:w="2030" w:type="dxa"/>
            <w:tcBorders>
              <w:top w:val="nil"/>
              <w:left w:val="nil"/>
              <w:bottom w:val="single" w:color="auto" w:sz="4" w:space="0"/>
              <w:right w:val="single" w:color="auto" w:sz="4" w:space="0"/>
            </w:tcBorders>
            <w:vAlign w:val="center"/>
          </w:tcPr>
          <w:p w14:paraId="372C4982">
            <w:pPr>
              <w:widowControl/>
              <w:spacing w:line="240" w:lineRule="auto"/>
              <w:jc w:val="center"/>
              <w:rPr>
                <w:color w:val="000000"/>
                <w:kern w:val="0"/>
                <w:sz w:val="21"/>
                <w:szCs w:val="21"/>
              </w:rPr>
            </w:pPr>
            <w:r>
              <w:rPr>
                <w:color w:val="000000"/>
                <w:kern w:val="0"/>
                <w:sz w:val="21"/>
                <w:szCs w:val="21"/>
              </w:rPr>
              <w:t>49.6</w:t>
            </w:r>
          </w:p>
        </w:tc>
        <w:tc>
          <w:tcPr>
            <w:tcW w:w="2030" w:type="dxa"/>
            <w:tcBorders>
              <w:top w:val="nil"/>
              <w:left w:val="nil"/>
              <w:bottom w:val="single" w:color="auto" w:sz="4" w:space="0"/>
              <w:right w:val="single" w:color="auto" w:sz="4" w:space="0"/>
            </w:tcBorders>
            <w:vAlign w:val="center"/>
          </w:tcPr>
          <w:p w14:paraId="028041FB">
            <w:pPr>
              <w:widowControl/>
              <w:spacing w:line="240" w:lineRule="auto"/>
              <w:jc w:val="center"/>
              <w:rPr>
                <w:color w:val="000000"/>
                <w:kern w:val="0"/>
                <w:sz w:val="21"/>
                <w:szCs w:val="21"/>
              </w:rPr>
            </w:pPr>
            <w:r>
              <w:rPr>
                <w:color w:val="000000"/>
                <w:kern w:val="0"/>
                <w:sz w:val="21"/>
                <w:szCs w:val="21"/>
              </w:rPr>
              <w:t>50.7</w:t>
            </w:r>
          </w:p>
        </w:tc>
        <w:tc>
          <w:tcPr>
            <w:tcW w:w="1060" w:type="dxa"/>
            <w:tcBorders>
              <w:top w:val="nil"/>
              <w:left w:val="nil"/>
              <w:bottom w:val="single" w:color="auto" w:sz="4" w:space="0"/>
              <w:right w:val="single" w:color="auto" w:sz="4" w:space="0"/>
            </w:tcBorders>
            <w:vAlign w:val="center"/>
          </w:tcPr>
          <w:p w14:paraId="0DCA23DF">
            <w:pPr>
              <w:widowControl/>
              <w:spacing w:line="240" w:lineRule="auto"/>
              <w:jc w:val="center"/>
              <w:rPr>
                <w:color w:val="000000"/>
                <w:kern w:val="0"/>
                <w:sz w:val="21"/>
                <w:szCs w:val="21"/>
              </w:rPr>
            </w:pPr>
            <w:r>
              <w:rPr>
                <w:color w:val="000000"/>
                <w:kern w:val="0"/>
                <w:sz w:val="21"/>
                <w:szCs w:val="21"/>
              </w:rPr>
              <w:t>5</w:t>
            </w:r>
          </w:p>
        </w:tc>
      </w:tr>
      <w:tr w14:paraId="380418DA">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05AB888">
            <w:pPr>
              <w:widowControl/>
              <w:spacing w:line="240" w:lineRule="auto"/>
              <w:jc w:val="right"/>
              <w:rPr>
                <w:color w:val="000000"/>
                <w:kern w:val="0"/>
                <w:sz w:val="21"/>
                <w:szCs w:val="21"/>
              </w:rPr>
            </w:pPr>
            <w:r>
              <w:rPr>
                <w:color w:val="000000"/>
                <w:kern w:val="0"/>
                <w:sz w:val="21"/>
                <w:szCs w:val="21"/>
              </w:rPr>
              <w:t>20</w:t>
            </w:r>
          </w:p>
        </w:tc>
        <w:tc>
          <w:tcPr>
            <w:tcW w:w="1546" w:type="dxa"/>
            <w:tcBorders>
              <w:top w:val="nil"/>
              <w:left w:val="nil"/>
              <w:bottom w:val="single" w:color="auto" w:sz="4" w:space="0"/>
              <w:right w:val="single" w:color="auto" w:sz="4" w:space="0"/>
            </w:tcBorders>
            <w:vAlign w:val="center"/>
          </w:tcPr>
          <w:p w14:paraId="7F71B1C2">
            <w:pPr>
              <w:widowControl/>
              <w:spacing w:line="240" w:lineRule="auto"/>
              <w:jc w:val="left"/>
              <w:rPr>
                <w:color w:val="000000"/>
                <w:kern w:val="0"/>
                <w:sz w:val="21"/>
                <w:szCs w:val="21"/>
              </w:rPr>
            </w:pPr>
            <w:r>
              <w:rPr>
                <w:color w:val="000000"/>
                <w:kern w:val="0"/>
                <w:sz w:val="21"/>
                <w:szCs w:val="21"/>
              </w:rPr>
              <w:t>20160714</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1EA6C2B6">
            <w:pPr>
              <w:widowControl/>
              <w:spacing w:line="240" w:lineRule="auto"/>
              <w:jc w:val="center"/>
              <w:rPr>
                <w:color w:val="000000"/>
                <w:kern w:val="0"/>
                <w:sz w:val="21"/>
                <w:szCs w:val="21"/>
              </w:rPr>
            </w:pPr>
            <w:r>
              <w:rPr>
                <w:color w:val="000000"/>
                <w:kern w:val="0"/>
                <w:sz w:val="21"/>
                <w:szCs w:val="21"/>
              </w:rPr>
              <w:t>14394</w:t>
            </w:r>
          </w:p>
        </w:tc>
        <w:tc>
          <w:tcPr>
            <w:tcW w:w="2030" w:type="dxa"/>
            <w:tcBorders>
              <w:top w:val="nil"/>
              <w:left w:val="nil"/>
              <w:bottom w:val="single" w:color="auto" w:sz="4" w:space="0"/>
              <w:right w:val="single" w:color="auto" w:sz="4" w:space="0"/>
            </w:tcBorders>
            <w:vAlign w:val="center"/>
          </w:tcPr>
          <w:p w14:paraId="711B7485">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14:paraId="69552CDB">
            <w:pPr>
              <w:widowControl/>
              <w:spacing w:line="240" w:lineRule="auto"/>
              <w:jc w:val="center"/>
              <w:rPr>
                <w:color w:val="000000"/>
                <w:kern w:val="0"/>
                <w:sz w:val="21"/>
                <w:szCs w:val="21"/>
              </w:rPr>
            </w:pPr>
            <w:r>
              <w:rPr>
                <w:color w:val="000000"/>
                <w:kern w:val="0"/>
                <w:sz w:val="21"/>
                <w:szCs w:val="21"/>
              </w:rPr>
              <w:t>3.2</w:t>
            </w:r>
          </w:p>
        </w:tc>
        <w:tc>
          <w:tcPr>
            <w:tcW w:w="1060" w:type="dxa"/>
            <w:tcBorders>
              <w:top w:val="nil"/>
              <w:left w:val="nil"/>
              <w:bottom w:val="single" w:color="auto" w:sz="4" w:space="0"/>
              <w:right w:val="single" w:color="auto" w:sz="4" w:space="0"/>
            </w:tcBorders>
            <w:vAlign w:val="center"/>
          </w:tcPr>
          <w:p w14:paraId="48677E01">
            <w:pPr>
              <w:widowControl/>
              <w:spacing w:line="240" w:lineRule="auto"/>
              <w:jc w:val="center"/>
              <w:rPr>
                <w:color w:val="000000"/>
                <w:kern w:val="0"/>
                <w:sz w:val="21"/>
                <w:szCs w:val="21"/>
              </w:rPr>
            </w:pPr>
            <w:r>
              <w:rPr>
                <w:color w:val="000000"/>
                <w:kern w:val="0"/>
                <w:sz w:val="21"/>
                <w:szCs w:val="21"/>
              </w:rPr>
              <w:t>5</w:t>
            </w:r>
          </w:p>
        </w:tc>
      </w:tr>
      <w:tr w14:paraId="7F621AF2">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F8C544F">
            <w:pPr>
              <w:widowControl/>
              <w:spacing w:line="240" w:lineRule="auto"/>
              <w:jc w:val="right"/>
              <w:rPr>
                <w:color w:val="000000"/>
                <w:kern w:val="0"/>
                <w:sz w:val="21"/>
                <w:szCs w:val="21"/>
              </w:rPr>
            </w:pPr>
            <w:r>
              <w:rPr>
                <w:color w:val="000000"/>
                <w:kern w:val="0"/>
                <w:sz w:val="21"/>
                <w:szCs w:val="21"/>
              </w:rPr>
              <w:t>21</w:t>
            </w:r>
          </w:p>
        </w:tc>
        <w:tc>
          <w:tcPr>
            <w:tcW w:w="1546" w:type="dxa"/>
            <w:tcBorders>
              <w:top w:val="nil"/>
              <w:left w:val="nil"/>
              <w:bottom w:val="single" w:color="auto" w:sz="4" w:space="0"/>
              <w:right w:val="single" w:color="auto" w:sz="4" w:space="0"/>
            </w:tcBorders>
            <w:vAlign w:val="center"/>
          </w:tcPr>
          <w:p w14:paraId="671674DB">
            <w:pPr>
              <w:widowControl/>
              <w:spacing w:line="240" w:lineRule="auto"/>
              <w:jc w:val="left"/>
              <w:rPr>
                <w:color w:val="000000"/>
                <w:kern w:val="0"/>
                <w:sz w:val="21"/>
                <w:szCs w:val="21"/>
              </w:rPr>
            </w:pPr>
            <w:r>
              <w:rPr>
                <w:color w:val="000000"/>
                <w:kern w:val="0"/>
                <w:sz w:val="21"/>
                <w:szCs w:val="21"/>
              </w:rPr>
              <w:t>20160714</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B4A3D25">
            <w:pPr>
              <w:widowControl/>
              <w:spacing w:line="240" w:lineRule="auto"/>
              <w:jc w:val="center"/>
              <w:rPr>
                <w:color w:val="000000"/>
                <w:kern w:val="0"/>
                <w:sz w:val="21"/>
                <w:szCs w:val="21"/>
              </w:rPr>
            </w:pPr>
            <w:r>
              <w:rPr>
                <w:color w:val="000000"/>
                <w:kern w:val="0"/>
                <w:sz w:val="21"/>
                <w:szCs w:val="21"/>
              </w:rPr>
              <w:t>8707</w:t>
            </w:r>
          </w:p>
        </w:tc>
        <w:tc>
          <w:tcPr>
            <w:tcW w:w="2030" w:type="dxa"/>
            <w:tcBorders>
              <w:top w:val="nil"/>
              <w:left w:val="nil"/>
              <w:bottom w:val="single" w:color="auto" w:sz="4" w:space="0"/>
              <w:right w:val="single" w:color="auto" w:sz="4" w:space="0"/>
            </w:tcBorders>
            <w:vAlign w:val="center"/>
          </w:tcPr>
          <w:p w14:paraId="7755B1F3">
            <w:pPr>
              <w:widowControl/>
              <w:spacing w:line="240" w:lineRule="auto"/>
              <w:jc w:val="center"/>
              <w:rPr>
                <w:color w:val="000000"/>
                <w:kern w:val="0"/>
                <w:sz w:val="21"/>
                <w:szCs w:val="21"/>
              </w:rPr>
            </w:pPr>
            <w:r>
              <w:rPr>
                <w:color w:val="000000"/>
                <w:kern w:val="0"/>
                <w:sz w:val="21"/>
                <w:szCs w:val="21"/>
              </w:rPr>
              <w:t>3.8</w:t>
            </w:r>
          </w:p>
        </w:tc>
        <w:tc>
          <w:tcPr>
            <w:tcW w:w="2030" w:type="dxa"/>
            <w:tcBorders>
              <w:top w:val="nil"/>
              <w:left w:val="nil"/>
              <w:bottom w:val="single" w:color="auto" w:sz="4" w:space="0"/>
              <w:right w:val="single" w:color="auto" w:sz="4" w:space="0"/>
            </w:tcBorders>
            <w:vAlign w:val="center"/>
          </w:tcPr>
          <w:p w14:paraId="46464AD5">
            <w:pPr>
              <w:widowControl/>
              <w:spacing w:line="240" w:lineRule="auto"/>
              <w:jc w:val="center"/>
              <w:rPr>
                <w:color w:val="000000"/>
                <w:kern w:val="0"/>
                <w:sz w:val="21"/>
                <w:szCs w:val="21"/>
              </w:rPr>
            </w:pPr>
            <w:r>
              <w:rPr>
                <w:color w:val="000000"/>
                <w:kern w:val="0"/>
                <w:sz w:val="21"/>
                <w:szCs w:val="21"/>
              </w:rPr>
              <w:t>3.3</w:t>
            </w:r>
          </w:p>
        </w:tc>
        <w:tc>
          <w:tcPr>
            <w:tcW w:w="1060" w:type="dxa"/>
            <w:tcBorders>
              <w:top w:val="nil"/>
              <w:left w:val="nil"/>
              <w:bottom w:val="single" w:color="auto" w:sz="4" w:space="0"/>
              <w:right w:val="single" w:color="auto" w:sz="4" w:space="0"/>
            </w:tcBorders>
            <w:vAlign w:val="center"/>
          </w:tcPr>
          <w:p w14:paraId="0809F455">
            <w:pPr>
              <w:widowControl/>
              <w:spacing w:line="240" w:lineRule="auto"/>
              <w:jc w:val="center"/>
              <w:rPr>
                <w:color w:val="000000"/>
                <w:kern w:val="0"/>
                <w:sz w:val="21"/>
                <w:szCs w:val="21"/>
              </w:rPr>
            </w:pPr>
            <w:r>
              <w:rPr>
                <w:color w:val="000000"/>
                <w:kern w:val="0"/>
                <w:sz w:val="21"/>
                <w:szCs w:val="21"/>
              </w:rPr>
              <w:t>5</w:t>
            </w:r>
          </w:p>
        </w:tc>
      </w:tr>
      <w:tr w14:paraId="24973DC0">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499E1C0">
            <w:pPr>
              <w:widowControl/>
              <w:spacing w:line="240" w:lineRule="auto"/>
              <w:jc w:val="right"/>
              <w:rPr>
                <w:color w:val="000000"/>
                <w:kern w:val="0"/>
                <w:sz w:val="21"/>
                <w:szCs w:val="21"/>
              </w:rPr>
            </w:pPr>
            <w:r>
              <w:rPr>
                <w:color w:val="000000"/>
                <w:kern w:val="0"/>
                <w:sz w:val="21"/>
                <w:szCs w:val="21"/>
              </w:rPr>
              <w:t>22</w:t>
            </w:r>
          </w:p>
        </w:tc>
        <w:tc>
          <w:tcPr>
            <w:tcW w:w="1546" w:type="dxa"/>
            <w:tcBorders>
              <w:top w:val="nil"/>
              <w:left w:val="nil"/>
              <w:bottom w:val="single" w:color="auto" w:sz="4" w:space="0"/>
              <w:right w:val="single" w:color="auto" w:sz="4" w:space="0"/>
            </w:tcBorders>
            <w:vAlign w:val="center"/>
          </w:tcPr>
          <w:p w14:paraId="17CEE9E7">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5FA1E6E5">
            <w:pPr>
              <w:widowControl/>
              <w:spacing w:line="240" w:lineRule="auto"/>
              <w:jc w:val="center"/>
              <w:rPr>
                <w:color w:val="000000"/>
                <w:kern w:val="0"/>
                <w:sz w:val="21"/>
                <w:szCs w:val="21"/>
              </w:rPr>
            </w:pPr>
            <w:r>
              <w:rPr>
                <w:color w:val="000000"/>
                <w:kern w:val="0"/>
                <w:sz w:val="21"/>
                <w:szCs w:val="21"/>
              </w:rPr>
              <w:t>10539</w:t>
            </w:r>
          </w:p>
        </w:tc>
        <w:tc>
          <w:tcPr>
            <w:tcW w:w="2030" w:type="dxa"/>
            <w:tcBorders>
              <w:top w:val="nil"/>
              <w:left w:val="nil"/>
              <w:bottom w:val="single" w:color="auto" w:sz="4" w:space="0"/>
              <w:right w:val="single" w:color="auto" w:sz="4" w:space="0"/>
            </w:tcBorders>
            <w:vAlign w:val="center"/>
          </w:tcPr>
          <w:p w14:paraId="57616573">
            <w:pPr>
              <w:widowControl/>
              <w:spacing w:line="240" w:lineRule="auto"/>
              <w:jc w:val="center"/>
              <w:rPr>
                <w:color w:val="000000"/>
                <w:kern w:val="0"/>
                <w:sz w:val="21"/>
                <w:szCs w:val="21"/>
              </w:rPr>
            </w:pPr>
            <w:r>
              <w:rPr>
                <w:color w:val="000000"/>
                <w:kern w:val="0"/>
                <w:sz w:val="21"/>
                <w:szCs w:val="21"/>
              </w:rPr>
              <w:t>2.2</w:t>
            </w:r>
          </w:p>
        </w:tc>
        <w:tc>
          <w:tcPr>
            <w:tcW w:w="2030" w:type="dxa"/>
            <w:tcBorders>
              <w:top w:val="nil"/>
              <w:left w:val="nil"/>
              <w:bottom w:val="single" w:color="auto" w:sz="4" w:space="0"/>
              <w:right w:val="single" w:color="auto" w:sz="4" w:space="0"/>
            </w:tcBorders>
            <w:vAlign w:val="center"/>
          </w:tcPr>
          <w:p w14:paraId="0F20F00C">
            <w:pPr>
              <w:widowControl/>
              <w:spacing w:line="240" w:lineRule="auto"/>
              <w:jc w:val="center"/>
              <w:rPr>
                <w:color w:val="000000"/>
                <w:kern w:val="0"/>
                <w:sz w:val="21"/>
                <w:szCs w:val="21"/>
              </w:rPr>
            </w:pPr>
            <w:r>
              <w:rPr>
                <w:color w:val="000000"/>
                <w:kern w:val="0"/>
                <w:sz w:val="21"/>
                <w:szCs w:val="21"/>
              </w:rPr>
              <w:t>5.7</w:t>
            </w:r>
          </w:p>
        </w:tc>
        <w:tc>
          <w:tcPr>
            <w:tcW w:w="1060" w:type="dxa"/>
            <w:tcBorders>
              <w:top w:val="nil"/>
              <w:left w:val="nil"/>
              <w:bottom w:val="single" w:color="auto" w:sz="4" w:space="0"/>
              <w:right w:val="single" w:color="auto" w:sz="4" w:space="0"/>
            </w:tcBorders>
            <w:vAlign w:val="center"/>
          </w:tcPr>
          <w:p w14:paraId="73EE7052">
            <w:pPr>
              <w:widowControl/>
              <w:spacing w:line="240" w:lineRule="auto"/>
              <w:jc w:val="center"/>
              <w:rPr>
                <w:color w:val="000000"/>
                <w:kern w:val="0"/>
                <w:sz w:val="21"/>
                <w:szCs w:val="21"/>
              </w:rPr>
            </w:pPr>
            <w:r>
              <w:rPr>
                <w:color w:val="000000"/>
                <w:kern w:val="0"/>
                <w:sz w:val="21"/>
                <w:szCs w:val="21"/>
              </w:rPr>
              <w:t>2</w:t>
            </w:r>
          </w:p>
        </w:tc>
      </w:tr>
      <w:tr w14:paraId="1785B5BD">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565E34D5">
            <w:pPr>
              <w:widowControl/>
              <w:spacing w:line="240" w:lineRule="auto"/>
              <w:jc w:val="right"/>
              <w:rPr>
                <w:color w:val="000000"/>
                <w:kern w:val="0"/>
                <w:sz w:val="21"/>
                <w:szCs w:val="21"/>
              </w:rPr>
            </w:pPr>
            <w:r>
              <w:rPr>
                <w:color w:val="000000"/>
                <w:kern w:val="0"/>
                <w:sz w:val="21"/>
                <w:szCs w:val="21"/>
              </w:rPr>
              <w:t>23</w:t>
            </w:r>
          </w:p>
        </w:tc>
        <w:tc>
          <w:tcPr>
            <w:tcW w:w="1546" w:type="dxa"/>
            <w:tcBorders>
              <w:top w:val="nil"/>
              <w:left w:val="nil"/>
              <w:bottom w:val="single" w:color="auto" w:sz="4" w:space="0"/>
              <w:right w:val="single" w:color="auto" w:sz="4" w:space="0"/>
            </w:tcBorders>
            <w:vAlign w:val="center"/>
          </w:tcPr>
          <w:p w14:paraId="410DCB55">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1C2BD7FA">
            <w:pPr>
              <w:widowControl/>
              <w:spacing w:line="240" w:lineRule="auto"/>
              <w:jc w:val="center"/>
              <w:rPr>
                <w:color w:val="000000"/>
                <w:kern w:val="0"/>
                <w:sz w:val="21"/>
                <w:szCs w:val="21"/>
              </w:rPr>
            </w:pPr>
            <w:r>
              <w:rPr>
                <w:color w:val="000000"/>
                <w:kern w:val="0"/>
                <w:sz w:val="21"/>
                <w:szCs w:val="21"/>
              </w:rPr>
              <w:t>14833</w:t>
            </w:r>
          </w:p>
        </w:tc>
        <w:tc>
          <w:tcPr>
            <w:tcW w:w="2030" w:type="dxa"/>
            <w:tcBorders>
              <w:top w:val="nil"/>
              <w:left w:val="nil"/>
              <w:bottom w:val="single" w:color="auto" w:sz="4" w:space="0"/>
              <w:right w:val="single" w:color="auto" w:sz="4" w:space="0"/>
            </w:tcBorders>
            <w:vAlign w:val="center"/>
          </w:tcPr>
          <w:p w14:paraId="6B38435E">
            <w:pPr>
              <w:widowControl/>
              <w:spacing w:line="240" w:lineRule="auto"/>
              <w:jc w:val="center"/>
              <w:rPr>
                <w:color w:val="000000"/>
                <w:kern w:val="0"/>
                <w:sz w:val="21"/>
                <w:szCs w:val="21"/>
              </w:rPr>
            </w:pPr>
            <w:r>
              <w:rPr>
                <w:color w:val="000000"/>
                <w:kern w:val="0"/>
                <w:sz w:val="21"/>
                <w:szCs w:val="21"/>
              </w:rPr>
              <w:t>3.0</w:t>
            </w:r>
          </w:p>
        </w:tc>
        <w:tc>
          <w:tcPr>
            <w:tcW w:w="2030" w:type="dxa"/>
            <w:tcBorders>
              <w:top w:val="nil"/>
              <w:left w:val="nil"/>
              <w:bottom w:val="single" w:color="auto" w:sz="4" w:space="0"/>
              <w:right w:val="single" w:color="auto" w:sz="4" w:space="0"/>
            </w:tcBorders>
            <w:vAlign w:val="center"/>
          </w:tcPr>
          <w:p w14:paraId="7E1B7069">
            <w:pPr>
              <w:widowControl/>
              <w:spacing w:line="240" w:lineRule="auto"/>
              <w:jc w:val="center"/>
              <w:rPr>
                <w:color w:val="000000"/>
                <w:kern w:val="0"/>
                <w:sz w:val="21"/>
                <w:szCs w:val="21"/>
              </w:rPr>
            </w:pPr>
            <w:r>
              <w:rPr>
                <w:color w:val="000000"/>
                <w:kern w:val="0"/>
                <w:sz w:val="21"/>
                <w:szCs w:val="21"/>
              </w:rPr>
              <w:t>11.0</w:t>
            </w:r>
          </w:p>
        </w:tc>
        <w:tc>
          <w:tcPr>
            <w:tcW w:w="1060" w:type="dxa"/>
            <w:tcBorders>
              <w:top w:val="nil"/>
              <w:left w:val="nil"/>
              <w:bottom w:val="single" w:color="auto" w:sz="4" w:space="0"/>
              <w:right w:val="single" w:color="auto" w:sz="4" w:space="0"/>
            </w:tcBorders>
            <w:vAlign w:val="center"/>
          </w:tcPr>
          <w:p w14:paraId="1F50AEDF">
            <w:pPr>
              <w:widowControl/>
              <w:spacing w:line="240" w:lineRule="auto"/>
              <w:jc w:val="center"/>
              <w:rPr>
                <w:color w:val="000000"/>
                <w:kern w:val="0"/>
                <w:sz w:val="21"/>
                <w:szCs w:val="21"/>
              </w:rPr>
            </w:pPr>
            <w:r>
              <w:rPr>
                <w:color w:val="000000"/>
                <w:kern w:val="0"/>
                <w:sz w:val="21"/>
                <w:szCs w:val="21"/>
              </w:rPr>
              <w:t>2</w:t>
            </w:r>
          </w:p>
        </w:tc>
      </w:tr>
      <w:tr w14:paraId="38136D9E">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92C9794">
            <w:pPr>
              <w:widowControl/>
              <w:spacing w:line="240" w:lineRule="auto"/>
              <w:jc w:val="right"/>
              <w:rPr>
                <w:color w:val="000000"/>
                <w:kern w:val="0"/>
                <w:sz w:val="21"/>
                <w:szCs w:val="21"/>
              </w:rPr>
            </w:pPr>
            <w:r>
              <w:rPr>
                <w:color w:val="000000"/>
                <w:kern w:val="0"/>
                <w:sz w:val="21"/>
                <w:szCs w:val="21"/>
              </w:rPr>
              <w:t>24</w:t>
            </w:r>
          </w:p>
        </w:tc>
        <w:tc>
          <w:tcPr>
            <w:tcW w:w="1546" w:type="dxa"/>
            <w:tcBorders>
              <w:top w:val="nil"/>
              <w:left w:val="nil"/>
              <w:bottom w:val="single" w:color="auto" w:sz="4" w:space="0"/>
              <w:right w:val="single" w:color="auto" w:sz="4" w:space="0"/>
            </w:tcBorders>
            <w:vAlign w:val="center"/>
          </w:tcPr>
          <w:p w14:paraId="1660C096">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397DCAE5">
            <w:pPr>
              <w:widowControl/>
              <w:spacing w:line="240" w:lineRule="auto"/>
              <w:jc w:val="center"/>
              <w:rPr>
                <w:color w:val="000000"/>
                <w:kern w:val="0"/>
                <w:sz w:val="21"/>
                <w:szCs w:val="21"/>
              </w:rPr>
            </w:pPr>
            <w:r>
              <w:rPr>
                <w:color w:val="000000"/>
                <w:kern w:val="0"/>
                <w:sz w:val="21"/>
                <w:szCs w:val="21"/>
              </w:rPr>
              <w:t>10159</w:t>
            </w:r>
          </w:p>
        </w:tc>
        <w:tc>
          <w:tcPr>
            <w:tcW w:w="2030" w:type="dxa"/>
            <w:tcBorders>
              <w:top w:val="nil"/>
              <w:left w:val="nil"/>
              <w:bottom w:val="single" w:color="auto" w:sz="4" w:space="0"/>
              <w:right w:val="single" w:color="auto" w:sz="4" w:space="0"/>
            </w:tcBorders>
            <w:vAlign w:val="center"/>
          </w:tcPr>
          <w:p w14:paraId="4C3A28D3">
            <w:pPr>
              <w:widowControl/>
              <w:spacing w:line="240" w:lineRule="auto"/>
              <w:jc w:val="center"/>
              <w:rPr>
                <w:color w:val="000000"/>
                <w:kern w:val="0"/>
                <w:sz w:val="21"/>
                <w:szCs w:val="21"/>
              </w:rPr>
            </w:pPr>
            <w:r>
              <w:rPr>
                <w:color w:val="000000"/>
                <w:kern w:val="0"/>
                <w:sz w:val="21"/>
                <w:szCs w:val="21"/>
              </w:rPr>
              <w:t>5.4</w:t>
            </w:r>
          </w:p>
        </w:tc>
        <w:tc>
          <w:tcPr>
            <w:tcW w:w="2030" w:type="dxa"/>
            <w:tcBorders>
              <w:top w:val="nil"/>
              <w:left w:val="nil"/>
              <w:bottom w:val="single" w:color="auto" w:sz="4" w:space="0"/>
              <w:right w:val="single" w:color="auto" w:sz="4" w:space="0"/>
            </w:tcBorders>
            <w:vAlign w:val="center"/>
          </w:tcPr>
          <w:p w14:paraId="3D0CE56B">
            <w:pPr>
              <w:widowControl/>
              <w:spacing w:line="240" w:lineRule="auto"/>
              <w:jc w:val="center"/>
              <w:rPr>
                <w:color w:val="000000"/>
                <w:kern w:val="0"/>
                <w:sz w:val="21"/>
                <w:szCs w:val="21"/>
              </w:rPr>
            </w:pPr>
            <w:r>
              <w:rPr>
                <w:color w:val="000000"/>
                <w:kern w:val="0"/>
                <w:sz w:val="21"/>
                <w:szCs w:val="21"/>
              </w:rPr>
              <w:t>13.6</w:t>
            </w:r>
          </w:p>
        </w:tc>
        <w:tc>
          <w:tcPr>
            <w:tcW w:w="1060" w:type="dxa"/>
            <w:tcBorders>
              <w:top w:val="nil"/>
              <w:left w:val="nil"/>
              <w:bottom w:val="single" w:color="auto" w:sz="4" w:space="0"/>
              <w:right w:val="single" w:color="auto" w:sz="4" w:space="0"/>
            </w:tcBorders>
            <w:vAlign w:val="center"/>
          </w:tcPr>
          <w:p w14:paraId="15A59063">
            <w:pPr>
              <w:widowControl/>
              <w:spacing w:line="240" w:lineRule="auto"/>
              <w:jc w:val="center"/>
              <w:rPr>
                <w:color w:val="000000"/>
                <w:kern w:val="0"/>
                <w:sz w:val="21"/>
                <w:szCs w:val="21"/>
              </w:rPr>
            </w:pPr>
            <w:r>
              <w:rPr>
                <w:color w:val="000000"/>
                <w:kern w:val="0"/>
                <w:sz w:val="21"/>
                <w:szCs w:val="21"/>
              </w:rPr>
              <w:t>2</w:t>
            </w:r>
          </w:p>
        </w:tc>
      </w:tr>
      <w:tr w14:paraId="38C5F3FD">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472C737B">
            <w:pPr>
              <w:widowControl/>
              <w:spacing w:line="240" w:lineRule="auto"/>
              <w:jc w:val="right"/>
              <w:rPr>
                <w:color w:val="000000"/>
                <w:kern w:val="0"/>
                <w:sz w:val="21"/>
                <w:szCs w:val="21"/>
              </w:rPr>
            </w:pPr>
            <w:r>
              <w:rPr>
                <w:color w:val="000000"/>
                <w:kern w:val="0"/>
                <w:sz w:val="21"/>
                <w:szCs w:val="21"/>
              </w:rPr>
              <w:t>25</w:t>
            </w:r>
          </w:p>
        </w:tc>
        <w:tc>
          <w:tcPr>
            <w:tcW w:w="1546" w:type="dxa"/>
            <w:tcBorders>
              <w:top w:val="nil"/>
              <w:left w:val="nil"/>
              <w:bottom w:val="single" w:color="auto" w:sz="4" w:space="0"/>
              <w:right w:val="single" w:color="auto" w:sz="4" w:space="0"/>
            </w:tcBorders>
            <w:vAlign w:val="center"/>
          </w:tcPr>
          <w:p w14:paraId="7DB0793E">
            <w:pPr>
              <w:widowControl/>
              <w:spacing w:line="240" w:lineRule="auto"/>
              <w:jc w:val="left"/>
              <w:rPr>
                <w:color w:val="000000"/>
                <w:kern w:val="0"/>
                <w:sz w:val="21"/>
                <w:szCs w:val="21"/>
              </w:rPr>
            </w:pPr>
            <w:r>
              <w:rPr>
                <w:color w:val="000000"/>
                <w:kern w:val="0"/>
                <w:sz w:val="21"/>
                <w:szCs w:val="21"/>
              </w:rPr>
              <w:t>20160727</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08FDDFAC">
            <w:pPr>
              <w:widowControl/>
              <w:spacing w:line="240" w:lineRule="auto"/>
              <w:jc w:val="center"/>
              <w:rPr>
                <w:color w:val="000000"/>
                <w:kern w:val="0"/>
                <w:sz w:val="21"/>
                <w:szCs w:val="21"/>
              </w:rPr>
            </w:pPr>
            <w:r>
              <w:rPr>
                <w:color w:val="000000"/>
                <w:kern w:val="0"/>
                <w:sz w:val="21"/>
                <w:szCs w:val="21"/>
              </w:rPr>
              <w:t>14673</w:t>
            </w:r>
          </w:p>
        </w:tc>
        <w:tc>
          <w:tcPr>
            <w:tcW w:w="2030" w:type="dxa"/>
            <w:tcBorders>
              <w:top w:val="nil"/>
              <w:left w:val="nil"/>
              <w:bottom w:val="single" w:color="auto" w:sz="4" w:space="0"/>
              <w:right w:val="single" w:color="auto" w:sz="4" w:space="0"/>
            </w:tcBorders>
            <w:vAlign w:val="center"/>
          </w:tcPr>
          <w:p w14:paraId="6EC56BE4">
            <w:pPr>
              <w:widowControl/>
              <w:spacing w:line="240" w:lineRule="auto"/>
              <w:jc w:val="center"/>
              <w:rPr>
                <w:color w:val="000000"/>
                <w:kern w:val="0"/>
                <w:sz w:val="21"/>
                <w:szCs w:val="21"/>
              </w:rPr>
            </w:pPr>
            <w:r>
              <w:rPr>
                <w:color w:val="000000"/>
                <w:kern w:val="0"/>
                <w:sz w:val="21"/>
                <w:szCs w:val="21"/>
              </w:rPr>
              <w:t>2.7</w:t>
            </w:r>
          </w:p>
        </w:tc>
        <w:tc>
          <w:tcPr>
            <w:tcW w:w="2030" w:type="dxa"/>
            <w:tcBorders>
              <w:top w:val="nil"/>
              <w:left w:val="nil"/>
              <w:bottom w:val="single" w:color="auto" w:sz="4" w:space="0"/>
              <w:right w:val="single" w:color="auto" w:sz="4" w:space="0"/>
            </w:tcBorders>
            <w:vAlign w:val="center"/>
          </w:tcPr>
          <w:p w14:paraId="499C240F">
            <w:pPr>
              <w:widowControl/>
              <w:spacing w:line="240" w:lineRule="auto"/>
              <w:jc w:val="center"/>
              <w:rPr>
                <w:color w:val="000000"/>
                <w:kern w:val="0"/>
                <w:sz w:val="21"/>
                <w:szCs w:val="21"/>
              </w:rPr>
            </w:pPr>
            <w:r>
              <w:rPr>
                <w:color w:val="000000"/>
                <w:kern w:val="0"/>
                <w:sz w:val="21"/>
                <w:szCs w:val="21"/>
              </w:rPr>
              <w:t>9.8</w:t>
            </w:r>
          </w:p>
        </w:tc>
        <w:tc>
          <w:tcPr>
            <w:tcW w:w="1060" w:type="dxa"/>
            <w:tcBorders>
              <w:top w:val="nil"/>
              <w:left w:val="nil"/>
              <w:bottom w:val="single" w:color="auto" w:sz="4" w:space="0"/>
              <w:right w:val="single" w:color="auto" w:sz="4" w:space="0"/>
            </w:tcBorders>
            <w:vAlign w:val="center"/>
          </w:tcPr>
          <w:p w14:paraId="65DDD8B2">
            <w:pPr>
              <w:widowControl/>
              <w:spacing w:line="240" w:lineRule="auto"/>
              <w:jc w:val="center"/>
              <w:rPr>
                <w:color w:val="000000"/>
                <w:kern w:val="0"/>
                <w:sz w:val="21"/>
                <w:szCs w:val="21"/>
              </w:rPr>
            </w:pPr>
            <w:r>
              <w:rPr>
                <w:color w:val="000000"/>
                <w:kern w:val="0"/>
                <w:sz w:val="21"/>
                <w:szCs w:val="21"/>
              </w:rPr>
              <w:t>2</w:t>
            </w:r>
          </w:p>
        </w:tc>
      </w:tr>
      <w:tr w14:paraId="163744EC">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3E760C95">
            <w:pPr>
              <w:widowControl/>
              <w:spacing w:line="240" w:lineRule="auto"/>
              <w:jc w:val="right"/>
              <w:rPr>
                <w:color w:val="000000"/>
                <w:kern w:val="0"/>
                <w:sz w:val="21"/>
                <w:szCs w:val="21"/>
              </w:rPr>
            </w:pPr>
            <w:r>
              <w:rPr>
                <w:color w:val="000000"/>
                <w:kern w:val="0"/>
                <w:sz w:val="21"/>
                <w:szCs w:val="21"/>
              </w:rPr>
              <w:t>26</w:t>
            </w:r>
          </w:p>
        </w:tc>
        <w:tc>
          <w:tcPr>
            <w:tcW w:w="1546" w:type="dxa"/>
            <w:tcBorders>
              <w:top w:val="nil"/>
              <w:left w:val="nil"/>
              <w:bottom w:val="single" w:color="auto" w:sz="4" w:space="0"/>
              <w:right w:val="single" w:color="auto" w:sz="4" w:space="0"/>
            </w:tcBorders>
            <w:vAlign w:val="center"/>
          </w:tcPr>
          <w:p w14:paraId="0BCFE0C0">
            <w:pPr>
              <w:widowControl/>
              <w:spacing w:line="240" w:lineRule="auto"/>
              <w:jc w:val="left"/>
              <w:rPr>
                <w:color w:val="000000"/>
                <w:kern w:val="0"/>
                <w:sz w:val="21"/>
                <w:szCs w:val="21"/>
              </w:rPr>
            </w:pPr>
            <w:r>
              <w:rPr>
                <w:color w:val="000000"/>
                <w:kern w:val="0"/>
                <w:sz w:val="21"/>
                <w:szCs w:val="21"/>
              </w:rPr>
              <w:t>20160303</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79BC1BC8">
            <w:pPr>
              <w:widowControl/>
              <w:spacing w:line="240" w:lineRule="auto"/>
              <w:jc w:val="center"/>
              <w:rPr>
                <w:color w:val="000000"/>
                <w:kern w:val="0"/>
                <w:sz w:val="21"/>
                <w:szCs w:val="21"/>
              </w:rPr>
            </w:pPr>
            <w:r>
              <w:rPr>
                <w:color w:val="000000"/>
                <w:kern w:val="0"/>
                <w:sz w:val="21"/>
                <w:szCs w:val="21"/>
              </w:rPr>
              <w:t>10583</w:t>
            </w:r>
          </w:p>
        </w:tc>
        <w:tc>
          <w:tcPr>
            <w:tcW w:w="2030" w:type="dxa"/>
            <w:tcBorders>
              <w:top w:val="nil"/>
              <w:left w:val="nil"/>
              <w:bottom w:val="single" w:color="auto" w:sz="4" w:space="0"/>
              <w:right w:val="single" w:color="auto" w:sz="4" w:space="0"/>
            </w:tcBorders>
            <w:vAlign w:val="center"/>
          </w:tcPr>
          <w:p w14:paraId="7B3F8050">
            <w:pPr>
              <w:widowControl/>
              <w:spacing w:line="240" w:lineRule="auto"/>
              <w:jc w:val="center"/>
              <w:rPr>
                <w:color w:val="000000"/>
                <w:kern w:val="0"/>
                <w:sz w:val="21"/>
                <w:szCs w:val="21"/>
              </w:rPr>
            </w:pPr>
            <w:r>
              <w:rPr>
                <w:color w:val="000000"/>
                <w:kern w:val="0"/>
                <w:sz w:val="21"/>
                <w:szCs w:val="21"/>
              </w:rPr>
              <w:t>2.1</w:t>
            </w:r>
          </w:p>
        </w:tc>
        <w:tc>
          <w:tcPr>
            <w:tcW w:w="2030" w:type="dxa"/>
            <w:tcBorders>
              <w:top w:val="nil"/>
              <w:left w:val="nil"/>
              <w:bottom w:val="single" w:color="auto" w:sz="4" w:space="0"/>
              <w:right w:val="single" w:color="auto" w:sz="4" w:space="0"/>
            </w:tcBorders>
            <w:vAlign w:val="center"/>
          </w:tcPr>
          <w:p w14:paraId="1AD7F99F">
            <w:pPr>
              <w:widowControl/>
              <w:spacing w:line="240" w:lineRule="auto"/>
              <w:jc w:val="center"/>
              <w:rPr>
                <w:color w:val="000000"/>
                <w:kern w:val="0"/>
                <w:sz w:val="21"/>
                <w:szCs w:val="21"/>
              </w:rPr>
            </w:pPr>
            <w:r>
              <w:rPr>
                <w:color w:val="000000"/>
                <w:kern w:val="0"/>
                <w:sz w:val="21"/>
                <w:szCs w:val="21"/>
              </w:rPr>
              <w:t>5.3</w:t>
            </w:r>
          </w:p>
        </w:tc>
        <w:tc>
          <w:tcPr>
            <w:tcW w:w="1060" w:type="dxa"/>
            <w:tcBorders>
              <w:top w:val="nil"/>
              <w:left w:val="nil"/>
              <w:bottom w:val="single" w:color="auto" w:sz="4" w:space="0"/>
              <w:right w:val="single" w:color="auto" w:sz="4" w:space="0"/>
            </w:tcBorders>
            <w:vAlign w:val="center"/>
          </w:tcPr>
          <w:p w14:paraId="4EA0C9B6">
            <w:pPr>
              <w:widowControl/>
              <w:spacing w:line="240" w:lineRule="auto"/>
              <w:jc w:val="center"/>
              <w:rPr>
                <w:color w:val="000000"/>
                <w:kern w:val="0"/>
                <w:sz w:val="21"/>
                <w:szCs w:val="21"/>
              </w:rPr>
            </w:pPr>
            <w:r>
              <w:rPr>
                <w:color w:val="000000"/>
                <w:kern w:val="0"/>
                <w:sz w:val="21"/>
                <w:szCs w:val="21"/>
              </w:rPr>
              <w:t>2</w:t>
            </w:r>
          </w:p>
        </w:tc>
      </w:tr>
      <w:tr w14:paraId="2E130F8F">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3C7AEDA">
            <w:pPr>
              <w:widowControl/>
              <w:spacing w:line="240" w:lineRule="auto"/>
              <w:jc w:val="right"/>
              <w:rPr>
                <w:color w:val="000000"/>
                <w:kern w:val="0"/>
                <w:sz w:val="21"/>
                <w:szCs w:val="21"/>
              </w:rPr>
            </w:pPr>
            <w:r>
              <w:rPr>
                <w:color w:val="000000"/>
                <w:kern w:val="0"/>
                <w:sz w:val="21"/>
                <w:szCs w:val="21"/>
              </w:rPr>
              <w:t>27</w:t>
            </w:r>
          </w:p>
        </w:tc>
        <w:tc>
          <w:tcPr>
            <w:tcW w:w="1546" w:type="dxa"/>
            <w:tcBorders>
              <w:top w:val="nil"/>
              <w:left w:val="nil"/>
              <w:bottom w:val="single" w:color="auto" w:sz="4" w:space="0"/>
              <w:right w:val="single" w:color="auto" w:sz="4" w:space="0"/>
            </w:tcBorders>
            <w:vAlign w:val="center"/>
          </w:tcPr>
          <w:p w14:paraId="6F237EE6">
            <w:pPr>
              <w:widowControl/>
              <w:spacing w:line="240" w:lineRule="auto"/>
              <w:jc w:val="left"/>
              <w:rPr>
                <w:color w:val="000000"/>
                <w:kern w:val="0"/>
                <w:sz w:val="21"/>
                <w:szCs w:val="21"/>
              </w:rPr>
            </w:pPr>
            <w:r>
              <w:rPr>
                <w:color w:val="000000"/>
                <w:kern w:val="0"/>
                <w:sz w:val="21"/>
                <w:szCs w:val="21"/>
              </w:rPr>
              <w:t>20160322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30F0BAB8">
            <w:pPr>
              <w:widowControl/>
              <w:spacing w:line="240" w:lineRule="auto"/>
              <w:jc w:val="center"/>
              <w:rPr>
                <w:color w:val="000000"/>
                <w:kern w:val="0"/>
                <w:sz w:val="21"/>
                <w:szCs w:val="21"/>
              </w:rPr>
            </w:pPr>
            <w:r>
              <w:rPr>
                <w:color w:val="000000"/>
                <w:kern w:val="0"/>
                <w:sz w:val="21"/>
                <w:szCs w:val="21"/>
              </w:rPr>
              <w:t>2811</w:t>
            </w:r>
          </w:p>
        </w:tc>
        <w:tc>
          <w:tcPr>
            <w:tcW w:w="2030" w:type="dxa"/>
            <w:tcBorders>
              <w:top w:val="nil"/>
              <w:left w:val="nil"/>
              <w:bottom w:val="single" w:color="auto" w:sz="4" w:space="0"/>
              <w:right w:val="single" w:color="auto" w:sz="4" w:space="0"/>
            </w:tcBorders>
            <w:vAlign w:val="center"/>
          </w:tcPr>
          <w:p w14:paraId="3FFED18B">
            <w:pPr>
              <w:widowControl/>
              <w:spacing w:line="240" w:lineRule="auto"/>
              <w:jc w:val="center"/>
              <w:rPr>
                <w:color w:val="000000"/>
                <w:kern w:val="0"/>
                <w:sz w:val="21"/>
                <w:szCs w:val="21"/>
              </w:rPr>
            </w:pPr>
            <w:r>
              <w:rPr>
                <w:color w:val="000000"/>
                <w:kern w:val="0"/>
                <w:sz w:val="21"/>
                <w:szCs w:val="21"/>
              </w:rPr>
              <w:t>23.5</w:t>
            </w:r>
          </w:p>
        </w:tc>
        <w:tc>
          <w:tcPr>
            <w:tcW w:w="2030" w:type="dxa"/>
            <w:tcBorders>
              <w:top w:val="nil"/>
              <w:left w:val="nil"/>
              <w:bottom w:val="single" w:color="auto" w:sz="4" w:space="0"/>
              <w:right w:val="single" w:color="auto" w:sz="4" w:space="0"/>
            </w:tcBorders>
            <w:vAlign w:val="center"/>
          </w:tcPr>
          <w:p w14:paraId="54544C4D">
            <w:pPr>
              <w:widowControl/>
              <w:spacing w:line="240" w:lineRule="auto"/>
              <w:jc w:val="center"/>
              <w:rPr>
                <w:color w:val="000000"/>
                <w:kern w:val="0"/>
                <w:sz w:val="21"/>
                <w:szCs w:val="21"/>
              </w:rPr>
            </w:pPr>
            <w:r>
              <w:rPr>
                <w:color w:val="000000"/>
                <w:kern w:val="0"/>
                <w:sz w:val="21"/>
                <w:szCs w:val="21"/>
              </w:rPr>
              <w:t>8.3</w:t>
            </w:r>
          </w:p>
        </w:tc>
        <w:tc>
          <w:tcPr>
            <w:tcW w:w="1060" w:type="dxa"/>
            <w:tcBorders>
              <w:top w:val="nil"/>
              <w:left w:val="nil"/>
              <w:bottom w:val="single" w:color="auto" w:sz="4" w:space="0"/>
              <w:right w:val="single" w:color="auto" w:sz="4" w:space="0"/>
            </w:tcBorders>
            <w:vAlign w:val="center"/>
          </w:tcPr>
          <w:p w14:paraId="21FAEE22">
            <w:pPr>
              <w:widowControl/>
              <w:spacing w:line="240" w:lineRule="auto"/>
              <w:jc w:val="center"/>
              <w:rPr>
                <w:color w:val="000000"/>
                <w:kern w:val="0"/>
                <w:sz w:val="21"/>
                <w:szCs w:val="21"/>
              </w:rPr>
            </w:pPr>
            <w:r>
              <w:rPr>
                <w:color w:val="000000"/>
                <w:kern w:val="0"/>
                <w:sz w:val="21"/>
                <w:szCs w:val="21"/>
              </w:rPr>
              <w:t>2</w:t>
            </w:r>
          </w:p>
        </w:tc>
      </w:tr>
      <w:tr w14:paraId="22535266">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4CC5FE10">
            <w:pPr>
              <w:widowControl/>
              <w:spacing w:line="240" w:lineRule="auto"/>
              <w:jc w:val="right"/>
              <w:rPr>
                <w:color w:val="000000"/>
                <w:kern w:val="0"/>
                <w:sz w:val="21"/>
                <w:szCs w:val="21"/>
              </w:rPr>
            </w:pPr>
            <w:r>
              <w:rPr>
                <w:color w:val="000000"/>
                <w:kern w:val="0"/>
                <w:sz w:val="21"/>
                <w:szCs w:val="21"/>
              </w:rPr>
              <w:t>28</w:t>
            </w:r>
          </w:p>
        </w:tc>
        <w:tc>
          <w:tcPr>
            <w:tcW w:w="1546" w:type="dxa"/>
            <w:tcBorders>
              <w:top w:val="nil"/>
              <w:left w:val="nil"/>
              <w:bottom w:val="single" w:color="auto" w:sz="4" w:space="0"/>
              <w:right w:val="single" w:color="auto" w:sz="4" w:space="0"/>
            </w:tcBorders>
            <w:vAlign w:val="center"/>
          </w:tcPr>
          <w:p w14:paraId="186F8724">
            <w:pPr>
              <w:widowControl/>
              <w:spacing w:line="240" w:lineRule="auto"/>
              <w:jc w:val="left"/>
              <w:rPr>
                <w:color w:val="000000"/>
                <w:kern w:val="0"/>
                <w:sz w:val="21"/>
                <w:szCs w:val="21"/>
              </w:rPr>
            </w:pPr>
            <w:r>
              <w:rPr>
                <w:color w:val="000000"/>
                <w:kern w:val="0"/>
                <w:sz w:val="21"/>
                <w:szCs w:val="21"/>
              </w:rPr>
              <w:t>20160721</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7BAD7914">
            <w:pPr>
              <w:widowControl/>
              <w:spacing w:line="240" w:lineRule="auto"/>
              <w:jc w:val="center"/>
              <w:rPr>
                <w:color w:val="000000"/>
                <w:kern w:val="0"/>
                <w:sz w:val="21"/>
                <w:szCs w:val="21"/>
              </w:rPr>
            </w:pPr>
            <w:r>
              <w:rPr>
                <w:color w:val="000000"/>
                <w:kern w:val="0"/>
                <w:sz w:val="21"/>
                <w:szCs w:val="21"/>
              </w:rPr>
              <w:t>3694</w:t>
            </w:r>
          </w:p>
        </w:tc>
        <w:tc>
          <w:tcPr>
            <w:tcW w:w="2030" w:type="dxa"/>
            <w:tcBorders>
              <w:top w:val="nil"/>
              <w:left w:val="nil"/>
              <w:bottom w:val="single" w:color="auto" w:sz="4" w:space="0"/>
              <w:right w:val="single" w:color="auto" w:sz="4" w:space="0"/>
            </w:tcBorders>
            <w:vAlign w:val="center"/>
          </w:tcPr>
          <w:p w14:paraId="2FDEFC2F">
            <w:pPr>
              <w:widowControl/>
              <w:spacing w:line="240" w:lineRule="auto"/>
              <w:jc w:val="center"/>
              <w:rPr>
                <w:color w:val="000000"/>
                <w:kern w:val="0"/>
                <w:sz w:val="21"/>
                <w:szCs w:val="21"/>
              </w:rPr>
            </w:pPr>
            <w:r>
              <w:rPr>
                <w:color w:val="000000"/>
                <w:kern w:val="0"/>
                <w:sz w:val="21"/>
                <w:szCs w:val="21"/>
              </w:rPr>
              <w:t>12.5</w:t>
            </w:r>
          </w:p>
        </w:tc>
        <w:tc>
          <w:tcPr>
            <w:tcW w:w="2030" w:type="dxa"/>
            <w:tcBorders>
              <w:top w:val="nil"/>
              <w:left w:val="nil"/>
              <w:bottom w:val="single" w:color="auto" w:sz="4" w:space="0"/>
              <w:right w:val="single" w:color="auto" w:sz="4" w:space="0"/>
            </w:tcBorders>
            <w:vAlign w:val="center"/>
          </w:tcPr>
          <w:p w14:paraId="4BCDB04A">
            <w:pPr>
              <w:widowControl/>
              <w:spacing w:line="240" w:lineRule="auto"/>
              <w:jc w:val="center"/>
              <w:rPr>
                <w:color w:val="000000"/>
                <w:kern w:val="0"/>
                <w:sz w:val="21"/>
                <w:szCs w:val="21"/>
              </w:rPr>
            </w:pPr>
            <w:r>
              <w:rPr>
                <w:color w:val="000000"/>
                <w:kern w:val="0"/>
                <w:sz w:val="21"/>
                <w:szCs w:val="21"/>
              </w:rPr>
              <w:t>11.6</w:t>
            </w:r>
          </w:p>
        </w:tc>
        <w:tc>
          <w:tcPr>
            <w:tcW w:w="1060" w:type="dxa"/>
            <w:tcBorders>
              <w:top w:val="nil"/>
              <w:left w:val="nil"/>
              <w:bottom w:val="single" w:color="auto" w:sz="4" w:space="0"/>
              <w:right w:val="single" w:color="auto" w:sz="4" w:space="0"/>
            </w:tcBorders>
            <w:vAlign w:val="center"/>
          </w:tcPr>
          <w:p w14:paraId="05CA1314">
            <w:pPr>
              <w:widowControl/>
              <w:spacing w:line="240" w:lineRule="auto"/>
              <w:jc w:val="center"/>
              <w:rPr>
                <w:color w:val="000000"/>
                <w:kern w:val="0"/>
                <w:sz w:val="21"/>
                <w:szCs w:val="21"/>
              </w:rPr>
            </w:pPr>
            <w:r>
              <w:rPr>
                <w:color w:val="000000"/>
                <w:kern w:val="0"/>
                <w:sz w:val="21"/>
                <w:szCs w:val="21"/>
              </w:rPr>
              <w:t>2</w:t>
            </w:r>
          </w:p>
        </w:tc>
      </w:tr>
      <w:tr w14:paraId="1226BCD5">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5CD8764">
            <w:pPr>
              <w:widowControl/>
              <w:spacing w:line="240" w:lineRule="auto"/>
              <w:jc w:val="right"/>
              <w:rPr>
                <w:color w:val="000000"/>
                <w:kern w:val="0"/>
                <w:sz w:val="21"/>
                <w:szCs w:val="21"/>
              </w:rPr>
            </w:pPr>
            <w:r>
              <w:rPr>
                <w:color w:val="000000"/>
                <w:kern w:val="0"/>
                <w:sz w:val="21"/>
                <w:szCs w:val="21"/>
              </w:rPr>
              <w:t>29</w:t>
            </w:r>
          </w:p>
        </w:tc>
        <w:tc>
          <w:tcPr>
            <w:tcW w:w="1546" w:type="dxa"/>
            <w:tcBorders>
              <w:top w:val="nil"/>
              <w:left w:val="nil"/>
              <w:bottom w:val="single" w:color="auto" w:sz="4" w:space="0"/>
              <w:right w:val="single" w:color="auto" w:sz="4" w:space="0"/>
            </w:tcBorders>
            <w:vAlign w:val="center"/>
          </w:tcPr>
          <w:p w14:paraId="26153A10">
            <w:pPr>
              <w:widowControl/>
              <w:spacing w:line="240" w:lineRule="auto"/>
              <w:jc w:val="left"/>
              <w:rPr>
                <w:color w:val="000000"/>
                <w:kern w:val="0"/>
                <w:sz w:val="21"/>
                <w:szCs w:val="21"/>
              </w:rPr>
            </w:pPr>
            <w:r>
              <w:rPr>
                <w:color w:val="000000"/>
                <w:kern w:val="0"/>
                <w:sz w:val="21"/>
                <w:szCs w:val="21"/>
              </w:rPr>
              <w:t>20160721</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5C67AF5A">
            <w:pPr>
              <w:widowControl/>
              <w:spacing w:line="240" w:lineRule="auto"/>
              <w:jc w:val="center"/>
              <w:rPr>
                <w:color w:val="000000"/>
                <w:kern w:val="0"/>
                <w:sz w:val="21"/>
                <w:szCs w:val="21"/>
              </w:rPr>
            </w:pPr>
            <w:r>
              <w:rPr>
                <w:color w:val="000000"/>
                <w:kern w:val="0"/>
                <w:sz w:val="21"/>
                <w:szCs w:val="21"/>
              </w:rPr>
              <w:t>3622</w:t>
            </w:r>
          </w:p>
        </w:tc>
        <w:tc>
          <w:tcPr>
            <w:tcW w:w="2030" w:type="dxa"/>
            <w:tcBorders>
              <w:top w:val="nil"/>
              <w:left w:val="nil"/>
              <w:bottom w:val="single" w:color="auto" w:sz="4" w:space="0"/>
              <w:right w:val="single" w:color="auto" w:sz="4" w:space="0"/>
            </w:tcBorders>
            <w:vAlign w:val="center"/>
          </w:tcPr>
          <w:p w14:paraId="148696FF">
            <w:pPr>
              <w:widowControl/>
              <w:spacing w:line="240" w:lineRule="auto"/>
              <w:jc w:val="center"/>
              <w:rPr>
                <w:color w:val="000000"/>
                <w:kern w:val="0"/>
                <w:sz w:val="21"/>
                <w:szCs w:val="21"/>
              </w:rPr>
            </w:pPr>
            <w:r>
              <w:rPr>
                <w:color w:val="000000"/>
                <w:kern w:val="0"/>
                <w:sz w:val="21"/>
                <w:szCs w:val="21"/>
              </w:rPr>
              <w:t>12.8</w:t>
            </w:r>
          </w:p>
        </w:tc>
        <w:tc>
          <w:tcPr>
            <w:tcW w:w="2030" w:type="dxa"/>
            <w:tcBorders>
              <w:top w:val="nil"/>
              <w:left w:val="nil"/>
              <w:bottom w:val="single" w:color="auto" w:sz="4" w:space="0"/>
              <w:right w:val="single" w:color="auto" w:sz="4" w:space="0"/>
            </w:tcBorders>
            <w:vAlign w:val="center"/>
          </w:tcPr>
          <w:p w14:paraId="19A1FD3D">
            <w:pPr>
              <w:widowControl/>
              <w:spacing w:line="240" w:lineRule="auto"/>
              <w:jc w:val="center"/>
              <w:rPr>
                <w:color w:val="000000"/>
                <w:kern w:val="0"/>
                <w:sz w:val="21"/>
                <w:szCs w:val="21"/>
              </w:rPr>
            </w:pPr>
            <w:r>
              <w:rPr>
                <w:color w:val="000000"/>
                <w:kern w:val="0"/>
                <w:sz w:val="21"/>
                <w:szCs w:val="21"/>
              </w:rPr>
              <w:t>11.6</w:t>
            </w:r>
          </w:p>
        </w:tc>
        <w:tc>
          <w:tcPr>
            <w:tcW w:w="1060" w:type="dxa"/>
            <w:tcBorders>
              <w:top w:val="nil"/>
              <w:left w:val="nil"/>
              <w:bottom w:val="single" w:color="auto" w:sz="4" w:space="0"/>
              <w:right w:val="single" w:color="auto" w:sz="4" w:space="0"/>
            </w:tcBorders>
            <w:vAlign w:val="center"/>
          </w:tcPr>
          <w:p w14:paraId="01909937">
            <w:pPr>
              <w:widowControl/>
              <w:spacing w:line="240" w:lineRule="auto"/>
              <w:jc w:val="center"/>
              <w:rPr>
                <w:color w:val="000000"/>
                <w:kern w:val="0"/>
                <w:sz w:val="21"/>
                <w:szCs w:val="21"/>
              </w:rPr>
            </w:pPr>
            <w:r>
              <w:rPr>
                <w:color w:val="000000"/>
                <w:kern w:val="0"/>
                <w:sz w:val="21"/>
                <w:szCs w:val="21"/>
              </w:rPr>
              <w:t>2</w:t>
            </w:r>
          </w:p>
        </w:tc>
      </w:tr>
      <w:tr w14:paraId="4A7A18AD">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78DF9D69">
            <w:pPr>
              <w:widowControl/>
              <w:spacing w:line="240" w:lineRule="auto"/>
              <w:jc w:val="right"/>
              <w:rPr>
                <w:color w:val="000000"/>
                <w:kern w:val="0"/>
                <w:sz w:val="21"/>
                <w:szCs w:val="21"/>
              </w:rPr>
            </w:pPr>
            <w:r>
              <w:rPr>
                <w:color w:val="000000"/>
                <w:kern w:val="0"/>
                <w:sz w:val="21"/>
                <w:szCs w:val="21"/>
              </w:rPr>
              <w:t>30</w:t>
            </w:r>
          </w:p>
        </w:tc>
        <w:tc>
          <w:tcPr>
            <w:tcW w:w="1546" w:type="dxa"/>
            <w:tcBorders>
              <w:top w:val="nil"/>
              <w:left w:val="nil"/>
              <w:bottom w:val="single" w:color="auto" w:sz="4" w:space="0"/>
              <w:right w:val="single" w:color="auto" w:sz="4" w:space="0"/>
            </w:tcBorders>
            <w:vAlign w:val="center"/>
          </w:tcPr>
          <w:p w14:paraId="5F62F1BE">
            <w:pPr>
              <w:widowControl/>
              <w:spacing w:line="240" w:lineRule="auto"/>
              <w:jc w:val="left"/>
              <w:rPr>
                <w:color w:val="000000"/>
                <w:kern w:val="0"/>
                <w:sz w:val="21"/>
                <w:szCs w:val="21"/>
              </w:rPr>
            </w:pPr>
            <w:r>
              <w:rPr>
                <w:color w:val="000000"/>
                <w:kern w:val="0"/>
                <w:sz w:val="21"/>
                <w:szCs w:val="21"/>
              </w:rPr>
              <w:t>20160322</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11C72348">
            <w:pPr>
              <w:widowControl/>
              <w:spacing w:line="240" w:lineRule="auto"/>
              <w:jc w:val="center"/>
              <w:rPr>
                <w:color w:val="000000"/>
                <w:kern w:val="0"/>
                <w:sz w:val="21"/>
                <w:szCs w:val="21"/>
              </w:rPr>
            </w:pPr>
            <w:r>
              <w:rPr>
                <w:color w:val="000000"/>
                <w:kern w:val="0"/>
                <w:sz w:val="21"/>
                <w:szCs w:val="21"/>
              </w:rPr>
              <w:t>2811</w:t>
            </w:r>
          </w:p>
        </w:tc>
        <w:tc>
          <w:tcPr>
            <w:tcW w:w="2030" w:type="dxa"/>
            <w:tcBorders>
              <w:top w:val="nil"/>
              <w:left w:val="nil"/>
              <w:bottom w:val="single" w:color="auto" w:sz="4" w:space="0"/>
              <w:right w:val="single" w:color="auto" w:sz="4" w:space="0"/>
            </w:tcBorders>
            <w:vAlign w:val="center"/>
          </w:tcPr>
          <w:p w14:paraId="5C2A68BE">
            <w:pPr>
              <w:widowControl/>
              <w:spacing w:line="240" w:lineRule="auto"/>
              <w:jc w:val="center"/>
              <w:rPr>
                <w:color w:val="000000"/>
                <w:kern w:val="0"/>
                <w:sz w:val="21"/>
                <w:szCs w:val="21"/>
              </w:rPr>
            </w:pPr>
            <w:r>
              <w:rPr>
                <w:color w:val="000000"/>
                <w:kern w:val="0"/>
                <w:sz w:val="21"/>
                <w:szCs w:val="21"/>
              </w:rPr>
              <w:t>23.5</w:t>
            </w:r>
          </w:p>
        </w:tc>
        <w:tc>
          <w:tcPr>
            <w:tcW w:w="2030" w:type="dxa"/>
            <w:tcBorders>
              <w:top w:val="nil"/>
              <w:left w:val="nil"/>
              <w:bottom w:val="single" w:color="auto" w:sz="4" w:space="0"/>
              <w:right w:val="single" w:color="auto" w:sz="4" w:space="0"/>
            </w:tcBorders>
            <w:vAlign w:val="center"/>
          </w:tcPr>
          <w:p w14:paraId="34CD4DA4">
            <w:pPr>
              <w:widowControl/>
              <w:spacing w:line="240" w:lineRule="auto"/>
              <w:jc w:val="center"/>
              <w:rPr>
                <w:color w:val="000000"/>
                <w:kern w:val="0"/>
                <w:sz w:val="21"/>
                <w:szCs w:val="21"/>
              </w:rPr>
            </w:pPr>
            <w:r>
              <w:rPr>
                <w:color w:val="000000"/>
                <w:kern w:val="0"/>
                <w:sz w:val="21"/>
                <w:szCs w:val="21"/>
              </w:rPr>
              <w:t>8.3</w:t>
            </w:r>
          </w:p>
        </w:tc>
        <w:tc>
          <w:tcPr>
            <w:tcW w:w="1060" w:type="dxa"/>
            <w:tcBorders>
              <w:top w:val="nil"/>
              <w:left w:val="nil"/>
              <w:bottom w:val="single" w:color="auto" w:sz="4" w:space="0"/>
              <w:right w:val="single" w:color="auto" w:sz="4" w:space="0"/>
            </w:tcBorders>
            <w:vAlign w:val="center"/>
          </w:tcPr>
          <w:p w14:paraId="51FA1FEA">
            <w:pPr>
              <w:widowControl/>
              <w:spacing w:line="240" w:lineRule="auto"/>
              <w:jc w:val="center"/>
              <w:rPr>
                <w:color w:val="000000"/>
                <w:kern w:val="0"/>
                <w:sz w:val="21"/>
                <w:szCs w:val="21"/>
              </w:rPr>
            </w:pPr>
            <w:r>
              <w:rPr>
                <w:color w:val="000000"/>
                <w:kern w:val="0"/>
                <w:sz w:val="21"/>
                <w:szCs w:val="21"/>
              </w:rPr>
              <w:t>2</w:t>
            </w:r>
          </w:p>
        </w:tc>
      </w:tr>
      <w:tr w14:paraId="6CE475E1">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4E2DBA5">
            <w:pPr>
              <w:widowControl/>
              <w:spacing w:line="240" w:lineRule="auto"/>
              <w:jc w:val="right"/>
              <w:rPr>
                <w:color w:val="000000"/>
                <w:kern w:val="0"/>
                <w:sz w:val="21"/>
                <w:szCs w:val="21"/>
              </w:rPr>
            </w:pPr>
            <w:r>
              <w:rPr>
                <w:color w:val="000000"/>
                <w:kern w:val="0"/>
                <w:sz w:val="21"/>
                <w:szCs w:val="21"/>
              </w:rPr>
              <w:t>31</w:t>
            </w:r>
          </w:p>
        </w:tc>
        <w:tc>
          <w:tcPr>
            <w:tcW w:w="1546" w:type="dxa"/>
            <w:tcBorders>
              <w:top w:val="nil"/>
              <w:left w:val="nil"/>
              <w:bottom w:val="single" w:color="auto" w:sz="4" w:space="0"/>
              <w:right w:val="single" w:color="auto" w:sz="4" w:space="0"/>
            </w:tcBorders>
            <w:vAlign w:val="center"/>
          </w:tcPr>
          <w:p w14:paraId="0FCC628E">
            <w:pPr>
              <w:widowControl/>
              <w:spacing w:line="240" w:lineRule="auto"/>
              <w:jc w:val="left"/>
              <w:rPr>
                <w:color w:val="000000"/>
                <w:kern w:val="0"/>
                <w:sz w:val="21"/>
                <w:szCs w:val="21"/>
              </w:rPr>
            </w:pPr>
            <w:r>
              <w:rPr>
                <w:color w:val="000000"/>
                <w:kern w:val="0"/>
                <w:sz w:val="21"/>
                <w:szCs w:val="21"/>
              </w:rPr>
              <w:t>20160311</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B7459D2">
            <w:pPr>
              <w:widowControl/>
              <w:spacing w:line="240" w:lineRule="auto"/>
              <w:jc w:val="center"/>
              <w:rPr>
                <w:color w:val="000000"/>
                <w:kern w:val="0"/>
                <w:sz w:val="21"/>
                <w:szCs w:val="21"/>
              </w:rPr>
            </w:pPr>
            <w:r>
              <w:rPr>
                <w:color w:val="000000"/>
                <w:kern w:val="0"/>
                <w:sz w:val="21"/>
                <w:szCs w:val="21"/>
              </w:rPr>
              <w:t>69962</w:t>
            </w:r>
          </w:p>
        </w:tc>
        <w:tc>
          <w:tcPr>
            <w:tcW w:w="2030" w:type="dxa"/>
            <w:tcBorders>
              <w:top w:val="nil"/>
              <w:left w:val="nil"/>
              <w:bottom w:val="single" w:color="auto" w:sz="4" w:space="0"/>
              <w:right w:val="single" w:color="auto" w:sz="4" w:space="0"/>
            </w:tcBorders>
            <w:vAlign w:val="center"/>
          </w:tcPr>
          <w:p w14:paraId="7F8C7D76">
            <w:pPr>
              <w:widowControl/>
              <w:spacing w:line="240" w:lineRule="auto"/>
              <w:jc w:val="center"/>
              <w:rPr>
                <w:color w:val="000000"/>
                <w:kern w:val="0"/>
                <w:sz w:val="21"/>
                <w:szCs w:val="21"/>
              </w:rPr>
            </w:pPr>
            <w:r>
              <w:rPr>
                <w:color w:val="000000"/>
                <w:kern w:val="0"/>
                <w:sz w:val="21"/>
                <w:szCs w:val="21"/>
              </w:rPr>
              <w:t>4.2</w:t>
            </w:r>
          </w:p>
        </w:tc>
        <w:tc>
          <w:tcPr>
            <w:tcW w:w="2030" w:type="dxa"/>
            <w:tcBorders>
              <w:top w:val="nil"/>
              <w:left w:val="nil"/>
              <w:bottom w:val="single" w:color="auto" w:sz="4" w:space="0"/>
              <w:right w:val="single" w:color="auto" w:sz="4" w:space="0"/>
            </w:tcBorders>
            <w:vAlign w:val="center"/>
          </w:tcPr>
          <w:p w14:paraId="71469511">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5B46908F">
            <w:pPr>
              <w:widowControl/>
              <w:spacing w:line="240" w:lineRule="auto"/>
              <w:jc w:val="center"/>
              <w:rPr>
                <w:color w:val="000000"/>
                <w:kern w:val="0"/>
                <w:sz w:val="21"/>
                <w:szCs w:val="21"/>
              </w:rPr>
            </w:pPr>
            <w:r>
              <w:rPr>
                <w:color w:val="000000"/>
                <w:kern w:val="0"/>
                <w:sz w:val="21"/>
                <w:szCs w:val="21"/>
              </w:rPr>
              <w:t>-</w:t>
            </w:r>
          </w:p>
        </w:tc>
      </w:tr>
      <w:tr w14:paraId="7409234F">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398D22B2">
            <w:pPr>
              <w:widowControl/>
              <w:spacing w:line="240" w:lineRule="auto"/>
              <w:jc w:val="right"/>
              <w:rPr>
                <w:color w:val="000000"/>
                <w:kern w:val="0"/>
                <w:sz w:val="21"/>
                <w:szCs w:val="21"/>
              </w:rPr>
            </w:pPr>
            <w:r>
              <w:rPr>
                <w:color w:val="000000"/>
                <w:kern w:val="0"/>
                <w:sz w:val="21"/>
                <w:szCs w:val="21"/>
              </w:rPr>
              <w:t>32</w:t>
            </w:r>
          </w:p>
        </w:tc>
        <w:tc>
          <w:tcPr>
            <w:tcW w:w="1546" w:type="dxa"/>
            <w:tcBorders>
              <w:top w:val="nil"/>
              <w:left w:val="nil"/>
              <w:bottom w:val="single" w:color="auto" w:sz="4" w:space="0"/>
              <w:right w:val="single" w:color="auto" w:sz="4" w:space="0"/>
            </w:tcBorders>
            <w:vAlign w:val="center"/>
          </w:tcPr>
          <w:p w14:paraId="1FBCA9F8">
            <w:pPr>
              <w:widowControl/>
              <w:spacing w:line="240" w:lineRule="auto"/>
              <w:jc w:val="left"/>
              <w:rPr>
                <w:color w:val="000000"/>
                <w:kern w:val="0"/>
                <w:sz w:val="21"/>
                <w:szCs w:val="21"/>
              </w:rPr>
            </w:pPr>
            <w:r>
              <w:rPr>
                <w:color w:val="000000"/>
                <w:kern w:val="0"/>
                <w:sz w:val="21"/>
                <w:szCs w:val="21"/>
              </w:rPr>
              <w:t>20160311</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3C3F555A">
            <w:pPr>
              <w:widowControl/>
              <w:spacing w:line="240" w:lineRule="auto"/>
              <w:jc w:val="center"/>
              <w:rPr>
                <w:color w:val="000000"/>
                <w:kern w:val="0"/>
                <w:sz w:val="21"/>
                <w:szCs w:val="21"/>
              </w:rPr>
            </w:pPr>
            <w:r>
              <w:rPr>
                <w:color w:val="000000"/>
                <w:kern w:val="0"/>
                <w:sz w:val="21"/>
                <w:szCs w:val="21"/>
              </w:rPr>
              <w:t>67693</w:t>
            </w:r>
          </w:p>
        </w:tc>
        <w:tc>
          <w:tcPr>
            <w:tcW w:w="2030" w:type="dxa"/>
            <w:tcBorders>
              <w:top w:val="nil"/>
              <w:left w:val="nil"/>
              <w:bottom w:val="single" w:color="auto" w:sz="4" w:space="0"/>
              <w:right w:val="single" w:color="auto" w:sz="4" w:space="0"/>
            </w:tcBorders>
            <w:vAlign w:val="center"/>
          </w:tcPr>
          <w:p w14:paraId="0B1D6A36">
            <w:pPr>
              <w:widowControl/>
              <w:spacing w:line="240" w:lineRule="auto"/>
              <w:jc w:val="center"/>
              <w:rPr>
                <w:color w:val="000000"/>
                <w:kern w:val="0"/>
                <w:sz w:val="21"/>
                <w:szCs w:val="21"/>
              </w:rPr>
            </w:pPr>
            <w:r>
              <w:rPr>
                <w:color w:val="000000"/>
                <w:kern w:val="0"/>
                <w:sz w:val="21"/>
                <w:szCs w:val="21"/>
              </w:rPr>
              <w:t>3.8</w:t>
            </w:r>
          </w:p>
        </w:tc>
        <w:tc>
          <w:tcPr>
            <w:tcW w:w="2030" w:type="dxa"/>
            <w:tcBorders>
              <w:top w:val="nil"/>
              <w:left w:val="nil"/>
              <w:bottom w:val="single" w:color="auto" w:sz="4" w:space="0"/>
              <w:right w:val="single" w:color="auto" w:sz="4" w:space="0"/>
            </w:tcBorders>
            <w:vAlign w:val="center"/>
          </w:tcPr>
          <w:p w14:paraId="60E6393F">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051C1482">
            <w:pPr>
              <w:widowControl/>
              <w:spacing w:line="240" w:lineRule="auto"/>
              <w:jc w:val="center"/>
              <w:rPr>
                <w:color w:val="000000"/>
                <w:kern w:val="0"/>
                <w:sz w:val="21"/>
                <w:szCs w:val="21"/>
              </w:rPr>
            </w:pPr>
            <w:r>
              <w:rPr>
                <w:color w:val="000000"/>
                <w:kern w:val="0"/>
                <w:sz w:val="21"/>
                <w:szCs w:val="21"/>
              </w:rPr>
              <w:t>-</w:t>
            </w:r>
          </w:p>
        </w:tc>
      </w:tr>
      <w:tr w14:paraId="25314ECE">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756A52D2">
            <w:pPr>
              <w:widowControl/>
              <w:spacing w:line="240" w:lineRule="auto"/>
              <w:jc w:val="right"/>
              <w:rPr>
                <w:color w:val="000000"/>
                <w:kern w:val="0"/>
                <w:sz w:val="21"/>
                <w:szCs w:val="21"/>
              </w:rPr>
            </w:pPr>
            <w:r>
              <w:rPr>
                <w:color w:val="000000"/>
                <w:kern w:val="0"/>
                <w:sz w:val="21"/>
                <w:szCs w:val="21"/>
              </w:rPr>
              <w:t>33</w:t>
            </w:r>
          </w:p>
        </w:tc>
        <w:tc>
          <w:tcPr>
            <w:tcW w:w="1546" w:type="dxa"/>
            <w:tcBorders>
              <w:top w:val="nil"/>
              <w:left w:val="nil"/>
              <w:bottom w:val="single" w:color="auto" w:sz="4" w:space="0"/>
              <w:right w:val="single" w:color="auto" w:sz="4" w:space="0"/>
            </w:tcBorders>
            <w:vAlign w:val="center"/>
          </w:tcPr>
          <w:p w14:paraId="450711D0">
            <w:pPr>
              <w:widowControl/>
              <w:spacing w:line="240" w:lineRule="auto"/>
              <w:jc w:val="left"/>
              <w:rPr>
                <w:color w:val="000000"/>
                <w:kern w:val="0"/>
                <w:sz w:val="21"/>
                <w:szCs w:val="21"/>
              </w:rPr>
            </w:pPr>
            <w:r>
              <w:rPr>
                <w:color w:val="000000"/>
                <w:kern w:val="0"/>
                <w:sz w:val="21"/>
                <w:szCs w:val="21"/>
              </w:rPr>
              <w:t>20160317</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5D71C1E8">
            <w:pPr>
              <w:widowControl/>
              <w:spacing w:line="240" w:lineRule="auto"/>
              <w:jc w:val="center"/>
              <w:rPr>
                <w:color w:val="000000"/>
                <w:kern w:val="0"/>
                <w:sz w:val="21"/>
                <w:szCs w:val="21"/>
              </w:rPr>
            </w:pPr>
            <w:r>
              <w:rPr>
                <w:color w:val="000000"/>
                <w:kern w:val="0"/>
                <w:sz w:val="21"/>
                <w:szCs w:val="21"/>
              </w:rPr>
              <w:t>27059</w:t>
            </w:r>
          </w:p>
        </w:tc>
        <w:tc>
          <w:tcPr>
            <w:tcW w:w="2030" w:type="dxa"/>
            <w:tcBorders>
              <w:top w:val="nil"/>
              <w:left w:val="nil"/>
              <w:bottom w:val="single" w:color="auto" w:sz="4" w:space="0"/>
              <w:right w:val="single" w:color="auto" w:sz="4" w:space="0"/>
            </w:tcBorders>
            <w:vAlign w:val="center"/>
          </w:tcPr>
          <w:p w14:paraId="16841087">
            <w:pPr>
              <w:widowControl/>
              <w:spacing w:line="240" w:lineRule="auto"/>
              <w:jc w:val="center"/>
              <w:rPr>
                <w:color w:val="000000"/>
                <w:kern w:val="0"/>
                <w:sz w:val="21"/>
                <w:szCs w:val="21"/>
              </w:rPr>
            </w:pPr>
            <w:r>
              <w:rPr>
                <w:color w:val="000000"/>
                <w:kern w:val="0"/>
                <w:sz w:val="21"/>
                <w:szCs w:val="21"/>
              </w:rPr>
              <w:t>1.4</w:t>
            </w:r>
          </w:p>
        </w:tc>
        <w:tc>
          <w:tcPr>
            <w:tcW w:w="2030" w:type="dxa"/>
            <w:tcBorders>
              <w:top w:val="nil"/>
              <w:left w:val="nil"/>
              <w:bottom w:val="single" w:color="auto" w:sz="4" w:space="0"/>
              <w:right w:val="single" w:color="auto" w:sz="4" w:space="0"/>
            </w:tcBorders>
            <w:vAlign w:val="center"/>
          </w:tcPr>
          <w:p w14:paraId="5889C580">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17B32349">
            <w:pPr>
              <w:widowControl/>
              <w:spacing w:line="240" w:lineRule="auto"/>
              <w:jc w:val="center"/>
              <w:rPr>
                <w:color w:val="000000"/>
                <w:kern w:val="0"/>
                <w:sz w:val="21"/>
                <w:szCs w:val="21"/>
              </w:rPr>
            </w:pPr>
            <w:r>
              <w:rPr>
                <w:color w:val="000000"/>
                <w:kern w:val="0"/>
                <w:sz w:val="21"/>
                <w:szCs w:val="21"/>
              </w:rPr>
              <w:t>-</w:t>
            </w:r>
          </w:p>
        </w:tc>
      </w:tr>
      <w:tr w14:paraId="4A24304C">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3F641F28">
            <w:pPr>
              <w:widowControl/>
              <w:spacing w:line="240" w:lineRule="auto"/>
              <w:jc w:val="right"/>
              <w:rPr>
                <w:color w:val="000000"/>
                <w:kern w:val="0"/>
                <w:sz w:val="21"/>
                <w:szCs w:val="21"/>
              </w:rPr>
            </w:pPr>
            <w:r>
              <w:rPr>
                <w:color w:val="000000"/>
                <w:kern w:val="0"/>
                <w:sz w:val="21"/>
                <w:szCs w:val="21"/>
              </w:rPr>
              <w:t>34</w:t>
            </w:r>
          </w:p>
        </w:tc>
        <w:tc>
          <w:tcPr>
            <w:tcW w:w="1546" w:type="dxa"/>
            <w:tcBorders>
              <w:top w:val="nil"/>
              <w:left w:val="nil"/>
              <w:bottom w:val="single" w:color="auto" w:sz="4" w:space="0"/>
              <w:right w:val="single" w:color="auto" w:sz="4" w:space="0"/>
            </w:tcBorders>
            <w:vAlign w:val="center"/>
          </w:tcPr>
          <w:p w14:paraId="108602CA">
            <w:pPr>
              <w:widowControl/>
              <w:spacing w:line="240" w:lineRule="auto"/>
              <w:jc w:val="left"/>
              <w:rPr>
                <w:color w:val="000000"/>
                <w:kern w:val="0"/>
                <w:sz w:val="21"/>
                <w:szCs w:val="21"/>
              </w:rPr>
            </w:pPr>
            <w:r>
              <w:rPr>
                <w:color w:val="000000"/>
                <w:kern w:val="0"/>
                <w:sz w:val="21"/>
                <w:szCs w:val="21"/>
              </w:rPr>
              <w:t>20160317</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75A9460D">
            <w:pPr>
              <w:widowControl/>
              <w:spacing w:line="240" w:lineRule="auto"/>
              <w:jc w:val="center"/>
              <w:rPr>
                <w:color w:val="000000"/>
                <w:kern w:val="0"/>
                <w:sz w:val="21"/>
                <w:szCs w:val="21"/>
              </w:rPr>
            </w:pPr>
            <w:r>
              <w:rPr>
                <w:color w:val="000000"/>
                <w:kern w:val="0"/>
                <w:sz w:val="21"/>
                <w:szCs w:val="21"/>
              </w:rPr>
              <w:t>26836</w:t>
            </w:r>
          </w:p>
        </w:tc>
        <w:tc>
          <w:tcPr>
            <w:tcW w:w="2030" w:type="dxa"/>
            <w:tcBorders>
              <w:top w:val="nil"/>
              <w:left w:val="nil"/>
              <w:bottom w:val="single" w:color="auto" w:sz="4" w:space="0"/>
              <w:right w:val="single" w:color="auto" w:sz="4" w:space="0"/>
            </w:tcBorders>
            <w:vAlign w:val="center"/>
          </w:tcPr>
          <w:p w14:paraId="31D6B977">
            <w:pPr>
              <w:widowControl/>
              <w:spacing w:line="240" w:lineRule="auto"/>
              <w:jc w:val="center"/>
              <w:rPr>
                <w:color w:val="000000"/>
                <w:kern w:val="0"/>
                <w:sz w:val="21"/>
                <w:szCs w:val="21"/>
              </w:rPr>
            </w:pPr>
            <w:r>
              <w:rPr>
                <w:color w:val="000000"/>
                <w:kern w:val="0"/>
                <w:sz w:val="21"/>
                <w:szCs w:val="21"/>
              </w:rPr>
              <w:t>2.1</w:t>
            </w:r>
          </w:p>
        </w:tc>
        <w:tc>
          <w:tcPr>
            <w:tcW w:w="2030" w:type="dxa"/>
            <w:tcBorders>
              <w:top w:val="nil"/>
              <w:left w:val="nil"/>
              <w:bottom w:val="single" w:color="auto" w:sz="4" w:space="0"/>
              <w:right w:val="single" w:color="auto" w:sz="4" w:space="0"/>
            </w:tcBorders>
            <w:vAlign w:val="center"/>
          </w:tcPr>
          <w:p w14:paraId="779AC964">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0939882F">
            <w:pPr>
              <w:widowControl/>
              <w:spacing w:line="240" w:lineRule="auto"/>
              <w:jc w:val="center"/>
              <w:rPr>
                <w:color w:val="000000"/>
                <w:kern w:val="0"/>
                <w:sz w:val="21"/>
                <w:szCs w:val="21"/>
              </w:rPr>
            </w:pPr>
            <w:r>
              <w:rPr>
                <w:color w:val="000000"/>
                <w:kern w:val="0"/>
                <w:sz w:val="21"/>
                <w:szCs w:val="21"/>
              </w:rPr>
              <w:t>-</w:t>
            </w:r>
          </w:p>
        </w:tc>
      </w:tr>
      <w:tr w14:paraId="00FF9467">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654837B7">
            <w:pPr>
              <w:widowControl/>
              <w:spacing w:line="240" w:lineRule="auto"/>
              <w:jc w:val="right"/>
              <w:rPr>
                <w:color w:val="000000"/>
                <w:kern w:val="0"/>
                <w:sz w:val="21"/>
                <w:szCs w:val="21"/>
              </w:rPr>
            </w:pPr>
            <w:r>
              <w:rPr>
                <w:color w:val="000000"/>
                <w:kern w:val="0"/>
                <w:sz w:val="21"/>
                <w:szCs w:val="21"/>
              </w:rPr>
              <w:t>35</w:t>
            </w:r>
          </w:p>
        </w:tc>
        <w:tc>
          <w:tcPr>
            <w:tcW w:w="1546" w:type="dxa"/>
            <w:tcBorders>
              <w:top w:val="nil"/>
              <w:left w:val="nil"/>
              <w:bottom w:val="single" w:color="auto" w:sz="4" w:space="0"/>
              <w:right w:val="single" w:color="auto" w:sz="4" w:space="0"/>
            </w:tcBorders>
            <w:vAlign w:val="center"/>
          </w:tcPr>
          <w:p w14:paraId="3BCDA17D">
            <w:pPr>
              <w:widowControl/>
              <w:spacing w:line="240" w:lineRule="auto"/>
              <w:jc w:val="left"/>
              <w:rPr>
                <w:color w:val="000000"/>
                <w:kern w:val="0"/>
                <w:sz w:val="21"/>
                <w:szCs w:val="21"/>
              </w:rPr>
            </w:pPr>
            <w:r>
              <w:rPr>
                <w:color w:val="000000"/>
                <w:kern w:val="0"/>
                <w:sz w:val="21"/>
                <w:szCs w:val="21"/>
              </w:rPr>
              <w:t>20160316</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A1B6083">
            <w:pPr>
              <w:widowControl/>
              <w:spacing w:line="240" w:lineRule="auto"/>
              <w:jc w:val="center"/>
              <w:rPr>
                <w:color w:val="000000"/>
                <w:kern w:val="0"/>
                <w:sz w:val="21"/>
                <w:szCs w:val="21"/>
              </w:rPr>
            </w:pPr>
            <w:r>
              <w:rPr>
                <w:color w:val="000000"/>
                <w:kern w:val="0"/>
                <w:sz w:val="21"/>
                <w:szCs w:val="21"/>
              </w:rPr>
              <w:t>13876</w:t>
            </w:r>
          </w:p>
        </w:tc>
        <w:tc>
          <w:tcPr>
            <w:tcW w:w="2030" w:type="dxa"/>
            <w:tcBorders>
              <w:top w:val="nil"/>
              <w:left w:val="nil"/>
              <w:bottom w:val="single" w:color="auto" w:sz="4" w:space="0"/>
              <w:right w:val="single" w:color="auto" w:sz="4" w:space="0"/>
            </w:tcBorders>
            <w:vAlign w:val="center"/>
          </w:tcPr>
          <w:p w14:paraId="6BDAB8DA">
            <w:pPr>
              <w:widowControl/>
              <w:spacing w:line="240" w:lineRule="auto"/>
              <w:jc w:val="center"/>
              <w:rPr>
                <w:color w:val="000000"/>
                <w:kern w:val="0"/>
                <w:sz w:val="21"/>
                <w:szCs w:val="21"/>
              </w:rPr>
            </w:pPr>
            <w:r>
              <w:rPr>
                <w:color w:val="000000"/>
                <w:kern w:val="0"/>
                <w:sz w:val="21"/>
                <w:szCs w:val="21"/>
              </w:rPr>
              <w:t>5.3</w:t>
            </w:r>
          </w:p>
        </w:tc>
        <w:tc>
          <w:tcPr>
            <w:tcW w:w="2030" w:type="dxa"/>
            <w:tcBorders>
              <w:top w:val="nil"/>
              <w:left w:val="nil"/>
              <w:bottom w:val="single" w:color="auto" w:sz="4" w:space="0"/>
              <w:right w:val="single" w:color="auto" w:sz="4" w:space="0"/>
            </w:tcBorders>
            <w:vAlign w:val="center"/>
          </w:tcPr>
          <w:p w14:paraId="48C376D3">
            <w:pPr>
              <w:widowControl/>
              <w:spacing w:line="240" w:lineRule="auto"/>
              <w:jc w:val="center"/>
              <w:rPr>
                <w:color w:val="000000"/>
                <w:kern w:val="0"/>
                <w:sz w:val="21"/>
                <w:szCs w:val="21"/>
              </w:rPr>
            </w:pPr>
            <w:r>
              <w:rPr>
                <w:color w:val="000000"/>
                <w:kern w:val="0"/>
                <w:sz w:val="21"/>
                <w:szCs w:val="21"/>
              </w:rPr>
              <w:t>18.7</w:t>
            </w:r>
          </w:p>
        </w:tc>
        <w:tc>
          <w:tcPr>
            <w:tcW w:w="1060" w:type="dxa"/>
            <w:tcBorders>
              <w:top w:val="nil"/>
              <w:left w:val="nil"/>
              <w:bottom w:val="single" w:color="auto" w:sz="4" w:space="0"/>
              <w:right w:val="single" w:color="auto" w:sz="4" w:space="0"/>
            </w:tcBorders>
            <w:vAlign w:val="center"/>
          </w:tcPr>
          <w:p w14:paraId="7CA480DF">
            <w:pPr>
              <w:widowControl/>
              <w:spacing w:line="240" w:lineRule="auto"/>
              <w:jc w:val="center"/>
              <w:rPr>
                <w:color w:val="000000"/>
                <w:kern w:val="0"/>
                <w:sz w:val="21"/>
                <w:szCs w:val="21"/>
              </w:rPr>
            </w:pPr>
            <w:r>
              <w:rPr>
                <w:color w:val="000000"/>
                <w:kern w:val="0"/>
                <w:sz w:val="21"/>
                <w:szCs w:val="21"/>
              </w:rPr>
              <w:t>2</w:t>
            </w:r>
          </w:p>
        </w:tc>
      </w:tr>
      <w:tr w14:paraId="071444B2">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4C1612A2">
            <w:pPr>
              <w:widowControl/>
              <w:spacing w:line="240" w:lineRule="auto"/>
              <w:jc w:val="right"/>
              <w:rPr>
                <w:color w:val="000000"/>
                <w:kern w:val="0"/>
                <w:sz w:val="21"/>
                <w:szCs w:val="21"/>
              </w:rPr>
            </w:pPr>
            <w:r>
              <w:rPr>
                <w:color w:val="000000"/>
                <w:kern w:val="0"/>
                <w:sz w:val="21"/>
                <w:szCs w:val="21"/>
              </w:rPr>
              <w:t>36</w:t>
            </w:r>
          </w:p>
        </w:tc>
        <w:tc>
          <w:tcPr>
            <w:tcW w:w="1546" w:type="dxa"/>
            <w:tcBorders>
              <w:top w:val="nil"/>
              <w:left w:val="nil"/>
              <w:bottom w:val="single" w:color="auto" w:sz="4" w:space="0"/>
              <w:right w:val="single" w:color="auto" w:sz="4" w:space="0"/>
            </w:tcBorders>
            <w:vAlign w:val="center"/>
          </w:tcPr>
          <w:p w14:paraId="5875D1DA">
            <w:pPr>
              <w:widowControl/>
              <w:spacing w:line="240" w:lineRule="auto"/>
              <w:jc w:val="left"/>
              <w:rPr>
                <w:color w:val="000000"/>
                <w:kern w:val="0"/>
                <w:sz w:val="21"/>
                <w:szCs w:val="21"/>
              </w:rPr>
            </w:pPr>
            <w:r>
              <w:rPr>
                <w:color w:val="000000"/>
                <w:kern w:val="0"/>
                <w:sz w:val="21"/>
                <w:szCs w:val="21"/>
              </w:rPr>
              <w:t>20160316</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0F9C7989">
            <w:pPr>
              <w:widowControl/>
              <w:spacing w:line="240" w:lineRule="auto"/>
              <w:jc w:val="center"/>
              <w:rPr>
                <w:color w:val="000000"/>
                <w:kern w:val="0"/>
                <w:sz w:val="21"/>
                <w:szCs w:val="21"/>
              </w:rPr>
            </w:pPr>
            <w:r>
              <w:rPr>
                <w:color w:val="000000"/>
                <w:kern w:val="0"/>
                <w:sz w:val="21"/>
                <w:szCs w:val="21"/>
              </w:rPr>
              <w:t>15908</w:t>
            </w:r>
          </w:p>
        </w:tc>
        <w:tc>
          <w:tcPr>
            <w:tcW w:w="2030" w:type="dxa"/>
            <w:tcBorders>
              <w:top w:val="nil"/>
              <w:left w:val="nil"/>
              <w:bottom w:val="single" w:color="auto" w:sz="4" w:space="0"/>
              <w:right w:val="single" w:color="auto" w:sz="4" w:space="0"/>
            </w:tcBorders>
            <w:vAlign w:val="center"/>
          </w:tcPr>
          <w:p w14:paraId="69F9FDDF">
            <w:pPr>
              <w:widowControl/>
              <w:spacing w:line="240" w:lineRule="auto"/>
              <w:jc w:val="center"/>
              <w:rPr>
                <w:color w:val="000000"/>
                <w:kern w:val="0"/>
                <w:sz w:val="21"/>
                <w:szCs w:val="21"/>
              </w:rPr>
            </w:pPr>
            <w:r>
              <w:rPr>
                <w:color w:val="000000"/>
                <w:kern w:val="0"/>
                <w:sz w:val="21"/>
                <w:szCs w:val="21"/>
              </w:rPr>
              <w:t>1.4</w:t>
            </w:r>
          </w:p>
        </w:tc>
        <w:tc>
          <w:tcPr>
            <w:tcW w:w="2030" w:type="dxa"/>
            <w:tcBorders>
              <w:top w:val="nil"/>
              <w:left w:val="nil"/>
              <w:bottom w:val="single" w:color="auto" w:sz="4" w:space="0"/>
              <w:right w:val="single" w:color="auto" w:sz="4" w:space="0"/>
            </w:tcBorders>
            <w:vAlign w:val="center"/>
          </w:tcPr>
          <w:p w14:paraId="009FC2ED">
            <w:pPr>
              <w:widowControl/>
              <w:spacing w:line="240" w:lineRule="auto"/>
              <w:jc w:val="center"/>
              <w:rPr>
                <w:color w:val="000000"/>
                <w:kern w:val="0"/>
                <w:sz w:val="21"/>
                <w:szCs w:val="21"/>
              </w:rPr>
            </w:pPr>
            <w:r>
              <w:rPr>
                <w:color w:val="000000"/>
                <w:kern w:val="0"/>
                <w:sz w:val="21"/>
                <w:szCs w:val="21"/>
              </w:rPr>
              <w:t>5.7</w:t>
            </w:r>
          </w:p>
        </w:tc>
        <w:tc>
          <w:tcPr>
            <w:tcW w:w="1060" w:type="dxa"/>
            <w:tcBorders>
              <w:top w:val="nil"/>
              <w:left w:val="nil"/>
              <w:bottom w:val="single" w:color="auto" w:sz="4" w:space="0"/>
              <w:right w:val="single" w:color="auto" w:sz="4" w:space="0"/>
            </w:tcBorders>
            <w:vAlign w:val="center"/>
          </w:tcPr>
          <w:p w14:paraId="602124F2">
            <w:pPr>
              <w:widowControl/>
              <w:spacing w:line="240" w:lineRule="auto"/>
              <w:jc w:val="center"/>
              <w:rPr>
                <w:color w:val="000000"/>
                <w:kern w:val="0"/>
                <w:sz w:val="21"/>
                <w:szCs w:val="21"/>
              </w:rPr>
            </w:pPr>
            <w:r>
              <w:rPr>
                <w:color w:val="000000"/>
                <w:kern w:val="0"/>
                <w:sz w:val="21"/>
                <w:szCs w:val="21"/>
              </w:rPr>
              <w:t>2</w:t>
            </w:r>
          </w:p>
        </w:tc>
      </w:tr>
      <w:tr w14:paraId="498FF55F">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60532FB1">
            <w:pPr>
              <w:widowControl/>
              <w:spacing w:line="240" w:lineRule="auto"/>
              <w:jc w:val="right"/>
              <w:rPr>
                <w:color w:val="000000"/>
                <w:kern w:val="0"/>
                <w:sz w:val="21"/>
                <w:szCs w:val="21"/>
              </w:rPr>
            </w:pPr>
            <w:r>
              <w:rPr>
                <w:color w:val="000000"/>
                <w:kern w:val="0"/>
                <w:sz w:val="21"/>
                <w:szCs w:val="21"/>
              </w:rPr>
              <w:t>37</w:t>
            </w:r>
          </w:p>
        </w:tc>
        <w:tc>
          <w:tcPr>
            <w:tcW w:w="1546" w:type="dxa"/>
            <w:tcBorders>
              <w:top w:val="nil"/>
              <w:left w:val="nil"/>
              <w:bottom w:val="single" w:color="auto" w:sz="4" w:space="0"/>
              <w:right w:val="single" w:color="auto" w:sz="4" w:space="0"/>
            </w:tcBorders>
            <w:vAlign w:val="center"/>
          </w:tcPr>
          <w:p w14:paraId="223156D6">
            <w:pPr>
              <w:widowControl/>
              <w:spacing w:line="240" w:lineRule="auto"/>
              <w:jc w:val="left"/>
              <w:rPr>
                <w:color w:val="000000"/>
                <w:kern w:val="0"/>
                <w:sz w:val="21"/>
                <w:szCs w:val="21"/>
              </w:rPr>
            </w:pPr>
            <w:r>
              <w:rPr>
                <w:color w:val="000000"/>
                <w:kern w:val="0"/>
                <w:sz w:val="21"/>
                <w:szCs w:val="21"/>
              </w:rPr>
              <w:t>20160223</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3000FD76">
            <w:pPr>
              <w:widowControl/>
              <w:spacing w:line="240" w:lineRule="auto"/>
              <w:jc w:val="center"/>
              <w:rPr>
                <w:color w:val="000000"/>
                <w:kern w:val="0"/>
                <w:sz w:val="21"/>
                <w:szCs w:val="21"/>
              </w:rPr>
            </w:pPr>
            <w:r>
              <w:rPr>
                <w:color w:val="000000"/>
                <w:kern w:val="0"/>
                <w:sz w:val="21"/>
                <w:szCs w:val="21"/>
              </w:rPr>
              <w:t>12580</w:t>
            </w:r>
          </w:p>
        </w:tc>
        <w:tc>
          <w:tcPr>
            <w:tcW w:w="2030" w:type="dxa"/>
            <w:tcBorders>
              <w:top w:val="nil"/>
              <w:left w:val="nil"/>
              <w:bottom w:val="single" w:color="auto" w:sz="4" w:space="0"/>
              <w:right w:val="single" w:color="auto" w:sz="4" w:space="0"/>
            </w:tcBorders>
            <w:vAlign w:val="center"/>
          </w:tcPr>
          <w:p w14:paraId="341AC7AD">
            <w:pPr>
              <w:widowControl/>
              <w:spacing w:line="240" w:lineRule="auto"/>
              <w:jc w:val="center"/>
              <w:rPr>
                <w:color w:val="000000"/>
                <w:kern w:val="0"/>
                <w:sz w:val="21"/>
                <w:szCs w:val="21"/>
              </w:rPr>
            </w:pPr>
            <w:r>
              <w:rPr>
                <w:color w:val="000000"/>
                <w:kern w:val="0"/>
                <w:sz w:val="21"/>
                <w:szCs w:val="21"/>
              </w:rPr>
              <w:t>1.8</w:t>
            </w:r>
          </w:p>
        </w:tc>
        <w:tc>
          <w:tcPr>
            <w:tcW w:w="2030" w:type="dxa"/>
            <w:tcBorders>
              <w:top w:val="nil"/>
              <w:left w:val="nil"/>
              <w:bottom w:val="single" w:color="auto" w:sz="4" w:space="0"/>
              <w:right w:val="single" w:color="auto" w:sz="4" w:space="0"/>
            </w:tcBorders>
            <w:vAlign w:val="center"/>
          </w:tcPr>
          <w:p w14:paraId="6894D0F9">
            <w:pPr>
              <w:widowControl/>
              <w:spacing w:line="240" w:lineRule="auto"/>
              <w:jc w:val="center"/>
              <w:rPr>
                <w:color w:val="000000"/>
                <w:kern w:val="0"/>
                <w:sz w:val="21"/>
                <w:szCs w:val="21"/>
              </w:rPr>
            </w:pPr>
            <w:r>
              <w:rPr>
                <w:color w:val="000000"/>
                <w:kern w:val="0"/>
                <w:sz w:val="21"/>
                <w:szCs w:val="21"/>
              </w:rPr>
              <w:t>3.8</w:t>
            </w:r>
          </w:p>
        </w:tc>
        <w:tc>
          <w:tcPr>
            <w:tcW w:w="1060" w:type="dxa"/>
            <w:tcBorders>
              <w:top w:val="nil"/>
              <w:left w:val="nil"/>
              <w:bottom w:val="single" w:color="auto" w:sz="4" w:space="0"/>
              <w:right w:val="single" w:color="auto" w:sz="4" w:space="0"/>
            </w:tcBorders>
            <w:vAlign w:val="center"/>
          </w:tcPr>
          <w:p w14:paraId="12A5F202">
            <w:pPr>
              <w:widowControl/>
              <w:spacing w:line="240" w:lineRule="auto"/>
              <w:jc w:val="center"/>
              <w:rPr>
                <w:color w:val="000000"/>
                <w:kern w:val="0"/>
                <w:sz w:val="21"/>
                <w:szCs w:val="21"/>
              </w:rPr>
            </w:pPr>
            <w:r>
              <w:rPr>
                <w:color w:val="000000"/>
                <w:kern w:val="0"/>
                <w:sz w:val="21"/>
                <w:szCs w:val="21"/>
              </w:rPr>
              <w:t>3</w:t>
            </w:r>
          </w:p>
        </w:tc>
      </w:tr>
      <w:tr w14:paraId="522A20EE">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2768A5F">
            <w:pPr>
              <w:widowControl/>
              <w:spacing w:line="240" w:lineRule="auto"/>
              <w:jc w:val="right"/>
              <w:rPr>
                <w:color w:val="000000"/>
                <w:kern w:val="0"/>
                <w:sz w:val="21"/>
                <w:szCs w:val="21"/>
              </w:rPr>
            </w:pPr>
            <w:r>
              <w:rPr>
                <w:color w:val="000000"/>
                <w:kern w:val="0"/>
                <w:sz w:val="21"/>
                <w:szCs w:val="21"/>
              </w:rPr>
              <w:t>38</w:t>
            </w:r>
          </w:p>
        </w:tc>
        <w:tc>
          <w:tcPr>
            <w:tcW w:w="1546" w:type="dxa"/>
            <w:tcBorders>
              <w:top w:val="nil"/>
              <w:left w:val="nil"/>
              <w:bottom w:val="single" w:color="auto" w:sz="4" w:space="0"/>
              <w:right w:val="single" w:color="auto" w:sz="4" w:space="0"/>
            </w:tcBorders>
            <w:vAlign w:val="center"/>
          </w:tcPr>
          <w:p w14:paraId="323D3ACA">
            <w:pPr>
              <w:widowControl/>
              <w:spacing w:line="240" w:lineRule="auto"/>
              <w:jc w:val="left"/>
              <w:rPr>
                <w:color w:val="000000"/>
                <w:kern w:val="0"/>
                <w:sz w:val="21"/>
                <w:szCs w:val="21"/>
              </w:rPr>
            </w:pPr>
            <w:r>
              <w:rPr>
                <w:color w:val="000000"/>
                <w:kern w:val="0"/>
                <w:sz w:val="21"/>
                <w:szCs w:val="21"/>
              </w:rPr>
              <w:t>20160722</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14A97D65">
            <w:pPr>
              <w:widowControl/>
              <w:spacing w:line="240" w:lineRule="auto"/>
              <w:jc w:val="center"/>
              <w:rPr>
                <w:color w:val="000000"/>
                <w:kern w:val="0"/>
                <w:sz w:val="21"/>
                <w:szCs w:val="21"/>
              </w:rPr>
            </w:pPr>
            <w:r>
              <w:rPr>
                <w:color w:val="000000"/>
                <w:kern w:val="0"/>
                <w:sz w:val="21"/>
                <w:szCs w:val="21"/>
              </w:rPr>
              <w:t>15929</w:t>
            </w:r>
          </w:p>
        </w:tc>
        <w:tc>
          <w:tcPr>
            <w:tcW w:w="2030" w:type="dxa"/>
            <w:tcBorders>
              <w:top w:val="nil"/>
              <w:left w:val="nil"/>
              <w:bottom w:val="single" w:color="auto" w:sz="4" w:space="0"/>
              <w:right w:val="single" w:color="auto" w:sz="4" w:space="0"/>
            </w:tcBorders>
            <w:vAlign w:val="center"/>
          </w:tcPr>
          <w:p w14:paraId="0F03C6E1">
            <w:pPr>
              <w:widowControl/>
              <w:spacing w:line="240" w:lineRule="auto"/>
              <w:jc w:val="center"/>
              <w:rPr>
                <w:color w:val="000000"/>
                <w:kern w:val="0"/>
                <w:sz w:val="21"/>
                <w:szCs w:val="21"/>
              </w:rPr>
            </w:pPr>
            <w:r>
              <w:rPr>
                <w:color w:val="000000"/>
                <w:kern w:val="0"/>
                <w:sz w:val="21"/>
                <w:szCs w:val="21"/>
              </w:rPr>
              <w:t>2.3</w:t>
            </w:r>
          </w:p>
        </w:tc>
        <w:tc>
          <w:tcPr>
            <w:tcW w:w="2030" w:type="dxa"/>
            <w:tcBorders>
              <w:top w:val="nil"/>
              <w:left w:val="nil"/>
              <w:bottom w:val="single" w:color="auto" w:sz="4" w:space="0"/>
              <w:right w:val="single" w:color="auto" w:sz="4" w:space="0"/>
            </w:tcBorders>
            <w:vAlign w:val="center"/>
          </w:tcPr>
          <w:p w14:paraId="08641162">
            <w:pPr>
              <w:widowControl/>
              <w:spacing w:line="240" w:lineRule="auto"/>
              <w:jc w:val="center"/>
              <w:rPr>
                <w:color w:val="000000"/>
                <w:kern w:val="0"/>
                <w:sz w:val="21"/>
                <w:szCs w:val="21"/>
              </w:rPr>
            </w:pPr>
            <w:r>
              <w:rPr>
                <w:color w:val="000000"/>
                <w:kern w:val="0"/>
                <w:sz w:val="21"/>
                <w:szCs w:val="21"/>
              </w:rPr>
              <w:t>-</w:t>
            </w:r>
          </w:p>
        </w:tc>
        <w:tc>
          <w:tcPr>
            <w:tcW w:w="1060" w:type="dxa"/>
            <w:tcBorders>
              <w:top w:val="nil"/>
              <w:left w:val="nil"/>
              <w:bottom w:val="single" w:color="auto" w:sz="4" w:space="0"/>
              <w:right w:val="single" w:color="auto" w:sz="4" w:space="0"/>
            </w:tcBorders>
            <w:vAlign w:val="center"/>
          </w:tcPr>
          <w:p w14:paraId="01D4894F">
            <w:pPr>
              <w:widowControl/>
              <w:spacing w:line="240" w:lineRule="auto"/>
              <w:jc w:val="center"/>
              <w:rPr>
                <w:color w:val="000000"/>
                <w:kern w:val="0"/>
                <w:sz w:val="21"/>
                <w:szCs w:val="21"/>
              </w:rPr>
            </w:pPr>
            <w:r>
              <w:rPr>
                <w:color w:val="000000"/>
                <w:kern w:val="0"/>
                <w:sz w:val="21"/>
                <w:szCs w:val="21"/>
              </w:rPr>
              <w:t>-</w:t>
            </w:r>
          </w:p>
        </w:tc>
      </w:tr>
      <w:tr w14:paraId="76826C2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11095172">
            <w:pPr>
              <w:widowControl/>
              <w:spacing w:line="240" w:lineRule="auto"/>
              <w:jc w:val="right"/>
              <w:rPr>
                <w:color w:val="000000"/>
                <w:kern w:val="0"/>
                <w:sz w:val="21"/>
                <w:szCs w:val="21"/>
              </w:rPr>
            </w:pPr>
            <w:r>
              <w:rPr>
                <w:color w:val="000000"/>
                <w:kern w:val="0"/>
                <w:sz w:val="21"/>
                <w:szCs w:val="21"/>
              </w:rPr>
              <w:t>39</w:t>
            </w:r>
          </w:p>
        </w:tc>
        <w:tc>
          <w:tcPr>
            <w:tcW w:w="1546" w:type="dxa"/>
            <w:tcBorders>
              <w:top w:val="nil"/>
              <w:left w:val="nil"/>
              <w:bottom w:val="single" w:color="auto" w:sz="4" w:space="0"/>
              <w:right w:val="single" w:color="auto" w:sz="4" w:space="0"/>
            </w:tcBorders>
            <w:vAlign w:val="center"/>
          </w:tcPr>
          <w:p w14:paraId="1FB207FC">
            <w:pPr>
              <w:widowControl/>
              <w:spacing w:line="240" w:lineRule="auto"/>
              <w:jc w:val="left"/>
              <w:rPr>
                <w:color w:val="000000"/>
                <w:kern w:val="0"/>
                <w:sz w:val="21"/>
                <w:szCs w:val="21"/>
              </w:rPr>
            </w:pPr>
            <w:r>
              <w:rPr>
                <w:color w:val="000000"/>
                <w:kern w:val="0"/>
                <w:sz w:val="21"/>
                <w:szCs w:val="21"/>
              </w:rPr>
              <w:t>20160728</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02488A18">
            <w:pPr>
              <w:widowControl/>
              <w:spacing w:line="240" w:lineRule="auto"/>
              <w:jc w:val="center"/>
              <w:rPr>
                <w:color w:val="000000"/>
                <w:kern w:val="0"/>
                <w:sz w:val="21"/>
                <w:szCs w:val="21"/>
              </w:rPr>
            </w:pPr>
            <w:r>
              <w:rPr>
                <w:color w:val="000000"/>
                <w:kern w:val="0"/>
                <w:sz w:val="21"/>
                <w:szCs w:val="21"/>
              </w:rPr>
              <w:t>10243</w:t>
            </w:r>
          </w:p>
        </w:tc>
        <w:tc>
          <w:tcPr>
            <w:tcW w:w="2030" w:type="dxa"/>
            <w:tcBorders>
              <w:top w:val="nil"/>
              <w:left w:val="nil"/>
              <w:bottom w:val="single" w:color="auto" w:sz="4" w:space="0"/>
              <w:right w:val="single" w:color="auto" w:sz="4" w:space="0"/>
            </w:tcBorders>
            <w:vAlign w:val="center"/>
          </w:tcPr>
          <w:p w14:paraId="4D1DDADC">
            <w:pPr>
              <w:widowControl/>
              <w:spacing w:line="240" w:lineRule="auto"/>
              <w:jc w:val="center"/>
              <w:rPr>
                <w:color w:val="000000"/>
                <w:kern w:val="0"/>
                <w:sz w:val="21"/>
                <w:szCs w:val="21"/>
              </w:rPr>
            </w:pPr>
            <w:r>
              <w:rPr>
                <w:color w:val="000000"/>
                <w:kern w:val="0"/>
                <w:sz w:val="21"/>
                <w:szCs w:val="21"/>
              </w:rPr>
              <w:t>3.5</w:t>
            </w:r>
          </w:p>
        </w:tc>
        <w:tc>
          <w:tcPr>
            <w:tcW w:w="2030" w:type="dxa"/>
            <w:tcBorders>
              <w:top w:val="nil"/>
              <w:left w:val="nil"/>
              <w:bottom w:val="single" w:color="auto" w:sz="4" w:space="0"/>
              <w:right w:val="single" w:color="auto" w:sz="4" w:space="0"/>
            </w:tcBorders>
            <w:vAlign w:val="center"/>
          </w:tcPr>
          <w:p w14:paraId="7488F9CF">
            <w:pPr>
              <w:widowControl/>
              <w:spacing w:line="240" w:lineRule="auto"/>
              <w:jc w:val="center"/>
              <w:rPr>
                <w:color w:val="000000"/>
                <w:kern w:val="0"/>
                <w:sz w:val="21"/>
                <w:szCs w:val="21"/>
              </w:rPr>
            </w:pPr>
            <w:r>
              <w:rPr>
                <w:color w:val="000000"/>
                <w:kern w:val="0"/>
                <w:sz w:val="21"/>
                <w:szCs w:val="21"/>
              </w:rPr>
              <w:t>6.0</w:t>
            </w:r>
          </w:p>
        </w:tc>
        <w:tc>
          <w:tcPr>
            <w:tcW w:w="1060" w:type="dxa"/>
            <w:tcBorders>
              <w:top w:val="nil"/>
              <w:left w:val="nil"/>
              <w:bottom w:val="single" w:color="auto" w:sz="4" w:space="0"/>
              <w:right w:val="single" w:color="auto" w:sz="4" w:space="0"/>
            </w:tcBorders>
            <w:vAlign w:val="center"/>
          </w:tcPr>
          <w:p w14:paraId="6D6F5864">
            <w:pPr>
              <w:widowControl/>
              <w:spacing w:line="240" w:lineRule="auto"/>
              <w:jc w:val="center"/>
              <w:rPr>
                <w:color w:val="000000"/>
                <w:kern w:val="0"/>
                <w:sz w:val="21"/>
                <w:szCs w:val="21"/>
              </w:rPr>
            </w:pPr>
            <w:r>
              <w:rPr>
                <w:color w:val="000000"/>
                <w:kern w:val="0"/>
                <w:sz w:val="21"/>
                <w:szCs w:val="21"/>
              </w:rPr>
              <w:t>3</w:t>
            </w:r>
          </w:p>
        </w:tc>
      </w:tr>
      <w:tr w14:paraId="7D0F7599">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227B795B">
            <w:pPr>
              <w:widowControl/>
              <w:spacing w:line="240" w:lineRule="auto"/>
              <w:jc w:val="right"/>
              <w:rPr>
                <w:color w:val="000000"/>
                <w:kern w:val="0"/>
                <w:sz w:val="21"/>
                <w:szCs w:val="21"/>
              </w:rPr>
            </w:pPr>
            <w:r>
              <w:rPr>
                <w:color w:val="000000"/>
                <w:kern w:val="0"/>
                <w:sz w:val="21"/>
                <w:szCs w:val="21"/>
              </w:rPr>
              <w:t>40</w:t>
            </w:r>
          </w:p>
        </w:tc>
        <w:tc>
          <w:tcPr>
            <w:tcW w:w="1546" w:type="dxa"/>
            <w:tcBorders>
              <w:top w:val="nil"/>
              <w:left w:val="nil"/>
              <w:bottom w:val="single" w:color="auto" w:sz="4" w:space="0"/>
              <w:right w:val="single" w:color="auto" w:sz="4" w:space="0"/>
            </w:tcBorders>
            <w:vAlign w:val="center"/>
          </w:tcPr>
          <w:p w14:paraId="5E24F8EB">
            <w:pPr>
              <w:widowControl/>
              <w:spacing w:line="240" w:lineRule="auto"/>
              <w:jc w:val="left"/>
              <w:rPr>
                <w:color w:val="000000"/>
                <w:kern w:val="0"/>
                <w:sz w:val="21"/>
                <w:szCs w:val="21"/>
              </w:rPr>
            </w:pPr>
            <w:r>
              <w:rPr>
                <w:color w:val="000000"/>
                <w:kern w:val="0"/>
                <w:sz w:val="21"/>
                <w:szCs w:val="21"/>
              </w:rPr>
              <w:t>20160728</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7E18E3B">
            <w:pPr>
              <w:widowControl/>
              <w:spacing w:line="240" w:lineRule="auto"/>
              <w:jc w:val="center"/>
              <w:rPr>
                <w:color w:val="000000"/>
                <w:kern w:val="0"/>
                <w:sz w:val="21"/>
                <w:szCs w:val="21"/>
              </w:rPr>
            </w:pPr>
            <w:r>
              <w:rPr>
                <w:color w:val="000000"/>
                <w:kern w:val="0"/>
                <w:sz w:val="21"/>
                <w:szCs w:val="21"/>
              </w:rPr>
              <w:t>15197</w:t>
            </w:r>
          </w:p>
        </w:tc>
        <w:tc>
          <w:tcPr>
            <w:tcW w:w="2030" w:type="dxa"/>
            <w:tcBorders>
              <w:top w:val="nil"/>
              <w:left w:val="nil"/>
              <w:bottom w:val="single" w:color="auto" w:sz="4" w:space="0"/>
              <w:right w:val="single" w:color="auto" w:sz="4" w:space="0"/>
            </w:tcBorders>
            <w:vAlign w:val="center"/>
          </w:tcPr>
          <w:p w14:paraId="07CC0DE3">
            <w:pPr>
              <w:widowControl/>
              <w:spacing w:line="240" w:lineRule="auto"/>
              <w:jc w:val="center"/>
              <w:rPr>
                <w:color w:val="000000"/>
                <w:kern w:val="0"/>
                <w:sz w:val="21"/>
                <w:szCs w:val="21"/>
              </w:rPr>
            </w:pPr>
            <w:r>
              <w:rPr>
                <w:color w:val="000000"/>
                <w:kern w:val="0"/>
                <w:sz w:val="21"/>
                <w:szCs w:val="21"/>
              </w:rPr>
              <w:t>3.7</w:t>
            </w:r>
          </w:p>
        </w:tc>
        <w:tc>
          <w:tcPr>
            <w:tcW w:w="2030" w:type="dxa"/>
            <w:tcBorders>
              <w:top w:val="nil"/>
              <w:left w:val="nil"/>
              <w:bottom w:val="single" w:color="auto" w:sz="4" w:space="0"/>
              <w:right w:val="single" w:color="auto" w:sz="4" w:space="0"/>
            </w:tcBorders>
            <w:vAlign w:val="center"/>
          </w:tcPr>
          <w:p w14:paraId="4ACDAA97">
            <w:pPr>
              <w:widowControl/>
              <w:spacing w:line="240" w:lineRule="auto"/>
              <w:jc w:val="center"/>
              <w:rPr>
                <w:color w:val="000000"/>
                <w:kern w:val="0"/>
                <w:sz w:val="21"/>
                <w:szCs w:val="21"/>
              </w:rPr>
            </w:pPr>
            <w:r>
              <w:rPr>
                <w:color w:val="000000"/>
                <w:kern w:val="0"/>
                <w:sz w:val="21"/>
                <w:szCs w:val="21"/>
              </w:rPr>
              <w:t>9.5</w:t>
            </w:r>
          </w:p>
        </w:tc>
        <w:tc>
          <w:tcPr>
            <w:tcW w:w="1060" w:type="dxa"/>
            <w:tcBorders>
              <w:top w:val="nil"/>
              <w:left w:val="nil"/>
              <w:bottom w:val="single" w:color="auto" w:sz="4" w:space="0"/>
              <w:right w:val="single" w:color="auto" w:sz="4" w:space="0"/>
            </w:tcBorders>
            <w:vAlign w:val="center"/>
          </w:tcPr>
          <w:p w14:paraId="41A7C803">
            <w:pPr>
              <w:widowControl/>
              <w:spacing w:line="240" w:lineRule="auto"/>
              <w:jc w:val="center"/>
              <w:rPr>
                <w:color w:val="000000"/>
                <w:kern w:val="0"/>
                <w:sz w:val="21"/>
                <w:szCs w:val="21"/>
              </w:rPr>
            </w:pPr>
            <w:r>
              <w:rPr>
                <w:color w:val="000000"/>
                <w:kern w:val="0"/>
                <w:sz w:val="21"/>
                <w:szCs w:val="21"/>
              </w:rPr>
              <w:t>3</w:t>
            </w:r>
          </w:p>
        </w:tc>
      </w:tr>
      <w:tr w14:paraId="744B1678">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0F9CD6F2">
            <w:pPr>
              <w:widowControl/>
              <w:spacing w:line="240" w:lineRule="auto"/>
              <w:jc w:val="right"/>
              <w:rPr>
                <w:color w:val="000000"/>
                <w:kern w:val="0"/>
                <w:sz w:val="21"/>
                <w:szCs w:val="21"/>
              </w:rPr>
            </w:pPr>
            <w:r>
              <w:rPr>
                <w:color w:val="000000"/>
                <w:kern w:val="0"/>
                <w:sz w:val="21"/>
                <w:szCs w:val="21"/>
              </w:rPr>
              <w:t>41</w:t>
            </w:r>
          </w:p>
        </w:tc>
        <w:tc>
          <w:tcPr>
            <w:tcW w:w="1546" w:type="dxa"/>
            <w:tcBorders>
              <w:top w:val="nil"/>
              <w:left w:val="nil"/>
              <w:bottom w:val="single" w:color="auto" w:sz="4" w:space="0"/>
              <w:right w:val="single" w:color="auto" w:sz="4" w:space="0"/>
            </w:tcBorders>
            <w:vAlign w:val="center"/>
          </w:tcPr>
          <w:p w14:paraId="1B1260B6">
            <w:pPr>
              <w:widowControl/>
              <w:spacing w:line="240" w:lineRule="auto"/>
              <w:jc w:val="left"/>
              <w:rPr>
                <w:color w:val="000000"/>
                <w:kern w:val="0"/>
                <w:sz w:val="21"/>
                <w:szCs w:val="21"/>
              </w:rPr>
            </w:pPr>
            <w:r>
              <w:rPr>
                <w:color w:val="000000"/>
                <w:kern w:val="0"/>
                <w:sz w:val="21"/>
                <w:szCs w:val="21"/>
              </w:rPr>
              <w:t>20160728</w:t>
            </w:r>
            <w:r>
              <w:rPr>
                <w:rFonts w:hint="eastAsia" w:hAnsi="宋体"/>
                <w:color w:val="000000"/>
                <w:kern w:val="0"/>
                <w:sz w:val="21"/>
                <w:szCs w:val="21"/>
              </w:rPr>
              <w:t>晚上</w:t>
            </w:r>
          </w:p>
        </w:tc>
        <w:tc>
          <w:tcPr>
            <w:tcW w:w="1331" w:type="dxa"/>
            <w:tcBorders>
              <w:top w:val="nil"/>
              <w:left w:val="nil"/>
              <w:bottom w:val="single" w:color="auto" w:sz="4" w:space="0"/>
              <w:right w:val="single" w:color="auto" w:sz="4" w:space="0"/>
            </w:tcBorders>
            <w:vAlign w:val="center"/>
          </w:tcPr>
          <w:p w14:paraId="22EA9074">
            <w:pPr>
              <w:widowControl/>
              <w:spacing w:line="240" w:lineRule="auto"/>
              <w:jc w:val="center"/>
              <w:rPr>
                <w:color w:val="000000"/>
                <w:kern w:val="0"/>
                <w:sz w:val="21"/>
                <w:szCs w:val="21"/>
              </w:rPr>
            </w:pPr>
            <w:r>
              <w:rPr>
                <w:color w:val="000000"/>
                <w:kern w:val="0"/>
                <w:sz w:val="21"/>
                <w:szCs w:val="21"/>
              </w:rPr>
              <w:t>9613</w:t>
            </w:r>
          </w:p>
        </w:tc>
        <w:tc>
          <w:tcPr>
            <w:tcW w:w="2030" w:type="dxa"/>
            <w:tcBorders>
              <w:top w:val="nil"/>
              <w:left w:val="nil"/>
              <w:bottom w:val="single" w:color="auto" w:sz="4" w:space="0"/>
              <w:right w:val="single" w:color="auto" w:sz="4" w:space="0"/>
            </w:tcBorders>
            <w:vAlign w:val="center"/>
          </w:tcPr>
          <w:p w14:paraId="746C86A1">
            <w:pPr>
              <w:widowControl/>
              <w:spacing w:line="240" w:lineRule="auto"/>
              <w:jc w:val="center"/>
              <w:rPr>
                <w:color w:val="000000"/>
                <w:kern w:val="0"/>
                <w:sz w:val="21"/>
                <w:szCs w:val="21"/>
              </w:rPr>
            </w:pPr>
            <w:r>
              <w:rPr>
                <w:color w:val="000000"/>
                <w:kern w:val="0"/>
                <w:sz w:val="21"/>
                <w:szCs w:val="21"/>
              </w:rPr>
              <w:t>2.0</w:t>
            </w:r>
          </w:p>
        </w:tc>
        <w:tc>
          <w:tcPr>
            <w:tcW w:w="2030" w:type="dxa"/>
            <w:tcBorders>
              <w:top w:val="nil"/>
              <w:left w:val="nil"/>
              <w:bottom w:val="single" w:color="auto" w:sz="4" w:space="0"/>
              <w:right w:val="single" w:color="auto" w:sz="4" w:space="0"/>
            </w:tcBorders>
            <w:vAlign w:val="center"/>
          </w:tcPr>
          <w:p w14:paraId="496E48FC">
            <w:pPr>
              <w:widowControl/>
              <w:spacing w:line="240" w:lineRule="auto"/>
              <w:jc w:val="center"/>
              <w:rPr>
                <w:color w:val="000000"/>
                <w:kern w:val="0"/>
                <w:sz w:val="21"/>
                <w:szCs w:val="21"/>
              </w:rPr>
            </w:pPr>
            <w:r>
              <w:rPr>
                <w:color w:val="000000"/>
                <w:kern w:val="0"/>
                <w:sz w:val="21"/>
                <w:szCs w:val="21"/>
              </w:rPr>
              <w:t>3.2</w:t>
            </w:r>
          </w:p>
        </w:tc>
        <w:tc>
          <w:tcPr>
            <w:tcW w:w="1060" w:type="dxa"/>
            <w:tcBorders>
              <w:top w:val="nil"/>
              <w:left w:val="nil"/>
              <w:bottom w:val="single" w:color="auto" w:sz="4" w:space="0"/>
              <w:right w:val="single" w:color="auto" w:sz="4" w:space="0"/>
            </w:tcBorders>
            <w:vAlign w:val="center"/>
          </w:tcPr>
          <w:p w14:paraId="25459A14">
            <w:pPr>
              <w:widowControl/>
              <w:spacing w:line="240" w:lineRule="auto"/>
              <w:jc w:val="center"/>
              <w:rPr>
                <w:color w:val="000000"/>
                <w:kern w:val="0"/>
                <w:sz w:val="21"/>
                <w:szCs w:val="21"/>
              </w:rPr>
            </w:pPr>
            <w:r>
              <w:rPr>
                <w:color w:val="000000"/>
                <w:kern w:val="0"/>
                <w:sz w:val="21"/>
                <w:szCs w:val="21"/>
              </w:rPr>
              <w:t>3</w:t>
            </w:r>
          </w:p>
        </w:tc>
      </w:tr>
      <w:tr w14:paraId="22A8898B">
        <w:tblPrEx>
          <w:tblCellMar>
            <w:top w:w="0" w:type="dxa"/>
            <w:left w:w="108" w:type="dxa"/>
            <w:bottom w:w="0" w:type="dxa"/>
            <w:right w:w="108" w:type="dxa"/>
          </w:tblCellMar>
        </w:tblPrEx>
        <w:trPr>
          <w:trHeight w:val="20" w:hRule="atLeast"/>
        </w:trPr>
        <w:tc>
          <w:tcPr>
            <w:tcW w:w="525" w:type="dxa"/>
            <w:tcBorders>
              <w:top w:val="nil"/>
              <w:left w:val="single" w:color="auto" w:sz="4" w:space="0"/>
              <w:bottom w:val="single" w:color="auto" w:sz="4" w:space="0"/>
              <w:right w:val="single" w:color="auto" w:sz="4" w:space="0"/>
            </w:tcBorders>
            <w:vAlign w:val="center"/>
          </w:tcPr>
          <w:p w14:paraId="7EF37C11">
            <w:pPr>
              <w:widowControl/>
              <w:spacing w:line="240" w:lineRule="auto"/>
              <w:jc w:val="right"/>
              <w:rPr>
                <w:color w:val="000000"/>
                <w:kern w:val="0"/>
                <w:sz w:val="21"/>
                <w:szCs w:val="21"/>
              </w:rPr>
            </w:pPr>
            <w:r>
              <w:rPr>
                <w:color w:val="000000"/>
                <w:kern w:val="0"/>
                <w:sz w:val="21"/>
                <w:szCs w:val="21"/>
              </w:rPr>
              <w:t>42</w:t>
            </w:r>
          </w:p>
        </w:tc>
        <w:tc>
          <w:tcPr>
            <w:tcW w:w="1546" w:type="dxa"/>
            <w:tcBorders>
              <w:top w:val="nil"/>
              <w:left w:val="nil"/>
              <w:bottom w:val="single" w:color="auto" w:sz="4" w:space="0"/>
              <w:right w:val="single" w:color="auto" w:sz="4" w:space="0"/>
            </w:tcBorders>
            <w:vAlign w:val="center"/>
          </w:tcPr>
          <w:p w14:paraId="6B133AAA">
            <w:pPr>
              <w:widowControl/>
              <w:spacing w:line="240" w:lineRule="auto"/>
              <w:jc w:val="left"/>
              <w:rPr>
                <w:color w:val="000000"/>
                <w:kern w:val="0"/>
                <w:sz w:val="21"/>
                <w:szCs w:val="21"/>
              </w:rPr>
            </w:pPr>
            <w:r>
              <w:rPr>
                <w:color w:val="000000"/>
                <w:kern w:val="0"/>
                <w:sz w:val="21"/>
                <w:szCs w:val="21"/>
              </w:rPr>
              <w:t>20160729</w:t>
            </w:r>
            <w:r>
              <w:rPr>
                <w:rFonts w:hint="eastAsia" w:hAnsi="宋体"/>
                <w:color w:val="000000"/>
                <w:kern w:val="0"/>
                <w:sz w:val="21"/>
                <w:szCs w:val="21"/>
              </w:rPr>
              <w:t>中午</w:t>
            </w:r>
          </w:p>
        </w:tc>
        <w:tc>
          <w:tcPr>
            <w:tcW w:w="1331" w:type="dxa"/>
            <w:tcBorders>
              <w:top w:val="nil"/>
              <w:left w:val="nil"/>
              <w:bottom w:val="single" w:color="auto" w:sz="4" w:space="0"/>
              <w:right w:val="single" w:color="auto" w:sz="4" w:space="0"/>
            </w:tcBorders>
            <w:vAlign w:val="center"/>
          </w:tcPr>
          <w:p w14:paraId="202CEFE8">
            <w:pPr>
              <w:widowControl/>
              <w:spacing w:line="240" w:lineRule="auto"/>
              <w:jc w:val="center"/>
              <w:rPr>
                <w:color w:val="000000"/>
                <w:kern w:val="0"/>
                <w:sz w:val="21"/>
                <w:szCs w:val="21"/>
              </w:rPr>
            </w:pPr>
            <w:r>
              <w:rPr>
                <w:color w:val="000000"/>
                <w:kern w:val="0"/>
                <w:sz w:val="21"/>
                <w:szCs w:val="21"/>
              </w:rPr>
              <w:t>3443</w:t>
            </w:r>
          </w:p>
        </w:tc>
        <w:tc>
          <w:tcPr>
            <w:tcW w:w="2030" w:type="dxa"/>
            <w:tcBorders>
              <w:top w:val="nil"/>
              <w:left w:val="nil"/>
              <w:bottom w:val="single" w:color="auto" w:sz="4" w:space="0"/>
              <w:right w:val="single" w:color="auto" w:sz="4" w:space="0"/>
            </w:tcBorders>
            <w:vAlign w:val="center"/>
          </w:tcPr>
          <w:p w14:paraId="6E59ED85">
            <w:pPr>
              <w:widowControl/>
              <w:spacing w:line="240" w:lineRule="auto"/>
              <w:jc w:val="center"/>
              <w:rPr>
                <w:color w:val="000000"/>
                <w:kern w:val="0"/>
                <w:sz w:val="21"/>
                <w:szCs w:val="21"/>
              </w:rPr>
            </w:pPr>
            <w:r>
              <w:rPr>
                <w:color w:val="000000"/>
                <w:kern w:val="0"/>
                <w:sz w:val="21"/>
                <w:szCs w:val="21"/>
              </w:rPr>
              <w:t>2.2</w:t>
            </w:r>
          </w:p>
        </w:tc>
        <w:tc>
          <w:tcPr>
            <w:tcW w:w="2030" w:type="dxa"/>
            <w:tcBorders>
              <w:top w:val="nil"/>
              <w:left w:val="nil"/>
              <w:bottom w:val="single" w:color="auto" w:sz="4" w:space="0"/>
              <w:right w:val="single" w:color="auto" w:sz="4" w:space="0"/>
            </w:tcBorders>
            <w:vAlign w:val="center"/>
          </w:tcPr>
          <w:p w14:paraId="4DBABE4B">
            <w:pPr>
              <w:widowControl/>
              <w:spacing w:line="240" w:lineRule="auto"/>
              <w:jc w:val="center"/>
              <w:rPr>
                <w:color w:val="000000"/>
                <w:kern w:val="0"/>
                <w:sz w:val="21"/>
                <w:szCs w:val="21"/>
              </w:rPr>
            </w:pPr>
            <w:r>
              <w:rPr>
                <w:color w:val="000000"/>
                <w:kern w:val="0"/>
                <w:sz w:val="21"/>
                <w:szCs w:val="21"/>
              </w:rPr>
              <w:t>3.9</w:t>
            </w:r>
          </w:p>
        </w:tc>
        <w:tc>
          <w:tcPr>
            <w:tcW w:w="1060" w:type="dxa"/>
            <w:tcBorders>
              <w:top w:val="nil"/>
              <w:left w:val="nil"/>
              <w:bottom w:val="single" w:color="auto" w:sz="4" w:space="0"/>
              <w:right w:val="single" w:color="auto" w:sz="4" w:space="0"/>
            </w:tcBorders>
            <w:vAlign w:val="center"/>
          </w:tcPr>
          <w:p w14:paraId="08F8B5BE">
            <w:pPr>
              <w:widowControl/>
              <w:spacing w:line="240" w:lineRule="auto"/>
              <w:jc w:val="center"/>
              <w:rPr>
                <w:color w:val="000000"/>
                <w:kern w:val="0"/>
                <w:sz w:val="21"/>
                <w:szCs w:val="21"/>
              </w:rPr>
            </w:pPr>
            <w:r>
              <w:rPr>
                <w:color w:val="000000"/>
                <w:kern w:val="0"/>
                <w:sz w:val="21"/>
                <w:szCs w:val="21"/>
              </w:rPr>
              <w:t>1</w:t>
            </w:r>
          </w:p>
        </w:tc>
      </w:tr>
    </w:tbl>
    <w:p w14:paraId="40DCA094">
      <w:pPr>
        <w:ind w:firstLine="480" w:firstLineChars="200"/>
      </w:pPr>
      <w:r>
        <w:rPr>
          <w:rFonts w:hint="eastAsia"/>
        </w:rPr>
        <w:t>从表</w:t>
      </w:r>
      <w:r>
        <w:t>6-3</w:t>
      </w:r>
      <w:r>
        <w:rPr>
          <w:rFonts w:hint="eastAsia"/>
        </w:rPr>
        <w:t>和图</w:t>
      </w:r>
      <w:r>
        <w:t>6-2</w:t>
      </w:r>
      <w:r>
        <w:rPr>
          <w:rFonts w:hint="eastAsia"/>
        </w:rPr>
        <w:t>可见，典型餐饮企业颗粒物的基准风量排放浓度在</w:t>
      </w:r>
      <w:r>
        <w:t>1.9~50.7 mg/m</w:t>
      </w:r>
      <w:r>
        <w:rPr>
          <w:vertAlign w:val="superscript"/>
        </w:rPr>
        <w:t>3</w:t>
      </w:r>
      <w:r>
        <w:rPr>
          <w:rFonts w:hint="eastAsia"/>
        </w:rPr>
        <w:t>之间，表明不同餐饮企业排放颗粒物的浓度差距显著。这与餐饮企业的规模、菜系类型、作业工况以及净化设施等影响因素有关。例如对于烤翅吧类企业，当客流量较少，只有</w:t>
      </w:r>
      <w:r>
        <w:t>30%</w:t>
      </w:r>
      <w:r>
        <w:rPr>
          <w:rFonts w:hint="eastAsia"/>
        </w:rPr>
        <w:t>的上座率时，颗粒物的排放浓度明显低于上座率</w:t>
      </w:r>
      <w:r>
        <w:t>70~100%</w:t>
      </w:r>
      <w:r>
        <w:rPr>
          <w:rFonts w:hint="eastAsia"/>
        </w:rPr>
        <w:t>的情况。从菜系类型来看，烧烤和川湘菜排放的大气污染物显著高于其他类型。</w:t>
      </w:r>
    </w:p>
    <w:p w14:paraId="43F872DA">
      <w:r>
        <w:pict>
          <v:shape id="_x0000_i1035" o:spt="75" type="#_x0000_t75" style="height:191.25pt;width:415.5pt;" filled="f" o:preferrelative="t" stroked="f" coordsize="21600,21600">
            <v:path/>
            <v:fill on="f" focussize="0,0"/>
            <v:stroke on="f" joinstyle="miter"/>
            <v:imagedata r:id="rId19" o:title=""/>
            <o:lock v:ext="edit" aspectratio="f"/>
            <w10:wrap type="none"/>
            <w10:anchorlock/>
          </v:shape>
        </w:pict>
      </w:r>
    </w:p>
    <w:p w14:paraId="21155E54">
      <w:pPr>
        <w:jc w:val="center"/>
      </w:pPr>
      <w:r>
        <w:rPr>
          <w:rFonts w:hint="eastAsia"/>
        </w:rPr>
        <w:t>图</w:t>
      </w:r>
      <w:r>
        <w:t>6-2</w:t>
      </w:r>
      <w:r>
        <w:rPr>
          <w:rFonts w:hint="eastAsia"/>
        </w:rPr>
        <w:t>餐饮企业颗粒物排放浓度分布</w:t>
      </w:r>
    </w:p>
    <w:p w14:paraId="75A9264B">
      <w:pPr>
        <w:jc w:val="center"/>
      </w:pPr>
      <w:r>
        <w:rPr>
          <w:rFonts w:hint="eastAsia"/>
        </w:rPr>
        <w:t>表</w:t>
      </w:r>
      <w:r>
        <w:t>6-4</w:t>
      </w:r>
      <w:r>
        <w:rPr>
          <w:rFonts w:hint="eastAsia"/>
        </w:rPr>
        <w:t>餐饮企业颗粒物浓度区间分布统计</w:t>
      </w:r>
    </w:p>
    <w:tbl>
      <w:tblPr>
        <w:tblStyle w:val="18"/>
        <w:tblW w:w="8369" w:type="dxa"/>
        <w:tblInd w:w="103" w:type="dxa"/>
        <w:tblLayout w:type="fixed"/>
        <w:tblCellMar>
          <w:top w:w="0" w:type="dxa"/>
          <w:left w:w="108" w:type="dxa"/>
          <w:bottom w:w="0" w:type="dxa"/>
          <w:right w:w="108" w:type="dxa"/>
        </w:tblCellMar>
      </w:tblPr>
      <w:tblGrid>
        <w:gridCol w:w="1423"/>
        <w:gridCol w:w="1276"/>
        <w:gridCol w:w="1134"/>
        <w:gridCol w:w="1134"/>
        <w:gridCol w:w="1275"/>
        <w:gridCol w:w="1276"/>
        <w:gridCol w:w="851"/>
      </w:tblGrid>
      <w:tr w14:paraId="7A703BB7">
        <w:tblPrEx>
          <w:tblCellMar>
            <w:top w:w="0" w:type="dxa"/>
            <w:left w:w="108" w:type="dxa"/>
            <w:bottom w:w="0" w:type="dxa"/>
            <w:right w:w="108" w:type="dxa"/>
          </w:tblCellMar>
        </w:tblPrEx>
        <w:trPr>
          <w:trHeight w:val="480" w:hRule="atLeast"/>
        </w:trPr>
        <w:tc>
          <w:tcPr>
            <w:tcW w:w="1423" w:type="dxa"/>
            <w:tcBorders>
              <w:top w:val="single" w:color="auto" w:sz="4" w:space="0"/>
              <w:left w:val="single" w:color="auto" w:sz="4" w:space="0"/>
              <w:bottom w:val="single" w:color="auto" w:sz="4" w:space="0"/>
              <w:right w:val="single" w:color="auto" w:sz="4" w:space="0"/>
            </w:tcBorders>
            <w:vAlign w:val="center"/>
          </w:tcPr>
          <w:p w14:paraId="0CF9933A">
            <w:pPr>
              <w:widowControl/>
              <w:spacing w:line="240" w:lineRule="auto"/>
              <w:jc w:val="left"/>
              <w:rPr>
                <w:rFonts w:ascii="宋体" w:cs="宋体"/>
                <w:color w:val="000000"/>
                <w:kern w:val="0"/>
                <w:sz w:val="22"/>
              </w:rPr>
            </w:pPr>
            <w:r>
              <w:rPr>
                <w:rFonts w:hint="eastAsia" w:ascii="宋体" w:hAnsi="宋体" w:cs="宋体"/>
                <w:color w:val="000000"/>
                <w:kern w:val="0"/>
                <w:sz w:val="22"/>
              </w:rPr>
              <w:t>颗粒物浓度区间</w:t>
            </w:r>
          </w:p>
        </w:tc>
        <w:tc>
          <w:tcPr>
            <w:tcW w:w="1276" w:type="dxa"/>
            <w:tcBorders>
              <w:top w:val="single" w:color="auto" w:sz="4" w:space="0"/>
              <w:left w:val="nil"/>
              <w:bottom w:val="single" w:color="auto" w:sz="4" w:space="0"/>
              <w:right w:val="single" w:color="auto" w:sz="4" w:space="0"/>
            </w:tcBorders>
            <w:vAlign w:val="center"/>
          </w:tcPr>
          <w:p w14:paraId="5443CB19">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cs="宋体"/>
                <w:color w:val="000000"/>
                <w:kern w:val="0"/>
                <w:sz w:val="22"/>
              </w:rPr>
              <w:t>0,</w:t>
            </w:r>
            <w:r>
              <w:rPr>
                <w:rFonts w:hint="eastAsia" w:ascii="宋体" w:hAnsi="宋体" w:cs="宋体"/>
                <w:color w:val="000000"/>
                <w:kern w:val="0"/>
                <w:sz w:val="22"/>
              </w:rPr>
              <w:t>＜</w:t>
            </w:r>
            <w:r>
              <w:rPr>
                <w:rFonts w:ascii="宋体" w:hAnsi="宋体" w:cs="宋体"/>
                <w:color w:val="000000"/>
                <w:kern w:val="0"/>
                <w:sz w:val="22"/>
              </w:rPr>
              <w:t>2</w:t>
            </w:r>
          </w:p>
        </w:tc>
        <w:tc>
          <w:tcPr>
            <w:tcW w:w="1134" w:type="dxa"/>
            <w:tcBorders>
              <w:top w:val="single" w:color="auto" w:sz="4" w:space="0"/>
              <w:left w:val="nil"/>
              <w:bottom w:val="single" w:color="auto" w:sz="4" w:space="0"/>
              <w:right w:val="single" w:color="auto" w:sz="4" w:space="0"/>
            </w:tcBorders>
            <w:vAlign w:val="center"/>
          </w:tcPr>
          <w:p w14:paraId="5129AFAE">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w:t>
            </w:r>
            <w:r>
              <w:rPr>
                <w:rFonts w:hint="eastAsia" w:ascii="宋体" w:hAnsi="宋体" w:cs="宋体"/>
                <w:color w:val="000000"/>
                <w:kern w:val="0"/>
                <w:sz w:val="22"/>
              </w:rPr>
              <w:t>＜</w:t>
            </w:r>
            <w:r>
              <w:rPr>
                <w:rFonts w:ascii="宋体" w:hAnsi="宋体" w:cs="宋体"/>
                <w:color w:val="000000"/>
                <w:kern w:val="0"/>
                <w:sz w:val="22"/>
              </w:rPr>
              <w:t>4</w:t>
            </w:r>
          </w:p>
        </w:tc>
        <w:tc>
          <w:tcPr>
            <w:tcW w:w="1134" w:type="dxa"/>
            <w:tcBorders>
              <w:top w:val="single" w:color="auto" w:sz="4" w:space="0"/>
              <w:left w:val="nil"/>
              <w:bottom w:val="single" w:color="auto" w:sz="4" w:space="0"/>
              <w:right w:val="single" w:color="auto" w:sz="4" w:space="0"/>
            </w:tcBorders>
            <w:vAlign w:val="center"/>
          </w:tcPr>
          <w:p w14:paraId="43B7A675">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4,</w:t>
            </w:r>
            <w:r>
              <w:rPr>
                <w:rFonts w:hint="eastAsia" w:ascii="宋体" w:hAnsi="宋体" w:cs="宋体"/>
                <w:color w:val="000000"/>
                <w:kern w:val="0"/>
                <w:sz w:val="22"/>
              </w:rPr>
              <w:t>＜</w:t>
            </w:r>
            <w:r>
              <w:rPr>
                <w:rFonts w:ascii="宋体" w:hAnsi="宋体" w:cs="宋体"/>
                <w:color w:val="000000"/>
                <w:kern w:val="0"/>
                <w:sz w:val="22"/>
              </w:rPr>
              <w:t>5</w:t>
            </w:r>
          </w:p>
        </w:tc>
        <w:tc>
          <w:tcPr>
            <w:tcW w:w="1275" w:type="dxa"/>
            <w:tcBorders>
              <w:top w:val="single" w:color="auto" w:sz="4" w:space="0"/>
              <w:left w:val="nil"/>
              <w:bottom w:val="single" w:color="auto" w:sz="4" w:space="0"/>
              <w:right w:val="single" w:color="auto" w:sz="4" w:space="0"/>
            </w:tcBorders>
            <w:vAlign w:val="center"/>
          </w:tcPr>
          <w:p w14:paraId="06865276">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5,</w:t>
            </w:r>
            <w:r>
              <w:rPr>
                <w:rFonts w:hint="eastAsia" w:ascii="宋体" w:hAnsi="宋体" w:cs="宋体"/>
                <w:color w:val="000000"/>
                <w:kern w:val="0"/>
                <w:sz w:val="22"/>
              </w:rPr>
              <w:t>＜</w:t>
            </w:r>
            <w:r>
              <w:rPr>
                <w:rFonts w:ascii="宋体" w:hAnsi="宋体" w:cs="宋体"/>
                <w:color w:val="000000"/>
                <w:kern w:val="0"/>
                <w:sz w:val="22"/>
              </w:rPr>
              <w:t>10</w:t>
            </w:r>
          </w:p>
        </w:tc>
        <w:tc>
          <w:tcPr>
            <w:tcW w:w="1276" w:type="dxa"/>
            <w:tcBorders>
              <w:top w:val="single" w:color="auto" w:sz="4" w:space="0"/>
              <w:left w:val="nil"/>
              <w:bottom w:val="single" w:color="auto" w:sz="4" w:space="0"/>
              <w:right w:val="single" w:color="auto" w:sz="4" w:space="0"/>
            </w:tcBorders>
            <w:vAlign w:val="center"/>
          </w:tcPr>
          <w:p w14:paraId="3FB745F3">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10,</w:t>
            </w:r>
            <w:r>
              <w:rPr>
                <w:rFonts w:hint="eastAsia" w:ascii="宋体" w:hAnsi="宋体" w:cs="宋体"/>
                <w:color w:val="000000"/>
                <w:kern w:val="0"/>
                <w:sz w:val="22"/>
              </w:rPr>
              <w:t>＜</w:t>
            </w:r>
            <w:r>
              <w:rPr>
                <w:rFonts w:ascii="宋体" w:hAnsi="宋体" w:cs="宋体"/>
                <w:color w:val="000000"/>
                <w:kern w:val="0"/>
                <w:sz w:val="22"/>
              </w:rPr>
              <w:t>20</w:t>
            </w:r>
          </w:p>
        </w:tc>
        <w:tc>
          <w:tcPr>
            <w:tcW w:w="851" w:type="dxa"/>
            <w:tcBorders>
              <w:top w:val="single" w:color="auto" w:sz="4" w:space="0"/>
              <w:left w:val="nil"/>
              <w:bottom w:val="single" w:color="auto" w:sz="4" w:space="0"/>
              <w:right w:val="single" w:color="auto" w:sz="4" w:space="0"/>
            </w:tcBorders>
            <w:vAlign w:val="center"/>
          </w:tcPr>
          <w:p w14:paraId="03FE1701">
            <w:pPr>
              <w:widowControl/>
              <w:spacing w:line="240" w:lineRule="auto"/>
              <w:jc w:val="left"/>
              <w:rPr>
                <w:rFonts w:ascii="宋体" w:cs="宋体"/>
                <w:color w:val="000000"/>
                <w:kern w:val="0"/>
                <w:sz w:val="22"/>
              </w:rPr>
            </w:pPr>
            <w:r>
              <w:rPr>
                <w:rFonts w:hint="eastAsia" w:ascii="宋体" w:hAnsi="宋体" w:cs="宋体"/>
                <w:color w:val="000000"/>
                <w:kern w:val="0"/>
                <w:sz w:val="22"/>
              </w:rPr>
              <w:t>≥</w:t>
            </w:r>
            <w:r>
              <w:rPr>
                <w:rFonts w:ascii="宋体" w:hAnsi="宋体" w:cs="宋体"/>
                <w:color w:val="000000"/>
                <w:kern w:val="0"/>
                <w:sz w:val="22"/>
              </w:rPr>
              <w:t>20</w:t>
            </w:r>
          </w:p>
        </w:tc>
      </w:tr>
      <w:tr w14:paraId="1AE900DB">
        <w:tblPrEx>
          <w:tblCellMar>
            <w:top w:w="0" w:type="dxa"/>
            <w:left w:w="108" w:type="dxa"/>
            <w:bottom w:w="0" w:type="dxa"/>
            <w:right w:w="108" w:type="dxa"/>
          </w:tblCellMar>
        </w:tblPrEx>
        <w:trPr>
          <w:trHeight w:val="510" w:hRule="atLeast"/>
        </w:trPr>
        <w:tc>
          <w:tcPr>
            <w:tcW w:w="1423" w:type="dxa"/>
            <w:tcBorders>
              <w:top w:val="nil"/>
              <w:left w:val="single" w:color="auto" w:sz="4" w:space="0"/>
              <w:bottom w:val="single" w:color="auto" w:sz="4" w:space="0"/>
              <w:right w:val="single" w:color="auto" w:sz="4" w:space="0"/>
            </w:tcBorders>
            <w:vAlign w:val="center"/>
          </w:tcPr>
          <w:p w14:paraId="5C6D8FB2">
            <w:pPr>
              <w:widowControl/>
              <w:spacing w:line="240" w:lineRule="auto"/>
              <w:jc w:val="left"/>
              <w:rPr>
                <w:rFonts w:ascii="宋体" w:cs="宋体"/>
                <w:color w:val="000000"/>
                <w:kern w:val="0"/>
                <w:sz w:val="22"/>
              </w:rPr>
            </w:pPr>
            <w:r>
              <w:rPr>
                <w:rFonts w:hint="eastAsia" w:ascii="宋体" w:hAnsi="宋体" w:cs="宋体"/>
                <w:color w:val="000000"/>
                <w:kern w:val="0"/>
                <w:sz w:val="22"/>
              </w:rPr>
              <w:t>监测样本数量</w:t>
            </w:r>
          </w:p>
        </w:tc>
        <w:tc>
          <w:tcPr>
            <w:tcW w:w="1276" w:type="dxa"/>
            <w:tcBorders>
              <w:top w:val="nil"/>
              <w:left w:val="nil"/>
              <w:bottom w:val="single" w:color="auto" w:sz="4" w:space="0"/>
              <w:right w:val="single" w:color="auto" w:sz="4" w:space="0"/>
            </w:tcBorders>
            <w:vAlign w:val="center"/>
          </w:tcPr>
          <w:p w14:paraId="4C1251F3">
            <w:pPr>
              <w:widowControl/>
              <w:spacing w:line="240" w:lineRule="auto"/>
              <w:jc w:val="center"/>
              <w:rPr>
                <w:rFonts w:ascii="宋体" w:cs="宋体"/>
                <w:color w:val="000000"/>
                <w:kern w:val="0"/>
                <w:sz w:val="22"/>
              </w:rPr>
            </w:pPr>
            <w:r>
              <w:rPr>
                <w:rFonts w:ascii="宋体" w:hAnsi="宋体" w:cs="宋体"/>
                <w:color w:val="000000"/>
                <w:kern w:val="0"/>
                <w:sz w:val="22"/>
              </w:rPr>
              <w:t>1</w:t>
            </w:r>
          </w:p>
        </w:tc>
        <w:tc>
          <w:tcPr>
            <w:tcW w:w="1134" w:type="dxa"/>
            <w:tcBorders>
              <w:top w:val="nil"/>
              <w:left w:val="nil"/>
              <w:bottom w:val="single" w:color="auto" w:sz="4" w:space="0"/>
              <w:right w:val="single" w:color="auto" w:sz="4" w:space="0"/>
            </w:tcBorders>
            <w:vAlign w:val="center"/>
          </w:tcPr>
          <w:p w14:paraId="7DE2F269">
            <w:pPr>
              <w:widowControl/>
              <w:spacing w:line="240" w:lineRule="auto"/>
              <w:jc w:val="center"/>
              <w:rPr>
                <w:rFonts w:ascii="宋体" w:cs="宋体"/>
                <w:color w:val="000000"/>
                <w:kern w:val="0"/>
                <w:sz w:val="22"/>
              </w:rPr>
            </w:pPr>
            <w:r>
              <w:rPr>
                <w:rFonts w:ascii="宋体" w:hAnsi="宋体" w:cs="宋体"/>
                <w:color w:val="000000"/>
                <w:kern w:val="0"/>
                <w:sz w:val="22"/>
              </w:rPr>
              <w:t>9</w:t>
            </w:r>
          </w:p>
        </w:tc>
        <w:tc>
          <w:tcPr>
            <w:tcW w:w="1134" w:type="dxa"/>
            <w:tcBorders>
              <w:top w:val="nil"/>
              <w:left w:val="nil"/>
              <w:bottom w:val="single" w:color="auto" w:sz="4" w:space="0"/>
              <w:right w:val="single" w:color="auto" w:sz="4" w:space="0"/>
            </w:tcBorders>
            <w:vAlign w:val="center"/>
          </w:tcPr>
          <w:p w14:paraId="6DA48C13">
            <w:pPr>
              <w:widowControl/>
              <w:spacing w:line="240" w:lineRule="auto"/>
              <w:jc w:val="center"/>
              <w:rPr>
                <w:rFonts w:ascii="宋体" w:cs="宋体"/>
                <w:color w:val="000000"/>
                <w:kern w:val="0"/>
                <w:sz w:val="22"/>
              </w:rPr>
            </w:pPr>
            <w:r>
              <w:rPr>
                <w:rFonts w:ascii="宋体" w:hAnsi="宋体" w:cs="宋体"/>
                <w:color w:val="000000"/>
                <w:kern w:val="0"/>
                <w:sz w:val="22"/>
              </w:rPr>
              <w:t>7</w:t>
            </w:r>
          </w:p>
        </w:tc>
        <w:tc>
          <w:tcPr>
            <w:tcW w:w="1275" w:type="dxa"/>
            <w:tcBorders>
              <w:top w:val="nil"/>
              <w:left w:val="nil"/>
              <w:bottom w:val="single" w:color="auto" w:sz="4" w:space="0"/>
              <w:right w:val="single" w:color="auto" w:sz="4" w:space="0"/>
            </w:tcBorders>
            <w:vAlign w:val="center"/>
          </w:tcPr>
          <w:p w14:paraId="70CAA814">
            <w:pPr>
              <w:widowControl/>
              <w:spacing w:line="240" w:lineRule="auto"/>
              <w:jc w:val="center"/>
              <w:rPr>
                <w:rFonts w:ascii="宋体" w:cs="宋体"/>
                <w:color w:val="000000"/>
                <w:kern w:val="0"/>
                <w:sz w:val="22"/>
              </w:rPr>
            </w:pPr>
            <w:r>
              <w:rPr>
                <w:rFonts w:ascii="宋体" w:hAnsi="宋体" w:cs="宋体"/>
                <w:color w:val="000000"/>
                <w:kern w:val="0"/>
                <w:sz w:val="22"/>
              </w:rPr>
              <w:t>13</w:t>
            </w:r>
          </w:p>
        </w:tc>
        <w:tc>
          <w:tcPr>
            <w:tcW w:w="1276" w:type="dxa"/>
            <w:tcBorders>
              <w:top w:val="nil"/>
              <w:left w:val="nil"/>
              <w:bottom w:val="single" w:color="auto" w:sz="4" w:space="0"/>
              <w:right w:val="single" w:color="auto" w:sz="4" w:space="0"/>
            </w:tcBorders>
            <w:vAlign w:val="center"/>
          </w:tcPr>
          <w:p w14:paraId="5602E3B3">
            <w:pPr>
              <w:widowControl/>
              <w:spacing w:line="240" w:lineRule="auto"/>
              <w:jc w:val="center"/>
              <w:rPr>
                <w:rFonts w:ascii="宋体" w:cs="宋体"/>
                <w:color w:val="000000"/>
                <w:kern w:val="0"/>
                <w:sz w:val="22"/>
              </w:rPr>
            </w:pPr>
            <w:r>
              <w:rPr>
                <w:rFonts w:ascii="宋体" w:hAnsi="宋体" w:cs="宋体"/>
                <w:color w:val="000000"/>
                <w:kern w:val="0"/>
                <w:sz w:val="22"/>
              </w:rPr>
              <w:t>5</w:t>
            </w:r>
          </w:p>
        </w:tc>
        <w:tc>
          <w:tcPr>
            <w:tcW w:w="851" w:type="dxa"/>
            <w:tcBorders>
              <w:top w:val="nil"/>
              <w:left w:val="nil"/>
              <w:bottom w:val="single" w:color="auto" w:sz="4" w:space="0"/>
              <w:right w:val="single" w:color="auto" w:sz="4" w:space="0"/>
            </w:tcBorders>
            <w:vAlign w:val="center"/>
          </w:tcPr>
          <w:p w14:paraId="0970521E">
            <w:pPr>
              <w:widowControl/>
              <w:spacing w:line="240" w:lineRule="auto"/>
              <w:jc w:val="center"/>
              <w:rPr>
                <w:rFonts w:ascii="宋体" w:cs="宋体"/>
                <w:color w:val="000000"/>
                <w:kern w:val="0"/>
                <w:sz w:val="22"/>
              </w:rPr>
            </w:pPr>
            <w:r>
              <w:rPr>
                <w:rFonts w:ascii="宋体" w:hAnsi="宋体" w:cs="宋体"/>
                <w:color w:val="000000"/>
                <w:kern w:val="0"/>
                <w:sz w:val="22"/>
              </w:rPr>
              <w:t>2</w:t>
            </w:r>
          </w:p>
        </w:tc>
      </w:tr>
    </w:tbl>
    <w:p w14:paraId="6448B497">
      <w:pPr>
        <w:ind w:firstLine="465"/>
        <w:jc w:val="left"/>
      </w:pPr>
      <w:r>
        <w:rPr>
          <w:rFonts w:hint="eastAsia"/>
        </w:rPr>
        <w:t>将餐饮企业颗粒物排放浓度按浓度区间进行统计，见表</w:t>
      </w:r>
      <w:r>
        <w:t>6-4</w:t>
      </w:r>
      <w:r>
        <w:rPr>
          <w:rFonts w:hint="eastAsia"/>
        </w:rPr>
        <w:t>。结合图</w:t>
      </w:r>
      <w:r>
        <w:t>6-2</w:t>
      </w:r>
      <w:r>
        <w:rPr>
          <w:rFonts w:hint="eastAsia"/>
        </w:rPr>
        <w:t>和表</w:t>
      </w:r>
      <w:r>
        <w:t>6-4</w:t>
      </w:r>
      <w:r>
        <w:rPr>
          <w:rFonts w:hint="eastAsia"/>
        </w:rPr>
        <w:t>分析，颗粒物排放浓度在</w:t>
      </w:r>
      <w:r>
        <w:t>2.0mg/m</w:t>
      </w:r>
      <w:r>
        <w:rPr>
          <w:vertAlign w:val="superscript"/>
        </w:rPr>
        <w:t>3</w:t>
      </w:r>
      <w:r>
        <w:rPr>
          <w:rFonts w:hint="eastAsia"/>
        </w:rPr>
        <w:t>以下的监测样本只有</w:t>
      </w:r>
      <w:r>
        <w:t>1</w:t>
      </w:r>
      <w:r>
        <w:rPr>
          <w:rFonts w:hint="eastAsia"/>
        </w:rPr>
        <w:t>个；其中</w:t>
      </w:r>
      <w:r>
        <w:t>9</w:t>
      </w:r>
      <w:r>
        <w:rPr>
          <w:rFonts w:hint="eastAsia"/>
        </w:rPr>
        <w:t>个监测样本排放浓度在</w:t>
      </w:r>
      <w:r>
        <w:t>2.0mg/m</w:t>
      </w:r>
      <w:r>
        <w:rPr>
          <w:vertAlign w:val="superscript"/>
        </w:rPr>
        <w:t>3</w:t>
      </w:r>
      <w:r>
        <w:t>~4.0mg/m</w:t>
      </w:r>
      <w:r>
        <w:rPr>
          <w:vertAlign w:val="superscript"/>
        </w:rPr>
        <w:t>3</w:t>
      </w:r>
      <w:r>
        <w:rPr>
          <w:rFonts w:hint="eastAsia"/>
        </w:rPr>
        <w:t>之间；浓度</w:t>
      </w:r>
      <w:r>
        <w:t>4.0mg/m</w:t>
      </w:r>
      <w:r>
        <w:rPr>
          <w:vertAlign w:val="superscript"/>
        </w:rPr>
        <w:t>3</w:t>
      </w:r>
      <w:r>
        <w:t>~5.0mg/m</w:t>
      </w:r>
      <w:r>
        <w:rPr>
          <w:vertAlign w:val="superscript"/>
        </w:rPr>
        <w:t>3</w:t>
      </w:r>
      <w:r>
        <w:rPr>
          <w:rFonts w:hint="eastAsia"/>
        </w:rPr>
        <w:t>之间的监测样本有</w:t>
      </w:r>
      <w:r>
        <w:t>7</w:t>
      </w:r>
      <w:r>
        <w:rPr>
          <w:rFonts w:hint="eastAsia"/>
        </w:rPr>
        <w:t>个；</w:t>
      </w:r>
      <w:r>
        <w:t>13</w:t>
      </w:r>
      <w:r>
        <w:rPr>
          <w:rFonts w:hint="eastAsia"/>
        </w:rPr>
        <w:t>个监测样本颗粒物排放浓度在</w:t>
      </w:r>
      <w:r>
        <w:t>5.0mg/m</w:t>
      </w:r>
      <w:r>
        <w:rPr>
          <w:vertAlign w:val="superscript"/>
        </w:rPr>
        <w:t>3</w:t>
      </w:r>
      <w:r>
        <w:t>~10.0mg/m</w:t>
      </w:r>
      <w:r>
        <w:rPr>
          <w:vertAlign w:val="superscript"/>
        </w:rPr>
        <w:t>3</w:t>
      </w:r>
      <w:r>
        <w:rPr>
          <w:rFonts w:hint="eastAsia"/>
        </w:rPr>
        <w:t>之间，占比</w:t>
      </w:r>
      <w:r>
        <w:t>35%</w:t>
      </w:r>
      <w:r>
        <w:rPr>
          <w:rFonts w:hint="eastAsia"/>
        </w:rPr>
        <w:t>；</w:t>
      </w:r>
      <w:r>
        <w:t>5</w:t>
      </w:r>
      <w:r>
        <w:rPr>
          <w:rFonts w:hint="eastAsia"/>
        </w:rPr>
        <w:t>个监测样本排放浓度在</w:t>
      </w:r>
      <w:r>
        <w:t>10.0mg/m</w:t>
      </w:r>
      <w:r>
        <w:rPr>
          <w:vertAlign w:val="superscript"/>
        </w:rPr>
        <w:t>3</w:t>
      </w:r>
      <w:r>
        <w:t>~20.0mg/m</w:t>
      </w:r>
      <w:r>
        <w:rPr>
          <w:vertAlign w:val="superscript"/>
        </w:rPr>
        <w:t>3</w:t>
      </w:r>
      <w:r>
        <w:rPr>
          <w:rFonts w:hint="eastAsia"/>
        </w:rPr>
        <w:t>之间，排放浓度大于</w:t>
      </w:r>
      <w:r>
        <w:t>20mg/m</w:t>
      </w:r>
      <w:r>
        <w:rPr>
          <w:vertAlign w:val="superscript"/>
        </w:rPr>
        <w:t>3</w:t>
      </w:r>
      <w:r>
        <w:rPr>
          <w:rFonts w:hint="eastAsia"/>
        </w:rPr>
        <w:t>的监测样本只有</w:t>
      </w:r>
      <w:r>
        <w:t>2</w:t>
      </w:r>
      <w:r>
        <w:rPr>
          <w:rFonts w:hint="eastAsia"/>
        </w:rPr>
        <w:t>个，最高排放浓度为</w:t>
      </w:r>
      <w:r>
        <w:t>50.7mg/m</w:t>
      </w:r>
      <w:r>
        <w:rPr>
          <w:vertAlign w:val="superscript"/>
        </w:rPr>
        <w:t>3</w:t>
      </w:r>
      <w:r>
        <w:rPr>
          <w:rFonts w:hint="eastAsia"/>
        </w:rPr>
        <w:t>。</w:t>
      </w:r>
    </w:p>
    <w:p w14:paraId="480194E5">
      <w:pPr>
        <w:ind w:firstLine="600" w:firstLineChars="250"/>
      </w:pPr>
      <w:r>
        <w:rPr>
          <w:rFonts w:hint="eastAsia"/>
        </w:rPr>
        <w:t>在所有抽测样本中，</w:t>
      </w:r>
      <w:r>
        <w:t>27%</w:t>
      </w:r>
      <w:r>
        <w:rPr>
          <w:rFonts w:hint="eastAsia"/>
        </w:rPr>
        <w:t>的监测样本颗粒物浓度小于</w:t>
      </w:r>
      <w:r>
        <w:t>4mg/m3</w:t>
      </w:r>
      <w:r>
        <w:rPr>
          <w:rFonts w:hint="eastAsia"/>
        </w:rPr>
        <w:t>；</w:t>
      </w:r>
      <w:r>
        <w:t>45.9%</w:t>
      </w:r>
      <w:r>
        <w:rPr>
          <w:rFonts w:hint="eastAsia"/>
        </w:rPr>
        <w:t>的监测样本颗粒物的排放浓度小于</w:t>
      </w:r>
      <w:r>
        <w:t>5mg/m</w:t>
      </w:r>
      <w:r>
        <w:rPr>
          <w:vertAlign w:val="superscript"/>
        </w:rPr>
        <w:t>3</w:t>
      </w:r>
      <w:r>
        <w:rPr>
          <w:rFonts w:hint="eastAsia"/>
        </w:rPr>
        <w:t>；</w:t>
      </w:r>
      <w:r>
        <w:t>48.6%</w:t>
      </w:r>
      <w:r>
        <w:rPr>
          <w:rFonts w:hint="eastAsia"/>
        </w:rPr>
        <w:t>的颗粒物的排放浓度在</w:t>
      </w:r>
      <w:r>
        <w:t>5.0mg/m3~20.0mg/m3</w:t>
      </w:r>
      <w:r>
        <w:rPr>
          <w:rFonts w:hint="eastAsia"/>
        </w:rPr>
        <w:t>之间；</w:t>
      </w:r>
      <w:r>
        <w:t>91.9%</w:t>
      </w:r>
      <w:r>
        <w:rPr>
          <w:rFonts w:hint="eastAsia"/>
        </w:rPr>
        <w:t>的排放浓度在</w:t>
      </w:r>
      <w:r>
        <w:t>2.0mg/m3~20.0mg/m3</w:t>
      </w:r>
      <w:r>
        <w:rPr>
          <w:rFonts w:hint="eastAsia"/>
        </w:rPr>
        <w:t>之间，即</w:t>
      </w:r>
      <w:r>
        <w:t>91.9%</w:t>
      </w:r>
      <w:r>
        <w:rPr>
          <w:rFonts w:hint="eastAsia"/>
        </w:rPr>
        <w:t>的监测样本在</w:t>
      </w:r>
      <w:r>
        <w:t>20mg/m3</w:t>
      </w:r>
      <w:r>
        <w:rPr>
          <w:rFonts w:hint="eastAsia"/>
        </w:rPr>
        <w:t>以内且在测定下限之上。</w:t>
      </w:r>
    </w:p>
    <w:p w14:paraId="0E7FC930">
      <w:pPr>
        <w:ind w:firstLine="600" w:firstLineChars="250"/>
      </w:pPr>
    </w:p>
    <w:p w14:paraId="4B45C563">
      <w:pPr>
        <w:pStyle w:val="4"/>
        <w:spacing w:before="163" w:after="163"/>
      </w:pPr>
      <w:r>
        <w:t>6.1.3</w:t>
      </w:r>
      <w:r>
        <w:rPr>
          <w:rFonts w:hint="eastAsia"/>
        </w:rPr>
        <w:t>非甲烷总烃（</w:t>
      </w:r>
      <w:r>
        <w:t>NMHC</w:t>
      </w:r>
      <w:r>
        <w:rPr>
          <w:rFonts w:hint="eastAsia"/>
        </w:rPr>
        <w:t>）排放监测调查</w:t>
      </w:r>
    </w:p>
    <w:p w14:paraId="552FC248">
      <w:pPr>
        <w:ind w:firstLine="480" w:firstLineChars="200"/>
      </w:pPr>
      <w:r>
        <w:rPr>
          <w:rFonts w:hint="eastAsia"/>
        </w:rPr>
        <w:t>本标准编制组对典型餐饮企业的非甲烷总烃的排放进行大量的现场采样测试，最终获得了</w:t>
      </w:r>
      <w:r>
        <w:t>100</w:t>
      </w:r>
      <w:r>
        <w:rPr>
          <w:rFonts w:hint="eastAsia"/>
        </w:rPr>
        <w:t>个有效样本，获得的典型餐饮企业非甲烷总烃的排放浓度见表</w:t>
      </w:r>
      <w:r>
        <w:t>6-6</w:t>
      </w:r>
      <w:r>
        <w:rPr>
          <w:rFonts w:hint="eastAsia"/>
        </w:rPr>
        <w:t>。</w:t>
      </w:r>
    </w:p>
    <w:p w14:paraId="73B42D66">
      <w:pPr>
        <w:ind w:firstLine="480" w:firstLineChars="200"/>
        <w:jc w:val="center"/>
      </w:pPr>
      <w:r>
        <w:rPr>
          <w:rFonts w:hint="eastAsia"/>
        </w:rPr>
        <w:t>表</w:t>
      </w:r>
      <w:r>
        <w:t>6-5</w:t>
      </w:r>
      <w:r>
        <w:rPr>
          <w:rFonts w:hint="eastAsia"/>
        </w:rPr>
        <w:t>餐饮企业非甲烷总烃排放监测数据</w:t>
      </w:r>
    </w:p>
    <w:tbl>
      <w:tblPr>
        <w:tblStyle w:val="18"/>
        <w:tblW w:w="8516" w:type="dxa"/>
        <w:tblInd w:w="-34" w:type="dxa"/>
        <w:tblLayout w:type="fixed"/>
        <w:tblCellMar>
          <w:top w:w="0" w:type="dxa"/>
          <w:left w:w="108" w:type="dxa"/>
          <w:bottom w:w="0" w:type="dxa"/>
          <w:right w:w="108" w:type="dxa"/>
        </w:tblCellMar>
      </w:tblPr>
      <w:tblGrid>
        <w:gridCol w:w="568"/>
        <w:gridCol w:w="1134"/>
        <w:gridCol w:w="1232"/>
        <w:gridCol w:w="1177"/>
        <w:gridCol w:w="567"/>
        <w:gridCol w:w="1560"/>
        <w:gridCol w:w="1134"/>
        <w:gridCol w:w="1144"/>
      </w:tblGrid>
      <w:tr w14:paraId="12B19025">
        <w:tblPrEx>
          <w:tblCellMar>
            <w:top w:w="0" w:type="dxa"/>
            <w:left w:w="108" w:type="dxa"/>
            <w:bottom w:w="0" w:type="dxa"/>
            <w:right w:w="108" w:type="dxa"/>
          </w:tblCellMar>
        </w:tblPrEx>
        <w:trPr>
          <w:trHeight w:val="20" w:hRule="atLeast"/>
        </w:trPr>
        <w:tc>
          <w:tcPr>
            <w:tcW w:w="568" w:type="dxa"/>
            <w:tcBorders>
              <w:top w:val="single" w:color="auto" w:sz="4" w:space="0"/>
              <w:left w:val="single" w:color="auto" w:sz="4" w:space="0"/>
              <w:bottom w:val="single" w:color="auto" w:sz="4" w:space="0"/>
              <w:right w:val="single" w:color="auto" w:sz="4" w:space="0"/>
            </w:tcBorders>
            <w:vAlign w:val="center"/>
          </w:tcPr>
          <w:p w14:paraId="0CFD9C9C">
            <w:pPr>
              <w:widowControl/>
              <w:spacing w:line="240" w:lineRule="auto"/>
              <w:jc w:val="center"/>
              <w:rPr>
                <w:b/>
                <w:color w:val="000000"/>
                <w:kern w:val="0"/>
                <w:sz w:val="21"/>
                <w:szCs w:val="21"/>
              </w:rPr>
            </w:pPr>
            <w:r>
              <w:rPr>
                <w:rFonts w:hint="eastAsia" w:hAnsi="宋体"/>
                <w:b/>
                <w:color w:val="000000"/>
                <w:kern w:val="0"/>
                <w:sz w:val="21"/>
                <w:szCs w:val="21"/>
              </w:rPr>
              <w:t>样本编号</w:t>
            </w:r>
          </w:p>
        </w:tc>
        <w:tc>
          <w:tcPr>
            <w:tcW w:w="1134" w:type="dxa"/>
            <w:tcBorders>
              <w:top w:val="single" w:color="auto" w:sz="4" w:space="0"/>
              <w:left w:val="nil"/>
              <w:bottom w:val="single" w:color="auto" w:sz="4" w:space="0"/>
              <w:right w:val="single" w:color="auto" w:sz="4" w:space="0"/>
            </w:tcBorders>
            <w:vAlign w:val="center"/>
          </w:tcPr>
          <w:p w14:paraId="02969A59">
            <w:pPr>
              <w:widowControl/>
              <w:spacing w:line="240" w:lineRule="auto"/>
              <w:jc w:val="left"/>
              <w:rPr>
                <w:b/>
                <w:color w:val="000000"/>
                <w:kern w:val="0"/>
                <w:sz w:val="21"/>
                <w:szCs w:val="21"/>
              </w:rPr>
            </w:pPr>
            <w:r>
              <w:rPr>
                <w:rFonts w:hint="eastAsia" w:hAnsi="宋体"/>
                <w:b/>
                <w:color w:val="000000"/>
                <w:kern w:val="0"/>
                <w:sz w:val="21"/>
                <w:szCs w:val="21"/>
              </w:rPr>
              <w:t>菜系</w:t>
            </w:r>
          </w:p>
        </w:tc>
        <w:tc>
          <w:tcPr>
            <w:tcW w:w="1232" w:type="dxa"/>
            <w:tcBorders>
              <w:top w:val="single" w:color="auto" w:sz="4" w:space="0"/>
              <w:left w:val="nil"/>
              <w:bottom w:val="single" w:color="auto" w:sz="4" w:space="0"/>
              <w:right w:val="single" w:color="auto" w:sz="4" w:space="0"/>
            </w:tcBorders>
            <w:vAlign w:val="center"/>
          </w:tcPr>
          <w:p w14:paraId="7085EBA1">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实测浓度（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1177" w:type="dxa"/>
            <w:tcBorders>
              <w:top w:val="single" w:color="auto" w:sz="4" w:space="0"/>
              <w:left w:val="nil"/>
              <w:bottom w:val="single" w:color="auto" w:sz="4" w:space="0"/>
              <w:right w:val="single" w:color="auto" w:sz="4" w:space="0"/>
            </w:tcBorders>
            <w:vAlign w:val="center"/>
          </w:tcPr>
          <w:p w14:paraId="53CEE7B2">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基准浓度（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567" w:type="dxa"/>
            <w:tcBorders>
              <w:top w:val="single" w:color="auto" w:sz="4" w:space="0"/>
              <w:left w:val="nil"/>
              <w:bottom w:val="single" w:color="auto" w:sz="4" w:space="0"/>
              <w:right w:val="single" w:color="auto" w:sz="4" w:space="0"/>
            </w:tcBorders>
            <w:vAlign w:val="center"/>
          </w:tcPr>
          <w:p w14:paraId="6B8E0FE9">
            <w:pPr>
              <w:widowControl/>
              <w:spacing w:line="240" w:lineRule="auto"/>
              <w:jc w:val="center"/>
              <w:rPr>
                <w:b/>
                <w:color w:val="000000"/>
                <w:kern w:val="0"/>
                <w:sz w:val="21"/>
                <w:szCs w:val="21"/>
              </w:rPr>
            </w:pPr>
            <w:r>
              <w:rPr>
                <w:rFonts w:hint="eastAsia" w:hAnsi="宋体"/>
                <w:b/>
                <w:color w:val="000000"/>
                <w:kern w:val="0"/>
                <w:sz w:val="21"/>
                <w:szCs w:val="21"/>
              </w:rPr>
              <w:t>样本编号</w:t>
            </w:r>
          </w:p>
        </w:tc>
        <w:tc>
          <w:tcPr>
            <w:tcW w:w="1560" w:type="dxa"/>
            <w:tcBorders>
              <w:top w:val="single" w:color="auto" w:sz="4" w:space="0"/>
              <w:left w:val="nil"/>
              <w:bottom w:val="single" w:color="auto" w:sz="4" w:space="0"/>
              <w:right w:val="single" w:color="auto" w:sz="4" w:space="0"/>
            </w:tcBorders>
            <w:vAlign w:val="center"/>
          </w:tcPr>
          <w:p w14:paraId="07FF9B97">
            <w:pPr>
              <w:widowControl/>
              <w:spacing w:line="240" w:lineRule="auto"/>
              <w:jc w:val="left"/>
              <w:rPr>
                <w:b/>
                <w:color w:val="000000"/>
                <w:kern w:val="0"/>
                <w:sz w:val="21"/>
                <w:szCs w:val="21"/>
              </w:rPr>
            </w:pPr>
            <w:r>
              <w:rPr>
                <w:rFonts w:hint="eastAsia" w:hAnsi="宋体"/>
                <w:b/>
                <w:color w:val="000000"/>
                <w:kern w:val="0"/>
                <w:sz w:val="21"/>
                <w:szCs w:val="21"/>
              </w:rPr>
              <w:t>菜系</w:t>
            </w:r>
          </w:p>
        </w:tc>
        <w:tc>
          <w:tcPr>
            <w:tcW w:w="1134" w:type="dxa"/>
            <w:tcBorders>
              <w:top w:val="single" w:color="auto" w:sz="4" w:space="0"/>
              <w:left w:val="nil"/>
              <w:bottom w:val="single" w:color="auto" w:sz="4" w:space="0"/>
              <w:right w:val="single" w:color="auto" w:sz="4" w:space="0"/>
            </w:tcBorders>
            <w:vAlign w:val="center"/>
          </w:tcPr>
          <w:p w14:paraId="5CA485AC">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实测浓度（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c>
          <w:tcPr>
            <w:tcW w:w="1144" w:type="dxa"/>
            <w:tcBorders>
              <w:top w:val="single" w:color="auto" w:sz="4" w:space="0"/>
              <w:left w:val="nil"/>
              <w:bottom w:val="single" w:color="auto" w:sz="4" w:space="0"/>
              <w:right w:val="single" w:color="auto" w:sz="4" w:space="0"/>
            </w:tcBorders>
            <w:vAlign w:val="center"/>
          </w:tcPr>
          <w:p w14:paraId="29DE8D2B">
            <w:pPr>
              <w:widowControl/>
              <w:spacing w:line="240" w:lineRule="auto"/>
              <w:jc w:val="center"/>
              <w:rPr>
                <w:b/>
                <w:color w:val="000000"/>
                <w:kern w:val="0"/>
                <w:sz w:val="21"/>
                <w:szCs w:val="21"/>
              </w:rPr>
            </w:pPr>
            <w:r>
              <w:rPr>
                <w:b/>
                <w:color w:val="000000"/>
                <w:kern w:val="0"/>
                <w:sz w:val="21"/>
                <w:szCs w:val="21"/>
              </w:rPr>
              <w:t>NMHCs</w:t>
            </w:r>
            <w:r>
              <w:rPr>
                <w:rFonts w:hint="eastAsia" w:hAnsi="宋体"/>
                <w:b/>
                <w:color w:val="000000"/>
                <w:kern w:val="0"/>
                <w:sz w:val="21"/>
                <w:szCs w:val="21"/>
              </w:rPr>
              <w:t>基准浓度（</w:t>
            </w:r>
            <w:r>
              <w:rPr>
                <w:b/>
                <w:color w:val="000000"/>
                <w:kern w:val="0"/>
                <w:sz w:val="21"/>
                <w:szCs w:val="21"/>
              </w:rPr>
              <w:t>mg/m</w:t>
            </w:r>
            <w:r>
              <w:rPr>
                <w:b/>
                <w:color w:val="000000"/>
                <w:kern w:val="0"/>
                <w:sz w:val="21"/>
                <w:szCs w:val="21"/>
                <w:vertAlign w:val="superscript"/>
              </w:rPr>
              <w:t>3</w:t>
            </w:r>
            <w:r>
              <w:rPr>
                <w:rFonts w:hint="eastAsia" w:hAnsi="宋体"/>
                <w:b/>
                <w:color w:val="000000"/>
                <w:kern w:val="0"/>
                <w:sz w:val="21"/>
                <w:szCs w:val="21"/>
              </w:rPr>
              <w:t>）</w:t>
            </w:r>
          </w:p>
        </w:tc>
      </w:tr>
      <w:tr w14:paraId="5502666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9A8EF12">
            <w:pPr>
              <w:widowControl/>
              <w:spacing w:line="240" w:lineRule="auto"/>
              <w:jc w:val="center"/>
              <w:rPr>
                <w:color w:val="000000"/>
                <w:kern w:val="0"/>
                <w:sz w:val="21"/>
                <w:szCs w:val="21"/>
              </w:rPr>
            </w:pPr>
            <w:r>
              <w:rPr>
                <w:color w:val="000000"/>
                <w:kern w:val="0"/>
                <w:sz w:val="21"/>
                <w:szCs w:val="21"/>
              </w:rPr>
              <w:t>1</w:t>
            </w:r>
          </w:p>
        </w:tc>
        <w:tc>
          <w:tcPr>
            <w:tcW w:w="1134" w:type="dxa"/>
            <w:tcBorders>
              <w:top w:val="nil"/>
              <w:left w:val="nil"/>
              <w:bottom w:val="single" w:color="auto" w:sz="4" w:space="0"/>
              <w:right w:val="single" w:color="auto" w:sz="4" w:space="0"/>
            </w:tcBorders>
            <w:vAlign w:val="center"/>
          </w:tcPr>
          <w:p w14:paraId="55E0976E">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7BD54BA8">
            <w:pPr>
              <w:widowControl/>
              <w:spacing w:line="240" w:lineRule="auto"/>
              <w:jc w:val="center"/>
              <w:rPr>
                <w:kern w:val="0"/>
                <w:sz w:val="21"/>
                <w:szCs w:val="21"/>
              </w:rPr>
            </w:pPr>
            <w:r>
              <w:rPr>
                <w:kern w:val="0"/>
                <w:sz w:val="21"/>
                <w:szCs w:val="21"/>
              </w:rPr>
              <w:t xml:space="preserve">24.8 </w:t>
            </w:r>
          </w:p>
        </w:tc>
        <w:tc>
          <w:tcPr>
            <w:tcW w:w="1177" w:type="dxa"/>
            <w:tcBorders>
              <w:top w:val="nil"/>
              <w:left w:val="nil"/>
              <w:bottom w:val="single" w:color="auto" w:sz="4" w:space="0"/>
              <w:right w:val="single" w:color="auto" w:sz="4" w:space="0"/>
            </w:tcBorders>
            <w:vAlign w:val="center"/>
          </w:tcPr>
          <w:p w14:paraId="586376E1">
            <w:pPr>
              <w:widowControl/>
              <w:spacing w:line="240" w:lineRule="auto"/>
              <w:jc w:val="center"/>
              <w:rPr>
                <w:kern w:val="0"/>
                <w:sz w:val="21"/>
                <w:szCs w:val="21"/>
              </w:rPr>
            </w:pPr>
            <w:r>
              <w:rPr>
                <w:kern w:val="0"/>
                <w:sz w:val="21"/>
                <w:szCs w:val="21"/>
              </w:rPr>
              <w:t xml:space="preserve">26.8 </w:t>
            </w:r>
          </w:p>
        </w:tc>
        <w:tc>
          <w:tcPr>
            <w:tcW w:w="567" w:type="dxa"/>
            <w:tcBorders>
              <w:top w:val="nil"/>
              <w:left w:val="nil"/>
              <w:bottom w:val="single" w:color="auto" w:sz="4" w:space="0"/>
              <w:right w:val="single" w:color="auto" w:sz="4" w:space="0"/>
            </w:tcBorders>
            <w:vAlign w:val="center"/>
          </w:tcPr>
          <w:p w14:paraId="450CFB22">
            <w:pPr>
              <w:widowControl/>
              <w:spacing w:line="240" w:lineRule="auto"/>
              <w:jc w:val="center"/>
              <w:rPr>
                <w:kern w:val="0"/>
                <w:sz w:val="21"/>
                <w:szCs w:val="21"/>
              </w:rPr>
            </w:pPr>
            <w:r>
              <w:rPr>
                <w:kern w:val="0"/>
                <w:sz w:val="21"/>
                <w:szCs w:val="21"/>
              </w:rPr>
              <w:t>51</w:t>
            </w:r>
          </w:p>
        </w:tc>
        <w:tc>
          <w:tcPr>
            <w:tcW w:w="1560" w:type="dxa"/>
            <w:tcBorders>
              <w:top w:val="nil"/>
              <w:left w:val="nil"/>
              <w:bottom w:val="single" w:color="auto" w:sz="4" w:space="0"/>
              <w:right w:val="single" w:color="auto" w:sz="4" w:space="0"/>
            </w:tcBorders>
            <w:vAlign w:val="center"/>
          </w:tcPr>
          <w:p w14:paraId="32FF8C90">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30EC0504">
            <w:pPr>
              <w:widowControl/>
              <w:spacing w:line="240" w:lineRule="auto"/>
              <w:jc w:val="center"/>
              <w:rPr>
                <w:kern w:val="0"/>
                <w:sz w:val="21"/>
                <w:szCs w:val="21"/>
              </w:rPr>
            </w:pPr>
            <w:r>
              <w:rPr>
                <w:kern w:val="0"/>
                <w:sz w:val="21"/>
                <w:szCs w:val="21"/>
              </w:rPr>
              <w:t xml:space="preserve">1.6 </w:t>
            </w:r>
          </w:p>
        </w:tc>
        <w:tc>
          <w:tcPr>
            <w:tcW w:w="1144" w:type="dxa"/>
            <w:tcBorders>
              <w:top w:val="nil"/>
              <w:left w:val="nil"/>
              <w:bottom w:val="single" w:color="auto" w:sz="4" w:space="0"/>
              <w:right w:val="single" w:color="auto" w:sz="4" w:space="0"/>
            </w:tcBorders>
            <w:vAlign w:val="center"/>
          </w:tcPr>
          <w:p w14:paraId="580A7E33">
            <w:pPr>
              <w:widowControl/>
              <w:spacing w:line="240" w:lineRule="auto"/>
              <w:jc w:val="center"/>
              <w:rPr>
                <w:kern w:val="0"/>
                <w:sz w:val="21"/>
                <w:szCs w:val="21"/>
              </w:rPr>
            </w:pPr>
            <w:r>
              <w:rPr>
                <w:kern w:val="0"/>
                <w:sz w:val="21"/>
                <w:szCs w:val="21"/>
              </w:rPr>
              <w:t xml:space="preserve">1.8 </w:t>
            </w:r>
          </w:p>
        </w:tc>
      </w:tr>
      <w:tr w14:paraId="646D0B6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F064D9F">
            <w:pPr>
              <w:widowControl/>
              <w:spacing w:line="240" w:lineRule="auto"/>
              <w:jc w:val="center"/>
              <w:rPr>
                <w:color w:val="000000"/>
                <w:kern w:val="0"/>
                <w:sz w:val="21"/>
                <w:szCs w:val="21"/>
              </w:rPr>
            </w:pPr>
            <w:r>
              <w:rPr>
                <w:color w:val="000000"/>
                <w:kern w:val="0"/>
                <w:sz w:val="21"/>
                <w:szCs w:val="21"/>
              </w:rPr>
              <w:t>2</w:t>
            </w:r>
          </w:p>
        </w:tc>
        <w:tc>
          <w:tcPr>
            <w:tcW w:w="1134" w:type="dxa"/>
            <w:tcBorders>
              <w:top w:val="nil"/>
              <w:left w:val="nil"/>
              <w:bottom w:val="single" w:color="auto" w:sz="4" w:space="0"/>
              <w:right w:val="single" w:color="auto" w:sz="4" w:space="0"/>
            </w:tcBorders>
            <w:vAlign w:val="center"/>
          </w:tcPr>
          <w:p w14:paraId="1E06CA62">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1C332E02">
            <w:pPr>
              <w:widowControl/>
              <w:spacing w:line="240" w:lineRule="auto"/>
              <w:jc w:val="center"/>
              <w:rPr>
                <w:kern w:val="0"/>
                <w:sz w:val="21"/>
                <w:szCs w:val="21"/>
              </w:rPr>
            </w:pPr>
            <w:r>
              <w:rPr>
                <w:kern w:val="0"/>
                <w:sz w:val="21"/>
                <w:szCs w:val="21"/>
              </w:rPr>
              <w:t xml:space="preserve">32.7 </w:t>
            </w:r>
          </w:p>
        </w:tc>
        <w:tc>
          <w:tcPr>
            <w:tcW w:w="1177" w:type="dxa"/>
            <w:tcBorders>
              <w:top w:val="nil"/>
              <w:left w:val="nil"/>
              <w:bottom w:val="single" w:color="auto" w:sz="4" w:space="0"/>
              <w:right w:val="single" w:color="auto" w:sz="4" w:space="0"/>
            </w:tcBorders>
            <w:vAlign w:val="center"/>
          </w:tcPr>
          <w:p w14:paraId="3BBE33CC">
            <w:pPr>
              <w:widowControl/>
              <w:spacing w:line="240" w:lineRule="auto"/>
              <w:jc w:val="center"/>
              <w:rPr>
                <w:kern w:val="0"/>
                <w:sz w:val="21"/>
                <w:szCs w:val="21"/>
              </w:rPr>
            </w:pPr>
            <w:r>
              <w:rPr>
                <w:kern w:val="0"/>
                <w:sz w:val="21"/>
                <w:szCs w:val="21"/>
              </w:rPr>
              <w:t xml:space="preserve">43.5 </w:t>
            </w:r>
          </w:p>
        </w:tc>
        <w:tc>
          <w:tcPr>
            <w:tcW w:w="567" w:type="dxa"/>
            <w:tcBorders>
              <w:top w:val="nil"/>
              <w:left w:val="nil"/>
              <w:bottom w:val="single" w:color="auto" w:sz="4" w:space="0"/>
              <w:right w:val="single" w:color="auto" w:sz="4" w:space="0"/>
            </w:tcBorders>
            <w:vAlign w:val="center"/>
          </w:tcPr>
          <w:p w14:paraId="57A6865B">
            <w:pPr>
              <w:widowControl/>
              <w:spacing w:line="240" w:lineRule="auto"/>
              <w:jc w:val="center"/>
              <w:rPr>
                <w:kern w:val="0"/>
                <w:sz w:val="21"/>
                <w:szCs w:val="21"/>
              </w:rPr>
            </w:pPr>
            <w:r>
              <w:rPr>
                <w:kern w:val="0"/>
                <w:sz w:val="21"/>
                <w:szCs w:val="21"/>
              </w:rPr>
              <w:t>52</w:t>
            </w:r>
          </w:p>
        </w:tc>
        <w:tc>
          <w:tcPr>
            <w:tcW w:w="1560" w:type="dxa"/>
            <w:tcBorders>
              <w:top w:val="nil"/>
              <w:left w:val="nil"/>
              <w:bottom w:val="single" w:color="auto" w:sz="4" w:space="0"/>
              <w:right w:val="single" w:color="auto" w:sz="4" w:space="0"/>
            </w:tcBorders>
            <w:vAlign w:val="center"/>
          </w:tcPr>
          <w:p w14:paraId="71285C4A">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37F187FB">
            <w:pPr>
              <w:widowControl/>
              <w:spacing w:line="240" w:lineRule="auto"/>
              <w:jc w:val="center"/>
              <w:rPr>
                <w:kern w:val="0"/>
                <w:sz w:val="21"/>
                <w:szCs w:val="21"/>
              </w:rPr>
            </w:pPr>
            <w:r>
              <w:rPr>
                <w:kern w:val="0"/>
                <w:sz w:val="21"/>
                <w:szCs w:val="21"/>
              </w:rPr>
              <w:t xml:space="preserve">8.7 </w:t>
            </w:r>
          </w:p>
        </w:tc>
        <w:tc>
          <w:tcPr>
            <w:tcW w:w="1144" w:type="dxa"/>
            <w:tcBorders>
              <w:top w:val="nil"/>
              <w:left w:val="nil"/>
              <w:bottom w:val="single" w:color="auto" w:sz="4" w:space="0"/>
              <w:right w:val="single" w:color="auto" w:sz="4" w:space="0"/>
            </w:tcBorders>
            <w:vAlign w:val="center"/>
          </w:tcPr>
          <w:p w14:paraId="06C37833">
            <w:pPr>
              <w:widowControl/>
              <w:spacing w:line="240" w:lineRule="auto"/>
              <w:jc w:val="center"/>
              <w:rPr>
                <w:kern w:val="0"/>
                <w:sz w:val="21"/>
                <w:szCs w:val="21"/>
              </w:rPr>
            </w:pPr>
            <w:r>
              <w:rPr>
                <w:kern w:val="0"/>
                <w:sz w:val="21"/>
                <w:szCs w:val="21"/>
              </w:rPr>
              <w:t xml:space="preserve">14.7 </w:t>
            </w:r>
          </w:p>
        </w:tc>
      </w:tr>
      <w:tr w14:paraId="5646E604">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0474158">
            <w:pPr>
              <w:widowControl/>
              <w:spacing w:line="240" w:lineRule="auto"/>
              <w:jc w:val="center"/>
              <w:rPr>
                <w:color w:val="000000"/>
                <w:kern w:val="0"/>
                <w:sz w:val="21"/>
                <w:szCs w:val="21"/>
              </w:rPr>
            </w:pPr>
            <w:r>
              <w:rPr>
                <w:color w:val="000000"/>
                <w:kern w:val="0"/>
                <w:sz w:val="21"/>
                <w:szCs w:val="21"/>
              </w:rPr>
              <w:t>3</w:t>
            </w:r>
          </w:p>
        </w:tc>
        <w:tc>
          <w:tcPr>
            <w:tcW w:w="1134" w:type="dxa"/>
            <w:tcBorders>
              <w:top w:val="nil"/>
              <w:left w:val="nil"/>
              <w:bottom w:val="single" w:color="auto" w:sz="4" w:space="0"/>
              <w:right w:val="single" w:color="auto" w:sz="4" w:space="0"/>
            </w:tcBorders>
            <w:vAlign w:val="center"/>
          </w:tcPr>
          <w:p w14:paraId="190EC246">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7926D0B9">
            <w:pPr>
              <w:widowControl/>
              <w:spacing w:line="240" w:lineRule="auto"/>
              <w:jc w:val="center"/>
              <w:rPr>
                <w:kern w:val="0"/>
                <w:sz w:val="21"/>
                <w:szCs w:val="21"/>
              </w:rPr>
            </w:pPr>
            <w:r>
              <w:rPr>
                <w:kern w:val="0"/>
                <w:sz w:val="21"/>
                <w:szCs w:val="21"/>
              </w:rPr>
              <w:t xml:space="preserve">16.7 </w:t>
            </w:r>
          </w:p>
        </w:tc>
        <w:tc>
          <w:tcPr>
            <w:tcW w:w="1177" w:type="dxa"/>
            <w:tcBorders>
              <w:top w:val="nil"/>
              <w:left w:val="nil"/>
              <w:bottom w:val="single" w:color="auto" w:sz="4" w:space="0"/>
              <w:right w:val="single" w:color="auto" w:sz="4" w:space="0"/>
            </w:tcBorders>
            <w:vAlign w:val="center"/>
          </w:tcPr>
          <w:p w14:paraId="1F040951">
            <w:pPr>
              <w:widowControl/>
              <w:spacing w:line="240" w:lineRule="auto"/>
              <w:jc w:val="center"/>
              <w:rPr>
                <w:kern w:val="0"/>
                <w:sz w:val="21"/>
                <w:szCs w:val="21"/>
              </w:rPr>
            </w:pPr>
            <w:r>
              <w:rPr>
                <w:kern w:val="0"/>
                <w:sz w:val="21"/>
                <w:szCs w:val="21"/>
              </w:rPr>
              <w:t xml:space="preserve">17.1 </w:t>
            </w:r>
          </w:p>
        </w:tc>
        <w:tc>
          <w:tcPr>
            <w:tcW w:w="567" w:type="dxa"/>
            <w:tcBorders>
              <w:top w:val="nil"/>
              <w:left w:val="nil"/>
              <w:bottom w:val="single" w:color="auto" w:sz="4" w:space="0"/>
              <w:right w:val="single" w:color="auto" w:sz="4" w:space="0"/>
            </w:tcBorders>
            <w:vAlign w:val="center"/>
          </w:tcPr>
          <w:p w14:paraId="3D77A64A">
            <w:pPr>
              <w:widowControl/>
              <w:spacing w:line="240" w:lineRule="auto"/>
              <w:jc w:val="center"/>
              <w:rPr>
                <w:kern w:val="0"/>
                <w:sz w:val="21"/>
                <w:szCs w:val="21"/>
              </w:rPr>
            </w:pPr>
            <w:r>
              <w:rPr>
                <w:kern w:val="0"/>
                <w:sz w:val="21"/>
                <w:szCs w:val="21"/>
              </w:rPr>
              <w:t>53</w:t>
            </w:r>
          </w:p>
        </w:tc>
        <w:tc>
          <w:tcPr>
            <w:tcW w:w="1560" w:type="dxa"/>
            <w:tcBorders>
              <w:top w:val="nil"/>
              <w:left w:val="nil"/>
              <w:bottom w:val="single" w:color="auto" w:sz="4" w:space="0"/>
              <w:right w:val="single" w:color="auto" w:sz="4" w:space="0"/>
            </w:tcBorders>
            <w:vAlign w:val="center"/>
          </w:tcPr>
          <w:p w14:paraId="490E21BF">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349DA621">
            <w:pPr>
              <w:widowControl/>
              <w:spacing w:line="240" w:lineRule="auto"/>
              <w:jc w:val="center"/>
              <w:rPr>
                <w:kern w:val="0"/>
                <w:sz w:val="21"/>
                <w:szCs w:val="21"/>
              </w:rPr>
            </w:pPr>
            <w:r>
              <w:rPr>
                <w:kern w:val="0"/>
                <w:sz w:val="21"/>
                <w:szCs w:val="21"/>
              </w:rPr>
              <w:t xml:space="preserve">4.7 </w:t>
            </w:r>
          </w:p>
        </w:tc>
        <w:tc>
          <w:tcPr>
            <w:tcW w:w="1144" w:type="dxa"/>
            <w:tcBorders>
              <w:top w:val="nil"/>
              <w:left w:val="nil"/>
              <w:bottom w:val="single" w:color="auto" w:sz="4" w:space="0"/>
              <w:right w:val="single" w:color="auto" w:sz="4" w:space="0"/>
            </w:tcBorders>
            <w:vAlign w:val="center"/>
          </w:tcPr>
          <w:p w14:paraId="428FB9FE">
            <w:pPr>
              <w:widowControl/>
              <w:spacing w:line="240" w:lineRule="auto"/>
              <w:jc w:val="center"/>
              <w:rPr>
                <w:kern w:val="0"/>
                <w:sz w:val="21"/>
                <w:szCs w:val="21"/>
              </w:rPr>
            </w:pPr>
            <w:r>
              <w:rPr>
                <w:kern w:val="0"/>
                <w:sz w:val="21"/>
                <w:szCs w:val="21"/>
              </w:rPr>
              <w:t xml:space="preserve">7.3 </w:t>
            </w:r>
          </w:p>
        </w:tc>
      </w:tr>
      <w:tr w14:paraId="1806740B">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10EB848F">
            <w:pPr>
              <w:widowControl/>
              <w:spacing w:line="240" w:lineRule="auto"/>
              <w:jc w:val="center"/>
              <w:rPr>
                <w:color w:val="000000"/>
                <w:kern w:val="0"/>
                <w:sz w:val="21"/>
                <w:szCs w:val="21"/>
              </w:rPr>
            </w:pPr>
            <w:r>
              <w:rPr>
                <w:color w:val="000000"/>
                <w:kern w:val="0"/>
                <w:sz w:val="21"/>
                <w:szCs w:val="21"/>
              </w:rPr>
              <w:t>4</w:t>
            </w:r>
          </w:p>
        </w:tc>
        <w:tc>
          <w:tcPr>
            <w:tcW w:w="1134" w:type="dxa"/>
            <w:tcBorders>
              <w:top w:val="nil"/>
              <w:left w:val="nil"/>
              <w:bottom w:val="single" w:color="auto" w:sz="4" w:space="0"/>
              <w:right w:val="single" w:color="auto" w:sz="4" w:space="0"/>
            </w:tcBorders>
            <w:vAlign w:val="center"/>
          </w:tcPr>
          <w:p w14:paraId="0E019393">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41841D72">
            <w:pPr>
              <w:widowControl/>
              <w:spacing w:line="240" w:lineRule="auto"/>
              <w:jc w:val="center"/>
              <w:rPr>
                <w:kern w:val="0"/>
                <w:sz w:val="21"/>
                <w:szCs w:val="21"/>
              </w:rPr>
            </w:pPr>
            <w:r>
              <w:rPr>
                <w:kern w:val="0"/>
                <w:sz w:val="21"/>
                <w:szCs w:val="21"/>
              </w:rPr>
              <w:t xml:space="preserve">27.1 </w:t>
            </w:r>
          </w:p>
        </w:tc>
        <w:tc>
          <w:tcPr>
            <w:tcW w:w="1177" w:type="dxa"/>
            <w:tcBorders>
              <w:top w:val="nil"/>
              <w:left w:val="nil"/>
              <w:bottom w:val="single" w:color="auto" w:sz="4" w:space="0"/>
              <w:right w:val="single" w:color="auto" w:sz="4" w:space="0"/>
            </w:tcBorders>
            <w:vAlign w:val="center"/>
          </w:tcPr>
          <w:p w14:paraId="4C71DCFC">
            <w:pPr>
              <w:widowControl/>
              <w:spacing w:line="240" w:lineRule="auto"/>
              <w:jc w:val="center"/>
              <w:rPr>
                <w:kern w:val="0"/>
                <w:sz w:val="21"/>
                <w:szCs w:val="21"/>
              </w:rPr>
            </w:pPr>
            <w:r>
              <w:rPr>
                <w:kern w:val="0"/>
                <w:sz w:val="21"/>
                <w:szCs w:val="21"/>
              </w:rPr>
              <w:t xml:space="preserve">21.7 </w:t>
            </w:r>
          </w:p>
        </w:tc>
        <w:tc>
          <w:tcPr>
            <w:tcW w:w="567" w:type="dxa"/>
            <w:tcBorders>
              <w:top w:val="nil"/>
              <w:left w:val="nil"/>
              <w:bottom w:val="single" w:color="auto" w:sz="4" w:space="0"/>
              <w:right w:val="single" w:color="auto" w:sz="4" w:space="0"/>
            </w:tcBorders>
            <w:vAlign w:val="center"/>
          </w:tcPr>
          <w:p w14:paraId="0AFCDEC2">
            <w:pPr>
              <w:widowControl/>
              <w:spacing w:line="240" w:lineRule="auto"/>
              <w:jc w:val="center"/>
              <w:rPr>
                <w:kern w:val="0"/>
                <w:sz w:val="21"/>
                <w:szCs w:val="21"/>
              </w:rPr>
            </w:pPr>
            <w:r>
              <w:rPr>
                <w:kern w:val="0"/>
                <w:sz w:val="21"/>
                <w:szCs w:val="21"/>
              </w:rPr>
              <w:t>54</w:t>
            </w:r>
          </w:p>
        </w:tc>
        <w:tc>
          <w:tcPr>
            <w:tcW w:w="1560" w:type="dxa"/>
            <w:tcBorders>
              <w:top w:val="nil"/>
              <w:left w:val="nil"/>
              <w:bottom w:val="single" w:color="auto" w:sz="4" w:space="0"/>
              <w:right w:val="single" w:color="auto" w:sz="4" w:space="0"/>
            </w:tcBorders>
            <w:vAlign w:val="center"/>
          </w:tcPr>
          <w:p w14:paraId="58703DA9">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6062EDA2">
            <w:pPr>
              <w:widowControl/>
              <w:spacing w:line="240" w:lineRule="auto"/>
              <w:jc w:val="center"/>
              <w:rPr>
                <w:kern w:val="0"/>
                <w:sz w:val="21"/>
                <w:szCs w:val="21"/>
              </w:rPr>
            </w:pPr>
            <w:r>
              <w:rPr>
                <w:kern w:val="0"/>
                <w:sz w:val="21"/>
                <w:szCs w:val="21"/>
              </w:rPr>
              <w:t xml:space="preserve">3.9 </w:t>
            </w:r>
          </w:p>
        </w:tc>
        <w:tc>
          <w:tcPr>
            <w:tcW w:w="1144" w:type="dxa"/>
            <w:tcBorders>
              <w:top w:val="nil"/>
              <w:left w:val="nil"/>
              <w:bottom w:val="single" w:color="auto" w:sz="4" w:space="0"/>
              <w:right w:val="single" w:color="auto" w:sz="4" w:space="0"/>
            </w:tcBorders>
            <w:vAlign w:val="center"/>
          </w:tcPr>
          <w:p w14:paraId="34A068E0">
            <w:pPr>
              <w:widowControl/>
              <w:spacing w:line="240" w:lineRule="auto"/>
              <w:jc w:val="center"/>
              <w:rPr>
                <w:kern w:val="0"/>
                <w:sz w:val="21"/>
                <w:szCs w:val="21"/>
              </w:rPr>
            </w:pPr>
            <w:r>
              <w:rPr>
                <w:kern w:val="0"/>
                <w:sz w:val="21"/>
                <w:szCs w:val="21"/>
              </w:rPr>
              <w:t xml:space="preserve">16.6 </w:t>
            </w:r>
          </w:p>
        </w:tc>
      </w:tr>
      <w:tr w14:paraId="071EE8F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3C80B2E">
            <w:pPr>
              <w:widowControl/>
              <w:spacing w:line="240" w:lineRule="auto"/>
              <w:jc w:val="center"/>
              <w:rPr>
                <w:color w:val="000000"/>
                <w:kern w:val="0"/>
                <w:sz w:val="21"/>
                <w:szCs w:val="21"/>
              </w:rPr>
            </w:pPr>
            <w:r>
              <w:rPr>
                <w:color w:val="000000"/>
                <w:kern w:val="0"/>
                <w:sz w:val="21"/>
                <w:szCs w:val="21"/>
              </w:rPr>
              <w:t>5</w:t>
            </w:r>
          </w:p>
        </w:tc>
        <w:tc>
          <w:tcPr>
            <w:tcW w:w="1134" w:type="dxa"/>
            <w:tcBorders>
              <w:top w:val="nil"/>
              <w:left w:val="nil"/>
              <w:bottom w:val="single" w:color="auto" w:sz="4" w:space="0"/>
              <w:right w:val="single" w:color="auto" w:sz="4" w:space="0"/>
            </w:tcBorders>
            <w:vAlign w:val="center"/>
          </w:tcPr>
          <w:p w14:paraId="15EA06FF">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32DE9CEA">
            <w:pPr>
              <w:widowControl/>
              <w:spacing w:line="240" w:lineRule="auto"/>
              <w:jc w:val="center"/>
              <w:rPr>
                <w:kern w:val="0"/>
                <w:sz w:val="21"/>
                <w:szCs w:val="21"/>
              </w:rPr>
            </w:pPr>
            <w:r>
              <w:rPr>
                <w:kern w:val="0"/>
                <w:sz w:val="21"/>
                <w:szCs w:val="21"/>
              </w:rPr>
              <w:t xml:space="preserve">24.1 </w:t>
            </w:r>
          </w:p>
        </w:tc>
        <w:tc>
          <w:tcPr>
            <w:tcW w:w="1177" w:type="dxa"/>
            <w:tcBorders>
              <w:top w:val="nil"/>
              <w:left w:val="nil"/>
              <w:bottom w:val="single" w:color="auto" w:sz="4" w:space="0"/>
              <w:right w:val="single" w:color="auto" w:sz="4" w:space="0"/>
            </w:tcBorders>
            <w:vAlign w:val="center"/>
          </w:tcPr>
          <w:p w14:paraId="0347F532">
            <w:pPr>
              <w:widowControl/>
              <w:spacing w:line="240" w:lineRule="auto"/>
              <w:jc w:val="center"/>
              <w:rPr>
                <w:kern w:val="0"/>
                <w:sz w:val="21"/>
                <w:szCs w:val="21"/>
              </w:rPr>
            </w:pPr>
            <w:r>
              <w:rPr>
                <w:kern w:val="0"/>
                <w:sz w:val="21"/>
                <w:szCs w:val="21"/>
              </w:rPr>
              <w:t xml:space="preserve">24.6 </w:t>
            </w:r>
          </w:p>
        </w:tc>
        <w:tc>
          <w:tcPr>
            <w:tcW w:w="567" w:type="dxa"/>
            <w:tcBorders>
              <w:top w:val="nil"/>
              <w:left w:val="nil"/>
              <w:bottom w:val="single" w:color="auto" w:sz="4" w:space="0"/>
              <w:right w:val="single" w:color="auto" w:sz="4" w:space="0"/>
            </w:tcBorders>
            <w:vAlign w:val="center"/>
          </w:tcPr>
          <w:p w14:paraId="2F4755DD">
            <w:pPr>
              <w:widowControl/>
              <w:spacing w:line="240" w:lineRule="auto"/>
              <w:jc w:val="center"/>
              <w:rPr>
                <w:kern w:val="0"/>
                <w:sz w:val="21"/>
                <w:szCs w:val="21"/>
              </w:rPr>
            </w:pPr>
            <w:r>
              <w:rPr>
                <w:kern w:val="0"/>
                <w:sz w:val="21"/>
                <w:szCs w:val="21"/>
              </w:rPr>
              <w:t>55</w:t>
            </w:r>
          </w:p>
        </w:tc>
        <w:tc>
          <w:tcPr>
            <w:tcW w:w="1560" w:type="dxa"/>
            <w:tcBorders>
              <w:top w:val="nil"/>
              <w:left w:val="nil"/>
              <w:bottom w:val="single" w:color="auto" w:sz="4" w:space="0"/>
              <w:right w:val="single" w:color="auto" w:sz="4" w:space="0"/>
            </w:tcBorders>
            <w:vAlign w:val="center"/>
          </w:tcPr>
          <w:p w14:paraId="3964EF70">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46B804BA">
            <w:pPr>
              <w:widowControl/>
              <w:spacing w:line="240" w:lineRule="auto"/>
              <w:jc w:val="center"/>
              <w:rPr>
                <w:kern w:val="0"/>
                <w:sz w:val="21"/>
                <w:szCs w:val="21"/>
              </w:rPr>
            </w:pPr>
            <w:r>
              <w:rPr>
                <w:kern w:val="0"/>
                <w:sz w:val="21"/>
                <w:szCs w:val="21"/>
              </w:rPr>
              <w:t xml:space="preserve">5.8 </w:t>
            </w:r>
          </w:p>
        </w:tc>
        <w:tc>
          <w:tcPr>
            <w:tcW w:w="1144" w:type="dxa"/>
            <w:tcBorders>
              <w:top w:val="nil"/>
              <w:left w:val="nil"/>
              <w:bottom w:val="single" w:color="auto" w:sz="4" w:space="0"/>
              <w:right w:val="single" w:color="auto" w:sz="4" w:space="0"/>
            </w:tcBorders>
            <w:vAlign w:val="center"/>
          </w:tcPr>
          <w:p w14:paraId="1FD3C744">
            <w:pPr>
              <w:widowControl/>
              <w:spacing w:line="240" w:lineRule="auto"/>
              <w:jc w:val="center"/>
              <w:rPr>
                <w:kern w:val="0"/>
                <w:sz w:val="21"/>
                <w:szCs w:val="21"/>
              </w:rPr>
            </w:pPr>
            <w:r>
              <w:rPr>
                <w:kern w:val="0"/>
                <w:sz w:val="21"/>
                <w:szCs w:val="21"/>
              </w:rPr>
              <w:t xml:space="preserve">24.7 </w:t>
            </w:r>
          </w:p>
        </w:tc>
      </w:tr>
      <w:tr w14:paraId="54433942">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141DDBE">
            <w:pPr>
              <w:widowControl/>
              <w:spacing w:line="240" w:lineRule="auto"/>
              <w:jc w:val="center"/>
              <w:rPr>
                <w:color w:val="000000"/>
                <w:kern w:val="0"/>
                <w:sz w:val="21"/>
                <w:szCs w:val="21"/>
              </w:rPr>
            </w:pPr>
            <w:r>
              <w:rPr>
                <w:color w:val="000000"/>
                <w:kern w:val="0"/>
                <w:sz w:val="21"/>
                <w:szCs w:val="21"/>
              </w:rPr>
              <w:t>6</w:t>
            </w:r>
          </w:p>
        </w:tc>
        <w:tc>
          <w:tcPr>
            <w:tcW w:w="1134" w:type="dxa"/>
            <w:tcBorders>
              <w:top w:val="nil"/>
              <w:left w:val="nil"/>
              <w:bottom w:val="single" w:color="auto" w:sz="4" w:space="0"/>
              <w:right w:val="single" w:color="auto" w:sz="4" w:space="0"/>
            </w:tcBorders>
            <w:vAlign w:val="center"/>
          </w:tcPr>
          <w:p w14:paraId="38E2CE22">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36AF247F">
            <w:pPr>
              <w:widowControl/>
              <w:spacing w:line="240" w:lineRule="auto"/>
              <w:jc w:val="center"/>
              <w:rPr>
                <w:kern w:val="0"/>
                <w:sz w:val="21"/>
                <w:szCs w:val="21"/>
              </w:rPr>
            </w:pPr>
            <w:r>
              <w:rPr>
                <w:kern w:val="0"/>
                <w:sz w:val="21"/>
                <w:szCs w:val="21"/>
              </w:rPr>
              <w:t xml:space="preserve">9.5 </w:t>
            </w:r>
          </w:p>
        </w:tc>
        <w:tc>
          <w:tcPr>
            <w:tcW w:w="1177" w:type="dxa"/>
            <w:tcBorders>
              <w:top w:val="nil"/>
              <w:left w:val="nil"/>
              <w:bottom w:val="single" w:color="auto" w:sz="4" w:space="0"/>
              <w:right w:val="single" w:color="auto" w:sz="4" w:space="0"/>
            </w:tcBorders>
            <w:vAlign w:val="center"/>
          </w:tcPr>
          <w:p w14:paraId="0343502E">
            <w:pPr>
              <w:widowControl/>
              <w:spacing w:line="240" w:lineRule="auto"/>
              <w:jc w:val="center"/>
              <w:rPr>
                <w:kern w:val="0"/>
                <w:sz w:val="21"/>
                <w:szCs w:val="21"/>
              </w:rPr>
            </w:pPr>
            <w:r>
              <w:rPr>
                <w:kern w:val="0"/>
                <w:sz w:val="21"/>
                <w:szCs w:val="21"/>
              </w:rPr>
              <w:t xml:space="preserve">6.9 </w:t>
            </w:r>
          </w:p>
        </w:tc>
        <w:tc>
          <w:tcPr>
            <w:tcW w:w="567" w:type="dxa"/>
            <w:tcBorders>
              <w:top w:val="nil"/>
              <w:left w:val="nil"/>
              <w:bottom w:val="single" w:color="auto" w:sz="4" w:space="0"/>
              <w:right w:val="single" w:color="auto" w:sz="4" w:space="0"/>
            </w:tcBorders>
            <w:vAlign w:val="center"/>
          </w:tcPr>
          <w:p w14:paraId="362C762D">
            <w:pPr>
              <w:widowControl/>
              <w:spacing w:line="240" w:lineRule="auto"/>
              <w:jc w:val="center"/>
              <w:rPr>
                <w:kern w:val="0"/>
                <w:sz w:val="21"/>
                <w:szCs w:val="21"/>
              </w:rPr>
            </w:pPr>
            <w:r>
              <w:rPr>
                <w:kern w:val="0"/>
                <w:sz w:val="21"/>
                <w:szCs w:val="21"/>
              </w:rPr>
              <w:t>56</w:t>
            </w:r>
          </w:p>
        </w:tc>
        <w:tc>
          <w:tcPr>
            <w:tcW w:w="1560" w:type="dxa"/>
            <w:tcBorders>
              <w:top w:val="nil"/>
              <w:left w:val="nil"/>
              <w:bottom w:val="single" w:color="auto" w:sz="4" w:space="0"/>
              <w:right w:val="single" w:color="auto" w:sz="4" w:space="0"/>
            </w:tcBorders>
            <w:vAlign w:val="center"/>
          </w:tcPr>
          <w:p w14:paraId="5C07E6D5">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0C0B8A37">
            <w:pPr>
              <w:widowControl/>
              <w:spacing w:line="240" w:lineRule="auto"/>
              <w:jc w:val="center"/>
              <w:rPr>
                <w:kern w:val="0"/>
                <w:sz w:val="21"/>
                <w:szCs w:val="21"/>
              </w:rPr>
            </w:pPr>
            <w:r>
              <w:rPr>
                <w:kern w:val="0"/>
                <w:sz w:val="21"/>
                <w:szCs w:val="21"/>
              </w:rPr>
              <w:t xml:space="preserve">0.7 </w:t>
            </w:r>
          </w:p>
        </w:tc>
        <w:tc>
          <w:tcPr>
            <w:tcW w:w="1144" w:type="dxa"/>
            <w:tcBorders>
              <w:top w:val="nil"/>
              <w:left w:val="nil"/>
              <w:bottom w:val="single" w:color="auto" w:sz="4" w:space="0"/>
              <w:right w:val="single" w:color="auto" w:sz="4" w:space="0"/>
            </w:tcBorders>
            <w:vAlign w:val="center"/>
          </w:tcPr>
          <w:p w14:paraId="458CA438">
            <w:pPr>
              <w:widowControl/>
              <w:spacing w:line="240" w:lineRule="auto"/>
              <w:jc w:val="center"/>
              <w:rPr>
                <w:kern w:val="0"/>
                <w:sz w:val="21"/>
                <w:szCs w:val="21"/>
              </w:rPr>
            </w:pPr>
            <w:r>
              <w:rPr>
                <w:kern w:val="0"/>
                <w:sz w:val="21"/>
                <w:szCs w:val="21"/>
              </w:rPr>
              <w:t xml:space="preserve">1.7 </w:t>
            </w:r>
          </w:p>
        </w:tc>
      </w:tr>
      <w:tr w14:paraId="553B3DBA">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1B7A307">
            <w:pPr>
              <w:widowControl/>
              <w:spacing w:line="240" w:lineRule="auto"/>
              <w:jc w:val="center"/>
              <w:rPr>
                <w:color w:val="000000"/>
                <w:kern w:val="0"/>
                <w:sz w:val="21"/>
                <w:szCs w:val="21"/>
              </w:rPr>
            </w:pPr>
            <w:r>
              <w:rPr>
                <w:color w:val="000000"/>
                <w:kern w:val="0"/>
                <w:sz w:val="21"/>
                <w:szCs w:val="21"/>
              </w:rPr>
              <w:t>7</w:t>
            </w:r>
          </w:p>
        </w:tc>
        <w:tc>
          <w:tcPr>
            <w:tcW w:w="1134" w:type="dxa"/>
            <w:tcBorders>
              <w:top w:val="nil"/>
              <w:left w:val="nil"/>
              <w:bottom w:val="single" w:color="auto" w:sz="4" w:space="0"/>
              <w:right w:val="single" w:color="auto" w:sz="4" w:space="0"/>
            </w:tcBorders>
            <w:vAlign w:val="center"/>
          </w:tcPr>
          <w:p w14:paraId="2E11C21D">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7EEBD67F">
            <w:pPr>
              <w:widowControl/>
              <w:spacing w:line="240" w:lineRule="auto"/>
              <w:jc w:val="center"/>
              <w:rPr>
                <w:kern w:val="0"/>
                <w:sz w:val="21"/>
                <w:szCs w:val="21"/>
              </w:rPr>
            </w:pPr>
            <w:r>
              <w:rPr>
                <w:kern w:val="0"/>
                <w:sz w:val="21"/>
                <w:szCs w:val="21"/>
              </w:rPr>
              <w:t xml:space="preserve">23.9 </w:t>
            </w:r>
          </w:p>
        </w:tc>
        <w:tc>
          <w:tcPr>
            <w:tcW w:w="1177" w:type="dxa"/>
            <w:tcBorders>
              <w:top w:val="nil"/>
              <w:left w:val="nil"/>
              <w:bottom w:val="single" w:color="auto" w:sz="4" w:space="0"/>
              <w:right w:val="single" w:color="auto" w:sz="4" w:space="0"/>
            </w:tcBorders>
            <w:vAlign w:val="center"/>
          </w:tcPr>
          <w:p w14:paraId="726480AF">
            <w:pPr>
              <w:widowControl/>
              <w:spacing w:line="240" w:lineRule="auto"/>
              <w:jc w:val="center"/>
              <w:rPr>
                <w:kern w:val="0"/>
                <w:sz w:val="21"/>
                <w:szCs w:val="21"/>
              </w:rPr>
            </w:pPr>
            <w:r>
              <w:rPr>
                <w:kern w:val="0"/>
                <w:sz w:val="21"/>
                <w:szCs w:val="21"/>
              </w:rPr>
              <w:t xml:space="preserve">17.0 </w:t>
            </w:r>
          </w:p>
        </w:tc>
        <w:tc>
          <w:tcPr>
            <w:tcW w:w="567" w:type="dxa"/>
            <w:tcBorders>
              <w:top w:val="nil"/>
              <w:left w:val="nil"/>
              <w:bottom w:val="single" w:color="auto" w:sz="4" w:space="0"/>
              <w:right w:val="single" w:color="auto" w:sz="4" w:space="0"/>
            </w:tcBorders>
            <w:vAlign w:val="center"/>
          </w:tcPr>
          <w:p w14:paraId="3291DDB3">
            <w:pPr>
              <w:widowControl/>
              <w:spacing w:line="240" w:lineRule="auto"/>
              <w:jc w:val="center"/>
              <w:rPr>
                <w:kern w:val="0"/>
                <w:sz w:val="21"/>
                <w:szCs w:val="21"/>
              </w:rPr>
            </w:pPr>
            <w:r>
              <w:rPr>
                <w:kern w:val="0"/>
                <w:sz w:val="21"/>
                <w:szCs w:val="21"/>
              </w:rPr>
              <w:t>57</w:t>
            </w:r>
          </w:p>
        </w:tc>
        <w:tc>
          <w:tcPr>
            <w:tcW w:w="1560" w:type="dxa"/>
            <w:tcBorders>
              <w:top w:val="nil"/>
              <w:left w:val="nil"/>
              <w:bottom w:val="single" w:color="auto" w:sz="4" w:space="0"/>
              <w:right w:val="single" w:color="auto" w:sz="4" w:space="0"/>
            </w:tcBorders>
            <w:vAlign w:val="center"/>
          </w:tcPr>
          <w:p w14:paraId="1863A3A2">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4A8ADBE6">
            <w:pPr>
              <w:widowControl/>
              <w:spacing w:line="240" w:lineRule="auto"/>
              <w:jc w:val="center"/>
              <w:rPr>
                <w:kern w:val="0"/>
                <w:sz w:val="21"/>
                <w:szCs w:val="21"/>
              </w:rPr>
            </w:pPr>
            <w:r>
              <w:rPr>
                <w:kern w:val="0"/>
                <w:sz w:val="21"/>
                <w:szCs w:val="21"/>
              </w:rPr>
              <w:t xml:space="preserve">0.4 </w:t>
            </w:r>
          </w:p>
        </w:tc>
        <w:tc>
          <w:tcPr>
            <w:tcW w:w="1144" w:type="dxa"/>
            <w:tcBorders>
              <w:top w:val="nil"/>
              <w:left w:val="nil"/>
              <w:bottom w:val="single" w:color="auto" w:sz="4" w:space="0"/>
              <w:right w:val="single" w:color="auto" w:sz="4" w:space="0"/>
            </w:tcBorders>
            <w:vAlign w:val="center"/>
          </w:tcPr>
          <w:p w14:paraId="2F8E689C">
            <w:pPr>
              <w:widowControl/>
              <w:spacing w:line="240" w:lineRule="auto"/>
              <w:jc w:val="center"/>
              <w:rPr>
                <w:kern w:val="0"/>
                <w:sz w:val="21"/>
                <w:szCs w:val="21"/>
              </w:rPr>
            </w:pPr>
            <w:r>
              <w:rPr>
                <w:kern w:val="0"/>
                <w:sz w:val="21"/>
                <w:szCs w:val="21"/>
              </w:rPr>
              <w:t xml:space="preserve">0.8 </w:t>
            </w:r>
          </w:p>
        </w:tc>
      </w:tr>
      <w:tr w14:paraId="27C360FF">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33FACE6">
            <w:pPr>
              <w:widowControl/>
              <w:spacing w:line="240" w:lineRule="auto"/>
              <w:jc w:val="center"/>
              <w:rPr>
                <w:color w:val="000000"/>
                <w:kern w:val="0"/>
                <w:sz w:val="21"/>
                <w:szCs w:val="21"/>
              </w:rPr>
            </w:pPr>
            <w:r>
              <w:rPr>
                <w:color w:val="000000"/>
                <w:kern w:val="0"/>
                <w:sz w:val="21"/>
                <w:szCs w:val="21"/>
              </w:rPr>
              <w:t>8</w:t>
            </w:r>
          </w:p>
        </w:tc>
        <w:tc>
          <w:tcPr>
            <w:tcW w:w="1134" w:type="dxa"/>
            <w:tcBorders>
              <w:top w:val="nil"/>
              <w:left w:val="nil"/>
              <w:bottom w:val="single" w:color="auto" w:sz="4" w:space="0"/>
              <w:right w:val="single" w:color="auto" w:sz="4" w:space="0"/>
            </w:tcBorders>
            <w:vAlign w:val="center"/>
          </w:tcPr>
          <w:p w14:paraId="0FE1DE40">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02EB228A">
            <w:pPr>
              <w:widowControl/>
              <w:spacing w:line="240" w:lineRule="auto"/>
              <w:jc w:val="center"/>
              <w:rPr>
                <w:kern w:val="0"/>
                <w:sz w:val="21"/>
                <w:szCs w:val="21"/>
              </w:rPr>
            </w:pPr>
            <w:r>
              <w:rPr>
                <w:kern w:val="0"/>
                <w:sz w:val="21"/>
                <w:szCs w:val="21"/>
              </w:rPr>
              <w:t xml:space="preserve">11.3 </w:t>
            </w:r>
          </w:p>
        </w:tc>
        <w:tc>
          <w:tcPr>
            <w:tcW w:w="1177" w:type="dxa"/>
            <w:tcBorders>
              <w:top w:val="nil"/>
              <w:left w:val="nil"/>
              <w:bottom w:val="single" w:color="auto" w:sz="4" w:space="0"/>
              <w:right w:val="single" w:color="auto" w:sz="4" w:space="0"/>
            </w:tcBorders>
            <w:vAlign w:val="center"/>
          </w:tcPr>
          <w:p w14:paraId="1F3838FD">
            <w:pPr>
              <w:widowControl/>
              <w:spacing w:line="240" w:lineRule="auto"/>
              <w:jc w:val="center"/>
              <w:rPr>
                <w:kern w:val="0"/>
                <w:sz w:val="21"/>
                <w:szCs w:val="21"/>
              </w:rPr>
            </w:pPr>
            <w:r>
              <w:rPr>
                <w:kern w:val="0"/>
                <w:sz w:val="21"/>
                <w:szCs w:val="21"/>
              </w:rPr>
              <w:t xml:space="preserve">16.3 </w:t>
            </w:r>
          </w:p>
        </w:tc>
        <w:tc>
          <w:tcPr>
            <w:tcW w:w="567" w:type="dxa"/>
            <w:tcBorders>
              <w:top w:val="nil"/>
              <w:left w:val="nil"/>
              <w:bottom w:val="single" w:color="auto" w:sz="4" w:space="0"/>
              <w:right w:val="single" w:color="auto" w:sz="4" w:space="0"/>
            </w:tcBorders>
            <w:vAlign w:val="center"/>
          </w:tcPr>
          <w:p w14:paraId="1E87A737">
            <w:pPr>
              <w:widowControl/>
              <w:spacing w:line="240" w:lineRule="auto"/>
              <w:jc w:val="center"/>
              <w:rPr>
                <w:kern w:val="0"/>
                <w:sz w:val="21"/>
                <w:szCs w:val="21"/>
              </w:rPr>
            </w:pPr>
            <w:r>
              <w:rPr>
                <w:kern w:val="0"/>
                <w:sz w:val="21"/>
                <w:szCs w:val="21"/>
              </w:rPr>
              <w:t>58</w:t>
            </w:r>
          </w:p>
        </w:tc>
        <w:tc>
          <w:tcPr>
            <w:tcW w:w="1560" w:type="dxa"/>
            <w:tcBorders>
              <w:top w:val="nil"/>
              <w:left w:val="nil"/>
              <w:bottom w:val="single" w:color="auto" w:sz="4" w:space="0"/>
              <w:right w:val="single" w:color="auto" w:sz="4" w:space="0"/>
            </w:tcBorders>
            <w:vAlign w:val="center"/>
          </w:tcPr>
          <w:p w14:paraId="58EF5E0F">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631FCA41">
            <w:pPr>
              <w:widowControl/>
              <w:spacing w:line="240" w:lineRule="auto"/>
              <w:jc w:val="center"/>
              <w:rPr>
                <w:kern w:val="0"/>
                <w:sz w:val="21"/>
                <w:szCs w:val="21"/>
              </w:rPr>
            </w:pPr>
            <w:r>
              <w:rPr>
                <w:kern w:val="0"/>
                <w:sz w:val="21"/>
                <w:szCs w:val="21"/>
              </w:rPr>
              <w:t xml:space="preserve">4.6 </w:t>
            </w:r>
          </w:p>
        </w:tc>
        <w:tc>
          <w:tcPr>
            <w:tcW w:w="1144" w:type="dxa"/>
            <w:tcBorders>
              <w:top w:val="nil"/>
              <w:left w:val="nil"/>
              <w:bottom w:val="single" w:color="auto" w:sz="4" w:space="0"/>
              <w:right w:val="single" w:color="auto" w:sz="4" w:space="0"/>
            </w:tcBorders>
            <w:vAlign w:val="center"/>
          </w:tcPr>
          <w:p w14:paraId="2882C685">
            <w:pPr>
              <w:widowControl/>
              <w:spacing w:line="240" w:lineRule="auto"/>
              <w:jc w:val="center"/>
              <w:rPr>
                <w:kern w:val="0"/>
                <w:sz w:val="21"/>
                <w:szCs w:val="21"/>
              </w:rPr>
            </w:pPr>
            <w:r>
              <w:rPr>
                <w:kern w:val="0"/>
                <w:sz w:val="21"/>
                <w:szCs w:val="21"/>
              </w:rPr>
              <w:t xml:space="preserve">11.9 </w:t>
            </w:r>
          </w:p>
        </w:tc>
      </w:tr>
      <w:tr w14:paraId="24F4E9BE">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8978F33">
            <w:pPr>
              <w:widowControl/>
              <w:spacing w:line="240" w:lineRule="auto"/>
              <w:jc w:val="center"/>
              <w:rPr>
                <w:color w:val="000000"/>
                <w:kern w:val="0"/>
                <w:sz w:val="21"/>
                <w:szCs w:val="21"/>
              </w:rPr>
            </w:pPr>
            <w:r>
              <w:rPr>
                <w:color w:val="000000"/>
                <w:kern w:val="0"/>
                <w:sz w:val="21"/>
                <w:szCs w:val="21"/>
              </w:rPr>
              <w:t>9</w:t>
            </w:r>
          </w:p>
        </w:tc>
        <w:tc>
          <w:tcPr>
            <w:tcW w:w="1134" w:type="dxa"/>
            <w:tcBorders>
              <w:top w:val="nil"/>
              <w:left w:val="nil"/>
              <w:bottom w:val="single" w:color="auto" w:sz="4" w:space="0"/>
              <w:right w:val="single" w:color="auto" w:sz="4" w:space="0"/>
            </w:tcBorders>
            <w:vAlign w:val="center"/>
          </w:tcPr>
          <w:p w14:paraId="48050B5E">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2D349AA8">
            <w:pPr>
              <w:widowControl/>
              <w:spacing w:line="240" w:lineRule="auto"/>
              <w:jc w:val="center"/>
              <w:rPr>
                <w:kern w:val="0"/>
                <w:sz w:val="21"/>
                <w:szCs w:val="21"/>
              </w:rPr>
            </w:pPr>
            <w:r>
              <w:rPr>
                <w:kern w:val="0"/>
                <w:sz w:val="21"/>
                <w:szCs w:val="21"/>
              </w:rPr>
              <w:t xml:space="preserve">45.1 </w:t>
            </w:r>
          </w:p>
        </w:tc>
        <w:tc>
          <w:tcPr>
            <w:tcW w:w="1177" w:type="dxa"/>
            <w:tcBorders>
              <w:top w:val="nil"/>
              <w:left w:val="nil"/>
              <w:bottom w:val="single" w:color="auto" w:sz="4" w:space="0"/>
              <w:right w:val="single" w:color="auto" w:sz="4" w:space="0"/>
            </w:tcBorders>
            <w:vAlign w:val="center"/>
          </w:tcPr>
          <w:p w14:paraId="22DA9BAA">
            <w:pPr>
              <w:widowControl/>
              <w:spacing w:line="240" w:lineRule="auto"/>
              <w:jc w:val="center"/>
              <w:rPr>
                <w:kern w:val="0"/>
                <w:sz w:val="21"/>
                <w:szCs w:val="21"/>
              </w:rPr>
            </w:pPr>
            <w:r>
              <w:rPr>
                <w:kern w:val="0"/>
                <w:sz w:val="21"/>
                <w:szCs w:val="21"/>
              </w:rPr>
              <w:t xml:space="preserve">39.3 </w:t>
            </w:r>
          </w:p>
        </w:tc>
        <w:tc>
          <w:tcPr>
            <w:tcW w:w="567" w:type="dxa"/>
            <w:tcBorders>
              <w:top w:val="nil"/>
              <w:left w:val="nil"/>
              <w:bottom w:val="single" w:color="auto" w:sz="4" w:space="0"/>
              <w:right w:val="single" w:color="auto" w:sz="4" w:space="0"/>
            </w:tcBorders>
            <w:vAlign w:val="center"/>
          </w:tcPr>
          <w:p w14:paraId="0631F9FF">
            <w:pPr>
              <w:widowControl/>
              <w:spacing w:line="240" w:lineRule="auto"/>
              <w:jc w:val="center"/>
              <w:rPr>
                <w:kern w:val="0"/>
                <w:sz w:val="21"/>
                <w:szCs w:val="21"/>
              </w:rPr>
            </w:pPr>
            <w:r>
              <w:rPr>
                <w:kern w:val="0"/>
                <w:sz w:val="21"/>
                <w:szCs w:val="21"/>
              </w:rPr>
              <w:t>59</w:t>
            </w:r>
          </w:p>
        </w:tc>
        <w:tc>
          <w:tcPr>
            <w:tcW w:w="1560" w:type="dxa"/>
            <w:tcBorders>
              <w:top w:val="nil"/>
              <w:left w:val="nil"/>
              <w:bottom w:val="single" w:color="auto" w:sz="4" w:space="0"/>
              <w:right w:val="single" w:color="auto" w:sz="4" w:space="0"/>
            </w:tcBorders>
            <w:vAlign w:val="center"/>
          </w:tcPr>
          <w:p w14:paraId="29E6D39A">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3576E469">
            <w:pPr>
              <w:widowControl/>
              <w:spacing w:line="240" w:lineRule="auto"/>
              <w:jc w:val="center"/>
              <w:rPr>
                <w:kern w:val="0"/>
                <w:sz w:val="21"/>
                <w:szCs w:val="21"/>
              </w:rPr>
            </w:pPr>
            <w:r>
              <w:rPr>
                <w:kern w:val="0"/>
                <w:sz w:val="21"/>
                <w:szCs w:val="21"/>
              </w:rPr>
              <w:t xml:space="preserve">6.5 </w:t>
            </w:r>
          </w:p>
        </w:tc>
        <w:tc>
          <w:tcPr>
            <w:tcW w:w="1144" w:type="dxa"/>
            <w:tcBorders>
              <w:top w:val="nil"/>
              <w:left w:val="nil"/>
              <w:bottom w:val="single" w:color="auto" w:sz="4" w:space="0"/>
              <w:right w:val="single" w:color="auto" w:sz="4" w:space="0"/>
            </w:tcBorders>
            <w:vAlign w:val="center"/>
          </w:tcPr>
          <w:p w14:paraId="572A4011">
            <w:pPr>
              <w:widowControl/>
              <w:spacing w:line="240" w:lineRule="auto"/>
              <w:jc w:val="center"/>
              <w:rPr>
                <w:kern w:val="0"/>
                <w:sz w:val="21"/>
                <w:szCs w:val="21"/>
              </w:rPr>
            </w:pPr>
            <w:r>
              <w:rPr>
                <w:kern w:val="0"/>
                <w:sz w:val="21"/>
                <w:szCs w:val="21"/>
              </w:rPr>
              <w:t xml:space="preserve">17.1 </w:t>
            </w:r>
          </w:p>
        </w:tc>
      </w:tr>
      <w:tr w14:paraId="5488AB5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15D5E194">
            <w:pPr>
              <w:widowControl/>
              <w:spacing w:line="240" w:lineRule="auto"/>
              <w:jc w:val="center"/>
              <w:rPr>
                <w:color w:val="000000"/>
                <w:kern w:val="0"/>
                <w:sz w:val="21"/>
                <w:szCs w:val="21"/>
              </w:rPr>
            </w:pPr>
            <w:r>
              <w:rPr>
                <w:color w:val="000000"/>
                <w:kern w:val="0"/>
                <w:sz w:val="21"/>
                <w:szCs w:val="21"/>
              </w:rPr>
              <w:t>10</w:t>
            </w:r>
          </w:p>
        </w:tc>
        <w:tc>
          <w:tcPr>
            <w:tcW w:w="1134" w:type="dxa"/>
            <w:tcBorders>
              <w:top w:val="nil"/>
              <w:left w:val="nil"/>
              <w:bottom w:val="single" w:color="auto" w:sz="4" w:space="0"/>
              <w:right w:val="single" w:color="auto" w:sz="4" w:space="0"/>
            </w:tcBorders>
            <w:vAlign w:val="center"/>
          </w:tcPr>
          <w:p w14:paraId="74E90DEB">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244FC576">
            <w:pPr>
              <w:widowControl/>
              <w:spacing w:line="240" w:lineRule="auto"/>
              <w:jc w:val="center"/>
              <w:rPr>
                <w:kern w:val="0"/>
                <w:sz w:val="21"/>
                <w:szCs w:val="21"/>
              </w:rPr>
            </w:pPr>
            <w:r>
              <w:rPr>
                <w:kern w:val="0"/>
                <w:sz w:val="21"/>
                <w:szCs w:val="21"/>
              </w:rPr>
              <w:t xml:space="preserve">1.6 </w:t>
            </w:r>
          </w:p>
        </w:tc>
        <w:tc>
          <w:tcPr>
            <w:tcW w:w="1177" w:type="dxa"/>
            <w:tcBorders>
              <w:top w:val="nil"/>
              <w:left w:val="nil"/>
              <w:bottom w:val="single" w:color="auto" w:sz="4" w:space="0"/>
              <w:right w:val="single" w:color="auto" w:sz="4" w:space="0"/>
            </w:tcBorders>
            <w:vAlign w:val="center"/>
          </w:tcPr>
          <w:p w14:paraId="1C1F5A84">
            <w:pPr>
              <w:widowControl/>
              <w:spacing w:line="240" w:lineRule="auto"/>
              <w:jc w:val="center"/>
              <w:rPr>
                <w:kern w:val="0"/>
                <w:sz w:val="21"/>
                <w:szCs w:val="21"/>
              </w:rPr>
            </w:pPr>
            <w:r>
              <w:rPr>
                <w:kern w:val="0"/>
                <w:sz w:val="21"/>
                <w:szCs w:val="21"/>
              </w:rPr>
              <w:t xml:space="preserve">4.1 </w:t>
            </w:r>
          </w:p>
        </w:tc>
        <w:tc>
          <w:tcPr>
            <w:tcW w:w="567" w:type="dxa"/>
            <w:tcBorders>
              <w:top w:val="nil"/>
              <w:left w:val="nil"/>
              <w:bottom w:val="single" w:color="auto" w:sz="4" w:space="0"/>
              <w:right w:val="single" w:color="auto" w:sz="4" w:space="0"/>
            </w:tcBorders>
            <w:vAlign w:val="center"/>
          </w:tcPr>
          <w:p w14:paraId="4245AEBD">
            <w:pPr>
              <w:widowControl/>
              <w:spacing w:line="240" w:lineRule="auto"/>
              <w:jc w:val="center"/>
              <w:rPr>
                <w:kern w:val="0"/>
                <w:sz w:val="21"/>
                <w:szCs w:val="21"/>
              </w:rPr>
            </w:pPr>
            <w:r>
              <w:rPr>
                <w:kern w:val="0"/>
                <w:sz w:val="21"/>
                <w:szCs w:val="21"/>
              </w:rPr>
              <w:t>60</w:t>
            </w:r>
          </w:p>
        </w:tc>
        <w:tc>
          <w:tcPr>
            <w:tcW w:w="1560" w:type="dxa"/>
            <w:tcBorders>
              <w:top w:val="nil"/>
              <w:left w:val="nil"/>
              <w:bottom w:val="single" w:color="auto" w:sz="4" w:space="0"/>
              <w:right w:val="single" w:color="auto" w:sz="4" w:space="0"/>
            </w:tcBorders>
            <w:vAlign w:val="center"/>
          </w:tcPr>
          <w:p w14:paraId="0FEF293C">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5DAF2FD6">
            <w:pPr>
              <w:widowControl/>
              <w:spacing w:line="240" w:lineRule="auto"/>
              <w:jc w:val="center"/>
              <w:rPr>
                <w:kern w:val="0"/>
                <w:sz w:val="21"/>
                <w:szCs w:val="21"/>
              </w:rPr>
            </w:pPr>
            <w:r>
              <w:rPr>
                <w:kern w:val="0"/>
                <w:sz w:val="21"/>
                <w:szCs w:val="21"/>
              </w:rPr>
              <w:t xml:space="preserve">1.8 </w:t>
            </w:r>
          </w:p>
        </w:tc>
        <w:tc>
          <w:tcPr>
            <w:tcW w:w="1144" w:type="dxa"/>
            <w:tcBorders>
              <w:top w:val="nil"/>
              <w:left w:val="nil"/>
              <w:bottom w:val="single" w:color="auto" w:sz="4" w:space="0"/>
              <w:right w:val="single" w:color="auto" w:sz="4" w:space="0"/>
            </w:tcBorders>
            <w:vAlign w:val="center"/>
          </w:tcPr>
          <w:p w14:paraId="7C14DB52">
            <w:pPr>
              <w:widowControl/>
              <w:spacing w:line="240" w:lineRule="auto"/>
              <w:jc w:val="center"/>
              <w:rPr>
                <w:kern w:val="0"/>
                <w:sz w:val="21"/>
                <w:szCs w:val="21"/>
              </w:rPr>
            </w:pPr>
            <w:r>
              <w:rPr>
                <w:kern w:val="0"/>
                <w:sz w:val="21"/>
                <w:szCs w:val="21"/>
              </w:rPr>
              <w:t xml:space="preserve">1.3 </w:t>
            </w:r>
          </w:p>
        </w:tc>
      </w:tr>
      <w:tr w14:paraId="02C9165A">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6D8E65E">
            <w:pPr>
              <w:widowControl/>
              <w:spacing w:line="240" w:lineRule="auto"/>
              <w:jc w:val="center"/>
              <w:rPr>
                <w:color w:val="000000"/>
                <w:kern w:val="0"/>
                <w:sz w:val="21"/>
                <w:szCs w:val="21"/>
              </w:rPr>
            </w:pPr>
            <w:r>
              <w:rPr>
                <w:color w:val="000000"/>
                <w:kern w:val="0"/>
                <w:sz w:val="21"/>
                <w:szCs w:val="21"/>
              </w:rPr>
              <w:t>11</w:t>
            </w:r>
          </w:p>
        </w:tc>
        <w:tc>
          <w:tcPr>
            <w:tcW w:w="1134" w:type="dxa"/>
            <w:tcBorders>
              <w:top w:val="nil"/>
              <w:left w:val="nil"/>
              <w:bottom w:val="single" w:color="auto" w:sz="4" w:space="0"/>
              <w:right w:val="single" w:color="auto" w:sz="4" w:space="0"/>
            </w:tcBorders>
            <w:vAlign w:val="center"/>
          </w:tcPr>
          <w:p w14:paraId="347EF39E">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0D29A2B2">
            <w:pPr>
              <w:widowControl/>
              <w:spacing w:line="240" w:lineRule="auto"/>
              <w:jc w:val="center"/>
              <w:rPr>
                <w:kern w:val="0"/>
                <w:sz w:val="21"/>
                <w:szCs w:val="21"/>
              </w:rPr>
            </w:pPr>
            <w:r>
              <w:rPr>
                <w:kern w:val="0"/>
                <w:sz w:val="21"/>
                <w:szCs w:val="21"/>
              </w:rPr>
              <w:t xml:space="preserve">1.3 </w:t>
            </w:r>
          </w:p>
        </w:tc>
        <w:tc>
          <w:tcPr>
            <w:tcW w:w="1177" w:type="dxa"/>
            <w:tcBorders>
              <w:top w:val="nil"/>
              <w:left w:val="nil"/>
              <w:bottom w:val="single" w:color="auto" w:sz="4" w:space="0"/>
              <w:right w:val="single" w:color="auto" w:sz="4" w:space="0"/>
            </w:tcBorders>
            <w:vAlign w:val="center"/>
          </w:tcPr>
          <w:p w14:paraId="42AD3CFB">
            <w:pPr>
              <w:widowControl/>
              <w:spacing w:line="240" w:lineRule="auto"/>
              <w:jc w:val="center"/>
              <w:rPr>
                <w:kern w:val="0"/>
                <w:sz w:val="21"/>
                <w:szCs w:val="21"/>
              </w:rPr>
            </w:pPr>
            <w:r>
              <w:rPr>
                <w:kern w:val="0"/>
                <w:sz w:val="21"/>
                <w:szCs w:val="21"/>
              </w:rPr>
              <w:t xml:space="preserve">5.0 </w:t>
            </w:r>
          </w:p>
        </w:tc>
        <w:tc>
          <w:tcPr>
            <w:tcW w:w="567" w:type="dxa"/>
            <w:tcBorders>
              <w:top w:val="nil"/>
              <w:left w:val="nil"/>
              <w:bottom w:val="single" w:color="auto" w:sz="4" w:space="0"/>
              <w:right w:val="single" w:color="auto" w:sz="4" w:space="0"/>
            </w:tcBorders>
            <w:vAlign w:val="center"/>
          </w:tcPr>
          <w:p w14:paraId="4047D808">
            <w:pPr>
              <w:widowControl/>
              <w:spacing w:line="240" w:lineRule="auto"/>
              <w:jc w:val="center"/>
              <w:rPr>
                <w:kern w:val="0"/>
                <w:sz w:val="21"/>
                <w:szCs w:val="21"/>
              </w:rPr>
            </w:pPr>
            <w:r>
              <w:rPr>
                <w:kern w:val="0"/>
                <w:sz w:val="21"/>
                <w:szCs w:val="21"/>
              </w:rPr>
              <w:t>61</w:t>
            </w:r>
          </w:p>
        </w:tc>
        <w:tc>
          <w:tcPr>
            <w:tcW w:w="1560" w:type="dxa"/>
            <w:tcBorders>
              <w:top w:val="nil"/>
              <w:left w:val="nil"/>
              <w:bottom w:val="single" w:color="auto" w:sz="4" w:space="0"/>
              <w:right w:val="single" w:color="auto" w:sz="4" w:space="0"/>
            </w:tcBorders>
            <w:vAlign w:val="center"/>
          </w:tcPr>
          <w:p w14:paraId="005B21BC">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6374786A">
            <w:pPr>
              <w:widowControl/>
              <w:spacing w:line="240" w:lineRule="auto"/>
              <w:jc w:val="center"/>
              <w:rPr>
                <w:kern w:val="0"/>
                <w:sz w:val="21"/>
                <w:szCs w:val="21"/>
              </w:rPr>
            </w:pPr>
            <w:r>
              <w:rPr>
                <w:kern w:val="0"/>
                <w:sz w:val="21"/>
                <w:szCs w:val="21"/>
              </w:rPr>
              <w:t xml:space="preserve">1.0 </w:t>
            </w:r>
          </w:p>
        </w:tc>
        <w:tc>
          <w:tcPr>
            <w:tcW w:w="1144" w:type="dxa"/>
            <w:tcBorders>
              <w:top w:val="nil"/>
              <w:left w:val="nil"/>
              <w:bottom w:val="single" w:color="auto" w:sz="4" w:space="0"/>
              <w:right w:val="single" w:color="auto" w:sz="4" w:space="0"/>
            </w:tcBorders>
            <w:vAlign w:val="center"/>
          </w:tcPr>
          <w:p w14:paraId="2B2205FD">
            <w:pPr>
              <w:widowControl/>
              <w:spacing w:line="240" w:lineRule="auto"/>
              <w:jc w:val="center"/>
              <w:rPr>
                <w:kern w:val="0"/>
                <w:sz w:val="21"/>
                <w:szCs w:val="21"/>
              </w:rPr>
            </w:pPr>
            <w:r>
              <w:rPr>
                <w:kern w:val="0"/>
                <w:sz w:val="21"/>
                <w:szCs w:val="21"/>
              </w:rPr>
              <w:t xml:space="preserve">0.7 </w:t>
            </w:r>
          </w:p>
        </w:tc>
      </w:tr>
      <w:tr w14:paraId="62F27CBD">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68D6B1B">
            <w:pPr>
              <w:widowControl/>
              <w:spacing w:line="240" w:lineRule="auto"/>
              <w:jc w:val="center"/>
              <w:rPr>
                <w:color w:val="000000"/>
                <w:kern w:val="0"/>
                <w:sz w:val="21"/>
                <w:szCs w:val="21"/>
              </w:rPr>
            </w:pPr>
            <w:r>
              <w:rPr>
                <w:color w:val="000000"/>
                <w:kern w:val="0"/>
                <w:sz w:val="21"/>
                <w:szCs w:val="21"/>
              </w:rPr>
              <w:t>12</w:t>
            </w:r>
          </w:p>
        </w:tc>
        <w:tc>
          <w:tcPr>
            <w:tcW w:w="1134" w:type="dxa"/>
            <w:tcBorders>
              <w:top w:val="nil"/>
              <w:left w:val="nil"/>
              <w:bottom w:val="single" w:color="auto" w:sz="4" w:space="0"/>
              <w:right w:val="single" w:color="auto" w:sz="4" w:space="0"/>
            </w:tcBorders>
            <w:vAlign w:val="center"/>
          </w:tcPr>
          <w:p w14:paraId="04415474">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0A4CE137">
            <w:pPr>
              <w:widowControl/>
              <w:spacing w:line="240" w:lineRule="auto"/>
              <w:jc w:val="center"/>
              <w:rPr>
                <w:kern w:val="0"/>
                <w:sz w:val="21"/>
                <w:szCs w:val="21"/>
              </w:rPr>
            </w:pPr>
            <w:r>
              <w:rPr>
                <w:kern w:val="0"/>
                <w:sz w:val="21"/>
                <w:szCs w:val="21"/>
              </w:rPr>
              <w:t xml:space="preserve">3.9 </w:t>
            </w:r>
          </w:p>
        </w:tc>
        <w:tc>
          <w:tcPr>
            <w:tcW w:w="1177" w:type="dxa"/>
            <w:tcBorders>
              <w:top w:val="nil"/>
              <w:left w:val="nil"/>
              <w:bottom w:val="single" w:color="auto" w:sz="4" w:space="0"/>
              <w:right w:val="single" w:color="auto" w:sz="4" w:space="0"/>
            </w:tcBorders>
            <w:vAlign w:val="center"/>
          </w:tcPr>
          <w:p w14:paraId="08DB7137">
            <w:pPr>
              <w:widowControl/>
              <w:spacing w:line="240" w:lineRule="auto"/>
              <w:jc w:val="center"/>
              <w:rPr>
                <w:kern w:val="0"/>
                <w:sz w:val="21"/>
                <w:szCs w:val="21"/>
              </w:rPr>
            </w:pPr>
            <w:r>
              <w:rPr>
                <w:kern w:val="0"/>
                <w:sz w:val="21"/>
                <w:szCs w:val="21"/>
              </w:rPr>
              <w:t xml:space="preserve">10.0 </w:t>
            </w:r>
          </w:p>
        </w:tc>
        <w:tc>
          <w:tcPr>
            <w:tcW w:w="567" w:type="dxa"/>
            <w:tcBorders>
              <w:top w:val="nil"/>
              <w:left w:val="nil"/>
              <w:bottom w:val="single" w:color="auto" w:sz="4" w:space="0"/>
              <w:right w:val="single" w:color="auto" w:sz="4" w:space="0"/>
            </w:tcBorders>
            <w:vAlign w:val="center"/>
          </w:tcPr>
          <w:p w14:paraId="358675F4">
            <w:pPr>
              <w:widowControl/>
              <w:spacing w:line="240" w:lineRule="auto"/>
              <w:jc w:val="center"/>
              <w:rPr>
                <w:kern w:val="0"/>
                <w:sz w:val="21"/>
                <w:szCs w:val="21"/>
              </w:rPr>
            </w:pPr>
            <w:r>
              <w:rPr>
                <w:kern w:val="0"/>
                <w:sz w:val="21"/>
                <w:szCs w:val="21"/>
              </w:rPr>
              <w:t>62</w:t>
            </w:r>
          </w:p>
        </w:tc>
        <w:tc>
          <w:tcPr>
            <w:tcW w:w="1560" w:type="dxa"/>
            <w:tcBorders>
              <w:top w:val="nil"/>
              <w:left w:val="nil"/>
              <w:bottom w:val="single" w:color="auto" w:sz="4" w:space="0"/>
              <w:right w:val="single" w:color="auto" w:sz="4" w:space="0"/>
            </w:tcBorders>
            <w:vAlign w:val="center"/>
          </w:tcPr>
          <w:p w14:paraId="58ECCAB5">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221F8AB6">
            <w:pPr>
              <w:widowControl/>
              <w:spacing w:line="240" w:lineRule="auto"/>
              <w:jc w:val="center"/>
              <w:rPr>
                <w:kern w:val="0"/>
                <w:sz w:val="21"/>
                <w:szCs w:val="21"/>
              </w:rPr>
            </w:pPr>
            <w:r>
              <w:rPr>
                <w:kern w:val="0"/>
                <w:sz w:val="21"/>
                <w:szCs w:val="21"/>
              </w:rPr>
              <w:t xml:space="preserve">3.0 </w:t>
            </w:r>
          </w:p>
        </w:tc>
        <w:tc>
          <w:tcPr>
            <w:tcW w:w="1144" w:type="dxa"/>
            <w:tcBorders>
              <w:top w:val="nil"/>
              <w:left w:val="nil"/>
              <w:bottom w:val="single" w:color="auto" w:sz="4" w:space="0"/>
              <w:right w:val="single" w:color="auto" w:sz="4" w:space="0"/>
            </w:tcBorders>
            <w:vAlign w:val="center"/>
          </w:tcPr>
          <w:p w14:paraId="4DDABDBA">
            <w:pPr>
              <w:widowControl/>
              <w:spacing w:line="240" w:lineRule="auto"/>
              <w:jc w:val="center"/>
              <w:rPr>
                <w:kern w:val="0"/>
                <w:sz w:val="21"/>
                <w:szCs w:val="21"/>
              </w:rPr>
            </w:pPr>
            <w:r>
              <w:rPr>
                <w:kern w:val="0"/>
                <w:sz w:val="21"/>
                <w:szCs w:val="21"/>
              </w:rPr>
              <w:t xml:space="preserve">3.2 </w:t>
            </w:r>
          </w:p>
        </w:tc>
      </w:tr>
      <w:tr w14:paraId="422EC8E3">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78872DC3">
            <w:pPr>
              <w:widowControl/>
              <w:spacing w:line="240" w:lineRule="auto"/>
              <w:jc w:val="center"/>
              <w:rPr>
                <w:color w:val="000000"/>
                <w:kern w:val="0"/>
                <w:sz w:val="21"/>
                <w:szCs w:val="21"/>
              </w:rPr>
            </w:pPr>
            <w:r>
              <w:rPr>
                <w:color w:val="000000"/>
                <w:kern w:val="0"/>
                <w:sz w:val="21"/>
                <w:szCs w:val="21"/>
              </w:rPr>
              <w:t>13</w:t>
            </w:r>
          </w:p>
        </w:tc>
        <w:tc>
          <w:tcPr>
            <w:tcW w:w="1134" w:type="dxa"/>
            <w:tcBorders>
              <w:top w:val="nil"/>
              <w:left w:val="nil"/>
              <w:bottom w:val="single" w:color="auto" w:sz="4" w:space="0"/>
              <w:right w:val="single" w:color="auto" w:sz="4" w:space="0"/>
            </w:tcBorders>
            <w:vAlign w:val="center"/>
          </w:tcPr>
          <w:p w14:paraId="0F818C62">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377035AD">
            <w:pPr>
              <w:widowControl/>
              <w:spacing w:line="240" w:lineRule="auto"/>
              <w:jc w:val="center"/>
              <w:rPr>
                <w:kern w:val="0"/>
                <w:sz w:val="21"/>
                <w:szCs w:val="21"/>
              </w:rPr>
            </w:pPr>
            <w:r>
              <w:rPr>
                <w:kern w:val="0"/>
                <w:sz w:val="21"/>
                <w:szCs w:val="21"/>
              </w:rPr>
              <w:t xml:space="preserve">4.6 </w:t>
            </w:r>
          </w:p>
        </w:tc>
        <w:tc>
          <w:tcPr>
            <w:tcW w:w="1177" w:type="dxa"/>
            <w:tcBorders>
              <w:top w:val="nil"/>
              <w:left w:val="nil"/>
              <w:bottom w:val="single" w:color="auto" w:sz="4" w:space="0"/>
              <w:right w:val="single" w:color="auto" w:sz="4" w:space="0"/>
            </w:tcBorders>
            <w:vAlign w:val="center"/>
          </w:tcPr>
          <w:p w14:paraId="7A062078">
            <w:pPr>
              <w:widowControl/>
              <w:spacing w:line="240" w:lineRule="auto"/>
              <w:jc w:val="center"/>
              <w:rPr>
                <w:kern w:val="0"/>
                <w:sz w:val="21"/>
                <w:szCs w:val="21"/>
              </w:rPr>
            </w:pPr>
            <w:r>
              <w:rPr>
                <w:kern w:val="0"/>
                <w:sz w:val="21"/>
                <w:szCs w:val="21"/>
              </w:rPr>
              <w:t xml:space="preserve">16.7 </w:t>
            </w:r>
          </w:p>
        </w:tc>
        <w:tc>
          <w:tcPr>
            <w:tcW w:w="567" w:type="dxa"/>
            <w:tcBorders>
              <w:top w:val="nil"/>
              <w:left w:val="nil"/>
              <w:bottom w:val="single" w:color="auto" w:sz="4" w:space="0"/>
              <w:right w:val="single" w:color="auto" w:sz="4" w:space="0"/>
            </w:tcBorders>
            <w:vAlign w:val="center"/>
          </w:tcPr>
          <w:p w14:paraId="62EC33AC">
            <w:pPr>
              <w:widowControl/>
              <w:spacing w:line="240" w:lineRule="auto"/>
              <w:jc w:val="center"/>
              <w:rPr>
                <w:kern w:val="0"/>
                <w:sz w:val="21"/>
                <w:szCs w:val="21"/>
              </w:rPr>
            </w:pPr>
            <w:r>
              <w:rPr>
                <w:kern w:val="0"/>
                <w:sz w:val="21"/>
                <w:szCs w:val="21"/>
              </w:rPr>
              <w:t>63</w:t>
            </w:r>
          </w:p>
        </w:tc>
        <w:tc>
          <w:tcPr>
            <w:tcW w:w="1560" w:type="dxa"/>
            <w:tcBorders>
              <w:top w:val="nil"/>
              <w:left w:val="nil"/>
              <w:bottom w:val="single" w:color="auto" w:sz="4" w:space="0"/>
              <w:right w:val="single" w:color="auto" w:sz="4" w:space="0"/>
            </w:tcBorders>
            <w:vAlign w:val="center"/>
          </w:tcPr>
          <w:p w14:paraId="2C6F8CEF">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0CB2BD19">
            <w:pPr>
              <w:widowControl/>
              <w:spacing w:line="240" w:lineRule="auto"/>
              <w:jc w:val="center"/>
              <w:rPr>
                <w:kern w:val="0"/>
                <w:sz w:val="21"/>
                <w:szCs w:val="21"/>
              </w:rPr>
            </w:pPr>
            <w:r>
              <w:rPr>
                <w:kern w:val="0"/>
                <w:sz w:val="21"/>
                <w:szCs w:val="21"/>
              </w:rPr>
              <w:t xml:space="preserve">3.1 </w:t>
            </w:r>
          </w:p>
        </w:tc>
        <w:tc>
          <w:tcPr>
            <w:tcW w:w="1144" w:type="dxa"/>
            <w:tcBorders>
              <w:top w:val="nil"/>
              <w:left w:val="nil"/>
              <w:bottom w:val="single" w:color="auto" w:sz="4" w:space="0"/>
              <w:right w:val="single" w:color="auto" w:sz="4" w:space="0"/>
            </w:tcBorders>
            <w:vAlign w:val="center"/>
          </w:tcPr>
          <w:p w14:paraId="74100F95">
            <w:pPr>
              <w:widowControl/>
              <w:spacing w:line="240" w:lineRule="auto"/>
              <w:jc w:val="center"/>
              <w:rPr>
                <w:kern w:val="0"/>
                <w:sz w:val="21"/>
                <w:szCs w:val="21"/>
              </w:rPr>
            </w:pPr>
            <w:r>
              <w:rPr>
                <w:kern w:val="0"/>
                <w:sz w:val="21"/>
                <w:szCs w:val="21"/>
              </w:rPr>
              <w:t xml:space="preserve">3.4 </w:t>
            </w:r>
          </w:p>
        </w:tc>
      </w:tr>
      <w:tr w14:paraId="1CDA7128">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2BA21D8">
            <w:pPr>
              <w:widowControl/>
              <w:spacing w:line="240" w:lineRule="auto"/>
              <w:jc w:val="center"/>
              <w:rPr>
                <w:color w:val="000000"/>
                <w:kern w:val="0"/>
                <w:sz w:val="21"/>
                <w:szCs w:val="21"/>
              </w:rPr>
            </w:pPr>
            <w:r>
              <w:rPr>
                <w:color w:val="000000"/>
                <w:kern w:val="0"/>
                <w:sz w:val="21"/>
                <w:szCs w:val="21"/>
              </w:rPr>
              <w:t>14</w:t>
            </w:r>
          </w:p>
        </w:tc>
        <w:tc>
          <w:tcPr>
            <w:tcW w:w="1134" w:type="dxa"/>
            <w:tcBorders>
              <w:top w:val="nil"/>
              <w:left w:val="nil"/>
              <w:bottom w:val="single" w:color="auto" w:sz="4" w:space="0"/>
              <w:right w:val="single" w:color="auto" w:sz="4" w:space="0"/>
            </w:tcBorders>
            <w:vAlign w:val="center"/>
          </w:tcPr>
          <w:p w14:paraId="1675A559">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775B7D6E">
            <w:pPr>
              <w:widowControl/>
              <w:spacing w:line="240" w:lineRule="auto"/>
              <w:jc w:val="center"/>
              <w:rPr>
                <w:kern w:val="0"/>
                <w:sz w:val="21"/>
                <w:szCs w:val="21"/>
              </w:rPr>
            </w:pPr>
            <w:r>
              <w:rPr>
                <w:kern w:val="0"/>
                <w:sz w:val="21"/>
                <w:szCs w:val="21"/>
              </w:rPr>
              <w:t xml:space="preserve">3.9 </w:t>
            </w:r>
          </w:p>
        </w:tc>
        <w:tc>
          <w:tcPr>
            <w:tcW w:w="1177" w:type="dxa"/>
            <w:tcBorders>
              <w:top w:val="nil"/>
              <w:left w:val="nil"/>
              <w:bottom w:val="single" w:color="auto" w:sz="4" w:space="0"/>
              <w:right w:val="single" w:color="auto" w:sz="4" w:space="0"/>
            </w:tcBorders>
            <w:vAlign w:val="center"/>
          </w:tcPr>
          <w:p w14:paraId="419F046E">
            <w:pPr>
              <w:widowControl/>
              <w:spacing w:line="240" w:lineRule="auto"/>
              <w:jc w:val="center"/>
              <w:rPr>
                <w:kern w:val="0"/>
                <w:sz w:val="21"/>
                <w:szCs w:val="21"/>
              </w:rPr>
            </w:pPr>
            <w:r>
              <w:rPr>
                <w:kern w:val="0"/>
                <w:sz w:val="21"/>
                <w:szCs w:val="21"/>
              </w:rPr>
              <w:t xml:space="preserve">11.4 </w:t>
            </w:r>
          </w:p>
        </w:tc>
        <w:tc>
          <w:tcPr>
            <w:tcW w:w="567" w:type="dxa"/>
            <w:tcBorders>
              <w:top w:val="nil"/>
              <w:left w:val="nil"/>
              <w:bottom w:val="single" w:color="auto" w:sz="4" w:space="0"/>
              <w:right w:val="single" w:color="auto" w:sz="4" w:space="0"/>
            </w:tcBorders>
            <w:vAlign w:val="center"/>
          </w:tcPr>
          <w:p w14:paraId="263E0071">
            <w:pPr>
              <w:widowControl/>
              <w:spacing w:line="240" w:lineRule="auto"/>
              <w:jc w:val="center"/>
              <w:rPr>
                <w:kern w:val="0"/>
                <w:sz w:val="21"/>
                <w:szCs w:val="21"/>
              </w:rPr>
            </w:pPr>
            <w:r>
              <w:rPr>
                <w:kern w:val="0"/>
                <w:sz w:val="21"/>
                <w:szCs w:val="21"/>
              </w:rPr>
              <w:t>64</w:t>
            </w:r>
          </w:p>
        </w:tc>
        <w:tc>
          <w:tcPr>
            <w:tcW w:w="1560" w:type="dxa"/>
            <w:tcBorders>
              <w:top w:val="nil"/>
              <w:left w:val="nil"/>
              <w:bottom w:val="single" w:color="auto" w:sz="4" w:space="0"/>
              <w:right w:val="single" w:color="auto" w:sz="4" w:space="0"/>
            </w:tcBorders>
            <w:vAlign w:val="center"/>
          </w:tcPr>
          <w:p w14:paraId="75F49824">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582A36DC">
            <w:pPr>
              <w:widowControl/>
              <w:spacing w:line="240" w:lineRule="auto"/>
              <w:jc w:val="center"/>
              <w:rPr>
                <w:kern w:val="0"/>
                <w:sz w:val="21"/>
                <w:szCs w:val="21"/>
              </w:rPr>
            </w:pPr>
            <w:r>
              <w:rPr>
                <w:kern w:val="0"/>
                <w:sz w:val="21"/>
                <w:szCs w:val="21"/>
              </w:rPr>
              <w:t xml:space="preserve">0.5 </w:t>
            </w:r>
          </w:p>
        </w:tc>
        <w:tc>
          <w:tcPr>
            <w:tcW w:w="1144" w:type="dxa"/>
            <w:tcBorders>
              <w:top w:val="nil"/>
              <w:left w:val="nil"/>
              <w:bottom w:val="single" w:color="auto" w:sz="4" w:space="0"/>
              <w:right w:val="single" w:color="auto" w:sz="4" w:space="0"/>
            </w:tcBorders>
            <w:vAlign w:val="center"/>
          </w:tcPr>
          <w:p w14:paraId="20D57CC5">
            <w:pPr>
              <w:widowControl/>
              <w:spacing w:line="240" w:lineRule="auto"/>
              <w:jc w:val="center"/>
              <w:rPr>
                <w:kern w:val="0"/>
                <w:sz w:val="21"/>
                <w:szCs w:val="21"/>
              </w:rPr>
            </w:pPr>
            <w:r>
              <w:rPr>
                <w:kern w:val="0"/>
                <w:sz w:val="21"/>
                <w:szCs w:val="21"/>
              </w:rPr>
              <w:t xml:space="preserve">1.5 </w:t>
            </w:r>
          </w:p>
        </w:tc>
      </w:tr>
      <w:tr w14:paraId="26961151">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70760140">
            <w:pPr>
              <w:widowControl/>
              <w:spacing w:line="240" w:lineRule="auto"/>
              <w:jc w:val="center"/>
              <w:rPr>
                <w:color w:val="000000"/>
                <w:kern w:val="0"/>
                <w:sz w:val="21"/>
                <w:szCs w:val="21"/>
              </w:rPr>
            </w:pPr>
            <w:r>
              <w:rPr>
                <w:color w:val="000000"/>
                <w:kern w:val="0"/>
                <w:sz w:val="21"/>
                <w:szCs w:val="21"/>
              </w:rPr>
              <w:t>15</w:t>
            </w:r>
          </w:p>
        </w:tc>
        <w:tc>
          <w:tcPr>
            <w:tcW w:w="1134" w:type="dxa"/>
            <w:tcBorders>
              <w:top w:val="nil"/>
              <w:left w:val="nil"/>
              <w:bottom w:val="single" w:color="auto" w:sz="4" w:space="0"/>
              <w:right w:val="single" w:color="auto" w:sz="4" w:space="0"/>
            </w:tcBorders>
            <w:vAlign w:val="center"/>
          </w:tcPr>
          <w:p w14:paraId="3ABC20EB">
            <w:pPr>
              <w:widowControl/>
              <w:spacing w:line="240" w:lineRule="auto"/>
              <w:jc w:val="left"/>
              <w:rPr>
                <w:color w:val="000000"/>
                <w:kern w:val="0"/>
                <w:sz w:val="21"/>
                <w:szCs w:val="21"/>
              </w:rPr>
            </w:pPr>
            <w:r>
              <w:rPr>
                <w:rFonts w:hint="eastAsia" w:hAnsi="宋体"/>
                <w:color w:val="000000"/>
                <w:kern w:val="0"/>
                <w:sz w:val="21"/>
                <w:szCs w:val="21"/>
              </w:rPr>
              <w:t>烧烤</w:t>
            </w:r>
          </w:p>
        </w:tc>
        <w:tc>
          <w:tcPr>
            <w:tcW w:w="1232" w:type="dxa"/>
            <w:tcBorders>
              <w:top w:val="nil"/>
              <w:left w:val="nil"/>
              <w:bottom w:val="single" w:color="auto" w:sz="4" w:space="0"/>
              <w:right w:val="single" w:color="auto" w:sz="4" w:space="0"/>
            </w:tcBorders>
            <w:vAlign w:val="center"/>
          </w:tcPr>
          <w:p w14:paraId="11ED52B5">
            <w:pPr>
              <w:widowControl/>
              <w:spacing w:line="240" w:lineRule="auto"/>
              <w:jc w:val="center"/>
              <w:rPr>
                <w:kern w:val="0"/>
                <w:sz w:val="21"/>
                <w:szCs w:val="21"/>
              </w:rPr>
            </w:pPr>
            <w:r>
              <w:rPr>
                <w:kern w:val="0"/>
                <w:sz w:val="21"/>
                <w:szCs w:val="21"/>
              </w:rPr>
              <w:t xml:space="preserve">4.4 </w:t>
            </w:r>
          </w:p>
        </w:tc>
        <w:tc>
          <w:tcPr>
            <w:tcW w:w="1177" w:type="dxa"/>
            <w:tcBorders>
              <w:top w:val="nil"/>
              <w:left w:val="nil"/>
              <w:bottom w:val="single" w:color="auto" w:sz="4" w:space="0"/>
              <w:right w:val="single" w:color="auto" w:sz="4" w:space="0"/>
            </w:tcBorders>
            <w:vAlign w:val="center"/>
          </w:tcPr>
          <w:p w14:paraId="7D5BB670">
            <w:pPr>
              <w:widowControl/>
              <w:spacing w:line="240" w:lineRule="auto"/>
              <w:jc w:val="center"/>
              <w:rPr>
                <w:kern w:val="0"/>
                <w:sz w:val="21"/>
                <w:szCs w:val="21"/>
              </w:rPr>
            </w:pPr>
            <w:r>
              <w:rPr>
                <w:kern w:val="0"/>
                <w:sz w:val="21"/>
                <w:szCs w:val="21"/>
              </w:rPr>
              <w:t xml:space="preserve">14.1 </w:t>
            </w:r>
          </w:p>
        </w:tc>
        <w:tc>
          <w:tcPr>
            <w:tcW w:w="567" w:type="dxa"/>
            <w:tcBorders>
              <w:top w:val="nil"/>
              <w:left w:val="nil"/>
              <w:bottom w:val="single" w:color="auto" w:sz="4" w:space="0"/>
              <w:right w:val="single" w:color="auto" w:sz="4" w:space="0"/>
            </w:tcBorders>
            <w:vAlign w:val="center"/>
          </w:tcPr>
          <w:p w14:paraId="07C73A18">
            <w:pPr>
              <w:widowControl/>
              <w:spacing w:line="240" w:lineRule="auto"/>
              <w:jc w:val="center"/>
              <w:rPr>
                <w:kern w:val="0"/>
                <w:sz w:val="21"/>
                <w:szCs w:val="21"/>
              </w:rPr>
            </w:pPr>
            <w:r>
              <w:rPr>
                <w:kern w:val="0"/>
                <w:sz w:val="21"/>
                <w:szCs w:val="21"/>
              </w:rPr>
              <w:t>65</w:t>
            </w:r>
          </w:p>
        </w:tc>
        <w:tc>
          <w:tcPr>
            <w:tcW w:w="1560" w:type="dxa"/>
            <w:tcBorders>
              <w:top w:val="nil"/>
              <w:left w:val="nil"/>
              <w:bottom w:val="single" w:color="auto" w:sz="4" w:space="0"/>
              <w:right w:val="single" w:color="auto" w:sz="4" w:space="0"/>
            </w:tcBorders>
            <w:vAlign w:val="center"/>
          </w:tcPr>
          <w:p w14:paraId="49B4426C">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5B0BCEDE">
            <w:pPr>
              <w:widowControl/>
              <w:spacing w:line="240" w:lineRule="auto"/>
              <w:jc w:val="center"/>
              <w:rPr>
                <w:kern w:val="0"/>
                <w:sz w:val="21"/>
                <w:szCs w:val="21"/>
              </w:rPr>
            </w:pPr>
            <w:r>
              <w:rPr>
                <w:kern w:val="0"/>
                <w:sz w:val="21"/>
                <w:szCs w:val="21"/>
              </w:rPr>
              <w:t xml:space="preserve">2.7 </w:t>
            </w:r>
          </w:p>
        </w:tc>
        <w:tc>
          <w:tcPr>
            <w:tcW w:w="1144" w:type="dxa"/>
            <w:tcBorders>
              <w:top w:val="nil"/>
              <w:left w:val="nil"/>
              <w:bottom w:val="single" w:color="auto" w:sz="4" w:space="0"/>
              <w:right w:val="single" w:color="auto" w:sz="4" w:space="0"/>
            </w:tcBorders>
            <w:vAlign w:val="center"/>
          </w:tcPr>
          <w:p w14:paraId="25E3583F">
            <w:pPr>
              <w:widowControl/>
              <w:spacing w:line="240" w:lineRule="auto"/>
              <w:jc w:val="center"/>
              <w:rPr>
                <w:kern w:val="0"/>
                <w:sz w:val="21"/>
                <w:szCs w:val="21"/>
              </w:rPr>
            </w:pPr>
            <w:r>
              <w:rPr>
                <w:kern w:val="0"/>
                <w:sz w:val="21"/>
                <w:szCs w:val="21"/>
              </w:rPr>
              <w:t xml:space="preserve">8.7 </w:t>
            </w:r>
          </w:p>
        </w:tc>
      </w:tr>
      <w:tr w14:paraId="605BF5D0">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53CDE57">
            <w:pPr>
              <w:widowControl/>
              <w:spacing w:line="240" w:lineRule="auto"/>
              <w:jc w:val="center"/>
              <w:rPr>
                <w:color w:val="000000"/>
                <w:kern w:val="0"/>
                <w:sz w:val="21"/>
                <w:szCs w:val="21"/>
              </w:rPr>
            </w:pPr>
            <w:r>
              <w:rPr>
                <w:color w:val="000000"/>
                <w:kern w:val="0"/>
                <w:sz w:val="21"/>
                <w:szCs w:val="21"/>
              </w:rPr>
              <w:t>16</w:t>
            </w:r>
          </w:p>
        </w:tc>
        <w:tc>
          <w:tcPr>
            <w:tcW w:w="1134" w:type="dxa"/>
            <w:tcBorders>
              <w:top w:val="nil"/>
              <w:left w:val="nil"/>
              <w:bottom w:val="single" w:color="auto" w:sz="4" w:space="0"/>
              <w:right w:val="single" w:color="auto" w:sz="4" w:space="0"/>
            </w:tcBorders>
            <w:vAlign w:val="center"/>
          </w:tcPr>
          <w:p w14:paraId="7F2D44D1">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1E34AE64">
            <w:pPr>
              <w:widowControl/>
              <w:spacing w:line="240" w:lineRule="auto"/>
              <w:jc w:val="center"/>
              <w:rPr>
                <w:kern w:val="0"/>
                <w:sz w:val="21"/>
                <w:szCs w:val="21"/>
              </w:rPr>
            </w:pPr>
            <w:r>
              <w:rPr>
                <w:kern w:val="0"/>
                <w:sz w:val="21"/>
                <w:szCs w:val="21"/>
              </w:rPr>
              <w:t xml:space="preserve">6.7 </w:t>
            </w:r>
          </w:p>
        </w:tc>
        <w:tc>
          <w:tcPr>
            <w:tcW w:w="1177" w:type="dxa"/>
            <w:tcBorders>
              <w:top w:val="nil"/>
              <w:left w:val="nil"/>
              <w:bottom w:val="single" w:color="auto" w:sz="4" w:space="0"/>
              <w:right w:val="single" w:color="auto" w:sz="4" w:space="0"/>
            </w:tcBorders>
            <w:vAlign w:val="center"/>
          </w:tcPr>
          <w:p w14:paraId="03DC4A08">
            <w:pPr>
              <w:widowControl/>
              <w:spacing w:line="240" w:lineRule="auto"/>
              <w:jc w:val="center"/>
              <w:rPr>
                <w:kern w:val="0"/>
                <w:sz w:val="21"/>
                <w:szCs w:val="21"/>
              </w:rPr>
            </w:pPr>
            <w:r>
              <w:rPr>
                <w:kern w:val="0"/>
                <w:sz w:val="21"/>
                <w:szCs w:val="21"/>
              </w:rPr>
              <w:t xml:space="preserve">17.4 </w:t>
            </w:r>
          </w:p>
        </w:tc>
        <w:tc>
          <w:tcPr>
            <w:tcW w:w="567" w:type="dxa"/>
            <w:tcBorders>
              <w:top w:val="nil"/>
              <w:left w:val="nil"/>
              <w:bottom w:val="single" w:color="auto" w:sz="4" w:space="0"/>
              <w:right w:val="single" w:color="auto" w:sz="4" w:space="0"/>
            </w:tcBorders>
            <w:vAlign w:val="center"/>
          </w:tcPr>
          <w:p w14:paraId="5E1777E3">
            <w:pPr>
              <w:widowControl/>
              <w:spacing w:line="240" w:lineRule="auto"/>
              <w:jc w:val="center"/>
              <w:rPr>
                <w:kern w:val="0"/>
                <w:sz w:val="21"/>
                <w:szCs w:val="21"/>
              </w:rPr>
            </w:pPr>
            <w:r>
              <w:rPr>
                <w:kern w:val="0"/>
                <w:sz w:val="21"/>
                <w:szCs w:val="21"/>
              </w:rPr>
              <w:t>66</w:t>
            </w:r>
          </w:p>
        </w:tc>
        <w:tc>
          <w:tcPr>
            <w:tcW w:w="1560" w:type="dxa"/>
            <w:tcBorders>
              <w:top w:val="nil"/>
              <w:left w:val="nil"/>
              <w:bottom w:val="single" w:color="auto" w:sz="4" w:space="0"/>
              <w:right w:val="single" w:color="auto" w:sz="4" w:space="0"/>
            </w:tcBorders>
            <w:vAlign w:val="center"/>
          </w:tcPr>
          <w:p w14:paraId="78A153FA">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4B2A32B9">
            <w:pPr>
              <w:widowControl/>
              <w:spacing w:line="240" w:lineRule="auto"/>
              <w:jc w:val="center"/>
              <w:rPr>
                <w:kern w:val="0"/>
                <w:sz w:val="21"/>
                <w:szCs w:val="21"/>
              </w:rPr>
            </w:pPr>
            <w:r>
              <w:rPr>
                <w:kern w:val="0"/>
                <w:sz w:val="21"/>
                <w:szCs w:val="21"/>
              </w:rPr>
              <w:t xml:space="preserve">1.5 </w:t>
            </w:r>
          </w:p>
        </w:tc>
        <w:tc>
          <w:tcPr>
            <w:tcW w:w="1144" w:type="dxa"/>
            <w:tcBorders>
              <w:top w:val="nil"/>
              <w:left w:val="nil"/>
              <w:bottom w:val="single" w:color="auto" w:sz="4" w:space="0"/>
              <w:right w:val="single" w:color="auto" w:sz="4" w:space="0"/>
            </w:tcBorders>
            <w:vAlign w:val="center"/>
          </w:tcPr>
          <w:p w14:paraId="7128941C">
            <w:pPr>
              <w:widowControl/>
              <w:spacing w:line="240" w:lineRule="auto"/>
              <w:jc w:val="center"/>
              <w:rPr>
                <w:kern w:val="0"/>
                <w:sz w:val="21"/>
                <w:szCs w:val="21"/>
              </w:rPr>
            </w:pPr>
            <w:r>
              <w:rPr>
                <w:kern w:val="0"/>
                <w:sz w:val="21"/>
                <w:szCs w:val="21"/>
              </w:rPr>
              <w:t xml:space="preserve">3.0 </w:t>
            </w:r>
          </w:p>
        </w:tc>
      </w:tr>
      <w:tr w14:paraId="11616575">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188BBC27">
            <w:pPr>
              <w:widowControl/>
              <w:spacing w:line="240" w:lineRule="auto"/>
              <w:jc w:val="center"/>
              <w:rPr>
                <w:color w:val="000000"/>
                <w:kern w:val="0"/>
                <w:sz w:val="21"/>
                <w:szCs w:val="21"/>
              </w:rPr>
            </w:pPr>
            <w:r>
              <w:rPr>
                <w:color w:val="000000"/>
                <w:kern w:val="0"/>
                <w:sz w:val="21"/>
                <w:szCs w:val="21"/>
              </w:rPr>
              <w:t>17</w:t>
            </w:r>
          </w:p>
        </w:tc>
        <w:tc>
          <w:tcPr>
            <w:tcW w:w="1134" w:type="dxa"/>
            <w:tcBorders>
              <w:top w:val="nil"/>
              <w:left w:val="nil"/>
              <w:bottom w:val="single" w:color="auto" w:sz="4" w:space="0"/>
              <w:right w:val="single" w:color="auto" w:sz="4" w:space="0"/>
            </w:tcBorders>
            <w:vAlign w:val="center"/>
          </w:tcPr>
          <w:p w14:paraId="7A34D712">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7BF5DA99">
            <w:pPr>
              <w:widowControl/>
              <w:spacing w:line="240" w:lineRule="auto"/>
              <w:jc w:val="center"/>
              <w:rPr>
                <w:kern w:val="0"/>
                <w:sz w:val="21"/>
                <w:szCs w:val="21"/>
              </w:rPr>
            </w:pPr>
            <w:r>
              <w:rPr>
                <w:kern w:val="0"/>
                <w:sz w:val="21"/>
                <w:szCs w:val="21"/>
              </w:rPr>
              <w:t xml:space="preserve">2.9 </w:t>
            </w:r>
          </w:p>
        </w:tc>
        <w:tc>
          <w:tcPr>
            <w:tcW w:w="1177" w:type="dxa"/>
            <w:tcBorders>
              <w:top w:val="nil"/>
              <w:left w:val="nil"/>
              <w:bottom w:val="single" w:color="auto" w:sz="4" w:space="0"/>
              <w:right w:val="single" w:color="auto" w:sz="4" w:space="0"/>
            </w:tcBorders>
            <w:vAlign w:val="center"/>
          </w:tcPr>
          <w:p w14:paraId="7B05128F">
            <w:pPr>
              <w:widowControl/>
              <w:spacing w:line="240" w:lineRule="auto"/>
              <w:jc w:val="center"/>
              <w:rPr>
                <w:kern w:val="0"/>
                <w:sz w:val="21"/>
                <w:szCs w:val="21"/>
              </w:rPr>
            </w:pPr>
            <w:r>
              <w:rPr>
                <w:kern w:val="0"/>
                <w:sz w:val="21"/>
                <w:szCs w:val="21"/>
              </w:rPr>
              <w:t xml:space="preserve">7.5 </w:t>
            </w:r>
          </w:p>
        </w:tc>
        <w:tc>
          <w:tcPr>
            <w:tcW w:w="567" w:type="dxa"/>
            <w:tcBorders>
              <w:top w:val="nil"/>
              <w:left w:val="nil"/>
              <w:bottom w:val="single" w:color="auto" w:sz="4" w:space="0"/>
              <w:right w:val="single" w:color="auto" w:sz="4" w:space="0"/>
            </w:tcBorders>
            <w:vAlign w:val="center"/>
          </w:tcPr>
          <w:p w14:paraId="45E6F160">
            <w:pPr>
              <w:widowControl/>
              <w:spacing w:line="240" w:lineRule="auto"/>
              <w:jc w:val="center"/>
              <w:rPr>
                <w:kern w:val="0"/>
                <w:sz w:val="21"/>
                <w:szCs w:val="21"/>
              </w:rPr>
            </w:pPr>
            <w:r>
              <w:rPr>
                <w:kern w:val="0"/>
                <w:sz w:val="21"/>
                <w:szCs w:val="21"/>
              </w:rPr>
              <w:t>67</w:t>
            </w:r>
          </w:p>
        </w:tc>
        <w:tc>
          <w:tcPr>
            <w:tcW w:w="1560" w:type="dxa"/>
            <w:tcBorders>
              <w:top w:val="nil"/>
              <w:left w:val="nil"/>
              <w:bottom w:val="single" w:color="auto" w:sz="4" w:space="0"/>
              <w:right w:val="single" w:color="auto" w:sz="4" w:space="0"/>
            </w:tcBorders>
            <w:vAlign w:val="center"/>
          </w:tcPr>
          <w:p w14:paraId="7B1C71B4">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58F6017F">
            <w:pPr>
              <w:widowControl/>
              <w:spacing w:line="240" w:lineRule="auto"/>
              <w:jc w:val="center"/>
              <w:rPr>
                <w:kern w:val="0"/>
                <w:sz w:val="21"/>
                <w:szCs w:val="21"/>
              </w:rPr>
            </w:pPr>
            <w:r>
              <w:rPr>
                <w:kern w:val="0"/>
                <w:sz w:val="21"/>
                <w:szCs w:val="21"/>
              </w:rPr>
              <w:t xml:space="preserve">1.8 </w:t>
            </w:r>
          </w:p>
        </w:tc>
        <w:tc>
          <w:tcPr>
            <w:tcW w:w="1144" w:type="dxa"/>
            <w:tcBorders>
              <w:top w:val="nil"/>
              <w:left w:val="nil"/>
              <w:bottom w:val="single" w:color="auto" w:sz="4" w:space="0"/>
              <w:right w:val="single" w:color="auto" w:sz="4" w:space="0"/>
            </w:tcBorders>
            <w:vAlign w:val="center"/>
          </w:tcPr>
          <w:p w14:paraId="728D6086">
            <w:pPr>
              <w:widowControl/>
              <w:spacing w:line="240" w:lineRule="auto"/>
              <w:jc w:val="center"/>
              <w:rPr>
                <w:kern w:val="0"/>
                <w:sz w:val="21"/>
                <w:szCs w:val="21"/>
              </w:rPr>
            </w:pPr>
            <w:r>
              <w:rPr>
                <w:kern w:val="0"/>
                <w:sz w:val="21"/>
                <w:szCs w:val="21"/>
              </w:rPr>
              <w:t xml:space="preserve">4.8 </w:t>
            </w:r>
          </w:p>
        </w:tc>
      </w:tr>
      <w:tr w14:paraId="2BF4E8C9">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3A75F6A">
            <w:pPr>
              <w:widowControl/>
              <w:spacing w:line="240" w:lineRule="auto"/>
              <w:jc w:val="center"/>
              <w:rPr>
                <w:color w:val="000000"/>
                <w:kern w:val="0"/>
                <w:sz w:val="21"/>
                <w:szCs w:val="21"/>
              </w:rPr>
            </w:pPr>
            <w:r>
              <w:rPr>
                <w:color w:val="000000"/>
                <w:kern w:val="0"/>
                <w:sz w:val="21"/>
                <w:szCs w:val="21"/>
              </w:rPr>
              <w:t>18</w:t>
            </w:r>
          </w:p>
        </w:tc>
        <w:tc>
          <w:tcPr>
            <w:tcW w:w="1134" w:type="dxa"/>
            <w:tcBorders>
              <w:top w:val="nil"/>
              <w:left w:val="nil"/>
              <w:bottom w:val="single" w:color="auto" w:sz="4" w:space="0"/>
              <w:right w:val="single" w:color="auto" w:sz="4" w:space="0"/>
            </w:tcBorders>
            <w:vAlign w:val="center"/>
          </w:tcPr>
          <w:p w14:paraId="226D7038">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0458A037">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57272A85">
            <w:pPr>
              <w:widowControl/>
              <w:spacing w:line="240" w:lineRule="auto"/>
              <w:jc w:val="center"/>
              <w:rPr>
                <w:kern w:val="0"/>
                <w:sz w:val="21"/>
                <w:szCs w:val="21"/>
              </w:rPr>
            </w:pPr>
            <w:r>
              <w:rPr>
                <w:kern w:val="0"/>
                <w:sz w:val="21"/>
                <w:szCs w:val="21"/>
              </w:rPr>
              <w:t xml:space="preserve">1.0 </w:t>
            </w:r>
          </w:p>
        </w:tc>
        <w:tc>
          <w:tcPr>
            <w:tcW w:w="567" w:type="dxa"/>
            <w:tcBorders>
              <w:top w:val="nil"/>
              <w:left w:val="nil"/>
              <w:bottom w:val="single" w:color="auto" w:sz="4" w:space="0"/>
              <w:right w:val="single" w:color="auto" w:sz="4" w:space="0"/>
            </w:tcBorders>
            <w:vAlign w:val="center"/>
          </w:tcPr>
          <w:p w14:paraId="5BF497B8">
            <w:pPr>
              <w:widowControl/>
              <w:spacing w:line="240" w:lineRule="auto"/>
              <w:jc w:val="center"/>
              <w:rPr>
                <w:kern w:val="0"/>
                <w:sz w:val="21"/>
                <w:szCs w:val="21"/>
              </w:rPr>
            </w:pPr>
            <w:r>
              <w:rPr>
                <w:kern w:val="0"/>
                <w:sz w:val="21"/>
                <w:szCs w:val="21"/>
              </w:rPr>
              <w:t>68</w:t>
            </w:r>
          </w:p>
        </w:tc>
        <w:tc>
          <w:tcPr>
            <w:tcW w:w="1560" w:type="dxa"/>
            <w:tcBorders>
              <w:top w:val="nil"/>
              <w:left w:val="nil"/>
              <w:bottom w:val="single" w:color="auto" w:sz="4" w:space="0"/>
              <w:right w:val="single" w:color="auto" w:sz="4" w:space="0"/>
            </w:tcBorders>
            <w:vAlign w:val="center"/>
          </w:tcPr>
          <w:p w14:paraId="42FE5F08">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05DAB96E">
            <w:pPr>
              <w:widowControl/>
              <w:spacing w:line="240" w:lineRule="auto"/>
              <w:jc w:val="center"/>
              <w:rPr>
                <w:kern w:val="0"/>
                <w:sz w:val="21"/>
                <w:szCs w:val="21"/>
              </w:rPr>
            </w:pPr>
            <w:r>
              <w:rPr>
                <w:kern w:val="0"/>
                <w:sz w:val="21"/>
                <w:szCs w:val="21"/>
              </w:rPr>
              <w:t xml:space="preserve">2.1 </w:t>
            </w:r>
          </w:p>
        </w:tc>
        <w:tc>
          <w:tcPr>
            <w:tcW w:w="1144" w:type="dxa"/>
            <w:tcBorders>
              <w:top w:val="nil"/>
              <w:left w:val="nil"/>
              <w:bottom w:val="single" w:color="auto" w:sz="4" w:space="0"/>
              <w:right w:val="single" w:color="auto" w:sz="4" w:space="0"/>
            </w:tcBorders>
            <w:vAlign w:val="center"/>
          </w:tcPr>
          <w:p w14:paraId="5DF083FD">
            <w:pPr>
              <w:widowControl/>
              <w:spacing w:line="240" w:lineRule="auto"/>
              <w:jc w:val="center"/>
              <w:rPr>
                <w:kern w:val="0"/>
                <w:sz w:val="21"/>
                <w:szCs w:val="21"/>
              </w:rPr>
            </w:pPr>
            <w:r>
              <w:rPr>
                <w:kern w:val="0"/>
                <w:sz w:val="21"/>
                <w:szCs w:val="21"/>
              </w:rPr>
              <w:t xml:space="preserve">4.3 </w:t>
            </w:r>
          </w:p>
        </w:tc>
      </w:tr>
      <w:tr w14:paraId="26DCD63F">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8546355">
            <w:pPr>
              <w:widowControl/>
              <w:spacing w:line="240" w:lineRule="auto"/>
              <w:jc w:val="center"/>
              <w:rPr>
                <w:color w:val="000000"/>
                <w:kern w:val="0"/>
                <w:sz w:val="21"/>
                <w:szCs w:val="21"/>
              </w:rPr>
            </w:pPr>
            <w:r>
              <w:rPr>
                <w:color w:val="000000"/>
                <w:kern w:val="0"/>
                <w:sz w:val="21"/>
                <w:szCs w:val="21"/>
              </w:rPr>
              <w:t>19</w:t>
            </w:r>
          </w:p>
        </w:tc>
        <w:tc>
          <w:tcPr>
            <w:tcW w:w="1134" w:type="dxa"/>
            <w:tcBorders>
              <w:top w:val="nil"/>
              <w:left w:val="nil"/>
              <w:bottom w:val="single" w:color="auto" w:sz="4" w:space="0"/>
              <w:right w:val="single" w:color="auto" w:sz="4" w:space="0"/>
            </w:tcBorders>
            <w:vAlign w:val="center"/>
          </w:tcPr>
          <w:p w14:paraId="22CBEDE2">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78931172">
            <w:pPr>
              <w:widowControl/>
              <w:spacing w:line="240" w:lineRule="auto"/>
              <w:jc w:val="center"/>
              <w:rPr>
                <w:kern w:val="0"/>
                <w:sz w:val="21"/>
                <w:szCs w:val="21"/>
              </w:rPr>
            </w:pPr>
            <w:r>
              <w:rPr>
                <w:kern w:val="0"/>
                <w:sz w:val="21"/>
                <w:szCs w:val="21"/>
              </w:rPr>
              <w:t xml:space="preserve">0.3 </w:t>
            </w:r>
          </w:p>
        </w:tc>
        <w:tc>
          <w:tcPr>
            <w:tcW w:w="1177" w:type="dxa"/>
            <w:tcBorders>
              <w:top w:val="nil"/>
              <w:left w:val="nil"/>
              <w:bottom w:val="single" w:color="auto" w:sz="4" w:space="0"/>
              <w:right w:val="single" w:color="auto" w:sz="4" w:space="0"/>
            </w:tcBorders>
            <w:vAlign w:val="center"/>
          </w:tcPr>
          <w:p w14:paraId="5F60623B">
            <w:pPr>
              <w:widowControl/>
              <w:spacing w:line="240" w:lineRule="auto"/>
              <w:jc w:val="center"/>
              <w:rPr>
                <w:kern w:val="0"/>
                <w:sz w:val="21"/>
                <w:szCs w:val="21"/>
              </w:rPr>
            </w:pPr>
            <w:r>
              <w:rPr>
                <w:kern w:val="0"/>
                <w:sz w:val="21"/>
                <w:szCs w:val="21"/>
              </w:rPr>
              <w:t xml:space="preserve">0.8 </w:t>
            </w:r>
          </w:p>
        </w:tc>
        <w:tc>
          <w:tcPr>
            <w:tcW w:w="567" w:type="dxa"/>
            <w:tcBorders>
              <w:top w:val="nil"/>
              <w:left w:val="nil"/>
              <w:bottom w:val="single" w:color="auto" w:sz="4" w:space="0"/>
              <w:right w:val="single" w:color="auto" w:sz="4" w:space="0"/>
            </w:tcBorders>
            <w:vAlign w:val="center"/>
          </w:tcPr>
          <w:p w14:paraId="31A5CEA4">
            <w:pPr>
              <w:widowControl/>
              <w:spacing w:line="240" w:lineRule="auto"/>
              <w:jc w:val="center"/>
              <w:rPr>
                <w:kern w:val="0"/>
                <w:sz w:val="21"/>
                <w:szCs w:val="21"/>
              </w:rPr>
            </w:pPr>
            <w:r>
              <w:rPr>
                <w:kern w:val="0"/>
                <w:sz w:val="21"/>
                <w:szCs w:val="21"/>
              </w:rPr>
              <w:t>69</w:t>
            </w:r>
          </w:p>
        </w:tc>
        <w:tc>
          <w:tcPr>
            <w:tcW w:w="1560" w:type="dxa"/>
            <w:tcBorders>
              <w:top w:val="nil"/>
              <w:left w:val="nil"/>
              <w:bottom w:val="single" w:color="auto" w:sz="4" w:space="0"/>
              <w:right w:val="single" w:color="auto" w:sz="4" w:space="0"/>
            </w:tcBorders>
            <w:vAlign w:val="center"/>
          </w:tcPr>
          <w:p w14:paraId="435BD00E">
            <w:pPr>
              <w:widowControl/>
              <w:spacing w:line="240" w:lineRule="auto"/>
              <w:jc w:val="left"/>
              <w:rPr>
                <w:kern w:val="0"/>
                <w:sz w:val="21"/>
                <w:szCs w:val="21"/>
              </w:rPr>
            </w:pPr>
            <w:r>
              <w:rPr>
                <w:rFonts w:hint="eastAsia" w:hAnsi="宋体"/>
                <w:kern w:val="0"/>
                <w:sz w:val="21"/>
                <w:szCs w:val="21"/>
              </w:rPr>
              <w:t>家常菜</w:t>
            </w:r>
          </w:p>
        </w:tc>
        <w:tc>
          <w:tcPr>
            <w:tcW w:w="1134" w:type="dxa"/>
            <w:tcBorders>
              <w:top w:val="nil"/>
              <w:left w:val="nil"/>
              <w:bottom w:val="single" w:color="auto" w:sz="4" w:space="0"/>
              <w:right w:val="single" w:color="auto" w:sz="4" w:space="0"/>
            </w:tcBorders>
            <w:vAlign w:val="center"/>
          </w:tcPr>
          <w:p w14:paraId="486C5952">
            <w:pPr>
              <w:widowControl/>
              <w:spacing w:line="240" w:lineRule="auto"/>
              <w:jc w:val="center"/>
              <w:rPr>
                <w:kern w:val="0"/>
                <w:sz w:val="21"/>
                <w:szCs w:val="21"/>
              </w:rPr>
            </w:pPr>
            <w:r>
              <w:rPr>
                <w:kern w:val="0"/>
                <w:sz w:val="21"/>
                <w:szCs w:val="21"/>
              </w:rPr>
              <w:t xml:space="preserve">1.5 </w:t>
            </w:r>
          </w:p>
        </w:tc>
        <w:tc>
          <w:tcPr>
            <w:tcW w:w="1144" w:type="dxa"/>
            <w:tcBorders>
              <w:top w:val="nil"/>
              <w:left w:val="nil"/>
              <w:bottom w:val="single" w:color="auto" w:sz="4" w:space="0"/>
              <w:right w:val="single" w:color="auto" w:sz="4" w:space="0"/>
            </w:tcBorders>
            <w:vAlign w:val="center"/>
          </w:tcPr>
          <w:p w14:paraId="5EF42C38">
            <w:pPr>
              <w:widowControl/>
              <w:spacing w:line="240" w:lineRule="auto"/>
              <w:jc w:val="center"/>
              <w:rPr>
                <w:kern w:val="0"/>
                <w:sz w:val="21"/>
                <w:szCs w:val="21"/>
              </w:rPr>
            </w:pPr>
            <w:r>
              <w:rPr>
                <w:kern w:val="0"/>
                <w:sz w:val="21"/>
                <w:szCs w:val="21"/>
              </w:rPr>
              <w:t xml:space="preserve">3.6 </w:t>
            </w:r>
          </w:p>
        </w:tc>
      </w:tr>
      <w:tr w14:paraId="7ECEBA49">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AB0D5E5">
            <w:pPr>
              <w:widowControl/>
              <w:spacing w:line="240" w:lineRule="auto"/>
              <w:jc w:val="center"/>
              <w:rPr>
                <w:color w:val="000000"/>
                <w:kern w:val="0"/>
                <w:sz w:val="21"/>
                <w:szCs w:val="21"/>
              </w:rPr>
            </w:pPr>
            <w:r>
              <w:rPr>
                <w:color w:val="000000"/>
                <w:kern w:val="0"/>
                <w:sz w:val="21"/>
                <w:szCs w:val="21"/>
              </w:rPr>
              <w:t>20</w:t>
            </w:r>
          </w:p>
        </w:tc>
        <w:tc>
          <w:tcPr>
            <w:tcW w:w="1134" w:type="dxa"/>
            <w:tcBorders>
              <w:top w:val="nil"/>
              <w:left w:val="nil"/>
              <w:bottom w:val="single" w:color="auto" w:sz="4" w:space="0"/>
              <w:right w:val="single" w:color="auto" w:sz="4" w:space="0"/>
            </w:tcBorders>
            <w:vAlign w:val="center"/>
          </w:tcPr>
          <w:p w14:paraId="49F4DC93">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00789DCA">
            <w:pPr>
              <w:widowControl/>
              <w:spacing w:line="240" w:lineRule="auto"/>
              <w:jc w:val="center"/>
              <w:rPr>
                <w:kern w:val="0"/>
                <w:sz w:val="21"/>
                <w:szCs w:val="21"/>
              </w:rPr>
            </w:pPr>
            <w:r>
              <w:rPr>
                <w:kern w:val="0"/>
                <w:sz w:val="21"/>
                <w:szCs w:val="21"/>
              </w:rPr>
              <w:t xml:space="preserve">2.4 </w:t>
            </w:r>
          </w:p>
        </w:tc>
        <w:tc>
          <w:tcPr>
            <w:tcW w:w="1177" w:type="dxa"/>
            <w:tcBorders>
              <w:top w:val="nil"/>
              <w:left w:val="nil"/>
              <w:bottom w:val="single" w:color="auto" w:sz="4" w:space="0"/>
              <w:right w:val="single" w:color="auto" w:sz="4" w:space="0"/>
            </w:tcBorders>
            <w:vAlign w:val="center"/>
          </w:tcPr>
          <w:p w14:paraId="1A47FCAE">
            <w:pPr>
              <w:widowControl/>
              <w:spacing w:line="240" w:lineRule="auto"/>
              <w:jc w:val="center"/>
              <w:rPr>
                <w:kern w:val="0"/>
                <w:sz w:val="21"/>
                <w:szCs w:val="21"/>
              </w:rPr>
            </w:pPr>
            <w:r>
              <w:rPr>
                <w:kern w:val="0"/>
                <w:sz w:val="21"/>
                <w:szCs w:val="21"/>
              </w:rPr>
              <w:t xml:space="preserve">2.0 </w:t>
            </w:r>
          </w:p>
        </w:tc>
        <w:tc>
          <w:tcPr>
            <w:tcW w:w="567" w:type="dxa"/>
            <w:tcBorders>
              <w:top w:val="nil"/>
              <w:left w:val="nil"/>
              <w:bottom w:val="single" w:color="auto" w:sz="4" w:space="0"/>
              <w:right w:val="single" w:color="auto" w:sz="4" w:space="0"/>
            </w:tcBorders>
            <w:vAlign w:val="center"/>
          </w:tcPr>
          <w:p w14:paraId="462DC416">
            <w:pPr>
              <w:widowControl/>
              <w:spacing w:line="240" w:lineRule="auto"/>
              <w:jc w:val="center"/>
              <w:rPr>
                <w:kern w:val="0"/>
                <w:sz w:val="21"/>
                <w:szCs w:val="21"/>
              </w:rPr>
            </w:pPr>
            <w:r>
              <w:rPr>
                <w:kern w:val="0"/>
                <w:sz w:val="21"/>
                <w:szCs w:val="21"/>
              </w:rPr>
              <w:t>70</w:t>
            </w:r>
          </w:p>
        </w:tc>
        <w:tc>
          <w:tcPr>
            <w:tcW w:w="1560" w:type="dxa"/>
            <w:tcBorders>
              <w:top w:val="nil"/>
              <w:left w:val="nil"/>
              <w:bottom w:val="single" w:color="auto" w:sz="4" w:space="0"/>
              <w:right w:val="single" w:color="auto" w:sz="4" w:space="0"/>
            </w:tcBorders>
            <w:vAlign w:val="center"/>
          </w:tcPr>
          <w:p w14:paraId="7414AF58">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436A8EC5">
            <w:pPr>
              <w:widowControl/>
              <w:spacing w:line="240" w:lineRule="auto"/>
              <w:jc w:val="center"/>
              <w:rPr>
                <w:kern w:val="0"/>
                <w:sz w:val="21"/>
                <w:szCs w:val="21"/>
              </w:rPr>
            </w:pPr>
            <w:r>
              <w:rPr>
                <w:kern w:val="0"/>
                <w:sz w:val="21"/>
                <w:szCs w:val="21"/>
              </w:rPr>
              <w:t xml:space="preserve">60.7 </w:t>
            </w:r>
          </w:p>
        </w:tc>
        <w:tc>
          <w:tcPr>
            <w:tcW w:w="1144" w:type="dxa"/>
            <w:tcBorders>
              <w:top w:val="nil"/>
              <w:left w:val="nil"/>
              <w:bottom w:val="single" w:color="auto" w:sz="4" w:space="0"/>
              <w:right w:val="single" w:color="auto" w:sz="4" w:space="0"/>
            </w:tcBorders>
            <w:vAlign w:val="center"/>
          </w:tcPr>
          <w:p w14:paraId="25313546">
            <w:pPr>
              <w:widowControl/>
              <w:spacing w:line="240" w:lineRule="auto"/>
              <w:jc w:val="center"/>
              <w:rPr>
                <w:kern w:val="0"/>
                <w:sz w:val="21"/>
                <w:szCs w:val="21"/>
              </w:rPr>
            </w:pPr>
            <w:r>
              <w:rPr>
                <w:kern w:val="0"/>
                <w:sz w:val="21"/>
                <w:szCs w:val="21"/>
              </w:rPr>
              <w:t xml:space="preserve">63.7 </w:t>
            </w:r>
          </w:p>
        </w:tc>
      </w:tr>
      <w:tr w14:paraId="29241F71">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880B8A0">
            <w:pPr>
              <w:widowControl/>
              <w:spacing w:line="240" w:lineRule="auto"/>
              <w:jc w:val="center"/>
              <w:rPr>
                <w:color w:val="000000"/>
                <w:kern w:val="0"/>
                <w:sz w:val="21"/>
                <w:szCs w:val="21"/>
              </w:rPr>
            </w:pPr>
            <w:r>
              <w:rPr>
                <w:color w:val="000000"/>
                <w:kern w:val="0"/>
                <w:sz w:val="21"/>
                <w:szCs w:val="21"/>
              </w:rPr>
              <w:t>21</w:t>
            </w:r>
          </w:p>
        </w:tc>
        <w:tc>
          <w:tcPr>
            <w:tcW w:w="1134" w:type="dxa"/>
            <w:tcBorders>
              <w:top w:val="nil"/>
              <w:left w:val="nil"/>
              <w:bottom w:val="single" w:color="auto" w:sz="4" w:space="0"/>
              <w:right w:val="single" w:color="auto" w:sz="4" w:space="0"/>
            </w:tcBorders>
            <w:vAlign w:val="center"/>
          </w:tcPr>
          <w:p w14:paraId="4F09E1FA">
            <w:pPr>
              <w:widowControl/>
              <w:spacing w:line="240" w:lineRule="auto"/>
              <w:jc w:val="left"/>
              <w:rPr>
                <w:color w:val="000000"/>
                <w:kern w:val="0"/>
                <w:sz w:val="21"/>
                <w:szCs w:val="21"/>
              </w:rPr>
            </w:pPr>
            <w:r>
              <w:rPr>
                <w:rFonts w:hint="eastAsia" w:hAnsi="宋体"/>
                <w:color w:val="000000"/>
                <w:kern w:val="0"/>
                <w:sz w:val="21"/>
                <w:szCs w:val="21"/>
              </w:rPr>
              <w:t>西式快餐</w:t>
            </w:r>
          </w:p>
        </w:tc>
        <w:tc>
          <w:tcPr>
            <w:tcW w:w="1232" w:type="dxa"/>
            <w:tcBorders>
              <w:top w:val="nil"/>
              <w:left w:val="nil"/>
              <w:bottom w:val="single" w:color="auto" w:sz="4" w:space="0"/>
              <w:right w:val="single" w:color="auto" w:sz="4" w:space="0"/>
            </w:tcBorders>
            <w:vAlign w:val="center"/>
          </w:tcPr>
          <w:p w14:paraId="5082777C">
            <w:pPr>
              <w:widowControl/>
              <w:spacing w:line="240" w:lineRule="auto"/>
              <w:jc w:val="center"/>
              <w:rPr>
                <w:kern w:val="0"/>
                <w:sz w:val="21"/>
                <w:szCs w:val="21"/>
              </w:rPr>
            </w:pPr>
            <w:r>
              <w:rPr>
                <w:kern w:val="0"/>
                <w:sz w:val="21"/>
                <w:szCs w:val="21"/>
              </w:rPr>
              <w:t xml:space="preserve">1.7 </w:t>
            </w:r>
          </w:p>
        </w:tc>
        <w:tc>
          <w:tcPr>
            <w:tcW w:w="1177" w:type="dxa"/>
            <w:tcBorders>
              <w:top w:val="nil"/>
              <w:left w:val="nil"/>
              <w:bottom w:val="single" w:color="auto" w:sz="4" w:space="0"/>
              <w:right w:val="single" w:color="auto" w:sz="4" w:space="0"/>
            </w:tcBorders>
            <w:vAlign w:val="center"/>
          </w:tcPr>
          <w:p w14:paraId="3FF06D74">
            <w:pPr>
              <w:widowControl/>
              <w:spacing w:line="240" w:lineRule="auto"/>
              <w:jc w:val="center"/>
              <w:rPr>
                <w:kern w:val="0"/>
                <w:sz w:val="21"/>
                <w:szCs w:val="21"/>
              </w:rPr>
            </w:pPr>
            <w:r>
              <w:rPr>
                <w:kern w:val="0"/>
                <w:sz w:val="21"/>
                <w:szCs w:val="21"/>
              </w:rPr>
              <w:t xml:space="preserve">2.6 </w:t>
            </w:r>
          </w:p>
        </w:tc>
        <w:tc>
          <w:tcPr>
            <w:tcW w:w="567" w:type="dxa"/>
            <w:tcBorders>
              <w:top w:val="nil"/>
              <w:left w:val="nil"/>
              <w:bottom w:val="single" w:color="auto" w:sz="4" w:space="0"/>
              <w:right w:val="single" w:color="auto" w:sz="4" w:space="0"/>
            </w:tcBorders>
            <w:vAlign w:val="center"/>
          </w:tcPr>
          <w:p w14:paraId="04730B40">
            <w:pPr>
              <w:widowControl/>
              <w:spacing w:line="240" w:lineRule="auto"/>
              <w:jc w:val="center"/>
              <w:rPr>
                <w:kern w:val="0"/>
                <w:sz w:val="21"/>
                <w:szCs w:val="21"/>
              </w:rPr>
            </w:pPr>
            <w:r>
              <w:rPr>
                <w:kern w:val="0"/>
                <w:sz w:val="21"/>
                <w:szCs w:val="21"/>
              </w:rPr>
              <w:t>71</w:t>
            </w:r>
          </w:p>
        </w:tc>
        <w:tc>
          <w:tcPr>
            <w:tcW w:w="1560" w:type="dxa"/>
            <w:tcBorders>
              <w:top w:val="nil"/>
              <w:left w:val="nil"/>
              <w:bottom w:val="single" w:color="auto" w:sz="4" w:space="0"/>
              <w:right w:val="single" w:color="auto" w:sz="4" w:space="0"/>
            </w:tcBorders>
            <w:vAlign w:val="center"/>
          </w:tcPr>
          <w:p w14:paraId="6602C975">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78DB246E">
            <w:pPr>
              <w:widowControl/>
              <w:spacing w:line="240" w:lineRule="auto"/>
              <w:jc w:val="center"/>
              <w:rPr>
                <w:kern w:val="0"/>
                <w:sz w:val="21"/>
                <w:szCs w:val="21"/>
              </w:rPr>
            </w:pPr>
            <w:r>
              <w:rPr>
                <w:kern w:val="0"/>
                <w:sz w:val="21"/>
                <w:szCs w:val="21"/>
              </w:rPr>
              <w:t xml:space="preserve">26.8 </w:t>
            </w:r>
          </w:p>
        </w:tc>
        <w:tc>
          <w:tcPr>
            <w:tcW w:w="1144" w:type="dxa"/>
            <w:tcBorders>
              <w:top w:val="nil"/>
              <w:left w:val="nil"/>
              <w:bottom w:val="single" w:color="auto" w:sz="4" w:space="0"/>
              <w:right w:val="single" w:color="auto" w:sz="4" w:space="0"/>
            </w:tcBorders>
            <w:vAlign w:val="center"/>
          </w:tcPr>
          <w:p w14:paraId="62902A03">
            <w:pPr>
              <w:widowControl/>
              <w:spacing w:line="240" w:lineRule="auto"/>
              <w:jc w:val="center"/>
              <w:rPr>
                <w:kern w:val="0"/>
                <w:sz w:val="21"/>
                <w:szCs w:val="21"/>
              </w:rPr>
            </w:pPr>
            <w:r>
              <w:rPr>
                <w:kern w:val="0"/>
                <w:sz w:val="21"/>
                <w:szCs w:val="21"/>
              </w:rPr>
              <w:t xml:space="preserve">28.1 </w:t>
            </w:r>
          </w:p>
        </w:tc>
      </w:tr>
      <w:tr w14:paraId="387317DF">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1B819252">
            <w:pPr>
              <w:widowControl/>
              <w:spacing w:line="240" w:lineRule="auto"/>
              <w:jc w:val="center"/>
              <w:rPr>
                <w:color w:val="000000"/>
                <w:kern w:val="0"/>
                <w:sz w:val="21"/>
                <w:szCs w:val="21"/>
              </w:rPr>
            </w:pPr>
            <w:r>
              <w:rPr>
                <w:color w:val="000000"/>
                <w:kern w:val="0"/>
                <w:sz w:val="21"/>
                <w:szCs w:val="21"/>
              </w:rPr>
              <w:t>22</w:t>
            </w:r>
          </w:p>
        </w:tc>
        <w:tc>
          <w:tcPr>
            <w:tcW w:w="1134" w:type="dxa"/>
            <w:tcBorders>
              <w:top w:val="nil"/>
              <w:left w:val="nil"/>
              <w:bottom w:val="single" w:color="auto" w:sz="4" w:space="0"/>
              <w:right w:val="single" w:color="auto" w:sz="4" w:space="0"/>
            </w:tcBorders>
            <w:vAlign w:val="center"/>
          </w:tcPr>
          <w:p w14:paraId="35FC39CF">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43B78481">
            <w:pPr>
              <w:widowControl/>
              <w:spacing w:line="240" w:lineRule="auto"/>
              <w:jc w:val="center"/>
              <w:rPr>
                <w:kern w:val="0"/>
                <w:sz w:val="21"/>
                <w:szCs w:val="21"/>
              </w:rPr>
            </w:pPr>
            <w:r>
              <w:rPr>
                <w:kern w:val="0"/>
                <w:sz w:val="21"/>
                <w:szCs w:val="21"/>
              </w:rPr>
              <w:t xml:space="preserve">34.9 </w:t>
            </w:r>
          </w:p>
        </w:tc>
        <w:tc>
          <w:tcPr>
            <w:tcW w:w="1177" w:type="dxa"/>
            <w:tcBorders>
              <w:top w:val="nil"/>
              <w:left w:val="nil"/>
              <w:bottom w:val="single" w:color="auto" w:sz="4" w:space="0"/>
              <w:right w:val="single" w:color="auto" w:sz="4" w:space="0"/>
            </w:tcBorders>
            <w:vAlign w:val="center"/>
          </w:tcPr>
          <w:p w14:paraId="69BC077A">
            <w:pPr>
              <w:widowControl/>
              <w:spacing w:line="240" w:lineRule="auto"/>
              <w:jc w:val="center"/>
              <w:rPr>
                <w:kern w:val="0"/>
                <w:sz w:val="21"/>
                <w:szCs w:val="21"/>
              </w:rPr>
            </w:pPr>
            <w:r>
              <w:rPr>
                <w:kern w:val="0"/>
                <w:sz w:val="21"/>
                <w:szCs w:val="21"/>
              </w:rPr>
              <w:t xml:space="preserve">44.8 </w:t>
            </w:r>
          </w:p>
        </w:tc>
        <w:tc>
          <w:tcPr>
            <w:tcW w:w="567" w:type="dxa"/>
            <w:tcBorders>
              <w:top w:val="nil"/>
              <w:left w:val="nil"/>
              <w:bottom w:val="single" w:color="auto" w:sz="4" w:space="0"/>
              <w:right w:val="single" w:color="auto" w:sz="4" w:space="0"/>
            </w:tcBorders>
            <w:vAlign w:val="center"/>
          </w:tcPr>
          <w:p w14:paraId="37D74EBA">
            <w:pPr>
              <w:widowControl/>
              <w:spacing w:line="240" w:lineRule="auto"/>
              <w:jc w:val="center"/>
              <w:rPr>
                <w:kern w:val="0"/>
                <w:sz w:val="21"/>
                <w:szCs w:val="21"/>
              </w:rPr>
            </w:pPr>
            <w:r>
              <w:rPr>
                <w:kern w:val="0"/>
                <w:sz w:val="21"/>
                <w:szCs w:val="21"/>
              </w:rPr>
              <w:t>72</w:t>
            </w:r>
          </w:p>
        </w:tc>
        <w:tc>
          <w:tcPr>
            <w:tcW w:w="1560" w:type="dxa"/>
            <w:tcBorders>
              <w:top w:val="nil"/>
              <w:left w:val="nil"/>
              <w:bottom w:val="single" w:color="auto" w:sz="4" w:space="0"/>
              <w:right w:val="single" w:color="auto" w:sz="4" w:space="0"/>
            </w:tcBorders>
            <w:vAlign w:val="center"/>
          </w:tcPr>
          <w:p w14:paraId="252E0F67">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4768577B">
            <w:pPr>
              <w:widowControl/>
              <w:spacing w:line="240" w:lineRule="auto"/>
              <w:jc w:val="center"/>
              <w:rPr>
                <w:kern w:val="0"/>
                <w:sz w:val="21"/>
                <w:szCs w:val="21"/>
              </w:rPr>
            </w:pPr>
            <w:r>
              <w:rPr>
                <w:kern w:val="0"/>
                <w:sz w:val="21"/>
                <w:szCs w:val="21"/>
              </w:rPr>
              <w:t xml:space="preserve">12.6 </w:t>
            </w:r>
          </w:p>
        </w:tc>
        <w:tc>
          <w:tcPr>
            <w:tcW w:w="1144" w:type="dxa"/>
            <w:tcBorders>
              <w:top w:val="nil"/>
              <w:left w:val="nil"/>
              <w:bottom w:val="single" w:color="auto" w:sz="4" w:space="0"/>
              <w:right w:val="single" w:color="auto" w:sz="4" w:space="0"/>
            </w:tcBorders>
            <w:vAlign w:val="center"/>
          </w:tcPr>
          <w:p w14:paraId="2998D82D">
            <w:pPr>
              <w:widowControl/>
              <w:spacing w:line="240" w:lineRule="auto"/>
              <w:jc w:val="center"/>
              <w:rPr>
                <w:kern w:val="0"/>
                <w:sz w:val="21"/>
                <w:szCs w:val="21"/>
              </w:rPr>
            </w:pPr>
            <w:r>
              <w:rPr>
                <w:kern w:val="0"/>
                <w:sz w:val="21"/>
                <w:szCs w:val="21"/>
              </w:rPr>
              <w:t xml:space="preserve">13.2 </w:t>
            </w:r>
          </w:p>
        </w:tc>
      </w:tr>
      <w:tr w14:paraId="38A6A5DD">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3CB048C">
            <w:pPr>
              <w:widowControl/>
              <w:spacing w:line="240" w:lineRule="auto"/>
              <w:jc w:val="center"/>
              <w:rPr>
                <w:color w:val="000000"/>
                <w:kern w:val="0"/>
                <w:sz w:val="21"/>
                <w:szCs w:val="21"/>
              </w:rPr>
            </w:pPr>
            <w:r>
              <w:rPr>
                <w:color w:val="000000"/>
                <w:kern w:val="0"/>
                <w:sz w:val="21"/>
                <w:szCs w:val="21"/>
              </w:rPr>
              <w:t>23</w:t>
            </w:r>
          </w:p>
        </w:tc>
        <w:tc>
          <w:tcPr>
            <w:tcW w:w="1134" w:type="dxa"/>
            <w:tcBorders>
              <w:top w:val="nil"/>
              <w:left w:val="nil"/>
              <w:bottom w:val="single" w:color="auto" w:sz="4" w:space="0"/>
              <w:right w:val="single" w:color="auto" w:sz="4" w:space="0"/>
            </w:tcBorders>
            <w:vAlign w:val="center"/>
          </w:tcPr>
          <w:p w14:paraId="1AF0E3DA">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2C5726E">
            <w:pPr>
              <w:widowControl/>
              <w:spacing w:line="240" w:lineRule="auto"/>
              <w:jc w:val="center"/>
              <w:rPr>
                <w:kern w:val="0"/>
                <w:sz w:val="21"/>
                <w:szCs w:val="21"/>
              </w:rPr>
            </w:pPr>
            <w:r>
              <w:rPr>
                <w:kern w:val="0"/>
                <w:sz w:val="21"/>
                <w:szCs w:val="21"/>
              </w:rPr>
              <w:t xml:space="preserve">24.9 </w:t>
            </w:r>
          </w:p>
        </w:tc>
        <w:tc>
          <w:tcPr>
            <w:tcW w:w="1177" w:type="dxa"/>
            <w:tcBorders>
              <w:top w:val="nil"/>
              <w:left w:val="nil"/>
              <w:bottom w:val="single" w:color="auto" w:sz="4" w:space="0"/>
              <w:right w:val="single" w:color="auto" w:sz="4" w:space="0"/>
            </w:tcBorders>
            <w:vAlign w:val="center"/>
          </w:tcPr>
          <w:p w14:paraId="29C43972">
            <w:pPr>
              <w:widowControl/>
              <w:spacing w:line="240" w:lineRule="auto"/>
              <w:jc w:val="center"/>
              <w:rPr>
                <w:kern w:val="0"/>
                <w:sz w:val="21"/>
                <w:szCs w:val="21"/>
              </w:rPr>
            </w:pPr>
            <w:r>
              <w:rPr>
                <w:kern w:val="0"/>
                <w:sz w:val="21"/>
                <w:szCs w:val="21"/>
              </w:rPr>
              <w:t xml:space="preserve">31.7 </w:t>
            </w:r>
          </w:p>
        </w:tc>
        <w:tc>
          <w:tcPr>
            <w:tcW w:w="567" w:type="dxa"/>
            <w:tcBorders>
              <w:top w:val="nil"/>
              <w:left w:val="nil"/>
              <w:bottom w:val="single" w:color="auto" w:sz="4" w:space="0"/>
              <w:right w:val="single" w:color="auto" w:sz="4" w:space="0"/>
            </w:tcBorders>
            <w:vAlign w:val="center"/>
          </w:tcPr>
          <w:p w14:paraId="216E1F14">
            <w:pPr>
              <w:widowControl/>
              <w:spacing w:line="240" w:lineRule="auto"/>
              <w:jc w:val="center"/>
              <w:rPr>
                <w:kern w:val="0"/>
                <w:sz w:val="21"/>
                <w:szCs w:val="21"/>
              </w:rPr>
            </w:pPr>
            <w:r>
              <w:rPr>
                <w:kern w:val="0"/>
                <w:sz w:val="21"/>
                <w:szCs w:val="21"/>
              </w:rPr>
              <w:t>73</w:t>
            </w:r>
          </w:p>
        </w:tc>
        <w:tc>
          <w:tcPr>
            <w:tcW w:w="1560" w:type="dxa"/>
            <w:tcBorders>
              <w:top w:val="nil"/>
              <w:left w:val="nil"/>
              <w:bottom w:val="single" w:color="auto" w:sz="4" w:space="0"/>
              <w:right w:val="single" w:color="auto" w:sz="4" w:space="0"/>
            </w:tcBorders>
            <w:vAlign w:val="center"/>
          </w:tcPr>
          <w:p w14:paraId="74208AC8">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79810C8B">
            <w:pPr>
              <w:widowControl/>
              <w:spacing w:line="240" w:lineRule="auto"/>
              <w:jc w:val="center"/>
              <w:rPr>
                <w:kern w:val="0"/>
                <w:sz w:val="21"/>
                <w:szCs w:val="21"/>
              </w:rPr>
            </w:pPr>
            <w:r>
              <w:rPr>
                <w:kern w:val="0"/>
                <w:sz w:val="21"/>
                <w:szCs w:val="21"/>
              </w:rPr>
              <w:t xml:space="preserve">10.0 </w:t>
            </w:r>
          </w:p>
        </w:tc>
        <w:tc>
          <w:tcPr>
            <w:tcW w:w="1144" w:type="dxa"/>
            <w:tcBorders>
              <w:top w:val="nil"/>
              <w:left w:val="nil"/>
              <w:bottom w:val="single" w:color="auto" w:sz="4" w:space="0"/>
              <w:right w:val="single" w:color="auto" w:sz="4" w:space="0"/>
            </w:tcBorders>
            <w:vAlign w:val="center"/>
          </w:tcPr>
          <w:p w14:paraId="455DC62E">
            <w:pPr>
              <w:widowControl/>
              <w:spacing w:line="240" w:lineRule="auto"/>
              <w:jc w:val="center"/>
              <w:rPr>
                <w:kern w:val="0"/>
                <w:sz w:val="21"/>
                <w:szCs w:val="21"/>
              </w:rPr>
            </w:pPr>
            <w:r>
              <w:rPr>
                <w:kern w:val="0"/>
                <w:sz w:val="21"/>
                <w:szCs w:val="21"/>
              </w:rPr>
              <w:t xml:space="preserve">10.5 </w:t>
            </w:r>
          </w:p>
        </w:tc>
      </w:tr>
      <w:tr w14:paraId="331D5F60">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BFCA35D">
            <w:pPr>
              <w:widowControl/>
              <w:spacing w:line="240" w:lineRule="auto"/>
              <w:jc w:val="center"/>
              <w:rPr>
                <w:color w:val="000000"/>
                <w:kern w:val="0"/>
                <w:sz w:val="21"/>
                <w:szCs w:val="21"/>
              </w:rPr>
            </w:pPr>
            <w:r>
              <w:rPr>
                <w:color w:val="000000"/>
                <w:kern w:val="0"/>
                <w:sz w:val="21"/>
                <w:szCs w:val="21"/>
              </w:rPr>
              <w:t>24</w:t>
            </w:r>
          </w:p>
        </w:tc>
        <w:tc>
          <w:tcPr>
            <w:tcW w:w="1134" w:type="dxa"/>
            <w:tcBorders>
              <w:top w:val="nil"/>
              <w:left w:val="nil"/>
              <w:bottom w:val="single" w:color="auto" w:sz="4" w:space="0"/>
              <w:right w:val="single" w:color="auto" w:sz="4" w:space="0"/>
            </w:tcBorders>
            <w:vAlign w:val="center"/>
          </w:tcPr>
          <w:p w14:paraId="0D771D1C">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227E809">
            <w:pPr>
              <w:widowControl/>
              <w:spacing w:line="240" w:lineRule="auto"/>
              <w:jc w:val="center"/>
              <w:rPr>
                <w:kern w:val="0"/>
                <w:sz w:val="21"/>
                <w:szCs w:val="21"/>
              </w:rPr>
            </w:pPr>
            <w:r>
              <w:rPr>
                <w:kern w:val="0"/>
                <w:sz w:val="21"/>
                <w:szCs w:val="21"/>
              </w:rPr>
              <w:t xml:space="preserve">3.9 </w:t>
            </w:r>
          </w:p>
        </w:tc>
        <w:tc>
          <w:tcPr>
            <w:tcW w:w="1177" w:type="dxa"/>
            <w:tcBorders>
              <w:top w:val="nil"/>
              <w:left w:val="nil"/>
              <w:bottom w:val="single" w:color="auto" w:sz="4" w:space="0"/>
              <w:right w:val="single" w:color="auto" w:sz="4" w:space="0"/>
            </w:tcBorders>
            <w:vAlign w:val="center"/>
          </w:tcPr>
          <w:p w14:paraId="6F0C6A22">
            <w:pPr>
              <w:widowControl/>
              <w:spacing w:line="240" w:lineRule="auto"/>
              <w:jc w:val="center"/>
              <w:rPr>
                <w:kern w:val="0"/>
                <w:sz w:val="21"/>
                <w:szCs w:val="21"/>
              </w:rPr>
            </w:pPr>
            <w:r>
              <w:rPr>
                <w:kern w:val="0"/>
                <w:sz w:val="21"/>
                <w:szCs w:val="21"/>
              </w:rPr>
              <w:t xml:space="preserve">3.7 </w:t>
            </w:r>
          </w:p>
        </w:tc>
        <w:tc>
          <w:tcPr>
            <w:tcW w:w="567" w:type="dxa"/>
            <w:tcBorders>
              <w:top w:val="nil"/>
              <w:left w:val="nil"/>
              <w:bottom w:val="single" w:color="auto" w:sz="4" w:space="0"/>
              <w:right w:val="single" w:color="auto" w:sz="4" w:space="0"/>
            </w:tcBorders>
            <w:vAlign w:val="center"/>
          </w:tcPr>
          <w:p w14:paraId="30A07C75">
            <w:pPr>
              <w:widowControl/>
              <w:spacing w:line="240" w:lineRule="auto"/>
              <w:jc w:val="center"/>
              <w:rPr>
                <w:kern w:val="0"/>
                <w:sz w:val="21"/>
                <w:szCs w:val="21"/>
              </w:rPr>
            </w:pPr>
            <w:r>
              <w:rPr>
                <w:kern w:val="0"/>
                <w:sz w:val="21"/>
                <w:szCs w:val="21"/>
              </w:rPr>
              <w:t>74</w:t>
            </w:r>
          </w:p>
        </w:tc>
        <w:tc>
          <w:tcPr>
            <w:tcW w:w="1560" w:type="dxa"/>
            <w:tcBorders>
              <w:top w:val="nil"/>
              <w:left w:val="nil"/>
              <w:bottom w:val="single" w:color="auto" w:sz="4" w:space="0"/>
              <w:right w:val="single" w:color="auto" w:sz="4" w:space="0"/>
            </w:tcBorders>
            <w:vAlign w:val="center"/>
          </w:tcPr>
          <w:p w14:paraId="6AC9604A">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7F7BF14C">
            <w:pPr>
              <w:widowControl/>
              <w:spacing w:line="240" w:lineRule="auto"/>
              <w:jc w:val="center"/>
              <w:rPr>
                <w:kern w:val="0"/>
                <w:sz w:val="21"/>
                <w:szCs w:val="21"/>
              </w:rPr>
            </w:pPr>
            <w:r>
              <w:rPr>
                <w:kern w:val="0"/>
                <w:sz w:val="21"/>
                <w:szCs w:val="21"/>
              </w:rPr>
              <w:t xml:space="preserve">20.1 </w:t>
            </w:r>
          </w:p>
        </w:tc>
        <w:tc>
          <w:tcPr>
            <w:tcW w:w="1144" w:type="dxa"/>
            <w:tcBorders>
              <w:top w:val="nil"/>
              <w:left w:val="nil"/>
              <w:bottom w:val="single" w:color="auto" w:sz="4" w:space="0"/>
              <w:right w:val="single" w:color="auto" w:sz="4" w:space="0"/>
            </w:tcBorders>
            <w:vAlign w:val="center"/>
          </w:tcPr>
          <w:p w14:paraId="00A80A2A">
            <w:pPr>
              <w:widowControl/>
              <w:spacing w:line="240" w:lineRule="auto"/>
              <w:jc w:val="center"/>
              <w:rPr>
                <w:kern w:val="0"/>
                <w:sz w:val="21"/>
                <w:szCs w:val="21"/>
              </w:rPr>
            </w:pPr>
            <w:r>
              <w:rPr>
                <w:kern w:val="0"/>
                <w:sz w:val="21"/>
                <w:szCs w:val="21"/>
              </w:rPr>
              <w:t xml:space="preserve">21.1 </w:t>
            </w:r>
          </w:p>
        </w:tc>
      </w:tr>
      <w:tr w14:paraId="1F3398FE">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7565D8FD">
            <w:pPr>
              <w:widowControl/>
              <w:spacing w:line="240" w:lineRule="auto"/>
              <w:jc w:val="center"/>
              <w:rPr>
                <w:color w:val="000000"/>
                <w:kern w:val="0"/>
                <w:sz w:val="21"/>
                <w:szCs w:val="21"/>
              </w:rPr>
            </w:pPr>
            <w:r>
              <w:rPr>
                <w:color w:val="000000"/>
                <w:kern w:val="0"/>
                <w:sz w:val="21"/>
                <w:szCs w:val="21"/>
              </w:rPr>
              <w:t>25</w:t>
            </w:r>
          </w:p>
        </w:tc>
        <w:tc>
          <w:tcPr>
            <w:tcW w:w="1134" w:type="dxa"/>
            <w:tcBorders>
              <w:top w:val="nil"/>
              <w:left w:val="nil"/>
              <w:bottom w:val="single" w:color="auto" w:sz="4" w:space="0"/>
              <w:right w:val="single" w:color="auto" w:sz="4" w:space="0"/>
            </w:tcBorders>
            <w:vAlign w:val="center"/>
          </w:tcPr>
          <w:p w14:paraId="36AA8B14">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034950AC">
            <w:pPr>
              <w:widowControl/>
              <w:spacing w:line="240" w:lineRule="auto"/>
              <w:jc w:val="center"/>
              <w:rPr>
                <w:kern w:val="0"/>
                <w:sz w:val="21"/>
                <w:szCs w:val="21"/>
              </w:rPr>
            </w:pPr>
            <w:r>
              <w:rPr>
                <w:kern w:val="0"/>
                <w:sz w:val="21"/>
                <w:szCs w:val="21"/>
              </w:rPr>
              <w:t xml:space="preserve">2.7 </w:t>
            </w:r>
          </w:p>
        </w:tc>
        <w:tc>
          <w:tcPr>
            <w:tcW w:w="1177" w:type="dxa"/>
            <w:tcBorders>
              <w:top w:val="nil"/>
              <w:left w:val="nil"/>
              <w:bottom w:val="single" w:color="auto" w:sz="4" w:space="0"/>
              <w:right w:val="single" w:color="auto" w:sz="4" w:space="0"/>
            </w:tcBorders>
            <w:vAlign w:val="center"/>
          </w:tcPr>
          <w:p w14:paraId="13DD1A05">
            <w:pPr>
              <w:widowControl/>
              <w:spacing w:line="240" w:lineRule="auto"/>
              <w:jc w:val="center"/>
              <w:rPr>
                <w:kern w:val="0"/>
                <w:sz w:val="21"/>
                <w:szCs w:val="21"/>
              </w:rPr>
            </w:pPr>
            <w:r>
              <w:rPr>
                <w:kern w:val="0"/>
                <w:sz w:val="21"/>
                <w:szCs w:val="21"/>
              </w:rPr>
              <w:t xml:space="preserve">2.3 </w:t>
            </w:r>
          </w:p>
        </w:tc>
        <w:tc>
          <w:tcPr>
            <w:tcW w:w="567" w:type="dxa"/>
            <w:tcBorders>
              <w:top w:val="nil"/>
              <w:left w:val="nil"/>
              <w:bottom w:val="single" w:color="auto" w:sz="4" w:space="0"/>
              <w:right w:val="single" w:color="auto" w:sz="4" w:space="0"/>
            </w:tcBorders>
            <w:vAlign w:val="center"/>
          </w:tcPr>
          <w:p w14:paraId="635B1325">
            <w:pPr>
              <w:widowControl/>
              <w:spacing w:line="240" w:lineRule="auto"/>
              <w:jc w:val="center"/>
              <w:rPr>
                <w:kern w:val="0"/>
                <w:sz w:val="21"/>
                <w:szCs w:val="21"/>
              </w:rPr>
            </w:pPr>
            <w:r>
              <w:rPr>
                <w:kern w:val="0"/>
                <w:sz w:val="21"/>
                <w:szCs w:val="21"/>
              </w:rPr>
              <w:t>75</w:t>
            </w:r>
          </w:p>
        </w:tc>
        <w:tc>
          <w:tcPr>
            <w:tcW w:w="1560" w:type="dxa"/>
            <w:tcBorders>
              <w:top w:val="nil"/>
              <w:left w:val="nil"/>
              <w:bottom w:val="single" w:color="auto" w:sz="4" w:space="0"/>
              <w:right w:val="single" w:color="auto" w:sz="4" w:space="0"/>
            </w:tcBorders>
            <w:vAlign w:val="center"/>
          </w:tcPr>
          <w:p w14:paraId="0C9AE7EE">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753AD9BB">
            <w:pPr>
              <w:widowControl/>
              <w:spacing w:line="240" w:lineRule="auto"/>
              <w:jc w:val="center"/>
              <w:rPr>
                <w:kern w:val="0"/>
                <w:sz w:val="21"/>
                <w:szCs w:val="21"/>
              </w:rPr>
            </w:pPr>
            <w:r>
              <w:rPr>
                <w:kern w:val="0"/>
                <w:sz w:val="21"/>
                <w:szCs w:val="21"/>
              </w:rPr>
              <w:t xml:space="preserve">12.6 </w:t>
            </w:r>
          </w:p>
        </w:tc>
        <w:tc>
          <w:tcPr>
            <w:tcW w:w="1144" w:type="dxa"/>
            <w:tcBorders>
              <w:top w:val="nil"/>
              <w:left w:val="nil"/>
              <w:bottom w:val="single" w:color="auto" w:sz="4" w:space="0"/>
              <w:right w:val="single" w:color="auto" w:sz="4" w:space="0"/>
            </w:tcBorders>
            <w:vAlign w:val="center"/>
          </w:tcPr>
          <w:p w14:paraId="752841CD">
            <w:pPr>
              <w:widowControl/>
              <w:spacing w:line="240" w:lineRule="auto"/>
              <w:jc w:val="center"/>
              <w:rPr>
                <w:kern w:val="0"/>
                <w:sz w:val="21"/>
                <w:szCs w:val="21"/>
              </w:rPr>
            </w:pPr>
            <w:r>
              <w:rPr>
                <w:kern w:val="0"/>
                <w:sz w:val="21"/>
                <w:szCs w:val="21"/>
              </w:rPr>
              <w:t xml:space="preserve">13.2 </w:t>
            </w:r>
          </w:p>
        </w:tc>
      </w:tr>
      <w:tr w14:paraId="38730730">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4A3885B">
            <w:pPr>
              <w:widowControl/>
              <w:spacing w:line="240" w:lineRule="auto"/>
              <w:jc w:val="center"/>
              <w:rPr>
                <w:color w:val="000000"/>
                <w:kern w:val="0"/>
                <w:sz w:val="21"/>
                <w:szCs w:val="21"/>
              </w:rPr>
            </w:pPr>
            <w:r>
              <w:rPr>
                <w:color w:val="000000"/>
                <w:kern w:val="0"/>
                <w:sz w:val="21"/>
                <w:szCs w:val="21"/>
              </w:rPr>
              <w:t>26</w:t>
            </w:r>
          </w:p>
        </w:tc>
        <w:tc>
          <w:tcPr>
            <w:tcW w:w="1134" w:type="dxa"/>
            <w:tcBorders>
              <w:top w:val="nil"/>
              <w:left w:val="nil"/>
              <w:bottom w:val="single" w:color="auto" w:sz="4" w:space="0"/>
              <w:right w:val="single" w:color="auto" w:sz="4" w:space="0"/>
            </w:tcBorders>
            <w:vAlign w:val="center"/>
          </w:tcPr>
          <w:p w14:paraId="450A0759">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4E8B3BAC">
            <w:pPr>
              <w:widowControl/>
              <w:spacing w:line="240" w:lineRule="auto"/>
              <w:jc w:val="center"/>
              <w:rPr>
                <w:kern w:val="0"/>
                <w:sz w:val="21"/>
                <w:szCs w:val="21"/>
              </w:rPr>
            </w:pPr>
            <w:r>
              <w:rPr>
                <w:kern w:val="0"/>
                <w:sz w:val="21"/>
                <w:szCs w:val="21"/>
              </w:rPr>
              <w:t xml:space="preserve">16.7 </w:t>
            </w:r>
          </w:p>
        </w:tc>
        <w:tc>
          <w:tcPr>
            <w:tcW w:w="1177" w:type="dxa"/>
            <w:tcBorders>
              <w:top w:val="nil"/>
              <w:left w:val="nil"/>
              <w:bottom w:val="single" w:color="auto" w:sz="4" w:space="0"/>
              <w:right w:val="single" w:color="auto" w:sz="4" w:space="0"/>
            </w:tcBorders>
            <w:vAlign w:val="center"/>
          </w:tcPr>
          <w:p w14:paraId="0C3455BF">
            <w:pPr>
              <w:widowControl/>
              <w:spacing w:line="240" w:lineRule="auto"/>
              <w:jc w:val="center"/>
              <w:rPr>
                <w:kern w:val="0"/>
                <w:sz w:val="21"/>
                <w:szCs w:val="21"/>
              </w:rPr>
            </w:pPr>
            <w:r>
              <w:rPr>
                <w:kern w:val="0"/>
                <w:sz w:val="21"/>
                <w:szCs w:val="21"/>
              </w:rPr>
              <w:t xml:space="preserve">15.0 </w:t>
            </w:r>
          </w:p>
        </w:tc>
        <w:tc>
          <w:tcPr>
            <w:tcW w:w="567" w:type="dxa"/>
            <w:tcBorders>
              <w:top w:val="nil"/>
              <w:left w:val="nil"/>
              <w:bottom w:val="single" w:color="auto" w:sz="4" w:space="0"/>
              <w:right w:val="single" w:color="auto" w:sz="4" w:space="0"/>
            </w:tcBorders>
            <w:vAlign w:val="center"/>
          </w:tcPr>
          <w:p w14:paraId="79CE9E80">
            <w:pPr>
              <w:widowControl/>
              <w:spacing w:line="240" w:lineRule="auto"/>
              <w:jc w:val="center"/>
              <w:rPr>
                <w:kern w:val="0"/>
                <w:sz w:val="21"/>
                <w:szCs w:val="21"/>
              </w:rPr>
            </w:pPr>
            <w:r>
              <w:rPr>
                <w:kern w:val="0"/>
                <w:sz w:val="21"/>
                <w:szCs w:val="21"/>
              </w:rPr>
              <w:t>76</w:t>
            </w:r>
          </w:p>
        </w:tc>
        <w:tc>
          <w:tcPr>
            <w:tcW w:w="1560" w:type="dxa"/>
            <w:tcBorders>
              <w:top w:val="nil"/>
              <w:left w:val="nil"/>
              <w:bottom w:val="single" w:color="auto" w:sz="4" w:space="0"/>
              <w:right w:val="single" w:color="auto" w:sz="4" w:space="0"/>
            </w:tcBorders>
            <w:vAlign w:val="center"/>
          </w:tcPr>
          <w:p w14:paraId="199DA5F2">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15A30D4C">
            <w:pPr>
              <w:widowControl/>
              <w:spacing w:line="240" w:lineRule="auto"/>
              <w:jc w:val="center"/>
              <w:rPr>
                <w:kern w:val="0"/>
                <w:sz w:val="21"/>
                <w:szCs w:val="21"/>
              </w:rPr>
            </w:pPr>
            <w:r>
              <w:rPr>
                <w:kern w:val="0"/>
                <w:sz w:val="21"/>
                <w:szCs w:val="21"/>
              </w:rPr>
              <w:t xml:space="preserve">10.0 </w:t>
            </w:r>
          </w:p>
        </w:tc>
        <w:tc>
          <w:tcPr>
            <w:tcW w:w="1144" w:type="dxa"/>
            <w:tcBorders>
              <w:top w:val="nil"/>
              <w:left w:val="nil"/>
              <w:bottom w:val="single" w:color="auto" w:sz="4" w:space="0"/>
              <w:right w:val="single" w:color="auto" w:sz="4" w:space="0"/>
            </w:tcBorders>
            <w:vAlign w:val="center"/>
          </w:tcPr>
          <w:p w14:paraId="367FD0F9">
            <w:pPr>
              <w:widowControl/>
              <w:spacing w:line="240" w:lineRule="auto"/>
              <w:jc w:val="center"/>
              <w:rPr>
                <w:kern w:val="0"/>
                <w:sz w:val="21"/>
                <w:szCs w:val="21"/>
              </w:rPr>
            </w:pPr>
            <w:r>
              <w:rPr>
                <w:kern w:val="0"/>
                <w:sz w:val="21"/>
                <w:szCs w:val="21"/>
              </w:rPr>
              <w:t xml:space="preserve">10.5 </w:t>
            </w:r>
          </w:p>
        </w:tc>
      </w:tr>
      <w:tr w14:paraId="4C7D67CA">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472547B">
            <w:pPr>
              <w:widowControl/>
              <w:spacing w:line="240" w:lineRule="auto"/>
              <w:jc w:val="center"/>
              <w:rPr>
                <w:color w:val="000000"/>
                <w:kern w:val="0"/>
                <w:sz w:val="21"/>
                <w:szCs w:val="21"/>
              </w:rPr>
            </w:pPr>
            <w:r>
              <w:rPr>
                <w:color w:val="000000"/>
                <w:kern w:val="0"/>
                <w:sz w:val="21"/>
                <w:szCs w:val="21"/>
              </w:rPr>
              <w:t>27</w:t>
            </w:r>
          </w:p>
        </w:tc>
        <w:tc>
          <w:tcPr>
            <w:tcW w:w="1134" w:type="dxa"/>
            <w:tcBorders>
              <w:top w:val="nil"/>
              <w:left w:val="nil"/>
              <w:bottom w:val="single" w:color="auto" w:sz="4" w:space="0"/>
              <w:right w:val="single" w:color="auto" w:sz="4" w:space="0"/>
            </w:tcBorders>
            <w:vAlign w:val="center"/>
          </w:tcPr>
          <w:p w14:paraId="639317D4">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77759614">
            <w:pPr>
              <w:widowControl/>
              <w:spacing w:line="240" w:lineRule="auto"/>
              <w:jc w:val="center"/>
              <w:rPr>
                <w:kern w:val="0"/>
                <w:sz w:val="21"/>
                <w:szCs w:val="21"/>
              </w:rPr>
            </w:pPr>
            <w:r>
              <w:rPr>
                <w:kern w:val="0"/>
                <w:sz w:val="21"/>
                <w:szCs w:val="21"/>
              </w:rPr>
              <w:t xml:space="preserve">7.1 </w:t>
            </w:r>
          </w:p>
        </w:tc>
        <w:tc>
          <w:tcPr>
            <w:tcW w:w="1177" w:type="dxa"/>
            <w:tcBorders>
              <w:top w:val="nil"/>
              <w:left w:val="nil"/>
              <w:bottom w:val="single" w:color="auto" w:sz="4" w:space="0"/>
              <w:right w:val="single" w:color="auto" w:sz="4" w:space="0"/>
            </w:tcBorders>
            <w:vAlign w:val="center"/>
          </w:tcPr>
          <w:p w14:paraId="4166E574">
            <w:pPr>
              <w:widowControl/>
              <w:spacing w:line="240" w:lineRule="auto"/>
              <w:jc w:val="center"/>
              <w:rPr>
                <w:kern w:val="0"/>
                <w:sz w:val="21"/>
                <w:szCs w:val="21"/>
              </w:rPr>
            </w:pPr>
            <w:r>
              <w:rPr>
                <w:kern w:val="0"/>
                <w:sz w:val="21"/>
                <w:szCs w:val="21"/>
              </w:rPr>
              <w:t xml:space="preserve">6.7 </w:t>
            </w:r>
          </w:p>
        </w:tc>
        <w:tc>
          <w:tcPr>
            <w:tcW w:w="567" w:type="dxa"/>
            <w:tcBorders>
              <w:top w:val="nil"/>
              <w:left w:val="nil"/>
              <w:bottom w:val="single" w:color="auto" w:sz="4" w:space="0"/>
              <w:right w:val="single" w:color="auto" w:sz="4" w:space="0"/>
            </w:tcBorders>
            <w:vAlign w:val="center"/>
          </w:tcPr>
          <w:p w14:paraId="44F8D87F">
            <w:pPr>
              <w:widowControl/>
              <w:spacing w:line="240" w:lineRule="auto"/>
              <w:jc w:val="center"/>
              <w:rPr>
                <w:kern w:val="0"/>
                <w:sz w:val="21"/>
                <w:szCs w:val="21"/>
              </w:rPr>
            </w:pPr>
            <w:r>
              <w:rPr>
                <w:kern w:val="0"/>
                <w:sz w:val="21"/>
                <w:szCs w:val="21"/>
              </w:rPr>
              <w:t>77</w:t>
            </w:r>
          </w:p>
        </w:tc>
        <w:tc>
          <w:tcPr>
            <w:tcW w:w="1560" w:type="dxa"/>
            <w:tcBorders>
              <w:top w:val="nil"/>
              <w:left w:val="nil"/>
              <w:bottom w:val="single" w:color="auto" w:sz="4" w:space="0"/>
              <w:right w:val="single" w:color="auto" w:sz="4" w:space="0"/>
            </w:tcBorders>
            <w:vAlign w:val="center"/>
          </w:tcPr>
          <w:p w14:paraId="05AE4248">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1129CE49">
            <w:pPr>
              <w:widowControl/>
              <w:spacing w:line="240" w:lineRule="auto"/>
              <w:jc w:val="center"/>
              <w:rPr>
                <w:kern w:val="0"/>
                <w:sz w:val="21"/>
                <w:szCs w:val="21"/>
              </w:rPr>
            </w:pPr>
            <w:r>
              <w:rPr>
                <w:kern w:val="0"/>
                <w:sz w:val="21"/>
                <w:szCs w:val="21"/>
              </w:rPr>
              <w:t xml:space="preserve">20.1 </w:t>
            </w:r>
          </w:p>
        </w:tc>
        <w:tc>
          <w:tcPr>
            <w:tcW w:w="1144" w:type="dxa"/>
            <w:tcBorders>
              <w:top w:val="nil"/>
              <w:left w:val="nil"/>
              <w:bottom w:val="single" w:color="auto" w:sz="4" w:space="0"/>
              <w:right w:val="single" w:color="auto" w:sz="4" w:space="0"/>
            </w:tcBorders>
            <w:vAlign w:val="center"/>
          </w:tcPr>
          <w:p w14:paraId="7E01FF25">
            <w:pPr>
              <w:widowControl/>
              <w:spacing w:line="240" w:lineRule="auto"/>
              <w:jc w:val="center"/>
              <w:rPr>
                <w:kern w:val="0"/>
                <w:sz w:val="21"/>
                <w:szCs w:val="21"/>
              </w:rPr>
            </w:pPr>
            <w:r>
              <w:rPr>
                <w:kern w:val="0"/>
                <w:sz w:val="21"/>
                <w:szCs w:val="21"/>
              </w:rPr>
              <w:t xml:space="preserve">21.1 </w:t>
            </w:r>
          </w:p>
        </w:tc>
      </w:tr>
      <w:tr w14:paraId="31A5EC4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F756F5F">
            <w:pPr>
              <w:widowControl/>
              <w:spacing w:line="240" w:lineRule="auto"/>
              <w:jc w:val="center"/>
              <w:rPr>
                <w:color w:val="000000"/>
                <w:kern w:val="0"/>
                <w:sz w:val="21"/>
                <w:szCs w:val="21"/>
              </w:rPr>
            </w:pPr>
            <w:r>
              <w:rPr>
                <w:color w:val="000000"/>
                <w:kern w:val="0"/>
                <w:sz w:val="21"/>
                <w:szCs w:val="21"/>
              </w:rPr>
              <w:t>28</w:t>
            </w:r>
          </w:p>
        </w:tc>
        <w:tc>
          <w:tcPr>
            <w:tcW w:w="1134" w:type="dxa"/>
            <w:tcBorders>
              <w:top w:val="nil"/>
              <w:left w:val="nil"/>
              <w:bottom w:val="single" w:color="auto" w:sz="4" w:space="0"/>
              <w:right w:val="single" w:color="auto" w:sz="4" w:space="0"/>
            </w:tcBorders>
            <w:vAlign w:val="center"/>
          </w:tcPr>
          <w:p w14:paraId="0D6770C3">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859B535">
            <w:pPr>
              <w:widowControl/>
              <w:spacing w:line="240" w:lineRule="auto"/>
              <w:jc w:val="center"/>
              <w:rPr>
                <w:kern w:val="0"/>
                <w:sz w:val="21"/>
                <w:szCs w:val="21"/>
              </w:rPr>
            </w:pPr>
            <w:r>
              <w:rPr>
                <w:kern w:val="0"/>
                <w:sz w:val="21"/>
                <w:szCs w:val="21"/>
              </w:rPr>
              <w:t xml:space="preserve">5.7 </w:t>
            </w:r>
          </w:p>
        </w:tc>
        <w:tc>
          <w:tcPr>
            <w:tcW w:w="1177" w:type="dxa"/>
            <w:tcBorders>
              <w:top w:val="nil"/>
              <w:left w:val="nil"/>
              <w:bottom w:val="single" w:color="auto" w:sz="4" w:space="0"/>
              <w:right w:val="single" w:color="auto" w:sz="4" w:space="0"/>
            </w:tcBorders>
            <w:vAlign w:val="center"/>
          </w:tcPr>
          <w:p w14:paraId="743233B9">
            <w:pPr>
              <w:widowControl/>
              <w:spacing w:line="240" w:lineRule="auto"/>
              <w:jc w:val="center"/>
              <w:rPr>
                <w:kern w:val="0"/>
                <w:sz w:val="21"/>
                <w:szCs w:val="21"/>
              </w:rPr>
            </w:pPr>
            <w:r>
              <w:rPr>
                <w:kern w:val="0"/>
                <w:sz w:val="21"/>
                <w:szCs w:val="21"/>
              </w:rPr>
              <w:t xml:space="preserve">5.6 </w:t>
            </w:r>
          </w:p>
        </w:tc>
        <w:tc>
          <w:tcPr>
            <w:tcW w:w="567" w:type="dxa"/>
            <w:tcBorders>
              <w:top w:val="nil"/>
              <w:left w:val="nil"/>
              <w:bottom w:val="single" w:color="auto" w:sz="4" w:space="0"/>
              <w:right w:val="single" w:color="auto" w:sz="4" w:space="0"/>
            </w:tcBorders>
            <w:vAlign w:val="center"/>
          </w:tcPr>
          <w:p w14:paraId="1F60EE31">
            <w:pPr>
              <w:widowControl/>
              <w:spacing w:line="240" w:lineRule="auto"/>
              <w:jc w:val="center"/>
              <w:rPr>
                <w:kern w:val="0"/>
                <w:sz w:val="21"/>
                <w:szCs w:val="21"/>
              </w:rPr>
            </w:pPr>
            <w:r>
              <w:rPr>
                <w:kern w:val="0"/>
                <w:sz w:val="21"/>
                <w:szCs w:val="21"/>
              </w:rPr>
              <w:t>78</w:t>
            </w:r>
          </w:p>
        </w:tc>
        <w:tc>
          <w:tcPr>
            <w:tcW w:w="1560" w:type="dxa"/>
            <w:tcBorders>
              <w:top w:val="nil"/>
              <w:left w:val="nil"/>
              <w:bottom w:val="single" w:color="auto" w:sz="4" w:space="0"/>
              <w:right w:val="single" w:color="auto" w:sz="4" w:space="0"/>
            </w:tcBorders>
            <w:vAlign w:val="center"/>
          </w:tcPr>
          <w:p w14:paraId="6C343975">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4BB7BF81">
            <w:pPr>
              <w:widowControl/>
              <w:spacing w:line="240" w:lineRule="auto"/>
              <w:jc w:val="center"/>
              <w:rPr>
                <w:kern w:val="0"/>
                <w:sz w:val="21"/>
                <w:szCs w:val="21"/>
              </w:rPr>
            </w:pPr>
            <w:r>
              <w:rPr>
                <w:kern w:val="0"/>
                <w:sz w:val="21"/>
                <w:szCs w:val="21"/>
              </w:rPr>
              <w:t xml:space="preserve">13.1 </w:t>
            </w:r>
          </w:p>
        </w:tc>
        <w:tc>
          <w:tcPr>
            <w:tcW w:w="1144" w:type="dxa"/>
            <w:tcBorders>
              <w:top w:val="nil"/>
              <w:left w:val="nil"/>
              <w:bottom w:val="single" w:color="auto" w:sz="4" w:space="0"/>
              <w:right w:val="single" w:color="auto" w:sz="4" w:space="0"/>
            </w:tcBorders>
            <w:vAlign w:val="center"/>
          </w:tcPr>
          <w:p w14:paraId="58A95A1B">
            <w:pPr>
              <w:widowControl/>
              <w:spacing w:line="240" w:lineRule="auto"/>
              <w:jc w:val="center"/>
              <w:rPr>
                <w:kern w:val="0"/>
                <w:sz w:val="21"/>
                <w:szCs w:val="21"/>
              </w:rPr>
            </w:pPr>
            <w:r>
              <w:rPr>
                <w:kern w:val="0"/>
                <w:sz w:val="21"/>
                <w:szCs w:val="21"/>
              </w:rPr>
              <w:t xml:space="preserve">12.1 </w:t>
            </w:r>
          </w:p>
        </w:tc>
      </w:tr>
      <w:tr w14:paraId="317D9BA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CAA8235">
            <w:pPr>
              <w:widowControl/>
              <w:spacing w:line="240" w:lineRule="auto"/>
              <w:jc w:val="center"/>
              <w:rPr>
                <w:color w:val="000000"/>
                <w:kern w:val="0"/>
                <w:sz w:val="21"/>
                <w:szCs w:val="21"/>
              </w:rPr>
            </w:pPr>
            <w:r>
              <w:rPr>
                <w:color w:val="000000"/>
                <w:kern w:val="0"/>
                <w:sz w:val="21"/>
                <w:szCs w:val="21"/>
              </w:rPr>
              <w:t>29</w:t>
            </w:r>
          </w:p>
        </w:tc>
        <w:tc>
          <w:tcPr>
            <w:tcW w:w="1134" w:type="dxa"/>
            <w:tcBorders>
              <w:top w:val="nil"/>
              <w:left w:val="nil"/>
              <w:bottom w:val="single" w:color="auto" w:sz="4" w:space="0"/>
              <w:right w:val="single" w:color="auto" w:sz="4" w:space="0"/>
            </w:tcBorders>
            <w:vAlign w:val="center"/>
          </w:tcPr>
          <w:p w14:paraId="61DB948C">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454301E2">
            <w:pPr>
              <w:widowControl/>
              <w:spacing w:line="240" w:lineRule="auto"/>
              <w:jc w:val="center"/>
              <w:rPr>
                <w:kern w:val="0"/>
                <w:sz w:val="21"/>
                <w:szCs w:val="21"/>
              </w:rPr>
            </w:pPr>
            <w:r>
              <w:rPr>
                <w:kern w:val="0"/>
                <w:sz w:val="21"/>
                <w:szCs w:val="21"/>
              </w:rPr>
              <w:t xml:space="preserve">12.8 </w:t>
            </w:r>
          </w:p>
        </w:tc>
        <w:tc>
          <w:tcPr>
            <w:tcW w:w="1177" w:type="dxa"/>
            <w:tcBorders>
              <w:top w:val="nil"/>
              <w:left w:val="nil"/>
              <w:bottom w:val="single" w:color="auto" w:sz="4" w:space="0"/>
              <w:right w:val="single" w:color="auto" w:sz="4" w:space="0"/>
            </w:tcBorders>
            <w:vAlign w:val="center"/>
          </w:tcPr>
          <w:p w14:paraId="2C4394BD">
            <w:pPr>
              <w:widowControl/>
              <w:spacing w:line="240" w:lineRule="auto"/>
              <w:jc w:val="center"/>
              <w:rPr>
                <w:kern w:val="0"/>
                <w:sz w:val="21"/>
                <w:szCs w:val="21"/>
              </w:rPr>
            </w:pPr>
            <w:r>
              <w:rPr>
                <w:kern w:val="0"/>
                <w:sz w:val="21"/>
                <w:szCs w:val="21"/>
              </w:rPr>
              <w:t xml:space="preserve">12.2 </w:t>
            </w:r>
          </w:p>
        </w:tc>
        <w:tc>
          <w:tcPr>
            <w:tcW w:w="567" w:type="dxa"/>
            <w:tcBorders>
              <w:top w:val="nil"/>
              <w:left w:val="nil"/>
              <w:bottom w:val="single" w:color="auto" w:sz="4" w:space="0"/>
              <w:right w:val="single" w:color="auto" w:sz="4" w:space="0"/>
            </w:tcBorders>
            <w:vAlign w:val="center"/>
          </w:tcPr>
          <w:p w14:paraId="2FCFCFAF">
            <w:pPr>
              <w:widowControl/>
              <w:spacing w:line="240" w:lineRule="auto"/>
              <w:jc w:val="center"/>
              <w:rPr>
                <w:kern w:val="0"/>
                <w:sz w:val="21"/>
                <w:szCs w:val="21"/>
              </w:rPr>
            </w:pPr>
            <w:r>
              <w:rPr>
                <w:kern w:val="0"/>
                <w:sz w:val="21"/>
                <w:szCs w:val="21"/>
              </w:rPr>
              <w:t>79</w:t>
            </w:r>
          </w:p>
        </w:tc>
        <w:tc>
          <w:tcPr>
            <w:tcW w:w="1560" w:type="dxa"/>
            <w:tcBorders>
              <w:top w:val="nil"/>
              <w:left w:val="nil"/>
              <w:bottom w:val="single" w:color="auto" w:sz="4" w:space="0"/>
              <w:right w:val="single" w:color="auto" w:sz="4" w:space="0"/>
            </w:tcBorders>
            <w:vAlign w:val="center"/>
          </w:tcPr>
          <w:p w14:paraId="36B9D004">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3F179B93">
            <w:pPr>
              <w:widowControl/>
              <w:spacing w:line="240" w:lineRule="auto"/>
              <w:jc w:val="center"/>
              <w:rPr>
                <w:kern w:val="0"/>
                <w:sz w:val="21"/>
                <w:szCs w:val="21"/>
              </w:rPr>
            </w:pPr>
            <w:r>
              <w:rPr>
                <w:kern w:val="0"/>
                <w:sz w:val="21"/>
                <w:szCs w:val="21"/>
              </w:rPr>
              <w:t xml:space="preserve">19.2 </w:t>
            </w:r>
          </w:p>
        </w:tc>
        <w:tc>
          <w:tcPr>
            <w:tcW w:w="1144" w:type="dxa"/>
            <w:tcBorders>
              <w:top w:val="nil"/>
              <w:left w:val="nil"/>
              <w:bottom w:val="single" w:color="auto" w:sz="4" w:space="0"/>
              <w:right w:val="single" w:color="auto" w:sz="4" w:space="0"/>
            </w:tcBorders>
            <w:vAlign w:val="center"/>
          </w:tcPr>
          <w:p w14:paraId="3236CBC8">
            <w:pPr>
              <w:widowControl/>
              <w:spacing w:line="240" w:lineRule="auto"/>
              <w:jc w:val="center"/>
              <w:rPr>
                <w:kern w:val="0"/>
                <w:sz w:val="21"/>
                <w:szCs w:val="21"/>
              </w:rPr>
            </w:pPr>
            <w:r>
              <w:rPr>
                <w:kern w:val="0"/>
                <w:sz w:val="21"/>
                <w:szCs w:val="21"/>
              </w:rPr>
              <w:t xml:space="preserve">17.4 </w:t>
            </w:r>
          </w:p>
        </w:tc>
      </w:tr>
      <w:tr w14:paraId="401F5391">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B17D59B">
            <w:pPr>
              <w:widowControl/>
              <w:spacing w:line="240" w:lineRule="auto"/>
              <w:jc w:val="center"/>
              <w:rPr>
                <w:color w:val="000000"/>
                <w:kern w:val="0"/>
                <w:sz w:val="21"/>
                <w:szCs w:val="21"/>
              </w:rPr>
            </w:pPr>
            <w:r>
              <w:rPr>
                <w:color w:val="000000"/>
                <w:kern w:val="0"/>
                <w:sz w:val="21"/>
                <w:szCs w:val="21"/>
              </w:rPr>
              <w:t>30</w:t>
            </w:r>
          </w:p>
        </w:tc>
        <w:tc>
          <w:tcPr>
            <w:tcW w:w="1134" w:type="dxa"/>
            <w:tcBorders>
              <w:top w:val="nil"/>
              <w:left w:val="nil"/>
              <w:bottom w:val="single" w:color="auto" w:sz="4" w:space="0"/>
              <w:right w:val="single" w:color="auto" w:sz="4" w:space="0"/>
            </w:tcBorders>
            <w:vAlign w:val="center"/>
          </w:tcPr>
          <w:p w14:paraId="56C16922">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0060E9DA">
            <w:pPr>
              <w:widowControl/>
              <w:spacing w:line="240" w:lineRule="auto"/>
              <w:jc w:val="center"/>
              <w:rPr>
                <w:kern w:val="0"/>
                <w:sz w:val="21"/>
                <w:szCs w:val="21"/>
              </w:rPr>
            </w:pPr>
            <w:r>
              <w:rPr>
                <w:kern w:val="0"/>
                <w:sz w:val="21"/>
                <w:szCs w:val="21"/>
              </w:rPr>
              <w:t xml:space="preserve">4.5 </w:t>
            </w:r>
          </w:p>
        </w:tc>
        <w:tc>
          <w:tcPr>
            <w:tcW w:w="1177" w:type="dxa"/>
            <w:tcBorders>
              <w:top w:val="nil"/>
              <w:left w:val="nil"/>
              <w:bottom w:val="single" w:color="auto" w:sz="4" w:space="0"/>
              <w:right w:val="single" w:color="auto" w:sz="4" w:space="0"/>
            </w:tcBorders>
            <w:vAlign w:val="center"/>
          </w:tcPr>
          <w:p w14:paraId="70412C1E">
            <w:pPr>
              <w:widowControl/>
              <w:spacing w:line="240" w:lineRule="auto"/>
              <w:jc w:val="center"/>
              <w:rPr>
                <w:kern w:val="0"/>
                <w:sz w:val="21"/>
                <w:szCs w:val="21"/>
              </w:rPr>
            </w:pPr>
            <w:r>
              <w:rPr>
                <w:kern w:val="0"/>
                <w:sz w:val="21"/>
                <w:szCs w:val="21"/>
              </w:rPr>
              <w:t xml:space="preserve">12.6 </w:t>
            </w:r>
          </w:p>
        </w:tc>
        <w:tc>
          <w:tcPr>
            <w:tcW w:w="567" w:type="dxa"/>
            <w:tcBorders>
              <w:top w:val="nil"/>
              <w:left w:val="nil"/>
              <w:bottom w:val="single" w:color="auto" w:sz="4" w:space="0"/>
              <w:right w:val="single" w:color="auto" w:sz="4" w:space="0"/>
            </w:tcBorders>
            <w:vAlign w:val="center"/>
          </w:tcPr>
          <w:p w14:paraId="28F25747">
            <w:pPr>
              <w:widowControl/>
              <w:spacing w:line="240" w:lineRule="auto"/>
              <w:jc w:val="center"/>
              <w:rPr>
                <w:kern w:val="0"/>
                <w:sz w:val="21"/>
                <w:szCs w:val="21"/>
              </w:rPr>
            </w:pPr>
            <w:r>
              <w:rPr>
                <w:kern w:val="0"/>
                <w:sz w:val="21"/>
                <w:szCs w:val="21"/>
              </w:rPr>
              <w:t>80</w:t>
            </w:r>
          </w:p>
        </w:tc>
        <w:tc>
          <w:tcPr>
            <w:tcW w:w="1560" w:type="dxa"/>
            <w:tcBorders>
              <w:top w:val="nil"/>
              <w:left w:val="nil"/>
              <w:bottom w:val="single" w:color="auto" w:sz="4" w:space="0"/>
              <w:right w:val="single" w:color="auto" w:sz="4" w:space="0"/>
            </w:tcBorders>
            <w:vAlign w:val="center"/>
          </w:tcPr>
          <w:p w14:paraId="0635F6F3">
            <w:pPr>
              <w:widowControl/>
              <w:spacing w:line="240" w:lineRule="auto"/>
              <w:jc w:val="left"/>
              <w:rPr>
                <w:kern w:val="0"/>
                <w:sz w:val="21"/>
                <w:szCs w:val="21"/>
              </w:rPr>
            </w:pPr>
            <w:r>
              <w:rPr>
                <w:rFonts w:hint="eastAsia" w:hAnsi="宋体"/>
                <w:kern w:val="0"/>
                <w:sz w:val="21"/>
                <w:szCs w:val="21"/>
              </w:rPr>
              <w:t>烤鸭</w:t>
            </w:r>
          </w:p>
        </w:tc>
        <w:tc>
          <w:tcPr>
            <w:tcW w:w="1134" w:type="dxa"/>
            <w:tcBorders>
              <w:top w:val="nil"/>
              <w:left w:val="nil"/>
              <w:bottom w:val="single" w:color="auto" w:sz="4" w:space="0"/>
              <w:right w:val="single" w:color="auto" w:sz="4" w:space="0"/>
            </w:tcBorders>
            <w:vAlign w:val="center"/>
          </w:tcPr>
          <w:p w14:paraId="3A49DEA1">
            <w:pPr>
              <w:widowControl/>
              <w:spacing w:line="240" w:lineRule="auto"/>
              <w:jc w:val="center"/>
              <w:rPr>
                <w:kern w:val="0"/>
                <w:sz w:val="21"/>
                <w:szCs w:val="21"/>
              </w:rPr>
            </w:pPr>
            <w:r>
              <w:rPr>
                <w:kern w:val="0"/>
                <w:sz w:val="21"/>
                <w:szCs w:val="21"/>
              </w:rPr>
              <w:t xml:space="preserve">14.8 </w:t>
            </w:r>
          </w:p>
        </w:tc>
        <w:tc>
          <w:tcPr>
            <w:tcW w:w="1144" w:type="dxa"/>
            <w:tcBorders>
              <w:top w:val="nil"/>
              <w:left w:val="nil"/>
              <w:bottom w:val="single" w:color="auto" w:sz="4" w:space="0"/>
              <w:right w:val="single" w:color="auto" w:sz="4" w:space="0"/>
            </w:tcBorders>
            <w:vAlign w:val="center"/>
          </w:tcPr>
          <w:p w14:paraId="5B4ED1E2">
            <w:pPr>
              <w:widowControl/>
              <w:spacing w:line="240" w:lineRule="auto"/>
              <w:jc w:val="center"/>
              <w:rPr>
                <w:kern w:val="0"/>
                <w:sz w:val="21"/>
                <w:szCs w:val="21"/>
              </w:rPr>
            </w:pPr>
            <w:r>
              <w:rPr>
                <w:kern w:val="0"/>
                <w:sz w:val="21"/>
                <w:szCs w:val="21"/>
              </w:rPr>
              <w:t xml:space="preserve">10.3 </w:t>
            </w:r>
          </w:p>
        </w:tc>
      </w:tr>
      <w:tr w14:paraId="345C069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03AECC4">
            <w:pPr>
              <w:widowControl/>
              <w:spacing w:line="240" w:lineRule="auto"/>
              <w:jc w:val="center"/>
              <w:rPr>
                <w:color w:val="000000"/>
                <w:kern w:val="0"/>
                <w:sz w:val="21"/>
                <w:szCs w:val="21"/>
              </w:rPr>
            </w:pPr>
            <w:r>
              <w:rPr>
                <w:color w:val="000000"/>
                <w:kern w:val="0"/>
                <w:sz w:val="21"/>
                <w:szCs w:val="21"/>
              </w:rPr>
              <w:t>31</w:t>
            </w:r>
          </w:p>
        </w:tc>
        <w:tc>
          <w:tcPr>
            <w:tcW w:w="1134" w:type="dxa"/>
            <w:tcBorders>
              <w:top w:val="nil"/>
              <w:left w:val="nil"/>
              <w:bottom w:val="single" w:color="auto" w:sz="4" w:space="0"/>
              <w:right w:val="single" w:color="auto" w:sz="4" w:space="0"/>
            </w:tcBorders>
            <w:vAlign w:val="center"/>
          </w:tcPr>
          <w:p w14:paraId="5CE67EE6">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03F4EA9">
            <w:pPr>
              <w:widowControl/>
              <w:spacing w:line="240" w:lineRule="auto"/>
              <w:jc w:val="center"/>
              <w:rPr>
                <w:kern w:val="0"/>
                <w:sz w:val="21"/>
                <w:szCs w:val="21"/>
              </w:rPr>
            </w:pPr>
            <w:r>
              <w:rPr>
                <w:kern w:val="0"/>
                <w:sz w:val="21"/>
                <w:szCs w:val="21"/>
              </w:rPr>
              <w:t xml:space="preserve">4.3 </w:t>
            </w:r>
          </w:p>
        </w:tc>
        <w:tc>
          <w:tcPr>
            <w:tcW w:w="1177" w:type="dxa"/>
            <w:tcBorders>
              <w:top w:val="nil"/>
              <w:left w:val="nil"/>
              <w:bottom w:val="single" w:color="auto" w:sz="4" w:space="0"/>
              <w:right w:val="single" w:color="auto" w:sz="4" w:space="0"/>
            </w:tcBorders>
            <w:vAlign w:val="center"/>
          </w:tcPr>
          <w:p w14:paraId="06A16359">
            <w:pPr>
              <w:widowControl/>
              <w:spacing w:line="240" w:lineRule="auto"/>
              <w:jc w:val="center"/>
              <w:rPr>
                <w:kern w:val="0"/>
                <w:sz w:val="21"/>
                <w:szCs w:val="21"/>
              </w:rPr>
            </w:pPr>
            <w:r>
              <w:rPr>
                <w:kern w:val="0"/>
                <w:sz w:val="21"/>
                <w:szCs w:val="21"/>
              </w:rPr>
              <w:t xml:space="preserve">11.6 </w:t>
            </w:r>
          </w:p>
        </w:tc>
        <w:tc>
          <w:tcPr>
            <w:tcW w:w="567" w:type="dxa"/>
            <w:tcBorders>
              <w:top w:val="nil"/>
              <w:left w:val="nil"/>
              <w:bottom w:val="single" w:color="auto" w:sz="4" w:space="0"/>
              <w:right w:val="single" w:color="auto" w:sz="4" w:space="0"/>
            </w:tcBorders>
            <w:vAlign w:val="center"/>
          </w:tcPr>
          <w:p w14:paraId="756B95C4">
            <w:pPr>
              <w:widowControl/>
              <w:spacing w:line="240" w:lineRule="auto"/>
              <w:jc w:val="center"/>
              <w:rPr>
                <w:kern w:val="0"/>
                <w:sz w:val="21"/>
                <w:szCs w:val="21"/>
              </w:rPr>
            </w:pPr>
            <w:r>
              <w:rPr>
                <w:kern w:val="0"/>
                <w:sz w:val="21"/>
                <w:szCs w:val="21"/>
              </w:rPr>
              <w:t>81</w:t>
            </w:r>
          </w:p>
        </w:tc>
        <w:tc>
          <w:tcPr>
            <w:tcW w:w="1560" w:type="dxa"/>
            <w:tcBorders>
              <w:top w:val="nil"/>
              <w:left w:val="nil"/>
              <w:bottom w:val="single" w:color="auto" w:sz="4" w:space="0"/>
              <w:right w:val="single" w:color="auto" w:sz="4" w:space="0"/>
            </w:tcBorders>
            <w:vAlign w:val="center"/>
          </w:tcPr>
          <w:p w14:paraId="78DB017A">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14:paraId="063749BA">
            <w:pPr>
              <w:widowControl/>
              <w:spacing w:line="240" w:lineRule="auto"/>
              <w:jc w:val="center"/>
              <w:rPr>
                <w:kern w:val="0"/>
                <w:sz w:val="21"/>
                <w:szCs w:val="21"/>
              </w:rPr>
            </w:pPr>
            <w:r>
              <w:rPr>
                <w:kern w:val="0"/>
                <w:sz w:val="21"/>
                <w:szCs w:val="21"/>
              </w:rPr>
              <w:t xml:space="preserve">4.7 </w:t>
            </w:r>
          </w:p>
        </w:tc>
        <w:tc>
          <w:tcPr>
            <w:tcW w:w="1144" w:type="dxa"/>
            <w:tcBorders>
              <w:top w:val="nil"/>
              <w:left w:val="nil"/>
              <w:bottom w:val="single" w:color="auto" w:sz="4" w:space="0"/>
              <w:right w:val="single" w:color="auto" w:sz="4" w:space="0"/>
            </w:tcBorders>
            <w:vAlign w:val="center"/>
          </w:tcPr>
          <w:p w14:paraId="65FD57C5">
            <w:pPr>
              <w:widowControl/>
              <w:spacing w:line="240" w:lineRule="auto"/>
              <w:jc w:val="center"/>
              <w:rPr>
                <w:kern w:val="0"/>
                <w:sz w:val="21"/>
                <w:szCs w:val="21"/>
              </w:rPr>
            </w:pPr>
            <w:r>
              <w:rPr>
                <w:kern w:val="0"/>
                <w:sz w:val="21"/>
                <w:szCs w:val="21"/>
              </w:rPr>
              <w:t>-</w:t>
            </w:r>
          </w:p>
        </w:tc>
      </w:tr>
      <w:tr w14:paraId="4F32A5F9">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3F9D142">
            <w:pPr>
              <w:widowControl/>
              <w:spacing w:line="240" w:lineRule="auto"/>
              <w:jc w:val="center"/>
              <w:rPr>
                <w:color w:val="000000"/>
                <w:kern w:val="0"/>
                <w:sz w:val="21"/>
                <w:szCs w:val="21"/>
              </w:rPr>
            </w:pPr>
            <w:r>
              <w:rPr>
                <w:color w:val="000000"/>
                <w:kern w:val="0"/>
                <w:sz w:val="21"/>
                <w:szCs w:val="21"/>
              </w:rPr>
              <w:t>32</w:t>
            </w:r>
          </w:p>
        </w:tc>
        <w:tc>
          <w:tcPr>
            <w:tcW w:w="1134" w:type="dxa"/>
            <w:tcBorders>
              <w:top w:val="nil"/>
              <w:left w:val="nil"/>
              <w:bottom w:val="single" w:color="auto" w:sz="4" w:space="0"/>
              <w:right w:val="single" w:color="auto" w:sz="4" w:space="0"/>
            </w:tcBorders>
            <w:vAlign w:val="center"/>
          </w:tcPr>
          <w:p w14:paraId="693E5669">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A4B1825">
            <w:pPr>
              <w:widowControl/>
              <w:spacing w:line="240" w:lineRule="auto"/>
              <w:jc w:val="center"/>
              <w:rPr>
                <w:kern w:val="0"/>
                <w:sz w:val="21"/>
                <w:szCs w:val="21"/>
              </w:rPr>
            </w:pPr>
            <w:r>
              <w:rPr>
                <w:kern w:val="0"/>
                <w:sz w:val="21"/>
                <w:szCs w:val="21"/>
              </w:rPr>
              <w:t xml:space="preserve">2.1 </w:t>
            </w:r>
          </w:p>
        </w:tc>
        <w:tc>
          <w:tcPr>
            <w:tcW w:w="1177" w:type="dxa"/>
            <w:tcBorders>
              <w:top w:val="nil"/>
              <w:left w:val="nil"/>
              <w:bottom w:val="single" w:color="auto" w:sz="4" w:space="0"/>
              <w:right w:val="single" w:color="auto" w:sz="4" w:space="0"/>
            </w:tcBorders>
            <w:vAlign w:val="center"/>
          </w:tcPr>
          <w:p w14:paraId="60D888E2">
            <w:pPr>
              <w:widowControl/>
              <w:spacing w:line="240" w:lineRule="auto"/>
              <w:jc w:val="center"/>
              <w:rPr>
                <w:kern w:val="0"/>
                <w:sz w:val="21"/>
                <w:szCs w:val="21"/>
              </w:rPr>
            </w:pPr>
            <w:r>
              <w:rPr>
                <w:kern w:val="0"/>
                <w:sz w:val="21"/>
                <w:szCs w:val="21"/>
              </w:rPr>
              <w:t xml:space="preserve">5.8 </w:t>
            </w:r>
          </w:p>
        </w:tc>
        <w:tc>
          <w:tcPr>
            <w:tcW w:w="567" w:type="dxa"/>
            <w:tcBorders>
              <w:top w:val="nil"/>
              <w:left w:val="nil"/>
              <w:bottom w:val="single" w:color="auto" w:sz="4" w:space="0"/>
              <w:right w:val="single" w:color="auto" w:sz="4" w:space="0"/>
            </w:tcBorders>
            <w:vAlign w:val="center"/>
          </w:tcPr>
          <w:p w14:paraId="0C84D339">
            <w:pPr>
              <w:widowControl/>
              <w:spacing w:line="240" w:lineRule="auto"/>
              <w:jc w:val="center"/>
              <w:rPr>
                <w:kern w:val="0"/>
                <w:sz w:val="21"/>
                <w:szCs w:val="21"/>
              </w:rPr>
            </w:pPr>
            <w:r>
              <w:rPr>
                <w:kern w:val="0"/>
                <w:sz w:val="21"/>
                <w:szCs w:val="21"/>
              </w:rPr>
              <w:t>82</w:t>
            </w:r>
          </w:p>
        </w:tc>
        <w:tc>
          <w:tcPr>
            <w:tcW w:w="1560" w:type="dxa"/>
            <w:tcBorders>
              <w:top w:val="nil"/>
              <w:left w:val="nil"/>
              <w:bottom w:val="single" w:color="auto" w:sz="4" w:space="0"/>
              <w:right w:val="single" w:color="auto" w:sz="4" w:space="0"/>
            </w:tcBorders>
            <w:vAlign w:val="center"/>
          </w:tcPr>
          <w:p w14:paraId="2B222624">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14:paraId="03AFE0B4">
            <w:pPr>
              <w:widowControl/>
              <w:spacing w:line="240" w:lineRule="auto"/>
              <w:jc w:val="center"/>
              <w:rPr>
                <w:kern w:val="0"/>
                <w:sz w:val="21"/>
                <w:szCs w:val="21"/>
              </w:rPr>
            </w:pPr>
            <w:r>
              <w:rPr>
                <w:kern w:val="0"/>
                <w:sz w:val="21"/>
                <w:szCs w:val="21"/>
              </w:rPr>
              <w:t xml:space="preserve">1.3 </w:t>
            </w:r>
          </w:p>
        </w:tc>
        <w:tc>
          <w:tcPr>
            <w:tcW w:w="1144" w:type="dxa"/>
            <w:tcBorders>
              <w:top w:val="nil"/>
              <w:left w:val="nil"/>
              <w:bottom w:val="single" w:color="auto" w:sz="4" w:space="0"/>
              <w:right w:val="single" w:color="auto" w:sz="4" w:space="0"/>
            </w:tcBorders>
            <w:vAlign w:val="center"/>
          </w:tcPr>
          <w:p w14:paraId="5C4B6FD7">
            <w:pPr>
              <w:widowControl/>
              <w:spacing w:line="240" w:lineRule="auto"/>
              <w:jc w:val="center"/>
              <w:rPr>
                <w:kern w:val="0"/>
                <w:sz w:val="21"/>
                <w:szCs w:val="21"/>
              </w:rPr>
            </w:pPr>
            <w:r>
              <w:rPr>
                <w:kern w:val="0"/>
                <w:sz w:val="21"/>
                <w:szCs w:val="21"/>
              </w:rPr>
              <w:t xml:space="preserve">4.6 </w:t>
            </w:r>
          </w:p>
        </w:tc>
      </w:tr>
      <w:tr w14:paraId="7303022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DB6AD0E">
            <w:pPr>
              <w:widowControl/>
              <w:spacing w:line="240" w:lineRule="auto"/>
              <w:jc w:val="center"/>
              <w:rPr>
                <w:color w:val="000000"/>
                <w:kern w:val="0"/>
                <w:sz w:val="21"/>
                <w:szCs w:val="21"/>
              </w:rPr>
            </w:pPr>
            <w:r>
              <w:rPr>
                <w:color w:val="000000"/>
                <w:kern w:val="0"/>
                <w:sz w:val="21"/>
                <w:szCs w:val="21"/>
              </w:rPr>
              <w:t>33</w:t>
            </w:r>
          </w:p>
        </w:tc>
        <w:tc>
          <w:tcPr>
            <w:tcW w:w="1134" w:type="dxa"/>
            <w:tcBorders>
              <w:top w:val="nil"/>
              <w:left w:val="nil"/>
              <w:bottom w:val="single" w:color="auto" w:sz="4" w:space="0"/>
              <w:right w:val="single" w:color="auto" w:sz="4" w:space="0"/>
            </w:tcBorders>
            <w:vAlign w:val="center"/>
          </w:tcPr>
          <w:p w14:paraId="16608096">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3D2FF141">
            <w:pPr>
              <w:widowControl/>
              <w:spacing w:line="240" w:lineRule="auto"/>
              <w:jc w:val="center"/>
              <w:rPr>
                <w:kern w:val="0"/>
                <w:sz w:val="21"/>
                <w:szCs w:val="21"/>
              </w:rPr>
            </w:pPr>
            <w:r>
              <w:rPr>
                <w:kern w:val="0"/>
                <w:sz w:val="21"/>
                <w:szCs w:val="21"/>
              </w:rPr>
              <w:t xml:space="preserve">1.2 </w:t>
            </w:r>
          </w:p>
        </w:tc>
        <w:tc>
          <w:tcPr>
            <w:tcW w:w="1177" w:type="dxa"/>
            <w:tcBorders>
              <w:top w:val="nil"/>
              <w:left w:val="nil"/>
              <w:bottom w:val="single" w:color="auto" w:sz="4" w:space="0"/>
              <w:right w:val="single" w:color="auto" w:sz="4" w:space="0"/>
            </w:tcBorders>
            <w:vAlign w:val="center"/>
          </w:tcPr>
          <w:p w14:paraId="1DFB8B61">
            <w:pPr>
              <w:widowControl/>
              <w:spacing w:line="240" w:lineRule="auto"/>
              <w:jc w:val="center"/>
              <w:rPr>
                <w:kern w:val="0"/>
                <w:sz w:val="21"/>
                <w:szCs w:val="21"/>
              </w:rPr>
            </w:pPr>
            <w:r>
              <w:rPr>
                <w:kern w:val="0"/>
                <w:sz w:val="21"/>
                <w:szCs w:val="21"/>
              </w:rPr>
              <w:t xml:space="preserve">3.3 </w:t>
            </w:r>
          </w:p>
        </w:tc>
        <w:tc>
          <w:tcPr>
            <w:tcW w:w="567" w:type="dxa"/>
            <w:tcBorders>
              <w:top w:val="nil"/>
              <w:left w:val="nil"/>
              <w:bottom w:val="single" w:color="auto" w:sz="4" w:space="0"/>
              <w:right w:val="single" w:color="auto" w:sz="4" w:space="0"/>
            </w:tcBorders>
            <w:vAlign w:val="center"/>
          </w:tcPr>
          <w:p w14:paraId="46162C05">
            <w:pPr>
              <w:widowControl/>
              <w:spacing w:line="240" w:lineRule="auto"/>
              <w:jc w:val="center"/>
              <w:rPr>
                <w:kern w:val="0"/>
                <w:sz w:val="21"/>
                <w:szCs w:val="21"/>
              </w:rPr>
            </w:pPr>
            <w:r>
              <w:rPr>
                <w:kern w:val="0"/>
                <w:sz w:val="21"/>
                <w:szCs w:val="21"/>
              </w:rPr>
              <w:t>83</w:t>
            </w:r>
          </w:p>
        </w:tc>
        <w:tc>
          <w:tcPr>
            <w:tcW w:w="1560" w:type="dxa"/>
            <w:tcBorders>
              <w:top w:val="nil"/>
              <w:left w:val="nil"/>
              <w:bottom w:val="single" w:color="auto" w:sz="4" w:space="0"/>
              <w:right w:val="single" w:color="auto" w:sz="4" w:space="0"/>
            </w:tcBorders>
            <w:vAlign w:val="center"/>
          </w:tcPr>
          <w:p w14:paraId="612937C3">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14:paraId="1A6F0A19">
            <w:pPr>
              <w:widowControl/>
              <w:spacing w:line="240" w:lineRule="auto"/>
              <w:jc w:val="center"/>
              <w:rPr>
                <w:kern w:val="0"/>
                <w:sz w:val="21"/>
                <w:szCs w:val="21"/>
              </w:rPr>
            </w:pPr>
            <w:r>
              <w:rPr>
                <w:kern w:val="0"/>
                <w:sz w:val="21"/>
                <w:szCs w:val="21"/>
              </w:rPr>
              <w:t xml:space="preserve">1.4 </w:t>
            </w:r>
          </w:p>
        </w:tc>
        <w:tc>
          <w:tcPr>
            <w:tcW w:w="1144" w:type="dxa"/>
            <w:tcBorders>
              <w:top w:val="nil"/>
              <w:left w:val="nil"/>
              <w:bottom w:val="single" w:color="auto" w:sz="4" w:space="0"/>
              <w:right w:val="single" w:color="auto" w:sz="4" w:space="0"/>
            </w:tcBorders>
            <w:vAlign w:val="center"/>
          </w:tcPr>
          <w:p w14:paraId="78204956">
            <w:pPr>
              <w:widowControl/>
              <w:spacing w:line="240" w:lineRule="auto"/>
              <w:jc w:val="center"/>
              <w:rPr>
                <w:kern w:val="0"/>
                <w:sz w:val="21"/>
                <w:szCs w:val="21"/>
              </w:rPr>
            </w:pPr>
            <w:r>
              <w:rPr>
                <w:kern w:val="0"/>
                <w:sz w:val="21"/>
                <w:szCs w:val="21"/>
              </w:rPr>
              <w:t xml:space="preserve">5.7 </w:t>
            </w:r>
          </w:p>
        </w:tc>
      </w:tr>
      <w:tr w14:paraId="461CC2AC">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6AC361B">
            <w:pPr>
              <w:widowControl/>
              <w:spacing w:line="240" w:lineRule="auto"/>
              <w:jc w:val="center"/>
              <w:rPr>
                <w:color w:val="000000"/>
                <w:kern w:val="0"/>
                <w:sz w:val="21"/>
                <w:szCs w:val="21"/>
              </w:rPr>
            </w:pPr>
            <w:r>
              <w:rPr>
                <w:color w:val="000000"/>
                <w:kern w:val="0"/>
                <w:sz w:val="21"/>
                <w:szCs w:val="21"/>
              </w:rPr>
              <w:t>34</w:t>
            </w:r>
          </w:p>
        </w:tc>
        <w:tc>
          <w:tcPr>
            <w:tcW w:w="1134" w:type="dxa"/>
            <w:tcBorders>
              <w:top w:val="nil"/>
              <w:left w:val="nil"/>
              <w:bottom w:val="single" w:color="auto" w:sz="4" w:space="0"/>
              <w:right w:val="single" w:color="auto" w:sz="4" w:space="0"/>
            </w:tcBorders>
            <w:vAlign w:val="center"/>
          </w:tcPr>
          <w:p w14:paraId="15B7B81B">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158625E3">
            <w:pPr>
              <w:widowControl/>
              <w:spacing w:line="240" w:lineRule="auto"/>
              <w:jc w:val="center"/>
              <w:rPr>
                <w:kern w:val="0"/>
                <w:sz w:val="21"/>
                <w:szCs w:val="21"/>
              </w:rPr>
            </w:pPr>
            <w:r>
              <w:rPr>
                <w:kern w:val="0"/>
                <w:sz w:val="21"/>
                <w:szCs w:val="21"/>
              </w:rPr>
              <w:t xml:space="preserve">5.9 </w:t>
            </w:r>
          </w:p>
        </w:tc>
        <w:tc>
          <w:tcPr>
            <w:tcW w:w="1177" w:type="dxa"/>
            <w:tcBorders>
              <w:top w:val="nil"/>
              <w:left w:val="nil"/>
              <w:bottom w:val="single" w:color="auto" w:sz="4" w:space="0"/>
              <w:right w:val="single" w:color="auto" w:sz="4" w:space="0"/>
            </w:tcBorders>
            <w:vAlign w:val="center"/>
          </w:tcPr>
          <w:p w14:paraId="5F917346">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14:paraId="13192F80">
            <w:pPr>
              <w:widowControl/>
              <w:spacing w:line="240" w:lineRule="auto"/>
              <w:jc w:val="center"/>
              <w:rPr>
                <w:kern w:val="0"/>
                <w:sz w:val="21"/>
                <w:szCs w:val="21"/>
              </w:rPr>
            </w:pPr>
            <w:r>
              <w:rPr>
                <w:kern w:val="0"/>
                <w:sz w:val="21"/>
                <w:szCs w:val="21"/>
              </w:rPr>
              <w:t>84</w:t>
            </w:r>
          </w:p>
        </w:tc>
        <w:tc>
          <w:tcPr>
            <w:tcW w:w="1560" w:type="dxa"/>
            <w:tcBorders>
              <w:top w:val="nil"/>
              <w:left w:val="nil"/>
              <w:bottom w:val="single" w:color="auto" w:sz="4" w:space="0"/>
              <w:right w:val="single" w:color="auto" w:sz="4" w:space="0"/>
            </w:tcBorders>
            <w:vAlign w:val="center"/>
          </w:tcPr>
          <w:p w14:paraId="4A661D25">
            <w:pPr>
              <w:widowControl/>
              <w:spacing w:line="240" w:lineRule="auto"/>
              <w:jc w:val="left"/>
              <w:rPr>
                <w:kern w:val="0"/>
                <w:sz w:val="21"/>
                <w:szCs w:val="21"/>
              </w:rPr>
            </w:pPr>
            <w:r>
              <w:rPr>
                <w:rFonts w:hint="eastAsia" w:hAnsi="宋体"/>
                <w:kern w:val="0"/>
                <w:sz w:val="21"/>
                <w:szCs w:val="21"/>
              </w:rPr>
              <w:t>小吃</w:t>
            </w:r>
          </w:p>
        </w:tc>
        <w:tc>
          <w:tcPr>
            <w:tcW w:w="1134" w:type="dxa"/>
            <w:tcBorders>
              <w:top w:val="nil"/>
              <w:left w:val="nil"/>
              <w:bottom w:val="single" w:color="auto" w:sz="4" w:space="0"/>
              <w:right w:val="single" w:color="auto" w:sz="4" w:space="0"/>
            </w:tcBorders>
            <w:vAlign w:val="center"/>
          </w:tcPr>
          <w:p w14:paraId="598716C1">
            <w:pPr>
              <w:widowControl/>
              <w:spacing w:line="240" w:lineRule="auto"/>
              <w:jc w:val="center"/>
              <w:rPr>
                <w:kern w:val="0"/>
                <w:sz w:val="21"/>
                <w:szCs w:val="21"/>
              </w:rPr>
            </w:pPr>
            <w:r>
              <w:rPr>
                <w:kern w:val="0"/>
                <w:sz w:val="21"/>
                <w:szCs w:val="21"/>
              </w:rPr>
              <w:t xml:space="preserve">10.8 </w:t>
            </w:r>
          </w:p>
        </w:tc>
        <w:tc>
          <w:tcPr>
            <w:tcW w:w="1144" w:type="dxa"/>
            <w:tcBorders>
              <w:top w:val="nil"/>
              <w:left w:val="nil"/>
              <w:bottom w:val="single" w:color="auto" w:sz="4" w:space="0"/>
              <w:right w:val="single" w:color="auto" w:sz="4" w:space="0"/>
            </w:tcBorders>
            <w:vAlign w:val="center"/>
          </w:tcPr>
          <w:p w14:paraId="18AC17F1">
            <w:pPr>
              <w:widowControl/>
              <w:spacing w:line="240" w:lineRule="auto"/>
              <w:jc w:val="center"/>
              <w:rPr>
                <w:kern w:val="0"/>
                <w:sz w:val="21"/>
                <w:szCs w:val="21"/>
              </w:rPr>
            </w:pPr>
            <w:r>
              <w:rPr>
                <w:kern w:val="0"/>
                <w:sz w:val="21"/>
                <w:szCs w:val="21"/>
              </w:rPr>
              <w:t>-</w:t>
            </w:r>
          </w:p>
        </w:tc>
      </w:tr>
      <w:tr w14:paraId="5BD95F13">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B475A0F">
            <w:pPr>
              <w:widowControl/>
              <w:spacing w:line="240" w:lineRule="auto"/>
              <w:jc w:val="center"/>
              <w:rPr>
                <w:color w:val="000000"/>
                <w:kern w:val="0"/>
                <w:sz w:val="21"/>
                <w:szCs w:val="21"/>
              </w:rPr>
            </w:pPr>
            <w:r>
              <w:rPr>
                <w:color w:val="000000"/>
                <w:kern w:val="0"/>
                <w:sz w:val="21"/>
                <w:szCs w:val="21"/>
              </w:rPr>
              <w:t>35</w:t>
            </w:r>
          </w:p>
        </w:tc>
        <w:tc>
          <w:tcPr>
            <w:tcW w:w="1134" w:type="dxa"/>
            <w:tcBorders>
              <w:top w:val="nil"/>
              <w:left w:val="nil"/>
              <w:bottom w:val="single" w:color="auto" w:sz="4" w:space="0"/>
              <w:right w:val="single" w:color="auto" w:sz="4" w:space="0"/>
            </w:tcBorders>
            <w:vAlign w:val="center"/>
          </w:tcPr>
          <w:p w14:paraId="61AB9165">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53C21EC2">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3BD1BE0E">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14:paraId="33C29044">
            <w:pPr>
              <w:widowControl/>
              <w:spacing w:line="240" w:lineRule="auto"/>
              <w:jc w:val="center"/>
              <w:rPr>
                <w:kern w:val="0"/>
                <w:sz w:val="21"/>
                <w:szCs w:val="21"/>
              </w:rPr>
            </w:pPr>
            <w:r>
              <w:rPr>
                <w:kern w:val="0"/>
                <w:sz w:val="21"/>
                <w:szCs w:val="21"/>
              </w:rPr>
              <w:t>85</w:t>
            </w:r>
          </w:p>
        </w:tc>
        <w:tc>
          <w:tcPr>
            <w:tcW w:w="1560" w:type="dxa"/>
            <w:tcBorders>
              <w:top w:val="nil"/>
              <w:left w:val="nil"/>
              <w:bottom w:val="single" w:color="auto" w:sz="4" w:space="0"/>
              <w:right w:val="single" w:color="auto" w:sz="4" w:space="0"/>
            </w:tcBorders>
            <w:vAlign w:val="center"/>
          </w:tcPr>
          <w:p w14:paraId="38460B7D">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14:paraId="30BC1799">
            <w:pPr>
              <w:widowControl/>
              <w:spacing w:line="240" w:lineRule="auto"/>
              <w:jc w:val="center"/>
              <w:rPr>
                <w:kern w:val="0"/>
                <w:sz w:val="21"/>
                <w:szCs w:val="21"/>
              </w:rPr>
            </w:pPr>
            <w:r>
              <w:rPr>
                <w:kern w:val="0"/>
                <w:sz w:val="21"/>
                <w:szCs w:val="21"/>
              </w:rPr>
              <w:t xml:space="preserve">2.2 </w:t>
            </w:r>
          </w:p>
        </w:tc>
        <w:tc>
          <w:tcPr>
            <w:tcW w:w="1144" w:type="dxa"/>
            <w:tcBorders>
              <w:top w:val="nil"/>
              <w:left w:val="nil"/>
              <w:bottom w:val="single" w:color="auto" w:sz="4" w:space="0"/>
              <w:right w:val="single" w:color="auto" w:sz="4" w:space="0"/>
            </w:tcBorders>
            <w:vAlign w:val="center"/>
          </w:tcPr>
          <w:p w14:paraId="67AEAC2F">
            <w:pPr>
              <w:widowControl/>
              <w:spacing w:line="240" w:lineRule="auto"/>
              <w:jc w:val="center"/>
              <w:rPr>
                <w:kern w:val="0"/>
                <w:sz w:val="21"/>
                <w:szCs w:val="21"/>
              </w:rPr>
            </w:pPr>
            <w:r>
              <w:rPr>
                <w:kern w:val="0"/>
                <w:sz w:val="21"/>
                <w:szCs w:val="21"/>
              </w:rPr>
              <w:t xml:space="preserve">2.5 </w:t>
            </w:r>
          </w:p>
        </w:tc>
      </w:tr>
      <w:tr w14:paraId="23A84819">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3B0D34D">
            <w:pPr>
              <w:widowControl/>
              <w:spacing w:line="240" w:lineRule="auto"/>
              <w:jc w:val="center"/>
              <w:rPr>
                <w:color w:val="000000"/>
                <w:kern w:val="0"/>
                <w:sz w:val="21"/>
                <w:szCs w:val="21"/>
              </w:rPr>
            </w:pPr>
            <w:r>
              <w:rPr>
                <w:color w:val="000000"/>
                <w:kern w:val="0"/>
                <w:sz w:val="21"/>
                <w:szCs w:val="21"/>
              </w:rPr>
              <w:t>36</w:t>
            </w:r>
          </w:p>
        </w:tc>
        <w:tc>
          <w:tcPr>
            <w:tcW w:w="1134" w:type="dxa"/>
            <w:tcBorders>
              <w:top w:val="nil"/>
              <w:left w:val="nil"/>
              <w:bottom w:val="single" w:color="auto" w:sz="4" w:space="0"/>
              <w:right w:val="single" w:color="auto" w:sz="4" w:space="0"/>
            </w:tcBorders>
            <w:vAlign w:val="center"/>
          </w:tcPr>
          <w:p w14:paraId="7549FF41">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5DAA1D81">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02A00F28">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14:paraId="1A2E598C">
            <w:pPr>
              <w:widowControl/>
              <w:spacing w:line="240" w:lineRule="auto"/>
              <w:jc w:val="center"/>
              <w:rPr>
                <w:kern w:val="0"/>
                <w:sz w:val="21"/>
                <w:szCs w:val="21"/>
              </w:rPr>
            </w:pPr>
            <w:r>
              <w:rPr>
                <w:kern w:val="0"/>
                <w:sz w:val="21"/>
                <w:szCs w:val="21"/>
              </w:rPr>
              <w:t>86</w:t>
            </w:r>
          </w:p>
        </w:tc>
        <w:tc>
          <w:tcPr>
            <w:tcW w:w="1560" w:type="dxa"/>
            <w:tcBorders>
              <w:top w:val="nil"/>
              <w:left w:val="nil"/>
              <w:bottom w:val="single" w:color="auto" w:sz="4" w:space="0"/>
              <w:right w:val="single" w:color="auto" w:sz="4" w:space="0"/>
            </w:tcBorders>
            <w:vAlign w:val="center"/>
          </w:tcPr>
          <w:p w14:paraId="40A42826">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14:paraId="63CAFAD4">
            <w:pPr>
              <w:widowControl/>
              <w:spacing w:line="240" w:lineRule="auto"/>
              <w:jc w:val="center"/>
              <w:rPr>
                <w:kern w:val="0"/>
                <w:sz w:val="21"/>
                <w:szCs w:val="21"/>
              </w:rPr>
            </w:pPr>
            <w:r>
              <w:rPr>
                <w:kern w:val="0"/>
                <w:sz w:val="21"/>
                <w:szCs w:val="21"/>
              </w:rPr>
              <w:t xml:space="preserve">3.9 </w:t>
            </w:r>
          </w:p>
        </w:tc>
        <w:tc>
          <w:tcPr>
            <w:tcW w:w="1144" w:type="dxa"/>
            <w:tcBorders>
              <w:top w:val="nil"/>
              <w:left w:val="nil"/>
              <w:bottom w:val="single" w:color="auto" w:sz="4" w:space="0"/>
              <w:right w:val="single" w:color="auto" w:sz="4" w:space="0"/>
            </w:tcBorders>
            <w:vAlign w:val="center"/>
          </w:tcPr>
          <w:p w14:paraId="3776E46C">
            <w:pPr>
              <w:widowControl/>
              <w:spacing w:line="240" w:lineRule="auto"/>
              <w:jc w:val="center"/>
              <w:rPr>
                <w:kern w:val="0"/>
                <w:sz w:val="21"/>
                <w:szCs w:val="21"/>
              </w:rPr>
            </w:pPr>
            <w:r>
              <w:rPr>
                <w:kern w:val="0"/>
                <w:sz w:val="21"/>
                <w:szCs w:val="21"/>
              </w:rPr>
              <w:t xml:space="preserve">4.3 </w:t>
            </w:r>
          </w:p>
        </w:tc>
      </w:tr>
      <w:tr w14:paraId="6CB5A378">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B748BF4">
            <w:pPr>
              <w:widowControl/>
              <w:spacing w:line="240" w:lineRule="auto"/>
              <w:jc w:val="center"/>
              <w:rPr>
                <w:color w:val="000000"/>
                <w:kern w:val="0"/>
                <w:sz w:val="21"/>
                <w:szCs w:val="21"/>
              </w:rPr>
            </w:pPr>
            <w:r>
              <w:rPr>
                <w:color w:val="000000"/>
                <w:kern w:val="0"/>
                <w:sz w:val="21"/>
                <w:szCs w:val="21"/>
              </w:rPr>
              <w:t>37</w:t>
            </w:r>
          </w:p>
        </w:tc>
        <w:tc>
          <w:tcPr>
            <w:tcW w:w="1134" w:type="dxa"/>
            <w:tcBorders>
              <w:top w:val="nil"/>
              <w:left w:val="nil"/>
              <w:bottom w:val="single" w:color="auto" w:sz="4" w:space="0"/>
              <w:right w:val="single" w:color="auto" w:sz="4" w:space="0"/>
            </w:tcBorders>
            <w:vAlign w:val="center"/>
          </w:tcPr>
          <w:p w14:paraId="49029B66">
            <w:pPr>
              <w:widowControl/>
              <w:spacing w:line="240" w:lineRule="auto"/>
              <w:jc w:val="left"/>
              <w:rPr>
                <w:color w:val="000000"/>
                <w:kern w:val="0"/>
                <w:sz w:val="21"/>
                <w:szCs w:val="21"/>
              </w:rPr>
            </w:pPr>
            <w:r>
              <w:rPr>
                <w:rFonts w:hint="eastAsia" w:hAnsi="宋体"/>
                <w:color w:val="000000"/>
                <w:kern w:val="0"/>
                <w:sz w:val="21"/>
                <w:szCs w:val="21"/>
              </w:rPr>
              <w:t>川湘菜</w:t>
            </w:r>
          </w:p>
        </w:tc>
        <w:tc>
          <w:tcPr>
            <w:tcW w:w="1232" w:type="dxa"/>
            <w:tcBorders>
              <w:top w:val="nil"/>
              <w:left w:val="nil"/>
              <w:bottom w:val="single" w:color="auto" w:sz="4" w:space="0"/>
              <w:right w:val="single" w:color="auto" w:sz="4" w:space="0"/>
            </w:tcBorders>
            <w:vAlign w:val="center"/>
          </w:tcPr>
          <w:p w14:paraId="44AC51C4">
            <w:pPr>
              <w:widowControl/>
              <w:spacing w:line="240" w:lineRule="auto"/>
              <w:jc w:val="center"/>
              <w:rPr>
                <w:kern w:val="0"/>
                <w:sz w:val="21"/>
                <w:szCs w:val="21"/>
              </w:rPr>
            </w:pPr>
            <w:r>
              <w:rPr>
                <w:kern w:val="0"/>
                <w:sz w:val="21"/>
                <w:szCs w:val="21"/>
              </w:rPr>
              <w:t xml:space="preserve">2.6 </w:t>
            </w:r>
          </w:p>
        </w:tc>
        <w:tc>
          <w:tcPr>
            <w:tcW w:w="1177" w:type="dxa"/>
            <w:tcBorders>
              <w:top w:val="nil"/>
              <w:left w:val="nil"/>
              <w:bottom w:val="single" w:color="auto" w:sz="4" w:space="0"/>
              <w:right w:val="single" w:color="auto" w:sz="4" w:space="0"/>
            </w:tcBorders>
            <w:vAlign w:val="center"/>
          </w:tcPr>
          <w:p w14:paraId="032B1EA0">
            <w:pPr>
              <w:widowControl/>
              <w:spacing w:line="240" w:lineRule="auto"/>
              <w:jc w:val="center"/>
              <w:rPr>
                <w:kern w:val="0"/>
                <w:sz w:val="21"/>
                <w:szCs w:val="21"/>
              </w:rPr>
            </w:pPr>
            <w:r>
              <w:rPr>
                <w:kern w:val="0"/>
                <w:sz w:val="21"/>
                <w:szCs w:val="21"/>
              </w:rPr>
              <w:t>-</w:t>
            </w:r>
          </w:p>
        </w:tc>
        <w:tc>
          <w:tcPr>
            <w:tcW w:w="567" w:type="dxa"/>
            <w:tcBorders>
              <w:top w:val="nil"/>
              <w:left w:val="nil"/>
              <w:bottom w:val="single" w:color="auto" w:sz="4" w:space="0"/>
              <w:right w:val="single" w:color="auto" w:sz="4" w:space="0"/>
            </w:tcBorders>
            <w:vAlign w:val="center"/>
          </w:tcPr>
          <w:p w14:paraId="159A1590">
            <w:pPr>
              <w:widowControl/>
              <w:spacing w:line="240" w:lineRule="auto"/>
              <w:jc w:val="center"/>
              <w:rPr>
                <w:kern w:val="0"/>
                <w:sz w:val="21"/>
                <w:szCs w:val="21"/>
              </w:rPr>
            </w:pPr>
            <w:r>
              <w:rPr>
                <w:kern w:val="0"/>
                <w:sz w:val="21"/>
                <w:szCs w:val="21"/>
              </w:rPr>
              <w:t>87</w:t>
            </w:r>
          </w:p>
        </w:tc>
        <w:tc>
          <w:tcPr>
            <w:tcW w:w="1560" w:type="dxa"/>
            <w:tcBorders>
              <w:top w:val="nil"/>
              <w:left w:val="nil"/>
              <w:bottom w:val="single" w:color="auto" w:sz="4" w:space="0"/>
              <w:right w:val="single" w:color="auto" w:sz="4" w:space="0"/>
            </w:tcBorders>
            <w:vAlign w:val="center"/>
          </w:tcPr>
          <w:p w14:paraId="69AAACF6">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14:paraId="239E022E">
            <w:pPr>
              <w:widowControl/>
              <w:spacing w:line="240" w:lineRule="auto"/>
              <w:jc w:val="center"/>
              <w:rPr>
                <w:kern w:val="0"/>
                <w:sz w:val="21"/>
                <w:szCs w:val="21"/>
              </w:rPr>
            </w:pPr>
            <w:r>
              <w:rPr>
                <w:kern w:val="0"/>
                <w:sz w:val="21"/>
                <w:szCs w:val="21"/>
              </w:rPr>
              <w:t xml:space="preserve">1.3 </w:t>
            </w:r>
          </w:p>
        </w:tc>
        <w:tc>
          <w:tcPr>
            <w:tcW w:w="1144" w:type="dxa"/>
            <w:tcBorders>
              <w:top w:val="nil"/>
              <w:left w:val="nil"/>
              <w:bottom w:val="single" w:color="auto" w:sz="4" w:space="0"/>
              <w:right w:val="single" w:color="auto" w:sz="4" w:space="0"/>
            </w:tcBorders>
            <w:vAlign w:val="center"/>
          </w:tcPr>
          <w:p w14:paraId="2838D741">
            <w:pPr>
              <w:widowControl/>
              <w:spacing w:line="240" w:lineRule="auto"/>
              <w:jc w:val="center"/>
              <w:rPr>
                <w:kern w:val="0"/>
                <w:sz w:val="21"/>
                <w:szCs w:val="21"/>
              </w:rPr>
            </w:pPr>
            <w:r>
              <w:rPr>
                <w:kern w:val="0"/>
                <w:sz w:val="21"/>
                <w:szCs w:val="21"/>
              </w:rPr>
              <w:t xml:space="preserve">2.7 </w:t>
            </w:r>
          </w:p>
        </w:tc>
      </w:tr>
      <w:tr w14:paraId="0DEB5561">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38E2F22">
            <w:pPr>
              <w:widowControl/>
              <w:spacing w:line="240" w:lineRule="auto"/>
              <w:jc w:val="center"/>
              <w:rPr>
                <w:color w:val="000000"/>
                <w:kern w:val="0"/>
                <w:sz w:val="21"/>
                <w:szCs w:val="21"/>
              </w:rPr>
            </w:pPr>
            <w:r>
              <w:rPr>
                <w:color w:val="000000"/>
                <w:kern w:val="0"/>
                <w:sz w:val="21"/>
                <w:szCs w:val="21"/>
              </w:rPr>
              <w:t>38</w:t>
            </w:r>
          </w:p>
        </w:tc>
        <w:tc>
          <w:tcPr>
            <w:tcW w:w="1134" w:type="dxa"/>
            <w:tcBorders>
              <w:top w:val="nil"/>
              <w:left w:val="nil"/>
              <w:bottom w:val="single" w:color="auto" w:sz="4" w:space="0"/>
              <w:right w:val="single" w:color="auto" w:sz="4" w:space="0"/>
            </w:tcBorders>
            <w:vAlign w:val="center"/>
          </w:tcPr>
          <w:p w14:paraId="38DB12B6">
            <w:pPr>
              <w:widowControl/>
              <w:spacing w:line="240" w:lineRule="auto"/>
              <w:jc w:val="left"/>
              <w:rPr>
                <w:color w:val="000000"/>
                <w:kern w:val="0"/>
                <w:sz w:val="21"/>
                <w:szCs w:val="21"/>
              </w:rPr>
            </w:pPr>
            <w:r>
              <w:rPr>
                <w:rFonts w:hint="eastAsia" w:hAnsi="宋体"/>
                <w:color w:val="000000"/>
                <w:kern w:val="0"/>
                <w:sz w:val="21"/>
                <w:szCs w:val="21"/>
              </w:rPr>
              <w:t>淮扬菜</w:t>
            </w:r>
          </w:p>
        </w:tc>
        <w:tc>
          <w:tcPr>
            <w:tcW w:w="1232" w:type="dxa"/>
            <w:tcBorders>
              <w:top w:val="nil"/>
              <w:left w:val="nil"/>
              <w:bottom w:val="single" w:color="auto" w:sz="4" w:space="0"/>
              <w:right w:val="single" w:color="auto" w:sz="4" w:space="0"/>
            </w:tcBorders>
            <w:vAlign w:val="center"/>
          </w:tcPr>
          <w:p w14:paraId="7734DF02">
            <w:pPr>
              <w:widowControl/>
              <w:spacing w:line="240" w:lineRule="auto"/>
              <w:jc w:val="center"/>
              <w:rPr>
                <w:kern w:val="0"/>
                <w:sz w:val="21"/>
                <w:szCs w:val="21"/>
              </w:rPr>
            </w:pPr>
            <w:r>
              <w:rPr>
                <w:kern w:val="0"/>
                <w:sz w:val="21"/>
                <w:szCs w:val="21"/>
              </w:rPr>
              <w:t xml:space="preserve">12.7 </w:t>
            </w:r>
          </w:p>
        </w:tc>
        <w:tc>
          <w:tcPr>
            <w:tcW w:w="1177" w:type="dxa"/>
            <w:tcBorders>
              <w:top w:val="nil"/>
              <w:left w:val="nil"/>
              <w:bottom w:val="single" w:color="auto" w:sz="4" w:space="0"/>
              <w:right w:val="single" w:color="auto" w:sz="4" w:space="0"/>
            </w:tcBorders>
            <w:vAlign w:val="center"/>
          </w:tcPr>
          <w:p w14:paraId="16195F94">
            <w:pPr>
              <w:widowControl/>
              <w:spacing w:line="240" w:lineRule="auto"/>
              <w:jc w:val="center"/>
              <w:rPr>
                <w:kern w:val="0"/>
                <w:sz w:val="21"/>
                <w:szCs w:val="21"/>
              </w:rPr>
            </w:pPr>
            <w:r>
              <w:rPr>
                <w:kern w:val="0"/>
                <w:sz w:val="21"/>
                <w:szCs w:val="21"/>
              </w:rPr>
              <w:t xml:space="preserve">16.8 </w:t>
            </w:r>
          </w:p>
        </w:tc>
        <w:tc>
          <w:tcPr>
            <w:tcW w:w="567" w:type="dxa"/>
            <w:tcBorders>
              <w:top w:val="nil"/>
              <w:left w:val="nil"/>
              <w:bottom w:val="single" w:color="auto" w:sz="4" w:space="0"/>
              <w:right w:val="single" w:color="auto" w:sz="4" w:space="0"/>
            </w:tcBorders>
            <w:vAlign w:val="center"/>
          </w:tcPr>
          <w:p w14:paraId="23489BC5">
            <w:pPr>
              <w:widowControl/>
              <w:spacing w:line="240" w:lineRule="auto"/>
              <w:jc w:val="center"/>
              <w:rPr>
                <w:kern w:val="0"/>
                <w:sz w:val="21"/>
                <w:szCs w:val="21"/>
              </w:rPr>
            </w:pPr>
            <w:r>
              <w:rPr>
                <w:kern w:val="0"/>
                <w:sz w:val="21"/>
                <w:szCs w:val="21"/>
              </w:rPr>
              <w:t>88</w:t>
            </w:r>
          </w:p>
        </w:tc>
        <w:tc>
          <w:tcPr>
            <w:tcW w:w="1560" w:type="dxa"/>
            <w:tcBorders>
              <w:top w:val="nil"/>
              <w:left w:val="nil"/>
              <w:bottom w:val="single" w:color="auto" w:sz="4" w:space="0"/>
              <w:right w:val="single" w:color="auto" w:sz="4" w:space="0"/>
            </w:tcBorders>
            <w:vAlign w:val="center"/>
          </w:tcPr>
          <w:p w14:paraId="05D2F78A">
            <w:pPr>
              <w:widowControl/>
              <w:spacing w:line="240" w:lineRule="auto"/>
              <w:jc w:val="left"/>
              <w:rPr>
                <w:kern w:val="0"/>
                <w:sz w:val="21"/>
                <w:szCs w:val="21"/>
              </w:rPr>
            </w:pPr>
            <w:r>
              <w:rPr>
                <w:rFonts w:hint="eastAsia" w:hAnsi="宋体"/>
                <w:kern w:val="0"/>
                <w:sz w:val="21"/>
                <w:szCs w:val="21"/>
              </w:rPr>
              <w:t>食堂</w:t>
            </w:r>
          </w:p>
        </w:tc>
        <w:tc>
          <w:tcPr>
            <w:tcW w:w="1134" w:type="dxa"/>
            <w:tcBorders>
              <w:top w:val="nil"/>
              <w:left w:val="nil"/>
              <w:bottom w:val="single" w:color="auto" w:sz="4" w:space="0"/>
              <w:right w:val="single" w:color="auto" w:sz="4" w:space="0"/>
            </w:tcBorders>
            <w:vAlign w:val="center"/>
          </w:tcPr>
          <w:p w14:paraId="0CAA7EE7">
            <w:pPr>
              <w:widowControl/>
              <w:spacing w:line="240" w:lineRule="auto"/>
              <w:jc w:val="center"/>
              <w:rPr>
                <w:kern w:val="0"/>
                <w:sz w:val="21"/>
                <w:szCs w:val="21"/>
              </w:rPr>
            </w:pPr>
            <w:r>
              <w:rPr>
                <w:kern w:val="0"/>
                <w:sz w:val="21"/>
                <w:szCs w:val="21"/>
              </w:rPr>
              <w:t xml:space="preserve">2.0 </w:t>
            </w:r>
          </w:p>
        </w:tc>
        <w:tc>
          <w:tcPr>
            <w:tcW w:w="1144" w:type="dxa"/>
            <w:tcBorders>
              <w:top w:val="nil"/>
              <w:left w:val="nil"/>
              <w:bottom w:val="single" w:color="auto" w:sz="4" w:space="0"/>
              <w:right w:val="single" w:color="auto" w:sz="4" w:space="0"/>
            </w:tcBorders>
            <w:vAlign w:val="center"/>
          </w:tcPr>
          <w:p w14:paraId="65CE4854">
            <w:pPr>
              <w:widowControl/>
              <w:spacing w:line="240" w:lineRule="auto"/>
              <w:jc w:val="center"/>
              <w:rPr>
                <w:kern w:val="0"/>
                <w:sz w:val="21"/>
                <w:szCs w:val="21"/>
              </w:rPr>
            </w:pPr>
            <w:r>
              <w:rPr>
                <w:kern w:val="0"/>
                <w:sz w:val="21"/>
                <w:szCs w:val="21"/>
              </w:rPr>
              <w:t xml:space="preserve">8.0 </w:t>
            </w:r>
          </w:p>
        </w:tc>
      </w:tr>
      <w:tr w14:paraId="33B066A3">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2CDF9AD">
            <w:pPr>
              <w:widowControl/>
              <w:spacing w:line="240" w:lineRule="auto"/>
              <w:jc w:val="center"/>
              <w:rPr>
                <w:color w:val="000000"/>
                <w:kern w:val="0"/>
                <w:sz w:val="21"/>
                <w:szCs w:val="21"/>
              </w:rPr>
            </w:pPr>
            <w:r>
              <w:rPr>
                <w:color w:val="000000"/>
                <w:kern w:val="0"/>
                <w:sz w:val="21"/>
                <w:szCs w:val="21"/>
              </w:rPr>
              <w:t>39</w:t>
            </w:r>
          </w:p>
        </w:tc>
        <w:tc>
          <w:tcPr>
            <w:tcW w:w="1134" w:type="dxa"/>
            <w:tcBorders>
              <w:top w:val="nil"/>
              <w:left w:val="nil"/>
              <w:bottom w:val="single" w:color="auto" w:sz="4" w:space="0"/>
              <w:right w:val="single" w:color="auto" w:sz="4" w:space="0"/>
            </w:tcBorders>
            <w:vAlign w:val="center"/>
          </w:tcPr>
          <w:p w14:paraId="4A9FFFD1">
            <w:pPr>
              <w:widowControl/>
              <w:spacing w:line="240" w:lineRule="auto"/>
              <w:jc w:val="left"/>
              <w:rPr>
                <w:color w:val="000000"/>
                <w:kern w:val="0"/>
                <w:sz w:val="21"/>
                <w:szCs w:val="21"/>
              </w:rPr>
            </w:pPr>
            <w:r>
              <w:rPr>
                <w:rFonts w:hint="eastAsia" w:hAnsi="宋体"/>
                <w:color w:val="000000"/>
                <w:kern w:val="0"/>
                <w:sz w:val="21"/>
                <w:szCs w:val="21"/>
              </w:rPr>
              <w:t>淮扬菜</w:t>
            </w:r>
          </w:p>
        </w:tc>
        <w:tc>
          <w:tcPr>
            <w:tcW w:w="1232" w:type="dxa"/>
            <w:tcBorders>
              <w:top w:val="nil"/>
              <w:left w:val="nil"/>
              <w:bottom w:val="single" w:color="auto" w:sz="4" w:space="0"/>
              <w:right w:val="single" w:color="auto" w:sz="4" w:space="0"/>
            </w:tcBorders>
            <w:vAlign w:val="center"/>
          </w:tcPr>
          <w:p w14:paraId="752262A4">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293F00CF">
            <w:pPr>
              <w:widowControl/>
              <w:spacing w:line="240" w:lineRule="auto"/>
              <w:jc w:val="center"/>
              <w:rPr>
                <w:kern w:val="0"/>
                <w:sz w:val="21"/>
                <w:szCs w:val="21"/>
              </w:rPr>
            </w:pPr>
            <w:r>
              <w:rPr>
                <w:kern w:val="0"/>
                <w:sz w:val="21"/>
                <w:szCs w:val="21"/>
              </w:rPr>
              <w:t xml:space="preserve">1.1 </w:t>
            </w:r>
          </w:p>
        </w:tc>
        <w:tc>
          <w:tcPr>
            <w:tcW w:w="567" w:type="dxa"/>
            <w:tcBorders>
              <w:top w:val="nil"/>
              <w:left w:val="nil"/>
              <w:bottom w:val="single" w:color="auto" w:sz="4" w:space="0"/>
              <w:right w:val="single" w:color="auto" w:sz="4" w:space="0"/>
            </w:tcBorders>
            <w:vAlign w:val="center"/>
          </w:tcPr>
          <w:p w14:paraId="342D5980">
            <w:pPr>
              <w:widowControl/>
              <w:spacing w:line="240" w:lineRule="auto"/>
              <w:jc w:val="center"/>
              <w:rPr>
                <w:kern w:val="0"/>
                <w:sz w:val="21"/>
                <w:szCs w:val="21"/>
              </w:rPr>
            </w:pPr>
            <w:r>
              <w:rPr>
                <w:kern w:val="0"/>
                <w:sz w:val="21"/>
                <w:szCs w:val="21"/>
              </w:rPr>
              <w:t>89</w:t>
            </w:r>
          </w:p>
        </w:tc>
        <w:tc>
          <w:tcPr>
            <w:tcW w:w="1560" w:type="dxa"/>
            <w:tcBorders>
              <w:top w:val="nil"/>
              <w:left w:val="nil"/>
              <w:bottom w:val="single" w:color="auto" w:sz="4" w:space="0"/>
              <w:right w:val="single" w:color="auto" w:sz="4" w:space="0"/>
            </w:tcBorders>
            <w:vAlign w:val="center"/>
          </w:tcPr>
          <w:p w14:paraId="1D544D7D">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14:paraId="165E4088">
            <w:pPr>
              <w:widowControl/>
              <w:spacing w:line="240" w:lineRule="auto"/>
              <w:jc w:val="center"/>
              <w:rPr>
                <w:kern w:val="0"/>
                <w:sz w:val="21"/>
                <w:szCs w:val="21"/>
              </w:rPr>
            </w:pPr>
            <w:r>
              <w:rPr>
                <w:kern w:val="0"/>
                <w:sz w:val="21"/>
                <w:szCs w:val="21"/>
              </w:rPr>
              <w:t xml:space="preserve">6.2 </w:t>
            </w:r>
          </w:p>
        </w:tc>
        <w:tc>
          <w:tcPr>
            <w:tcW w:w="1144" w:type="dxa"/>
            <w:tcBorders>
              <w:top w:val="nil"/>
              <w:left w:val="nil"/>
              <w:bottom w:val="single" w:color="auto" w:sz="4" w:space="0"/>
              <w:right w:val="single" w:color="auto" w:sz="4" w:space="0"/>
            </w:tcBorders>
            <w:vAlign w:val="center"/>
          </w:tcPr>
          <w:p w14:paraId="08A74939">
            <w:pPr>
              <w:widowControl/>
              <w:spacing w:line="240" w:lineRule="auto"/>
              <w:jc w:val="center"/>
              <w:rPr>
                <w:kern w:val="0"/>
                <w:sz w:val="21"/>
                <w:szCs w:val="21"/>
              </w:rPr>
            </w:pPr>
            <w:r>
              <w:rPr>
                <w:kern w:val="0"/>
                <w:sz w:val="21"/>
                <w:szCs w:val="21"/>
              </w:rPr>
              <w:t xml:space="preserve">5.6 </w:t>
            </w:r>
          </w:p>
        </w:tc>
      </w:tr>
      <w:tr w14:paraId="4BA6AA98">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7F3A373C">
            <w:pPr>
              <w:widowControl/>
              <w:spacing w:line="240" w:lineRule="auto"/>
              <w:jc w:val="center"/>
              <w:rPr>
                <w:color w:val="000000"/>
                <w:kern w:val="0"/>
                <w:sz w:val="21"/>
                <w:szCs w:val="21"/>
              </w:rPr>
            </w:pPr>
            <w:r>
              <w:rPr>
                <w:color w:val="000000"/>
                <w:kern w:val="0"/>
                <w:sz w:val="21"/>
                <w:szCs w:val="21"/>
              </w:rPr>
              <w:t>40</w:t>
            </w:r>
          </w:p>
        </w:tc>
        <w:tc>
          <w:tcPr>
            <w:tcW w:w="1134" w:type="dxa"/>
            <w:tcBorders>
              <w:top w:val="nil"/>
              <w:left w:val="nil"/>
              <w:bottom w:val="single" w:color="auto" w:sz="4" w:space="0"/>
              <w:right w:val="single" w:color="auto" w:sz="4" w:space="0"/>
            </w:tcBorders>
            <w:vAlign w:val="center"/>
          </w:tcPr>
          <w:p w14:paraId="30A672CF">
            <w:pPr>
              <w:widowControl/>
              <w:spacing w:line="240" w:lineRule="auto"/>
              <w:jc w:val="left"/>
              <w:rPr>
                <w:color w:val="000000"/>
                <w:kern w:val="0"/>
                <w:sz w:val="21"/>
                <w:szCs w:val="21"/>
              </w:rPr>
            </w:pPr>
            <w:r>
              <w:rPr>
                <w:rFonts w:hint="eastAsia" w:hAnsi="宋体"/>
                <w:color w:val="000000"/>
                <w:kern w:val="0"/>
                <w:sz w:val="21"/>
                <w:szCs w:val="21"/>
              </w:rPr>
              <w:t>淮扬菜</w:t>
            </w:r>
          </w:p>
        </w:tc>
        <w:tc>
          <w:tcPr>
            <w:tcW w:w="1232" w:type="dxa"/>
            <w:tcBorders>
              <w:top w:val="nil"/>
              <w:left w:val="nil"/>
              <w:bottom w:val="single" w:color="auto" w:sz="4" w:space="0"/>
              <w:right w:val="single" w:color="auto" w:sz="4" w:space="0"/>
            </w:tcBorders>
            <w:vAlign w:val="center"/>
          </w:tcPr>
          <w:p w14:paraId="23515A47">
            <w:pPr>
              <w:widowControl/>
              <w:spacing w:line="240" w:lineRule="auto"/>
              <w:jc w:val="center"/>
              <w:rPr>
                <w:kern w:val="0"/>
                <w:sz w:val="21"/>
                <w:szCs w:val="21"/>
              </w:rPr>
            </w:pPr>
            <w:r>
              <w:rPr>
                <w:kern w:val="0"/>
                <w:sz w:val="21"/>
                <w:szCs w:val="21"/>
              </w:rPr>
              <w:t xml:space="preserve">0.4 </w:t>
            </w:r>
          </w:p>
        </w:tc>
        <w:tc>
          <w:tcPr>
            <w:tcW w:w="1177" w:type="dxa"/>
            <w:tcBorders>
              <w:top w:val="nil"/>
              <w:left w:val="nil"/>
              <w:bottom w:val="single" w:color="auto" w:sz="4" w:space="0"/>
              <w:right w:val="single" w:color="auto" w:sz="4" w:space="0"/>
            </w:tcBorders>
            <w:vAlign w:val="center"/>
          </w:tcPr>
          <w:p w14:paraId="2480801F">
            <w:pPr>
              <w:widowControl/>
              <w:spacing w:line="240" w:lineRule="auto"/>
              <w:jc w:val="center"/>
              <w:rPr>
                <w:kern w:val="0"/>
                <w:sz w:val="21"/>
                <w:szCs w:val="21"/>
              </w:rPr>
            </w:pPr>
            <w:r>
              <w:rPr>
                <w:kern w:val="0"/>
                <w:sz w:val="21"/>
                <w:szCs w:val="21"/>
              </w:rPr>
              <w:t xml:space="preserve">1.1 </w:t>
            </w:r>
          </w:p>
        </w:tc>
        <w:tc>
          <w:tcPr>
            <w:tcW w:w="567" w:type="dxa"/>
            <w:tcBorders>
              <w:top w:val="nil"/>
              <w:left w:val="nil"/>
              <w:bottom w:val="single" w:color="auto" w:sz="4" w:space="0"/>
              <w:right w:val="single" w:color="auto" w:sz="4" w:space="0"/>
            </w:tcBorders>
            <w:vAlign w:val="center"/>
          </w:tcPr>
          <w:p w14:paraId="7D5FB9FF">
            <w:pPr>
              <w:widowControl/>
              <w:spacing w:line="240" w:lineRule="auto"/>
              <w:jc w:val="center"/>
              <w:rPr>
                <w:kern w:val="0"/>
                <w:sz w:val="21"/>
                <w:szCs w:val="21"/>
              </w:rPr>
            </w:pPr>
            <w:r>
              <w:rPr>
                <w:kern w:val="0"/>
                <w:sz w:val="21"/>
                <w:szCs w:val="21"/>
              </w:rPr>
              <w:t>90</w:t>
            </w:r>
          </w:p>
        </w:tc>
        <w:tc>
          <w:tcPr>
            <w:tcW w:w="1560" w:type="dxa"/>
            <w:tcBorders>
              <w:top w:val="nil"/>
              <w:left w:val="nil"/>
              <w:bottom w:val="single" w:color="auto" w:sz="4" w:space="0"/>
              <w:right w:val="single" w:color="auto" w:sz="4" w:space="0"/>
            </w:tcBorders>
            <w:vAlign w:val="center"/>
          </w:tcPr>
          <w:p w14:paraId="58338E27">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14:paraId="05F2F6A9">
            <w:pPr>
              <w:widowControl/>
              <w:spacing w:line="240" w:lineRule="auto"/>
              <w:jc w:val="center"/>
              <w:rPr>
                <w:kern w:val="0"/>
                <w:sz w:val="21"/>
                <w:szCs w:val="21"/>
              </w:rPr>
            </w:pPr>
            <w:r>
              <w:rPr>
                <w:kern w:val="0"/>
                <w:sz w:val="21"/>
                <w:szCs w:val="21"/>
              </w:rPr>
              <w:t xml:space="preserve">2.8 </w:t>
            </w:r>
          </w:p>
        </w:tc>
        <w:tc>
          <w:tcPr>
            <w:tcW w:w="1144" w:type="dxa"/>
            <w:tcBorders>
              <w:top w:val="nil"/>
              <w:left w:val="nil"/>
              <w:bottom w:val="single" w:color="auto" w:sz="4" w:space="0"/>
              <w:right w:val="single" w:color="auto" w:sz="4" w:space="0"/>
            </w:tcBorders>
            <w:vAlign w:val="center"/>
          </w:tcPr>
          <w:p w14:paraId="7E2D0619">
            <w:pPr>
              <w:widowControl/>
              <w:spacing w:line="240" w:lineRule="auto"/>
              <w:jc w:val="center"/>
              <w:rPr>
                <w:kern w:val="0"/>
                <w:sz w:val="21"/>
                <w:szCs w:val="21"/>
              </w:rPr>
            </w:pPr>
            <w:r>
              <w:rPr>
                <w:kern w:val="0"/>
                <w:sz w:val="21"/>
                <w:szCs w:val="21"/>
              </w:rPr>
              <w:t xml:space="preserve">8.5 </w:t>
            </w:r>
          </w:p>
        </w:tc>
      </w:tr>
      <w:tr w14:paraId="4ADAB97B">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2E79289">
            <w:pPr>
              <w:widowControl/>
              <w:spacing w:line="240" w:lineRule="auto"/>
              <w:jc w:val="center"/>
              <w:rPr>
                <w:color w:val="000000"/>
                <w:kern w:val="0"/>
                <w:sz w:val="21"/>
                <w:szCs w:val="21"/>
              </w:rPr>
            </w:pPr>
            <w:r>
              <w:rPr>
                <w:color w:val="000000"/>
                <w:kern w:val="0"/>
                <w:sz w:val="21"/>
                <w:szCs w:val="21"/>
              </w:rPr>
              <w:t>41</w:t>
            </w:r>
          </w:p>
        </w:tc>
        <w:tc>
          <w:tcPr>
            <w:tcW w:w="1134" w:type="dxa"/>
            <w:tcBorders>
              <w:top w:val="nil"/>
              <w:left w:val="nil"/>
              <w:bottom w:val="single" w:color="auto" w:sz="4" w:space="0"/>
              <w:right w:val="single" w:color="auto" w:sz="4" w:space="0"/>
            </w:tcBorders>
            <w:vAlign w:val="center"/>
          </w:tcPr>
          <w:p w14:paraId="3F65EF06">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4420B4F7">
            <w:pPr>
              <w:widowControl/>
              <w:spacing w:line="240" w:lineRule="auto"/>
              <w:jc w:val="center"/>
              <w:rPr>
                <w:kern w:val="0"/>
                <w:sz w:val="21"/>
                <w:szCs w:val="21"/>
              </w:rPr>
            </w:pPr>
            <w:r>
              <w:rPr>
                <w:kern w:val="0"/>
                <w:sz w:val="21"/>
                <w:szCs w:val="21"/>
              </w:rPr>
              <w:t xml:space="preserve">4.4 </w:t>
            </w:r>
          </w:p>
        </w:tc>
        <w:tc>
          <w:tcPr>
            <w:tcW w:w="1177" w:type="dxa"/>
            <w:tcBorders>
              <w:top w:val="nil"/>
              <w:left w:val="nil"/>
              <w:bottom w:val="single" w:color="auto" w:sz="4" w:space="0"/>
              <w:right w:val="single" w:color="auto" w:sz="4" w:space="0"/>
            </w:tcBorders>
            <w:vAlign w:val="center"/>
          </w:tcPr>
          <w:p w14:paraId="74BAE5D9">
            <w:pPr>
              <w:widowControl/>
              <w:spacing w:line="240" w:lineRule="auto"/>
              <w:jc w:val="center"/>
              <w:rPr>
                <w:kern w:val="0"/>
                <w:sz w:val="21"/>
                <w:szCs w:val="21"/>
              </w:rPr>
            </w:pPr>
            <w:r>
              <w:rPr>
                <w:kern w:val="0"/>
                <w:sz w:val="21"/>
                <w:szCs w:val="21"/>
              </w:rPr>
              <w:t xml:space="preserve">8.7 </w:t>
            </w:r>
          </w:p>
        </w:tc>
        <w:tc>
          <w:tcPr>
            <w:tcW w:w="567" w:type="dxa"/>
            <w:tcBorders>
              <w:top w:val="nil"/>
              <w:left w:val="nil"/>
              <w:bottom w:val="single" w:color="auto" w:sz="4" w:space="0"/>
              <w:right w:val="single" w:color="auto" w:sz="4" w:space="0"/>
            </w:tcBorders>
            <w:vAlign w:val="center"/>
          </w:tcPr>
          <w:p w14:paraId="1C3CADD3">
            <w:pPr>
              <w:widowControl/>
              <w:spacing w:line="240" w:lineRule="auto"/>
              <w:jc w:val="center"/>
              <w:rPr>
                <w:kern w:val="0"/>
                <w:sz w:val="21"/>
                <w:szCs w:val="21"/>
              </w:rPr>
            </w:pPr>
            <w:r>
              <w:rPr>
                <w:kern w:val="0"/>
                <w:sz w:val="21"/>
                <w:szCs w:val="21"/>
              </w:rPr>
              <w:t>91</w:t>
            </w:r>
          </w:p>
        </w:tc>
        <w:tc>
          <w:tcPr>
            <w:tcW w:w="1560" w:type="dxa"/>
            <w:tcBorders>
              <w:top w:val="nil"/>
              <w:left w:val="nil"/>
              <w:bottom w:val="single" w:color="auto" w:sz="4" w:space="0"/>
              <w:right w:val="single" w:color="auto" w:sz="4" w:space="0"/>
            </w:tcBorders>
            <w:vAlign w:val="center"/>
          </w:tcPr>
          <w:p w14:paraId="3F68E50D">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14:paraId="26ADA58E">
            <w:pPr>
              <w:widowControl/>
              <w:spacing w:line="240" w:lineRule="auto"/>
              <w:jc w:val="center"/>
              <w:rPr>
                <w:kern w:val="0"/>
                <w:sz w:val="21"/>
                <w:szCs w:val="21"/>
              </w:rPr>
            </w:pPr>
            <w:r>
              <w:rPr>
                <w:kern w:val="0"/>
                <w:sz w:val="21"/>
                <w:szCs w:val="21"/>
              </w:rPr>
              <w:t xml:space="preserve">5.0 </w:t>
            </w:r>
          </w:p>
        </w:tc>
        <w:tc>
          <w:tcPr>
            <w:tcW w:w="1144" w:type="dxa"/>
            <w:tcBorders>
              <w:top w:val="nil"/>
              <w:left w:val="nil"/>
              <w:bottom w:val="single" w:color="auto" w:sz="4" w:space="0"/>
              <w:right w:val="single" w:color="auto" w:sz="4" w:space="0"/>
            </w:tcBorders>
            <w:vAlign w:val="center"/>
          </w:tcPr>
          <w:p w14:paraId="344DECD5">
            <w:pPr>
              <w:widowControl/>
              <w:spacing w:line="240" w:lineRule="auto"/>
              <w:jc w:val="center"/>
              <w:rPr>
                <w:kern w:val="0"/>
                <w:sz w:val="21"/>
                <w:szCs w:val="21"/>
              </w:rPr>
            </w:pPr>
            <w:r>
              <w:rPr>
                <w:kern w:val="0"/>
                <w:sz w:val="21"/>
                <w:szCs w:val="21"/>
              </w:rPr>
              <w:t xml:space="preserve">16.2 </w:t>
            </w:r>
          </w:p>
        </w:tc>
      </w:tr>
      <w:tr w14:paraId="18309CF8">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6E3A7A81">
            <w:pPr>
              <w:widowControl/>
              <w:spacing w:line="240" w:lineRule="auto"/>
              <w:jc w:val="center"/>
              <w:rPr>
                <w:color w:val="000000"/>
                <w:kern w:val="0"/>
                <w:sz w:val="21"/>
                <w:szCs w:val="21"/>
              </w:rPr>
            </w:pPr>
            <w:r>
              <w:rPr>
                <w:color w:val="000000"/>
                <w:kern w:val="0"/>
                <w:sz w:val="21"/>
                <w:szCs w:val="21"/>
              </w:rPr>
              <w:t>42</w:t>
            </w:r>
          </w:p>
        </w:tc>
        <w:tc>
          <w:tcPr>
            <w:tcW w:w="1134" w:type="dxa"/>
            <w:tcBorders>
              <w:top w:val="nil"/>
              <w:left w:val="nil"/>
              <w:bottom w:val="single" w:color="auto" w:sz="4" w:space="0"/>
              <w:right w:val="single" w:color="auto" w:sz="4" w:space="0"/>
            </w:tcBorders>
            <w:vAlign w:val="center"/>
          </w:tcPr>
          <w:p w14:paraId="4DAE29B7">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5160F485">
            <w:pPr>
              <w:widowControl/>
              <w:spacing w:line="240" w:lineRule="auto"/>
              <w:jc w:val="center"/>
              <w:rPr>
                <w:kern w:val="0"/>
                <w:sz w:val="21"/>
                <w:szCs w:val="21"/>
              </w:rPr>
            </w:pPr>
            <w:r>
              <w:rPr>
                <w:kern w:val="0"/>
                <w:sz w:val="21"/>
                <w:szCs w:val="21"/>
              </w:rPr>
              <w:t xml:space="preserve">8.2 </w:t>
            </w:r>
          </w:p>
        </w:tc>
        <w:tc>
          <w:tcPr>
            <w:tcW w:w="1177" w:type="dxa"/>
            <w:tcBorders>
              <w:top w:val="nil"/>
              <w:left w:val="nil"/>
              <w:bottom w:val="single" w:color="auto" w:sz="4" w:space="0"/>
              <w:right w:val="single" w:color="auto" w:sz="4" w:space="0"/>
            </w:tcBorders>
            <w:vAlign w:val="center"/>
          </w:tcPr>
          <w:p w14:paraId="0F96F2FB">
            <w:pPr>
              <w:widowControl/>
              <w:spacing w:line="240" w:lineRule="auto"/>
              <w:jc w:val="center"/>
              <w:rPr>
                <w:kern w:val="0"/>
                <w:sz w:val="21"/>
                <w:szCs w:val="21"/>
              </w:rPr>
            </w:pPr>
            <w:r>
              <w:rPr>
                <w:kern w:val="0"/>
                <w:sz w:val="21"/>
                <w:szCs w:val="21"/>
              </w:rPr>
              <w:t xml:space="preserve">16.4 </w:t>
            </w:r>
          </w:p>
        </w:tc>
        <w:tc>
          <w:tcPr>
            <w:tcW w:w="567" w:type="dxa"/>
            <w:tcBorders>
              <w:top w:val="nil"/>
              <w:left w:val="nil"/>
              <w:bottom w:val="single" w:color="auto" w:sz="4" w:space="0"/>
              <w:right w:val="single" w:color="auto" w:sz="4" w:space="0"/>
            </w:tcBorders>
            <w:vAlign w:val="center"/>
          </w:tcPr>
          <w:p w14:paraId="5A09CBF3">
            <w:pPr>
              <w:widowControl/>
              <w:spacing w:line="240" w:lineRule="auto"/>
              <w:jc w:val="center"/>
              <w:rPr>
                <w:kern w:val="0"/>
                <w:sz w:val="21"/>
                <w:szCs w:val="21"/>
              </w:rPr>
            </w:pPr>
            <w:r>
              <w:rPr>
                <w:kern w:val="0"/>
                <w:sz w:val="21"/>
                <w:szCs w:val="21"/>
              </w:rPr>
              <w:t>92</w:t>
            </w:r>
          </w:p>
        </w:tc>
        <w:tc>
          <w:tcPr>
            <w:tcW w:w="1560" w:type="dxa"/>
            <w:tcBorders>
              <w:top w:val="nil"/>
              <w:left w:val="nil"/>
              <w:bottom w:val="single" w:color="auto" w:sz="4" w:space="0"/>
              <w:right w:val="single" w:color="auto" w:sz="4" w:space="0"/>
            </w:tcBorders>
            <w:vAlign w:val="center"/>
          </w:tcPr>
          <w:p w14:paraId="7726C30D">
            <w:pPr>
              <w:widowControl/>
              <w:spacing w:line="240" w:lineRule="auto"/>
              <w:jc w:val="left"/>
              <w:rPr>
                <w:kern w:val="0"/>
                <w:sz w:val="21"/>
                <w:szCs w:val="21"/>
              </w:rPr>
            </w:pPr>
            <w:r>
              <w:rPr>
                <w:rFonts w:hint="eastAsia" w:hAnsi="宋体"/>
                <w:kern w:val="0"/>
                <w:sz w:val="21"/>
                <w:szCs w:val="21"/>
              </w:rPr>
              <w:t>火锅</w:t>
            </w:r>
          </w:p>
        </w:tc>
        <w:tc>
          <w:tcPr>
            <w:tcW w:w="1134" w:type="dxa"/>
            <w:tcBorders>
              <w:top w:val="nil"/>
              <w:left w:val="nil"/>
              <w:bottom w:val="single" w:color="auto" w:sz="4" w:space="0"/>
              <w:right w:val="single" w:color="auto" w:sz="4" w:space="0"/>
            </w:tcBorders>
            <w:vAlign w:val="center"/>
          </w:tcPr>
          <w:p w14:paraId="4622E5EF">
            <w:pPr>
              <w:widowControl/>
              <w:spacing w:line="240" w:lineRule="auto"/>
              <w:jc w:val="center"/>
              <w:rPr>
                <w:kern w:val="0"/>
                <w:sz w:val="21"/>
                <w:szCs w:val="21"/>
              </w:rPr>
            </w:pPr>
            <w:r>
              <w:rPr>
                <w:kern w:val="0"/>
                <w:sz w:val="21"/>
                <w:szCs w:val="21"/>
              </w:rPr>
              <w:t xml:space="preserve">1.4 </w:t>
            </w:r>
          </w:p>
        </w:tc>
        <w:tc>
          <w:tcPr>
            <w:tcW w:w="1144" w:type="dxa"/>
            <w:tcBorders>
              <w:top w:val="nil"/>
              <w:left w:val="nil"/>
              <w:bottom w:val="single" w:color="auto" w:sz="4" w:space="0"/>
              <w:right w:val="single" w:color="auto" w:sz="4" w:space="0"/>
            </w:tcBorders>
            <w:vAlign w:val="center"/>
          </w:tcPr>
          <w:p w14:paraId="636F9460">
            <w:pPr>
              <w:widowControl/>
              <w:spacing w:line="240" w:lineRule="auto"/>
              <w:jc w:val="center"/>
              <w:rPr>
                <w:kern w:val="0"/>
                <w:sz w:val="21"/>
                <w:szCs w:val="21"/>
              </w:rPr>
            </w:pPr>
            <w:r>
              <w:rPr>
                <w:kern w:val="0"/>
                <w:sz w:val="21"/>
                <w:szCs w:val="21"/>
              </w:rPr>
              <w:t xml:space="preserve">3.2 </w:t>
            </w:r>
          </w:p>
        </w:tc>
      </w:tr>
      <w:tr w14:paraId="18AAF2B4">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B303962">
            <w:pPr>
              <w:widowControl/>
              <w:spacing w:line="240" w:lineRule="auto"/>
              <w:jc w:val="center"/>
              <w:rPr>
                <w:color w:val="000000"/>
                <w:kern w:val="0"/>
                <w:sz w:val="21"/>
                <w:szCs w:val="21"/>
              </w:rPr>
            </w:pPr>
            <w:r>
              <w:rPr>
                <w:color w:val="000000"/>
                <w:kern w:val="0"/>
                <w:sz w:val="21"/>
                <w:szCs w:val="21"/>
              </w:rPr>
              <w:t>43</w:t>
            </w:r>
          </w:p>
        </w:tc>
        <w:tc>
          <w:tcPr>
            <w:tcW w:w="1134" w:type="dxa"/>
            <w:tcBorders>
              <w:top w:val="nil"/>
              <w:left w:val="nil"/>
              <w:bottom w:val="single" w:color="auto" w:sz="4" w:space="0"/>
              <w:right w:val="single" w:color="auto" w:sz="4" w:space="0"/>
            </w:tcBorders>
            <w:vAlign w:val="center"/>
          </w:tcPr>
          <w:p w14:paraId="20CD7BA6">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2F4B3737">
            <w:pPr>
              <w:widowControl/>
              <w:spacing w:line="240" w:lineRule="auto"/>
              <w:jc w:val="center"/>
              <w:rPr>
                <w:kern w:val="0"/>
                <w:sz w:val="21"/>
                <w:szCs w:val="21"/>
              </w:rPr>
            </w:pPr>
            <w:r>
              <w:rPr>
                <w:kern w:val="0"/>
                <w:sz w:val="21"/>
                <w:szCs w:val="21"/>
              </w:rPr>
              <w:t xml:space="preserve">9.3 </w:t>
            </w:r>
          </w:p>
        </w:tc>
        <w:tc>
          <w:tcPr>
            <w:tcW w:w="1177" w:type="dxa"/>
            <w:tcBorders>
              <w:top w:val="nil"/>
              <w:left w:val="nil"/>
              <w:bottom w:val="single" w:color="auto" w:sz="4" w:space="0"/>
              <w:right w:val="single" w:color="auto" w:sz="4" w:space="0"/>
            </w:tcBorders>
            <w:vAlign w:val="center"/>
          </w:tcPr>
          <w:p w14:paraId="6D22A0F4">
            <w:pPr>
              <w:widowControl/>
              <w:spacing w:line="240" w:lineRule="auto"/>
              <w:jc w:val="center"/>
              <w:rPr>
                <w:kern w:val="0"/>
                <w:sz w:val="21"/>
                <w:szCs w:val="21"/>
              </w:rPr>
            </w:pPr>
            <w:r>
              <w:rPr>
                <w:kern w:val="0"/>
                <w:sz w:val="21"/>
                <w:szCs w:val="21"/>
              </w:rPr>
              <w:t xml:space="preserve">15.9 </w:t>
            </w:r>
          </w:p>
        </w:tc>
        <w:tc>
          <w:tcPr>
            <w:tcW w:w="567" w:type="dxa"/>
            <w:tcBorders>
              <w:top w:val="nil"/>
              <w:left w:val="nil"/>
              <w:bottom w:val="single" w:color="auto" w:sz="4" w:space="0"/>
              <w:right w:val="single" w:color="auto" w:sz="4" w:space="0"/>
            </w:tcBorders>
            <w:vAlign w:val="center"/>
          </w:tcPr>
          <w:p w14:paraId="21538257">
            <w:pPr>
              <w:widowControl/>
              <w:spacing w:line="240" w:lineRule="auto"/>
              <w:jc w:val="center"/>
              <w:rPr>
                <w:kern w:val="0"/>
                <w:sz w:val="21"/>
                <w:szCs w:val="21"/>
              </w:rPr>
            </w:pPr>
            <w:r>
              <w:rPr>
                <w:kern w:val="0"/>
                <w:sz w:val="21"/>
                <w:szCs w:val="21"/>
              </w:rPr>
              <w:t>93</w:t>
            </w:r>
          </w:p>
        </w:tc>
        <w:tc>
          <w:tcPr>
            <w:tcW w:w="1560" w:type="dxa"/>
            <w:tcBorders>
              <w:top w:val="nil"/>
              <w:left w:val="nil"/>
              <w:bottom w:val="single" w:color="auto" w:sz="4" w:space="0"/>
              <w:right w:val="single" w:color="auto" w:sz="4" w:space="0"/>
            </w:tcBorders>
            <w:vAlign w:val="center"/>
          </w:tcPr>
          <w:p w14:paraId="74725354">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181BF4A6">
            <w:pPr>
              <w:widowControl/>
              <w:spacing w:line="240" w:lineRule="auto"/>
              <w:jc w:val="center"/>
              <w:rPr>
                <w:kern w:val="0"/>
                <w:sz w:val="21"/>
                <w:szCs w:val="21"/>
              </w:rPr>
            </w:pPr>
            <w:r>
              <w:rPr>
                <w:kern w:val="0"/>
                <w:sz w:val="21"/>
                <w:szCs w:val="21"/>
              </w:rPr>
              <w:t xml:space="preserve">1.2 </w:t>
            </w:r>
          </w:p>
        </w:tc>
        <w:tc>
          <w:tcPr>
            <w:tcW w:w="1144" w:type="dxa"/>
            <w:tcBorders>
              <w:top w:val="nil"/>
              <w:left w:val="nil"/>
              <w:bottom w:val="single" w:color="auto" w:sz="4" w:space="0"/>
              <w:right w:val="single" w:color="auto" w:sz="4" w:space="0"/>
            </w:tcBorders>
            <w:vAlign w:val="center"/>
          </w:tcPr>
          <w:p w14:paraId="6A003AD6">
            <w:pPr>
              <w:widowControl/>
              <w:spacing w:line="240" w:lineRule="auto"/>
              <w:jc w:val="center"/>
              <w:rPr>
                <w:kern w:val="0"/>
                <w:sz w:val="21"/>
                <w:szCs w:val="21"/>
              </w:rPr>
            </w:pPr>
            <w:r>
              <w:rPr>
                <w:kern w:val="0"/>
                <w:sz w:val="21"/>
                <w:szCs w:val="21"/>
              </w:rPr>
              <w:t>-</w:t>
            </w:r>
          </w:p>
        </w:tc>
      </w:tr>
      <w:tr w14:paraId="5AFFE57A">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2FB7537A">
            <w:pPr>
              <w:widowControl/>
              <w:spacing w:line="240" w:lineRule="auto"/>
              <w:jc w:val="center"/>
              <w:rPr>
                <w:color w:val="000000"/>
                <w:kern w:val="0"/>
                <w:sz w:val="21"/>
                <w:szCs w:val="21"/>
              </w:rPr>
            </w:pPr>
            <w:r>
              <w:rPr>
                <w:color w:val="000000"/>
                <w:kern w:val="0"/>
                <w:sz w:val="21"/>
                <w:szCs w:val="21"/>
              </w:rPr>
              <w:t>44</w:t>
            </w:r>
          </w:p>
        </w:tc>
        <w:tc>
          <w:tcPr>
            <w:tcW w:w="1134" w:type="dxa"/>
            <w:tcBorders>
              <w:top w:val="nil"/>
              <w:left w:val="nil"/>
              <w:bottom w:val="single" w:color="auto" w:sz="4" w:space="0"/>
              <w:right w:val="single" w:color="auto" w:sz="4" w:space="0"/>
            </w:tcBorders>
            <w:vAlign w:val="center"/>
          </w:tcPr>
          <w:p w14:paraId="68499348">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026D0AEC">
            <w:pPr>
              <w:widowControl/>
              <w:spacing w:line="240" w:lineRule="auto"/>
              <w:jc w:val="center"/>
              <w:rPr>
                <w:kern w:val="0"/>
                <w:sz w:val="21"/>
                <w:szCs w:val="21"/>
              </w:rPr>
            </w:pPr>
            <w:r>
              <w:rPr>
                <w:kern w:val="0"/>
                <w:sz w:val="21"/>
                <w:szCs w:val="21"/>
              </w:rPr>
              <w:t xml:space="preserve">8.8 </w:t>
            </w:r>
          </w:p>
        </w:tc>
        <w:tc>
          <w:tcPr>
            <w:tcW w:w="1177" w:type="dxa"/>
            <w:tcBorders>
              <w:top w:val="nil"/>
              <w:left w:val="nil"/>
              <w:bottom w:val="single" w:color="auto" w:sz="4" w:space="0"/>
              <w:right w:val="single" w:color="auto" w:sz="4" w:space="0"/>
            </w:tcBorders>
            <w:vAlign w:val="center"/>
          </w:tcPr>
          <w:p w14:paraId="56B10C79">
            <w:pPr>
              <w:widowControl/>
              <w:spacing w:line="240" w:lineRule="auto"/>
              <w:jc w:val="center"/>
              <w:rPr>
                <w:kern w:val="0"/>
                <w:sz w:val="21"/>
                <w:szCs w:val="21"/>
              </w:rPr>
            </w:pPr>
            <w:r>
              <w:rPr>
                <w:kern w:val="0"/>
                <w:sz w:val="21"/>
                <w:szCs w:val="21"/>
              </w:rPr>
              <w:t xml:space="preserve">22.2 </w:t>
            </w:r>
          </w:p>
        </w:tc>
        <w:tc>
          <w:tcPr>
            <w:tcW w:w="567" w:type="dxa"/>
            <w:tcBorders>
              <w:top w:val="nil"/>
              <w:left w:val="nil"/>
              <w:bottom w:val="single" w:color="auto" w:sz="4" w:space="0"/>
              <w:right w:val="single" w:color="auto" w:sz="4" w:space="0"/>
            </w:tcBorders>
            <w:vAlign w:val="center"/>
          </w:tcPr>
          <w:p w14:paraId="153DE28D">
            <w:pPr>
              <w:widowControl/>
              <w:spacing w:line="240" w:lineRule="auto"/>
              <w:jc w:val="center"/>
              <w:rPr>
                <w:kern w:val="0"/>
                <w:sz w:val="21"/>
                <w:szCs w:val="21"/>
              </w:rPr>
            </w:pPr>
            <w:r>
              <w:rPr>
                <w:kern w:val="0"/>
                <w:sz w:val="21"/>
                <w:szCs w:val="21"/>
              </w:rPr>
              <w:t>94</w:t>
            </w:r>
          </w:p>
        </w:tc>
        <w:tc>
          <w:tcPr>
            <w:tcW w:w="1560" w:type="dxa"/>
            <w:tcBorders>
              <w:top w:val="nil"/>
              <w:left w:val="nil"/>
              <w:bottom w:val="single" w:color="auto" w:sz="4" w:space="0"/>
              <w:right w:val="single" w:color="auto" w:sz="4" w:space="0"/>
            </w:tcBorders>
            <w:vAlign w:val="center"/>
          </w:tcPr>
          <w:p w14:paraId="7BD017EE">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4DD83FB5">
            <w:pPr>
              <w:widowControl/>
              <w:spacing w:line="240" w:lineRule="auto"/>
              <w:jc w:val="center"/>
              <w:rPr>
                <w:kern w:val="0"/>
                <w:sz w:val="21"/>
                <w:szCs w:val="21"/>
              </w:rPr>
            </w:pPr>
            <w:r>
              <w:rPr>
                <w:kern w:val="0"/>
                <w:sz w:val="21"/>
                <w:szCs w:val="21"/>
              </w:rPr>
              <w:t xml:space="preserve">1.4 </w:t>
            </w:r>
          </w:p>
        </w:tc>
        <w:tc>
          <w:tcPr>
            <w:tcW w:w="1144" w:type="dxa"/>
            <w:tcBorders>
              <w:top w:val="nil"/>
              <w:left w:val="nil"/>
              <w:bottom w:val="single" w:color="auto" w:sz="4" w:space="0"/>
              <w:right w:val="single" w:color="auto" w:sz="4" w:space="0"/>
            </w:tcBorders>
            <w:vAlign w:val="center"/>
          </w:tcPr>
          <w:p w14:paraId="0BCF7428">
            <w:pPr>
              <w:widowControl/>
              <w:spacing w:line="240" w:lineRule="auto"/>
              <w:jc w:val="center"/>
              <w:rPr>
                <w:kern w:val="0"/>
                <w:sz w:val="21"/>
                <w:szCs w:val="21"/>
              </w:rPr>
            </w:pPr>
            <w:r>
              <w:rPr>
                <w:kern w:val="0"/>
                <w:sz w:val="21"/>
                <w:szCs w:val="21"/>
              </w:rPr>
              <w:t>-</w:t>
            </w:r>
          </w:p>
        </w:tc>
      </w:tr>
      <w:tr w14:paraId="2F867EEF">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0B2258F">
            <w:pPr>
              <w:widowControl/>
              <w:spacing w:line="240" w:lineRule="auto"/>
              <w:jc w:val="center"/>
              <w:rPr>
                <w:color w:val="000000"/>
                <w:kern w:val="0"/>
                <w:sz w:val="21"/>
                <w:szCs w:val="21"/>
              </w:rPr>
            </w:pPr>
            <w:r>
              <w:rPr>
                <w:color w:val="000000"/>
                <w:kern w:val="0"/>
                <w:sz w:val="21"/>
                <w:szCs w:val="21"/>
              </w:rPr>
              <w:t>45</w:t>
            </w:r>
          </w:p>
        </w:tc>
        <w:tc>
          <w:tcPr>
            <w:tcW w:w="1134" w:type="dxa"/>
            <w:tcBorders>
              <w:top w:val="nil"/>
              <w:left w:val="nil"/>
              <w:bottom w:val="single" w:color="auto" w:sz="4" w:space="0"/>
              <w:right w:val="single" w:color="auto" w:sz="4" w:space="0"/>
            </w:tcBorders>
            <w:vAlign w:val="center"/>
          </w:tcPr>
          <w:p w14:paraId="3E093953">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50FC29AE">
            <w:pPr>
              <w:widowControl/>
              <w:spacing w:line="240" w:lineRule="auto"/>
              <w:jc w:val="center"/>
              <w:rPr>
                <w:kern w:val="0"/>
                <w:sz w:val="21"/>
                <w:szCs w:val="21"/>
              </w:rPr>
            </w:pPr>
            <w:r>
              <w:rPr>
                <w:kern w:val="0"/>
                <w:sz w:val="21"/>
                <w:szCs w:val="21"/>
              </w:rPr>
              <w:t xml:space="preserve">3.4 </w:t>
            </w:r>
          </w:p>
        </w:tc>
        <w:tc>
          <w:tcPr>
            <w:tcW w:w="1177" w:type="dxa"/>
            <w:tcBorders>
              <w:top w:val="nil"/>
              <w:left w:val="nil"/>
              <w:bottom w:val="single" w:color="auto" w:sz="4" w:space="0"/>
              <w:right w:val="single" w:color="auto" w:sz="4" w:space="0"/>
            </w:tcBorders>
            <w:vAlign w:val="center"/>
          </w:tcPr>
          <w:p w14:paraId="28EE971B">
            <w:pPr>
              <w:widowControl/>
              <w:spacing w:line="240" w:lineRule="auto"/>
              <w:jc w:val="center"/>
              <w:rPr>
                <w:kern w:val="0"/>
                <w:sz w:val="21"/>
                <w:szCs w:val="21"/>
              </w:rPr>
            </w:pPr>
            <w:r>
              <w:rPr>
                <w:kern w:val="0"/>
                <w:sz w:val="21"/>
                <w:szCs w:val="21"/>
              </w:rPr>
              <w:t xml:space="preserve">5.5 </w:t>
            </w:r>
          </w:p>
        </w:tc>
        <w:tc>
          <w:tcPr>
            <w:tcW w:w="567" w:type="dxa"/>
            <w:tcBorders>
              <w:top w:val="nil"/>
              <w:left w:val="nil"/>
              <w:bottom w:val="single" w:color="auto" w:sz="4" w:space="0"/>
              <w:right w:val="single" w:color="auto" w:sz="4" w:space="0"/>
            </w:tcBorders>
            <w:vAlign w:val="center"/>
          </w:tcPr>
          <w:p w14:paraId="482E2779">
            <w:pPr>
              <w:widowControl/>
              <w:spacing w:line="240" w:lineRule="auto"/>
              <w:jc w:val="center"/>
              <w:rPr>
                <w:kern w:val="0"/>
                <w:sz w:val="21"/>
                <w:szCs w:val="21"/>
              </w:rPr>
            </w:pPr>
            <w:r>
              <w:rPr>
                <w:kern w:val="0"/>
                <w:sz w:val="21"/>
                <w:szCs w:val="21"/>
              </w:rPr>
              <w:t>95</w:t>
            </w:r>
          </w:p>
        </w:tc>
        <w:tc>
          <w:tcPr>
            <w:tcW w:w="1560" w:type="dxa"/>
            <w:tcBorders>
              <w:top w:val="nil"/>
              <w:left w:val="nil"/>
              <w:bottom w:val="single" w:color="auto" w:sz="4" w:space="0"/>
              <w:right w:val="single" w:color="auto" w:sz="4" w:space="0"/>
            </w:tcBorders>
            <w:vAlign w:val="center"/>
          </w:tcPr>
          <w:p w14:paraId="20E36150">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312D4DBC">
            <w:pPr>
              <w:widowControl/>
              <w:spacing w:line="240" w:lineRule="auto"/>
              <w:jc w:val="center"/>
              <w:rPr>
                <w:kern w:val="0"/>
                <w:sz w:val="21"/>
                <w:szCs w:val="21"/>
              </w:rPr>
            </w:pPr>
            <w:r>
              <w:rPr>
                <w:kern w:val="0"/>
                <w:sz w:val="21"/>
                <w:szCs w:val="21"/>
              </w:rPr>
              <w:t xml:space="preserve">2.3 </w:t>
            </w:r>
          </w:p>
        </w:tc>
        <w:tc>
          <w:tcPr>
            <w:tcW w:w="1144" w:type="dxa"/>
            <w:tcBorders>
              <w:top w:val="nil"/>
              <w:left w:val="nil"/>
              <w:bottom w:val="single" w:color="auto" w:sz="4" w:space="0"/>
              <w:right w:val="single" w:color="auto" w:sz="4" w:space="0"/>
            </w:tcBorders>
            <w:vAlign w:val="center"/>
          </w:tcPr>
          <w:p w14:paraId="4B2EEC5E">
            <w:pPr>
              <w:widowControl/>
              <w:spacing w:line="240" w:lineRule="auto"/>
              <w:jc w:val="center"/>
              <w:rPr>
                <w:kern w:val="0"/>
                <w:sz w:val="21"/>
                <w:szCs w:val="21"/>
              </w:rPr>
            </w:pPr>
            <w:r>
              <w:rPr>
                <w:kern w:val="0"/>
                <w:sz w:val="21"/>
                <w:szCs w:val="21"/>
              </w:rPr>
              <w:t>-</w:t>
            </w:r>
          </w:p>
        </w:tc>
      </w:tr>
      <w:tr w14:paraId="53E2A1D6">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A6265CA">
            <w:pPr>
              <w:widowControl/>
              <w:spacing w:line="240" w:lineRule="auto"/>
              <w:jc w:val="center"/>
              <w:rPr>
                <w:color w:val="000000"/>
                <w:kern w:val="0"/>
                <w:sz w:val="21"/>
                <w:szCs w:val="21"/>
              </w:rPr>
            </w:pPr>
            <w:r>
              <w:rPr>
                <w:color w:val="000000"/>
                <w:kern w:val="0"/>
                <w:sz w:val="21"/>
                <w:szCs w:val="21"/>
              </w:rPr>
              <w:t>46</w:t>
            </w:r>
          </w:p>
        </w:tc>
        <w:tc>
          <w:tcPr>
            <w:tcW w:w="1134" w:type="dxa"/>
            <w:tcBorders>
              <w:top w:val="nil"/>
              <w:left w:val="nil"/>
              <w:bottom w:val="single" w:color="auto" w:sz="4" w:space="0"/>
              <w:right w:val="single" w:color="auto" w:sz="4" w:space="0"/>
            </w:tcBorders>
            <w:vAlign w:val="center"/>
          </w:tcPr>
          <w:p w14:paraId="66EED3C0">
            <w:pPr>
              <w:widowControl/>
              <w:spacing w:line="240" w:lineRule="auto"/>
              <w:jc w:val="left"/>
              <w:rPr>
                <w:color w:val="000000"/>
                <w:kern w:val="0"/>
                <w:sz w:val="21"/>
                <w:szCs w:val="21"/>
              </w:rPr>
            </w:pPr>
            <w:r>
              <w:rPr>
                <w:rFonts w:hint="eastAsia" w:hAnsi="宋体"/>
                <w:color w:val="000000"/>
                <w:kern w:val="0"/>
                <w:sz w:val="21"/>
                <w:szCs w:val="21"/>
              </w:rPr>
              <w:t>粤菜</w:t>
            </w:r>
          </w:p>
        </w:tc>
        <w:tc>
          <w:tcPr>
            <w:tcW w:w="1232" w:type="dxa"/>
            <w:tcBorders>
              <w:top w:val="nil"/>
              <w:left w:val="nil"/>
              <w:bottom w:val="single" w:color="auto" w:sz="4" w:space="0"/>
              <w:right w:val="single" w:color="auto" w:sz="4" w:space="0"/>
            </w:tcBorders>
            <w:vAlign w:val="center"/>
          </w:tcPr>
          <w:p w14:paraId="21ED4E2C">
            <w:pPr>
              <w:widowControl/>
              <w:spacing w:line="240" w:lineRule="auto"/>
              <w:jc w:val="center"/>
              <w:rPr>
                <w:kern w:val="0"/>
                <w:sz w:val="21"/>
                <w:szCs w:val="21"/>
              </w:rPr>
            </w:pPr>
            <w:r>
              <w:rPr>
                <w:kern w:val="0"/>
                <w:sz w:val="21"/>
                <w:szCs w:val="21"/>
              </w:rPr>
              <w:t xml:space="preserve">2.7 </w:t>
            </w:r>
          </w:p>
        </w:tc>
        <w:tc>
          <w:tcPr>
            <w:tcW w:w="1177" w:type="dxa"/>
            <w:tcBorders>
              <w:top w:val="nil"/>
              <w:left w:val="nil"/>
              <w:bottom w:val="single" w:color="auto" w:sz="4" w:space="0"/>
              <w:right w:val="single" w:color="auto" w:sz="4" w:space="0"/>
            </w:tcBorders>
            <w:vAlign w:val="center"/>
          </w:tcPr>
          <w:p w14:paraId="46543515">
            <w:pPr>
              <w:widowControl/>
              <w:spacing w:line="240" w:lineRule="auto"/>
              <w:jc w:val="center"/>
              <w:rPr>
                <w:kern w:val="0"/>
                <w:sz w:val="21"/>
                <w:szCs w:val="21"/>
              </w:rPr>
            </w:pPr>
            <w:r>
              <w:rPr>
                <w:kern w:val="0"/>
                <w:sz w:val="21"/>
                <w:szCs w:val="21"/>
              </w:rPr>
              <w:t xml:space="preserve">4.4 </w:t>
            </w:r>
          </w:p>
        </w:tc>
        <w:tc>
          <w:tcPr>
            <w:tcW w:w="567" w:type="dxa"/>
            <w:tcBorders>
              <w:top w:val="nil"/>
              <w:left w:val="nil"/>
              <w:bottom w:val="single" w:color="auto" w:sz="4" w:space="0"/>
              <w:right w:val="single" w:color="auto" w:sz="4" w:space="0"/>
            </w:tcBorders>
            <w:vAlign w:val="center"/>
          </w:tcPr>
          <w:p w14:paraId="62E084A2">
            <w:pPr>
              <w:widowControl/>
              <w:spacing w:line="240" w:lineRule="auto"/>
              <w:jc w:val="center"/>
              <w:rPr>
                <w:kern w:val="0"/>
                <w:sz w:val="21"/>
                <w:szCs w:val="21"/>
              </w:rPr>
            </w:pPr>
            <w:r>
              <w:rPr>
                <w:kern w:val="0"/>
                <w:sz w:val="21"/>
                <w:szCs w:val="21"/>
              </w:rPr>
              <w:t>96</w:t>
            </w:r>
          </w:p>
        </w:tc>
        <w:tc>
          <w:tcPr>
            <w:tcW w:w="1560" w:type="dxa"/>
            <w:tcBorders>
              <w:top w:val="nil"/>
              <w:left w:val="nil"/>
              <w:bottom w:val="single" w:color="auto" w:sz="4" w:space="0"/>
              <w:right w:val="single" w:color="auto" w:sz="4" w:space="0"/>
            </w:tcBorders>
            <w:vAlign w:val="center"/>
          </w:tcPr>
          <w:p w14:paraId="2AC99C59">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1E145D32">
            <w:pPr>
              <w:widowControl/>
              <w:spacing w:line="240" w:lineRule="auto"/>
              <w:jc w:val="center"/>
              <w:rPr>
                <w:kern w:val="0"/>
                <w:sz w:val="21"/>
                <w:szCs w:val="21"/>
              </w:rPr>
            </w:pPr>
            <w:r>
              <w:rPr>
                <w:kern w:val="0"/>
                <w:sz w:val="21"/>
                <w:szCs w:val="21"/>
              </w:rPr>
              <w:t xml:space="preserve">12.3 </w:t>
            </w:r>
          </w:p>
        </w:tc>
        <w:tc>
          <w:tcPr>
            <w:tcW w:w="1144" w:type="dxa"/>
            <w:tcBorders>
              <w:top w:val="nil"/>
              <w:left w:val="nil"/>
              <w:bottom w:val="single" w:color="auto" w:sz="4" w:space="0"/>
              <w:right w:val="single" w:color="auto" w:sz="4" w:space="0"/>
            </w:tcBorders>
            <w:vAlign w:val="center"/>
          </w:tcPr>
          <w:p w14:paraId="059E1DFF">
            <w:pPr>
              <w:widowControl/>
              <w:spacing w:line="240" w:lineRule="auto"/>
              <w:jc w:val="center"/>
              <w:rPr>
                <w:kern w:val="0"/>
                <w:sz w:val="21"/>
                <w:szCs w:val="21"/>
              </w:rPr>
            </w:pPr>
            <w:r>
              <w:rPr>
                <w:kern w:val="0"/>
                <w:sz w:val="21"/>
                <w:szCs w:val="21"/>
              </w:rPr>
              <w:t>-</w:t>
            </w:r>
          </w:p>
        </w:tc>
      </w:tr>
      <w:tr w14:paraId="20DE1EE0">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403983D6">
            <w:pPr>
              <w:widowControl/>
              <w:spacing w:line="240" w:lineRule="auto"/>
              <w:jc w:val="center"/>
              <w:rPr>
                <w:color w:val="000000"/>
                <w:kern w:val="0"/>
                <w:sz w:val="21"/>
                <w:szCs w:val="21"/>
              </w:rPr>
            </w:pPr>
            <w:r>
              <w:rPr>
                <w:color w:val="000000"/>
                <w:kern w:val="0"/>
                <w:sz w:val="21"/>
                <w:szCs w:val="21"/>
              </w:rPr>
              <w:t>47</w:t>
            </w:r>
          </w:p>
        </w:tc>
        <w:tc>
          <w:tcPr>
            <w:tcW w:w="1134" w:type="dxa"/>
            <w:tcBorders>
              <w:top w:val="nil"/>
              <w:left w:val="nil"/>
              <w:bottom w:val="single" w:color="auto" w:sz="4" w:space="0"/>
              <w:right w:val="single" w:color="auto" w:sz="4" w:space="0"/>
            </w:tcBorders>
            <w:vAlign w:val="center"/>
          </w:tcPr>
          <w:p w14:paraId="7C75923B">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14:paraId="32A46BFD">
            <w:pPr>
              <w:widowControl/>
              <w:spacing w:line="240" w:lineRule="auto"/>
              <w:jc w:val="center"/>
              <w:rPr>
                <w:kern w:val="0"/>
                <w:sz w:val="21"/>
                <w:szCs w:val="21"/>
              </w:rPr>
            </w:pPr>
            <w:r>
              <w:rPr>
                <w:kern w:val="0"/>
                <w:sz w:val="21"/>
                <w:szCs w:val="21"/>
              </w:rPr>
              <w:t xml:space="preserve">17.9 </w:t>
            </w:r>
          </w:p>
        </w:tc>
        <w:tc>
          <w:tcPr>
            <w:tcW w:w="1177" w:type="dxa"/>
            <w:tcBorders>
              <w:top w:val="nil"/>
              <w:left w:val="nil"/>
              <w:bottom w:val="single" w:color="auto" w:sz="4" w:space="0"/>
              <w:right w:val="single" w:color="auto" w:sz="4" w:space="0"/>
            </w:tcBorders>
            <w:vAlign w:val="center"/>
          </w:tcPr>
          <w:p w14:paraId="16AAB875">
            <w:pPr>
              <w:widowControl/>
              <w:spacing w:line="240" w:lineRule="auto"/>
              <w:jc w:val="center"/>
              <w:rPr>
                <w:kern w:val="0"/>
                <w:sz w:val="21"/>
                <w:szCs w:val="21"/>
              </w:rPr>
            </w:pPr>
            <w:r>
              <w:rPr>
                <w:kern w:val="0"/>
                <w:sz w:val="21"/>
                <w:szCs w:val="21"/>
              </w:rPr>
              <w:t xml:space="preserve">16.1 </w:t>
            </w:r>
          </w:p>
        </w:tc>
        <w:tc>
          <w:tcPr>
            <w:tcW w:w="567" w:type="dxa"/>
            <w:tcBorders>
              <w:top w:val="nil"/>
              <w:left w:val="nil"/>
              <w:bottom w:val="single" w:color="auto" w:sz="4" w:space="0"/>
              <w:right w:val="single" w:color="auto" w:sz="4" w:space="0"/>
            </w:tcBorders>
            <w:vAlign w:val="center"/>
          </w:tcPr>
          <w:p w14:paraId="0767EEA8">
            <w:pPr>
              <w:widowControl/>
              <w:spacing w:line="240" w:lineRule="auto"/>
              <w:jc w:val="center"/>
              <w:rPr>
                <w:kern w:val="0"/>
                <w:sz w:val="21"/>
                <w:szCs w:val="21"/>
              </w:rPr>
            </w:pPr>
            <w:r>
              <w:rPr>
                <w:kern w:val="0"/>
                <w:sz w:val="21"/>
                <w:szCs w:val="21"/>
              </w:rPr>
              <w:t>97</w:t>
            </w:r>
          </w:p>
        </w:tc>
        <w:tc>
          <w:tcPr>
            <w:tcW w:w="1560" w:type="dxa"/>
            <w:tcBorders>
              <w:top w:val="nil"/>
              <w:left w:val="nil"/>
              <w:bottom w:val="single" w:color="auto" w:sz="4" w:space="0"/>
              <w:right w:val="single" w:color="auto" w:sz="4" w:space="0"/>
            </w:tcBorders>
            <w:vAlign w:val="center"/>
          </w:tcPr>
          <w:p w14:paraId="6CA8EF22">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4017EFC2">
            <w:pPr>
              <w:widowControl/>
              <w:spacing w:line="240" w:lineRule="auto"/>
              <w:jc w:val="center"/>
              <w:rPr>
                <w:kern w:val="0"/>
                <w:sz w:val="21"/>
                <w:szCs w:val="21"/>
              </w:rPr>
            </w:pPr>
            <w:r>
              <w:rPr>
                <w:kern w:val="0"/>
                <w:sz w:val="21"/>
                <w:szCs w:val="21"/>
              </w:rPr>
              <w:t xml:space="preserve">1.7 </w:t>
            </w:r>
          </w:p>
        </w:tc>
        <w:tc>
          <w:tcPr>
            <w:tcW w:w="1144" w:type="dxa"/>
            <w:tcBorders>
              <w:top w:val="nil"/>
              <w:left w:val="nil"/>
              <w:bottom w:val="single" w:color="auto" w:sz="4" w:space="0"/>
              <w:right w:val="single" w:color="auto" w:sz="4" w:space="0"/>
            </w:tcBorders>
            <w:vAlign w:val="center"/>
          </w:tcPr>
          <w:p w14:paraId="533B69B6">
            <w:pPr>
              <w:widowControl/>
              <w:spacing w:line="240" w:lineRule="auto"/>
              <w:jc w:val="center"/>
              <w:rPr>
                <w:kern w:val="0"/>
                <w:sz w:val="21"/>
                <w:szCs w:val="21"/>
              </w:rPr>
            </w:pPr>
            <w:r>
              <w:rPr>
                <w:kern w:val="0"/>
                <w:sz w:val="21"/>
                <w:szCs w:val="21"/>
              </w:rPr>
              <w:t>-</w:t>
            </w:r>
          </w:p>
        </w:tc>
      </w:tr>
      <w:tr w14:paraId="69CC61CD">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081F9FDE">
            <w:pPr>
              <w:widowControl/>
              <w:spacing w:line="240" w:lineRule="auto"/>
              <w:jc w:val="center"/>
              <w:rPr>
                <w:color w:val="000000"/>
                <w:kern w:val="0"/>
                <w:sz w:val="21"/>
                <w:szCs w:val="21"/>
              </w:rPr>
            </w:pPr>
            <w:r>
              <w:rPr>
                <w:color w:val="000000"/>
                <w:kern w:val="0"/>
                <w:sz w:val="21"/>
                <w:szCs w:val="21"/>
              </w:rPr>
              <w:t>48</w:t>
            </w:r>
          </w:p>
        </w:tc>
        <w:tc>
          <w:tcPr>
            <w:tcW w:w="1134" w:type="dxa"/>
            <w:tcBorders>
              <w:top w:val="nil"/>
              <w:left w:val="nil"/>
              <w:bottom w:val="single" w:color="auto" w:sz="4" w:space="0"/>
              <w:right w:val="single" w:color="auto" w:sz="4" w:space="0"/>
            </w:tcBorders>
            <w:vAlign w:val="center"/>
          </w:tcPr>
          <w:p w14:paraId="43ADF3FE">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14:paraId="0997C662">
            <w:pPr>
              <w:widowControl/>
              <w:spacing w:line="240" w:lineRule="auto"/>
              <w:jc w:val="center"/>
              <w:rPr>
                <w:kern w:val="0"/>
                <w:sz w:val="21"/>
                <w:szCs w:val="21"/>
              </w:rPr>
            </w:pPr>
            <w:r>
              <w:rPr>
                <w:kern w:val="0"/>
                <w:sz w:val="21"/>
                <w:szCs w:val="21"/>
              </w:rPr>
              <w:t xml:space="preserve">13.4 </w:t>
            </w:r>
          </w:p>
        </w:tc>
        <w:tc>
          <w:tcPr>
            <w:tcW w:w="1177" w:type="dxa"/>
            <w:tcBorders>
              <w:top w:val="nil"/>
              <w:left w:val="nil"/>
              <w:bottom w:val="single" w:color="auto" w:sz="4" w:space="0"/>
              <w:right w:val="single" w:color="auto" w:sz="4" w:space="0"/>
            </w:tcBorders>
            <w:vAlign w:val="center"/>
          </w:tcPr>
          <w:p w14:paraId="12FD3503">
            <w:pPr>
              <w:widowControl/>
              <w:spacing w:line="240" w:lineRule="auto"/>
              <w:jc w:val="center"/>
              <w:rPr>
                <w:kern w:val="0"/>
                <w:sz w:val="21"/>
                <w:szCs w:val="21"/>
              </w:rPr>
            </w:pPr>
            <w:r>
              <w:rPr>
                <w:kern w:val="0"/>
                <w:sz w:val="21"/>
                <w:szCs w:val="21"/>
              </w:rPr>
              <w:t xml:space="preserve">10.9 </w:t>
            </w:r>
          </w:p>
        </w:tc>
        <w:tc>
          <w:tcPr>
            <w:tcW w:w="567" w:type="dxa"/>
            <w:tcBorders>
              <w:top w:val="nil"/>
              <w:left w:val="nil"/>
              <w:bottom w:val="single" w:color="auto" w:sz="4" w:space="0"/>
              <w:right w:val="single" w:color="auto" w:sz="4" w:space="0"/>
            </w:tcBorders>
            <w:vAlign w:val="center"/>
          </w:tcPr>
          <w:p w14:paraId="5EE445C1">
            <w:pPr>
              <w:widowControl/>
              <w:spacing w:line="240" w:lineRule="auto"/>
              <w:jc w:val="center"/>
              <w:rPr>
                <w:kern w:val="0"/>
                <w:sz w:val="21"/>
                <w:szCs w:val="21"/>
              </w:rPr>
            </w:pPr>
            <w:r>
              <w:rPr>
                <w:kern w:val="0"/>
                <w:sz w:val="21"/>
                <w:szCs w:val="21"/>
              </w:rPr>
              <w:t>98</w:t>
            </w:r>
          </w:p>
        </w:tc>
        <w:tc>
          <w:tcPr>
            <w:tcW w:w="1560" w:type="dxa"/>
            <w:tcBorders>
              <w:top w:val="nil"/>
              <w:left w:val="nil"/>
              <w:bottom w:val="single" w:color="auto" w:sz="4" w:space="0"/>
              <w:right w:val="single" w:color="auto" w:sz="4" w:space="0"/>
            </w:tcBorders>
            <w:vAlign w:val="center"/>
          </w:tcPr>
          <w:p w14:paraId="645D8645">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079EED90">
            <w:pPr>
              <w:widowControl/>
              <w:spacing w:line="240" w:lineRule="auto"/>
              <w:jc w:val="center"/>
              <w:rPr>
                <w:kern w:val="0"/>
                <w:sz w:val="21"/>
                <w:szCs w:val="21"/>
              </w:rPr>
            </w:pPr>
            <w:r>
              <w:rPr>
                <w:kern w:val="0"/>
                <w:sz w:val="21"/>
                <w:szCs w:val="21"/>
              </w:rPr>
              <w:t xml:space="preserve">1.7 </w:t>
            </w:r>
          </w:p>
        </w:tc>
        <w:tc>
          <w:tcPr>
            <w:tcW w:w="1144" w:type="dxa"/>
            <w:tcBorders>
              <w:top w:val="nil"/>
              <w:left w:val="nil"/>
              <w:bottom w:val="single" w:color="auto" w:sz="4" w:space="0"/>
              <w:right w:val="single" w:color="auto" w:sz="4" w:space="0"/>
            </w:tcBorders>
            <w:vAlign w:val="center"/>
          </w:tcPr>
          <w:p w14:paraId="13E499FC">
            <w:pPr>
              <w:widowControl/>
              <w:spacing w:line="240" w:lineRule="auto"/>
              <w:jc w:val="center"/>
              <w:rPr>
                <w:kern w:val="0"/>
                <w:sz w:val="21"/>
                <w:szCs w:val="21"/>
              </w:rPr>
            </w:pPr>
            <w:r>
              <w:rPr>
                <w:kern w:val="0"/>
                <w:sz w:val="21"/>
                <w:szCs w:val="21"/>
              </w:rPr>
              <w:t>-</w:t>
            </w:r>
          </w:p>
        </w:tc>
      </w:tr>
      <w:tr w14:paraId="4174BFD7">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5D6C176C">
            <w:pPr>
              <w:widowControl/>
              <w:spacing w:line="240" w:lineRule="auto"/>
              <w:jc w:val="center"/>
              <w:rPr>
                <w:color w:val="000000"/>
                <w:kern w:val="0"/>
                <w:sz w:val="21"/>
                <w:szCs w:val="21"/>
              </w:rPr>
            </w:pPr>
            <w:r>
              <w:rPr>
                <w:color w:val="000000"/>
                <w:kern w:val="0"/>
                <w:sz w:val="21"/>
                <w:szCs w:val="21"/>
              </w:rPr>
              <w:t>49</w:t>
            </w:r>
          </w:p>
        </w:tc>
        <w:tc>
          <w:tcPr>
            <w:tcW w:w="1134" w:type="dxa"/>
            <w:tcBorders>
              <w:top w:val="nil"/>
              <w:left w:val="nil"/>
              <w:bottom w:val="single" w:color="auto" w:sz="4" w:space="0"/>
              <w:right w:val="single" w:color="auto" w:sz="4" w:space="0"/>
            </w:tcBorders>
            <w:vAlign w:val="center"/>
          </w:tcPr>
          <w:p w14:paraId="27F86282">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14:paraId="7847013A">
            <w:pPr>
              <w:widowControl/>
              <w:spacing w:line="240" w:lineRule="auto"/>
              <w:jc w:val="center"/>
              <w:rPr>
                <w:kern w:val="0"/>
                <w:sz w:val="21"/>
                <w:szCs w:val="21"/>
              </w:rPr>
            </w:pPr>
            <w:r>
              <w:rPr>
                <w:kern w:val="0"/>
                <w:sz w:val="21"/>
                <w:szCs w:val="21"/>
              </w:rPr>
              <w:t xml:space="preserve">32.8 </w:t>
            </w:r>
          </w:p>
        </w:tc>
        <w:tc>
          <w:tcPr>
            <w:tcW w:w="1177" w:type="dxa"/>
            <w:tcBorders>
              <w:top w:val="nil"/>
              <w:left w:val="nil"/>
              <w:bottom w:val="single" w:color="auto" w:sz="4" w:space="0"/>
              <w:right w:val="single" w:color="auto" w:sz="4" w:space="0"/>
            </w:tcBorders>
            <w:vAlign w:val="center"/>
          </w:tcPr>
          <w:p w14:paraId="1F7C65FF">
            <w:pPr>
              <w:widowControl/>
              <w:spacing w:line="240" w:lineRule="auto"/>
              <w:jc w:val="center"/>
              <w:rPr>
                <w:kern w:val="0"/>
                <w:sz w:val="21"/>
                <w:szCs w:val="21"/>
              </w:rPr>
            </w:pPr>
            <w:r>
              <w:rPr>
                <w:kern w:val="0"/>
                <w:sz w:val="21"/>
                <w:szCs w:val="21"/>
              </w:rPr>
              <w:t xml:space="preserve">43.4 </w:t>
            </w:r>
          </w:p>
        </w:tc>
        <w:tc>
          <w:tcPr>
            <w:tcW w:w="567" w:type="dxa"/>
            <w:tcBorders>
              <w:top w:val="nil"/>
              <w:left w:val="nil"/>
              <w:bottom w:val="single" w:color="auto" w:sz="4" w:space="0"/>
              <w:right w:val="single" w:color="auto" w:sz="4" w:space="0"/>
            </w:tcBorders>
            <w:vAlign w:val="center"/>
          </w:tcPr>
          <w:p w14:paraId="3651695D">
            <w:pPr>
              <w:widowControl/>
              <w:spacing w:line="240" w:lineRule="auto"/>
              <w:jc w:val="center"/>
              <w:rPr>
                <w:kern w:val="0"/>
                <w:sz w:val="21"/>
                <w:szCs w:val="21"/>
              </w:rPr>
            </w:pPr>
            <w:r>
              <w:rPr>
                <w:kern w:val="0"/>
                <w:sz w:val="21"/>
                <w:szCs w:val="21"/>
              </w:rPr>
              <w:t>99</w:t>
            </w:r>
          </w:p>
        </w:tc>
        <w:tc>
          <w:tcPr>
            <w:tcW w:w="1560" w:type="dxa"/>
            <w:tcBorders>
              <w:top w:val="nil"/>
              <w:left w:val="nil"/>
              <w:bottom w:val="single" w:color="auto" w:sz="4" w:space="0"/>
              <w:right w:val="single" w:color="auto" w:sz="4" w:space="0"/>
            </w:tcBorders>
            <w:vAlign w:val="center"/>
          </w:tcPr>
          <w:p w14:paraId="1C04C6B2">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66DA3561">
            <w:pPr>
              <w:widowControl/>
              <w:spacing w:line="240" w:lineRule="auto"/>
              <w:jc w:val="center"/>
              <w:rPr>
                <w:kern w:val="0"/>
                <w:sz w:val="21"/>
                <w:szCs w:val="21"/>
              </w:rPr>
            </w:pPr>
            <w:r>
              <w:rPr>
                <w:kern w:val="0"/>
                <w:sz w:val="21"/>
                <w:szCs w:val="21"/>
              </w:rPr>
              <w:t xml:space="preserve">9.1 </w:t>
            </w:r>
          </w:p>
        </w:tc>
        <w:tc>
          <w:tcPr>
            <w:tcW w:w="1144" w:type="dxa"/>
            <w:tcBorders>
              <w:top w:val="nil"/>
              <w:left w:val="nil"/>
              <w:bottom w:val="single" w:color="auto" w:sz="4" w:space="0"/>
              <w:right w:val="single" w:color="auto" w:sz="4" w:space="0"/>
            </w:tcBorders>
            <w:vAlign w:val="center"/>
          </w:tcPr>
          <w:p w14:paraId="7388C65E">
            <w:pPr>
              <w:widowControl/>
              <w:spacing w:line="240" w:lineRule="auto"/>
              <w:jc w:val="center"/>
              <w:rPr>
                <w:kern w:val="0"/>
                <w:sz w:val="21"/>
                <w:szCs w:val="21"/>
              </w:rPr>
            </w:pPr>
            <w:r>
              <w:rPr>
                <w:kern w:val="0"/>
                <w:sz w:val="21"/>
                <w:szCs w:val="21"/>
              </w:rPr>
              <w:t>-</w:t>
            </w:r>
          </w:p>
        </w:tc>
      </w:tr>
      <w:tr w14:paraId="3DF66747">
        <w:tblPrEx>
          <w:tblCellMar>
            <w:top w:w="0" w:type="dxa"/>
            <w:left w:w="108" w:type="dxa"/>
            <w:bottom w:w="0" w:type="dxa"/>
            <w:right w:w="108" w:type="dxa"/>
          </w:tblCellMar>
        </w:tblPrEx>
        <w:trPr>
          <w:trHeight w:val="20" w:hRule="atLeast"/>
        </w:trPr>
        <w:tc>
          <w:tcPr>
            <w:tcW w:w="568" w:type="dxa"/>
            <w:tcBorders>
              <w:top w:val="nil"/>
              <w:left w:val="single" w:color="auto" w:sz="4" w:space="0"/>
              <w:bottom w:val="single" w:color="auto" w:sz="4" w:space="0"/>
              <w:right w:val="single" w:color="auto" w:sz="4" w:space="0"/>
            </w:tcBorders>
            <w:vAlign w:val="center"/>
          </w:tcPr>
          <w:p w14:paraId="3460EBFA">
            <w:pPr>
              <w:widowControl/>
              <w:spacing w:line="240" w:lineRule="auto"/>
              <w:jc w:val="center"/>
              <w:rPr>
                <w:color w:val="000000"/>
                <w:kern w:val="0"/>
                <w:sz w:val="21"/>
                <w:szCs w:val="21"/>
              </w:rPr>
            </w:pPr>
            <w:r>
              <w:rPr>
                <w:color w:val="000000"/>
                <w:kern w:val="0"/>
                <w:sz w:val="21"/>
                <w:szCs w:val="21"/>
              </w:rPr>
              <w:t>50</w:t>
            </w:r>
          </w:p>
        </w:tc>
        <w:tc>
          <w:tcPr>
            <w:tcW w:w="1134" w:type="dxa"/>
            <w:tcBorders>
              <w:top w:val="nil"/>
              <w:left w:val="nil"/>
              <w:bottom w:val="single" w:color="auto" w:sz="4" w:space="0"/>
              <w:right w:val="single" w:color="auto" w:sz="4" w:space="0"/>
            </w:tcBorders>
            <w:vAlign w:val="center"/>
          </w:tcPr>
          <w:p w14:paraId="0F258516">
            <w:pPr>
              <w:widowControl/>
              <w:spacing w:line="240" w:lineRule="auto"/>
              <w:jc w:val="left"/>
              <w:rPr>
                <w:color w:val="000000"/>
                <w:kern w:val="0"/>
                <w:sz w:val="21"/>
                <w:szCs w:val="21"/>
              </w:rPr>
            </w:pPr>
            <w:r>
              <w:rPr>
                <w:rFonts w:hint="eastAsia" w:hAnsi="宋体"/>
                <w:color w:val="000000"/>
                <w:kern w:val="0"/>
                <w:sz w:val="21"/>
                <w:szCs w:val="21"/>
              </w:rPr>
              <w:t>家常菜</w:t>
            </w:r>
          </w:p>
        </w:tc>
        <w:tc>
          <w:tcPr>
            <w:tcW w:w="1232" w:type="dxa"/>
            <w:tcBorders>
              <w:top w:val="nil"/>
              <w:left w:val="nil"/>
              <w:bottom w:val="single" w:color="auto" w:sz="4" w:space="0"/>
              <w:right w:val="single" w:color="auto" w:sz="4" w:space="0"/>
            </w:tcBorders>
            <w:vAlign w:val="center"/>
          </w:tcPr>
          <w:p w14:paraId="0EC8D382">
            <w:pPr>
              <w:widowControl/>
              <w:spacing w:line="240" w:lineRule="auto"/>
              <w:jc w:val="center"/>
              <w:rPr>
                <w:kern w:val="0"/>
                <w:sz w:val="21"/>
                <w:szCs w:val="21"/>
              </w:rPr>
            </w:pPr>
            <w:r>
              <w:rPr>
                <w:kern w:val="0"/>
                <w:sz w:val="21"/>
                <w:szCs w:val="21"/>
              </w:rPr>
              <w:t xml:space="preserve">1.4 </w:t>
            </w:r>
          </w:p>
        </w:tc>
        <w:tc>
          <w:tcPr>
            <w:tcW w:w="1177" w:type="dxa"/>
            <w:tcBorders>
              <w:top w:val="nil"/>
              <w:left w:val="nil"/>
              <w:bottom w:val="single" w:color="auto" w:sz="4" w:space="0"/>
              <w:right w:val="single" w:color="auto" w:sz="4" w:space="0"/>
            </w:tcBorders>
            <w:vAlign w:val="center"/>
          </w:tcPr>
          <w:p w14:paraId="246A0078">
            <w:pPr>
              <w:widowControl/>
              <w:spacing w:line="240" w:lineRule="auto"/>
              <w:jc w:val="center"/>
              <w:rPr>
                <w:kern w:val="0"/>
                <w:sz w:val="21"/>
                <w:szCs w:val="21"/>
              </w:rPr>
            </w:pPr>
            <w:r>
              <w:rPr>
                <w:kern w:val="0"/>
                <w:sz w:val="21"/>
                <w:szCs w:val="21"/>
              </w:rPr>
              <w:t xml:space="preserve">1.9 </w:t>
            </w:r>
          </w:p>
        </w:tc>
        <w:tc>
          <w:tcPr>
            <w:tcW w:w="567" w:type="dxa"/>
            <w:tcBorders>
              <w:top w:val="nil"/>
              <w:left w:val="nil"/>
              <w:bottom w:val="single" w:color="auto" w:sz="4" w:space="0"/>
              <w:right w:val="single" w:color="auto" w:sz="4" w:space="0"/>
            </w:tcBorders>
            <w:vAlign w:val="center"/>
          </w:tcPr>
          <w:p w14:paraId="1C8DEB38">
            <w:pPr>
              <w:widowControl/>
              <w:spacing w:line="240" w:lineRule="auto"/>
              <w:jc w:val="center"/>
              <w:rPr>
                <w:kern w:val="0"/>
                <w:sz w:val="21"/>
                <w:szCs w:val="21"/>
              </w:rPr>
            </w:pPr>
            <w:r>
              <w:rPr>
                <w:kern w:val="0"/>
                <w:sz w:val="21"/>
                <w:szCs w:val="21"/>
              </w:rPr>
              <w:t>100</w:t>
            </w:r>
          </w:p>
        </w:tc>
        <w:tc>
          <w:tcPr>
            <w:tcW w:w="1560" w:type="dxa"/>
            <w:tcBorders>
              <w:top w:val="nil"/>
              <w:left w:val="nil"/>
              <w:bottom w:val="single" w:color="auto" w:sz="4" w:space="0"/>
              <w:right w:val="single" w:color="auto" w:sz="4" w:space="0"/>
            </w:tcBorders>
            <w:vAlign w:val="center"/>
          </w:tcPr>
          <w:p w14:paraId="6BC7D0DC">
            <w:pPr>
              <w:widowControl/>
              <w:spacing w:line="240" w:lineRule="auto"/>
              <w:jc w:val="left"/>
              <w:rPr>
                <w:kern w:val="0"/>
                <w:sz w:val="21"/>
                <w:szCs w:val="21"/>
              </w:rPr>
            </w:pPr>
            <w:r>
              <w:rPr>
                <w:rFonts w:hint="eastAsia" w:hAnsi="宋体"/>
                <w:kern w:val="0"/>
                <w:sz w:val="21"/>
                <w:szCs w:val="21"/>
              </w:rPr>
              <w:t>商场混合排口</w:t>
            </w:r>
          </w:p>
        </w:tc>
        <w:tc>
          <w:tcPr>
            <w:tcW w:w="1134" w:type="dxa"/>
            <w:tcBorders>
              <w:top w:val="nil"/>
              <w:left w:val="nil"/>
              <w:bottom w:val="single" w:color="auto" w:sz="4" w:space="0"/>
              <w:right w:val="single" w:color="auto" w:sz="4" w:space="0"/>
            </w:tcBorders>
            <w:vAlign w:val="center"/>
          </w:tcPr>
          <w:p w14:paraId="1DD1AB00">
            <w:pPr>
              <w:widowControl/>
              <w:spacing w:line="240" w:lineRule="auto"/>
              <w:jc w:val="center"/>
              <w:rPr>
                <w:kern w:val="0"/>
                <w:sz w:val="21"/>
                <w:szCs w:val="21"/>
              </w:rPr>
            </w:pPr>
            <w:r>
              <w:rPr>
                <w:kern w:val="0"/>
                <w:sz w:val="21"/>
                <w:szCs w:val="21"/>
              </w:rPr>
              <w:t xml:space="preserve">4.4 </w:t>
            </w:r>
          </w:p>
        </w:tc>
        <w:tc>
          <w:tcPr>
            <w:tcW w:w="1144" w:type="dxa"/>
            <w:tcBorders>
              <w:top w:val="nil"/>
              <w:left w:val="nil"/>
              <w:bottom w:val="single" w:color="auto" w:sz="4" w:space="0"/>
              <w:right w:val="single" w:color="auto" w:sz="4" w:space="0"/>
            </w:tcBorders>
            <w:vAlign w:val="center"/>
          </w:tcPr>
          <w:p w14:paraId="01DD4876">
            <w:pPr>
              <w:widowControl/>
              <w:spacing w:line="240" w:lineRule="auto"/>
              <w:jc w:val="center"/>
              <w:rPr>
                <w:kern w:val="0"/>
                <w:sz w:val="21"/>
                <w:szCs w:val="21"/>
              </w:rPr>
            </w:pPr>
            <w:r>
              <w:rPr>
                <w:kern w:val="0"/>
                <w:sz w:val="21"/>
                <w:szCs w:val="21"/>
              </w:rPr>
              <w:t>-</w:t>
            </w:r>
          </w:p>
        </w:tc>
      </w:tr>
    </w:tbl>
    <w:p w14:paraId="090AE5F5">
      <w:pPr>
        <w:ind w:firstLine="600" w:firstLineChars="250"/>
      </w:pPr>
      <w:r>
        <w:rPr>
          <w:rFonts w:hint="eastAsia"/>
        </w:rPr>
        <w:t>标准编制组选取采样检测的企业囊括了川湘菜、烧烤、西式快餐、家常菜、烤鸭、淮扬菜以及商场美食城等北京市的典型餐饮企业，具有很好的典型性。</w:t>
      </w:r>
    </w:p>
    <w:p w14:paraId="45F18BB4">
      <w:pPr>
        <w:ind w:firstLine="480" w:firstLineChars="200"/>
      </w:pPr>
      <w:r>
        <w:rPr>
          <w:rFonts w:hint="eastAsia"/>
        </w:rPr>
        <w:t>从表</w:t>
      </w:r>
      <w:r>
        <w:t>6-5</w:t>
      </w:r>
      <w:r>
        <w:rPr>
          <w:rFonts w:hint="eastAsia"/>
        </w:rPr>
        <w:t>可见，选取的典型餐饮企业测得</w:t>
      </w:r>
      <w:r>
        <w:t>93</w:t>
      </w:r>
      <w:r>
        <w:rPr>
          <w:rFonts w:hint="eastAsia"/>
        </w:rPr>
        <w:t>个非甲烷总烃的基准风量排放浓度在</w:t>
      </w:r>
      <w:r>
        <w:t>1.1~63.7mg/m</w:t>
      </w:r>
      <w:r>
        <w:rPr>
          <w:vertAlign w:val="superscript"/>
        </w:rPr>
        <w:t>3</w:t>
      </w:r>
      <w:r>
        <w:rPr>
          <w:rFonts w:hint="eastAsia"/>
        </w:rPr>
        <w:t>之间，表明不同餐饮企业或同一餐饮企业不同时间排放的非甲烷总烃的浓度水平差距非常大。在这些典型餐饮企业中，烧烤所排放的非甲烷碳氢化合物（</w:t>
      </w:r>
      <w:r>
        <w:t>NMHC</w:t>
      </w:r>
      <w:r>
        <w:rPr>
          <w:rFonts w:hint="eastAsia"/>
        </w:rPr>
        <w:t>）最高。</w:t>
      </w:r>
    </w:p>
    <w:p w14:paraId="517FAE67">
      <w:pPr>
        <w:ind w:firstLine="600" w:firstLineChars="250"/>
      </w:pPr>
      <w:r>
        <w:rPr>
          <w:rFonts w:hint="eastAsia"/>
        </w:rPr>
        <w:t>在现场监测中，编制组发现部分餐饮企业的灶头较少，实测排放浓度也不高，但实测风量较大，按基准风量折算后排放浓度存在超标现象，这可能是部分餐馆排风系统设计不合理，也可能是稀释排放的原因。监测数据表明：部分餐饮企业排放的非甲烷总烃浓度比颗粒物的浓度高，比油烟和颗粒物的污染更为严重。因此，加强控制餐饮企业排放的挥发性有机物十分必要，在标准中增加非甲烷总烃的排放限值，控制餐饮业挥发性有机物的排放对控制改善城区居民居住环境具有重要意义。</w:t>
      </w:r>
    </w:p>
    <w:p w14:paraId="7E542013">
      <w:pPr>
        <w:pStyle w:val="3"/>
        <w:numPr>
          <w:numberingChange w:id="30" w:author="刘海英" w:date="2017-09-08T15:13:00Z" w:original="%1:6:0:.%2:2:0:"/>
        </w:numPr>
        <w:spacing w:after="163"/>
      </w:pPr>
      <w:bookmarkStart w:id="42" w:name="_Toc492569889"/>
      <w:r>
        <w:rPr>
          <w:rFonts w:hint="eastAsia"/>
        </w:rPr>
        <w:t>污染治理技术检测评价与筛选</w:t>
      </w:r>
      <w:bookmarkEnd w:id="42"/>
    </w:p>
    <w:p w14:paraId="127EAB2F">
      <w:pPr>
        <w:ind w:firstLine="480" w:firstLineChars="200"/>
      </w:pPr>
      <w:r>
        <w:t>6.2.1</w:t>
      </w:r>
      <w:r>
        <w:rPr>
          <w:rFonts w:hint="eastAsia"/>
        </w:rPr>
        <w:t>油烟</w:t>
      </w:r>
      <w:r>
        <w:t>/</w:t>
      </w:r>
      <w:r>
        <w:rPr>
          <w:rFonts w:hint="eastAsia"/>
        </w:rPr>
        <w:t>颗粒物治理技术检测评价</w:t>
      </w:r>
    </w:p>
    <w:p w14:paraId="6EB7D3C9">
      <w:pPr>
        <w:ind w:firstLine="480" w:firstLineChars="200"/>
      </w:pPr>
      <w:r>
        <w:rPr>
          <w:rFonts w:hint="eastAsia"/>
        </w:rPr>
        <w:t>根据北京市科技计划项目</w:t>
      </w:r>
      <w:r>
        <w:t>——</w:t>
      </w:r>
      <w:r>
        <w:rPr>
          <w:rFonts w:hint="eastAsia"/>
        </w:rPr>
        <w:t>《油烟净化设备评估优选及标准制定》的研究成果，不同油烟净化技术在实验检测平台的油烟净化效率测试结果如图</w:t>
      </w:r>
      <w:r>
        <w:t>6-3</w:t>
      </w:r>
      <w:r>
        <w:rPr>
          <w:rFonts w:hint="eastAsia"/>
        </w:rPr>
        <w:t>所示。同时该项目还开展了不同类型净化设备在实验室认证条件下油烟净化效率和在餐饮企业实际使用过程中的油烟净化效率的比对研究，具体比对数据如表</w:t>
      </w:r>
      <w:r>
        <w:t>6-7</w:t>
      </w:r>
      <w:r>
        <w:rPr>
          <w:rFonts w:hint="eastAsia"/>
        </w:rPr>
        <w:t>所示。</w:t>
      </w:r>
    </w:p>
    <w:p w14:paraId="176825A7">
      <w:pPr>
        <w:ind w:firstLine="480" w:firstLineChars="200"/>
      </w:pPr>
      <w:r>
        <w:pict>
          <v:shape id="_x0000_i1036" o:spt="75" alt="U640L}O9T4L`DGY5Z5$C[WR" type="#_x0000_t75" style="height:183.75pt;width:340.5pt;" filled="f" o:preferrelative="t" stroked="f" coordsize="21600,21600">
            <v:path/>
            <v:fill on="f" focussize="0,0"/>
            <v:stroke on="f" joinstyle="miter"/>
            <v:imagedata r:id="rId20" o:title=""/>
            <o:lock v:ext="edit" aspectratio="t"/>
            <w10:wrap type="none"/>
            <w10:anchorlock/>
          </v:shape>
        </w:pict>
      </w:r>
    </w:p>
    <w:p w14:paraId="2F18551C">
      <w:pPr>
        <w:ind w:firstLine="480" w:firstLineChars="200"/>
        <w:jc w:val="center"/>
      </w:pPr>
      <w:r>
        <w:rPr>
          <w:rFonts w:hint="eastAsia"/>
        </w:rPr>
        <w:t>图</w:t>
      </w:r>
      <w:r>
        <w:t>6-3</w:t>
      </w:r>
      <w:r>
        <w:rPr>
          <w:rFonts w:hint="eastAsia"/>
        </w:rPr>
        <w:t>不同类型油烟净化设备油烟去除效率测试结果</w:t>
      </w:r>
    </w:p>
    <w:p w14:paraId="052CA90C">
      <w:r>
        <w:rPr>
          <w:rFonts w:hint="eastAsia"/>
        </w:rPr>
        <w:t>表</w:t>
      </w:r>
      <w:r>
        <w:t xml:space="preserve">6-6 </w:t>
      </w:r>
      <w:r>
        <w:rPr>
          <w:rFonts w:hint="eastAsia"/>
        </w:rPr>
        <w:t>在实验室认证与在餐饮企业实际使用的净化设备的净化效率对比</w:t>
      </w:r>
    </w:p>
    <w:tbl>
      <w:tblPr>
        <w:tblStyle w:val="18"/>
        <w:tblW w:w="8337"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4"/>
        <w:gridCol w:w="1436"/>
        <w:gridCol w:w="2126"/>
        <w:gridCol w:w="851"/>
        <w:gridCol w:w="1701"/>
        <w:gridCol w:w="1559"/>
      </w:tblGrid>
      <w:tr w14:paraId="28766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tcMar>
              <w:left w:w="0" w:type="dxa"/>
              <w:right w:w="0" w:type="dxa"/>
            </w:tcMar>
            <w:vAlign w:val="center"/>
          </w:tcPr>
          <w:p w14:paraId="69965FD2">
            <w:pPr>
              <w:spacing w:after="100" w:line="240" w:lineRule="auto"/>
              <w:jc w:val="center"/>
              <w:rPr>
                <w:spacing w:val="-4"/>
                <w:sz w:val="18"/>
                <w:szCs w:val="18"/>
              </w:rPr>
            </w:pPr>
            <w:r>
              <w:rPr>
                <w:rFonts w:hint="eastAsia"/>
                <w:spacing w:val="-4"/>
                <w:sz w:val="18"/>
                <w:szCs w:val="18"/>
              </w:rPr>
              <w:t>序号</w:t>
            </w:r>
          </w:p>
        </w:tc>
        <w:tc>
          <w:tcPr>
            <w:tcW w:w="1436" w:type="dxa"/>
            <w:tcMar>
              <w:left w:w="0" w:type="dxa"/>
              <w:right w:w="0" w:type="dxa"/>
            </w:tcMar>
            <w:vAlign w:val="center"/>
          </w:tcPr>
          <w:p w14:paraId="1C98E3BD">
            <w:pPr>
              <w:snapToGrid w:val="0"/>
              <w:spacing w:after="100" w:line="240" w:lineRule="auto"/>
              <w:ind w:firstLine="86" w:firstLineChars="50"/>
              <w:jc w:val="center"/>
              <w:rPr>
                <w:spacing w:val="-4"/>
                <w:sz w:val="18"/>
                <w:szCs w:val="18"/>
              </w:rPr>
            </w:pPr>
            <w:r>
              <w:rPr>
                <w:rFonts w:hint="eastAsia"/>
                <w:spacing w:val="-4"/>
                <w:sz w:val="18"/>
                <w:szCs w:val="18"/>
              </w:rPr>
              <w:t>净化机理</w:t>
            </w:r>
          </w:p>
        </w:tc>
        <w:tc>
          <w:tcPr>
            <w:tcW w:w="2126" w:type="dxa"/>
            <w:tcMar>
              <w:left w:w="0" w:type="dxa"/>
              <w:right w:w="0" w:type="dxa"/>
            </w:tcMar>
            <w:vAlign w:val="center"/>
          </w:tcPr>
          <w:p w14:paraId="2B4CC8EB">
            <w:pPr>
              <w:spacing w:after="100" w:line="240" w:lineRule="auto"/>
              <w:ind w:firstLine="602" w:firstLineChars="350"/>
              <w:rPr>
                <w:spacing w:val="-4"/>
                <w:sz w:val="18"/>
                <w:szCs w:val="18"/>
              </w:rPr>
            </w:pPr>
            <w:r>
              <w:rPr>
                <w:rFonts w:hint="eastAsia"/>
                <w:spacing w:val="-4"/>
                <w:sz w:val="18"/>
                <w:szCs w:val="18"/>
              </w:rPr>
              <w:t>检测项目</w:t>
            </w:r>
          </w:p>
        </w:tc>
        <w:tc>
          <w:tcPr>
            <w:tcW w:w="851" w:type="dxa"/>
            <w:tcMar>
              <w:left w:w="0" w:type="dxa"/>
              <w:right w:w="0" w:type="dxa"/>
            </w:tcMar>
            <w:vAlign w:val="center"/>
          </w:tcPr>
          <w:p w14:paraId="2375FB78">
            <w:pPr>
              <w:snapToGrid w:val="0"/>
              <w:spacing w:after="100" w:line="240" w:lineRule="auto"/>
              <w:ind w:firstLine="180" w:firstLineChars="100"/>
              <w:jc w:val="center"/>
              <w:rPr>
                <w:color w:val="000000"/>
                <w:sz w:val="18"/>
                <w:szCs w:val="18"/>
              </w:rPr>
            </w:pPr>
            <w:r>
              <w:rPr>
                <w:rFonts w:hint="eastAsia"/>
                <w:color w:val="000000"/>
                <w:sz w:val="18"/>
                <w:szCs w:val="18"/>
              </w:rPr>
              <w:t>单位</w:t>
            </w:r>
          </w:p>
        </w:tc>
        <w:tc>
          <w:tcPr>
            <w:tcW w:w="1701" w:type="dxa"/>
            <w:tcMar>
              <w:left w:w="0" w:type="dxa"/>
              <w:right w:w="0" w:type="dxa"/>
            </w:tcMar>
            <w:vAlign w:val="center"/>
          </w:tcPr>
          <w:p w14:paraId="5511F7A7">
            <w:pPr>
              <w:snapToGrid w:val="0"/>
              <w:spacing w:after="100" w:line="240" w:lineRule="auto"/>
              <w:ind w:firstLine="90" w:firstLineChars="50"/>
              <w:jc w:val="center"/>
              <w:rPr>
                <w:color w:val="000000"/>
                <w:sz w:val="18"/>
                <w:szCs w:val="18"/>
              </w:rPr>
            </w:pPr>
            <w:r>
              <w:rPr>
                <w:rFonts w:hint="eastAsia"/>
                <w:color w:val="000000"/>
                <w:sz w:val="18"/>
                <w:szCs w:val="18"/>
              </w:rPr>
              <w:t>实验室试验台检测结果</w:t>
            </w:r>
          </w:p>
        </w:tc>
        <w:tc>
          <w:tcPr>
            <w:tcW w:w="1559" w:type="dxa"/>
            <w:tcMar>
              <w:left w:w="0" w:type="dxa"/>
              <w:right w:w="0" w:type="dxa"/>
            </w:tcMar>
            <w:vAlign w:val="center"/>
          </w:tcPr>
          <w:p w14:paraId="5ECF1B61">
            <w:pPr>
              <w:spacing w:after="100" w:line="240" w:lineRule="auto"/>
              <w:ind w:firstLine="180" w:firstLineChars="100"/>
              <w:rPr>
                <w:color w:val="000000"/>
                <w:sz w:val="18"/>
                <w:szCs w:val="18"/>
              </w:rPr>
            </w:pPr>
            <w:r>
              <w:rPr>
                <w:rFonts w:hint="eastAsia"/>
                <w:color w:val="000000"/>
                <w:sz w:val="18"/>
                <w:szCs w:val="18"/>
              </w:rPr>
              <w:t>现状运行检测</w:t>
            </w:r>
          </w:p>
          <w:p w14:paraId="1D3BD994">
            <w:pPr>
              <w:spacing w:after="100" w:line="240" w:lineRule="auto"/>
              <w:ind w:firstLine="360" w:firstLineChars="200"/>
              <w:rPr>
                <w:color w:val="000000"/>
                <w:sz w:val="18"/>
                <w:szCs w:val="18"/>
              </w:rPr>
            </w:pPr>
            <w:r>
              <w:rPr>
                <w:rFonts w:hint="eastAsia"/>
                <w:color w:val="000000"/>
                <w:sz w:val="18"/>
                <w:szCs w:val="18"/>
              </w:rPr>
              <w:t>结果</w:t>
            </w:r>
          </w:p>
        </w:tc>
      </w:tr>
      <w:tr w14:paraId="14457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5C771133">
            <w:pPr>
              <w:spacing w:after="100" w:line="240" w:lineRule="auto"/>
              <w:jc w:val="center"/>
              <w:rPr>
                <w:spacing w:val="-4"/>
                <w:sz w:val="18"/>
                <w:szCs w:val="18"/>
              </w:rPr>
            </w:pPr>
            <w:r>
              <w:rPr>
                <w:spacing w:val="-4"/>
                <w:sz w:val="18"/>
                <w:szCs w:val="18"/>
              </w:rPr>
              <w:t>1</w:t>
            </w:r>
          </w:p>
        </w:tc>
        <w:tc>
          <w:tcPr>
            <w:tcW w:w="1436" w:type="dxa"/>
            <w:vMerge w:val="restart"/>
            <w:vAlign w:val="center"/>
          </w:tcPr>
          <w:p w14:paraId="3ACA1532">
            <w:pPr>
              <w:spacing w:after="100" w:line="240" w:lineRule="auto"/>
              <w:rPr>
                <w:spacing w:val="-4"/>
                <w:sz w:val="18"/>
                <w:szCs w:val="18"/>
              </w:rPr>
            </w:pPr>
            <w:r>
              <w:rPr>
                <w:rFonts w:hint="eastAsia"/>
                <w:spacing w:val="-4"/>
                <w:sz w:val="18"/>
                <w:szCs w:val="18"/>
              </w:rPr>
              <w:t>静电式油烟净</w:t>
            </w:r>
          </w:p>
          <w:p w14:paraId="495D4EC6">
            <w:pPr>
              <w:spacing w:after="100" w:line="240" w:lineRule="auto"/>
              <w:jc w:val="center"/>
              <w:rPr>
                <w:spacing w:val="-4"/>
                <w:sz w:val="18"/>
                <w:szCs w:val="18"/>
              </w:rPr>
            </w:pPr>
            <w:r>
              <w:rPr>
                <w:rFonts w:hint="eastAsia"/>
                <w:spacing w:val="-4"/>
                <w:sz w:val="18"/>
                <w:szCs w:val="18"/>
              </w:rPr>
              <w:t>化技术</w:t>
            </w:r>
          </w:p>
        </w:tc>
        <w:tc>
          <w:tcPr>
            <w:tcW w:w="2126" w:type="dxa"/>
            <w:vAlign w:val="center"/>
          </w:tcPr>
          <w:p w14:paraId="24F51355">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1462A3D1">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37DB83DE">
            <w:pPr>
              <w:snapToGrid w:val="0"/>
              <w:spacing w:beforeLines="50" w:after="100" w:line="240" w:lineRule="auto"/>
              <w:jc w:val="center"/>
              <w:rPr>
                <w:spacing w:val="-4"/>
                <w:sz w:val="18"/>
                <w:szCs w:val="18"/>
              </w:rPr>
            </w:pPr>
            <w:r>
              <w:rPr>
                <w:spacing w:val="-4"/>
                <w:sz w:val="18"/>
                <w:szCs w:val="18"/>
              </w:rPr>
              <w:t>0.6</w:t>
            </w:r>
            <w:r>
              <w:rPr>
                <w:rFonts w:hint="eastAsia"/>
                <w:sz w:val="18"/>
                <w:szCs w:val="18"/>
              </w:rPr>
              <w:t>～</w:t>
            </w:r>
            <w:r>
              <w:rPr>
                <w:sz w:val="18"/>
                <w:szCs w:val="18"/>
              </w:rPr>
              <w:t>2.8</w:t>
            </w:r>
          </w:p>
        </w:tc>
        <w:tc>
          <w:tcPr>
            <w:tcW w:w="1559" w:type="dxa"/>
            <w:vAlign w:val="center"/>
          </w:tcPr>
          <w:p w14:paraId="7ADB89B6">
            <w:pPr>
              <w:snapToGrid w:val="0"/>
              <w:spacing w:beforeLines="50" w:after="100" w:line="240" w:lineRule="auto"/>
              <w:jc w:val="center"/>
              <w:rPr>
                <w:spacing w:val="-4"/>
                <w:sz w:val="18"/>
                <w:szCs w:val="18"/>
              </w:rPr>
            </w:pPr>
            <w:r>
              <w:rPr>
                <w:sz w:val="18"/>
                <w:szCs w:val="18"/>
              </w:rPr>
              <w:t>1.1- 3.4</w:t>
            </w:r>
          </w:p>
        </w:tc>
      </w:tr>
      <w:tr w14:paraId="1352B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664" w:type="dxa"/>
            <w:vMerge w:val="continue"/>
            <w:vAlign w:val="center"/>
          </w:tcPr>
          <w:p w14:paraId="7221AD8F">
            <w:pPr>
              <w:spacing w:after="100" w:line="240" w:lineRule="auto"/>
              <w:jc w:val="center"/>
              <w:rPr>
                <w:spacing w:val="-4"/>
                <w:sz w:val="18"/>
                <w:szCs w:val="18"/>
              </w:rPr>
            </w:pPr>
          </w:p>
        </w:tc>
        <w:tc>
          <w:tcPr>
            <w:tcW w:w="1436" w:type="dxa"/>
            <w:vMerge w:val="continue"/>
            <w:vAlign w:val="center"/>
          </w:tcPr>
          <w:p w14:paraId="6EEEA4BC">
            <w:pPr>
              <w:spacing w:after="100" w:line="240" w:lineRule="auto"/>
              <w:jc w:val="center"/>
              <w:rPr>
                <w:spacing w:val="-4"/>
                <w:sz w:val="18"/>
                <w:szCs w:val="18"/>
              </w:rPr>
            </w:pPr>
          </w:p>
        </w:tc>
        <w:tc>
          <w:tcPr>
            <w:tcW w:w="2126" w:type="dxa"/>
            <w:vAlign w:val="center"/>
          </w:tcPr>
          <w:p w14:paraId="1F509482">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2D95EDD6">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2E5377EF">
            <w:pPr>
              <w:snapToGrid w:val="0"/>
              <w:spacing w:beforeLines="50" w:after="100" w:line="240" w:lineRule="auto"/>
              <w:jc w:val="center"/>
              <w:rPr>
                <w:spacing w:val="-4"/>
                <w:sz w:val="18"/>
                <w:szCs w:val="18"/>
              </w:rPr>
            </w:pPr>
            <w:r>
              <w:rPr>
                <w:sz w:val="18"/>
                <w:szCs w:val="18"/>
              </w:rPr>
              <w:t>69.6</w:t>
            </w:r>
            <w:r>
              <w:rPr>
                <w:rFonts w:hint="eastAsia"/>
                <w:sz w:val="18"/>
                <w:szCs w:val="18"/>
              </w:rPr>
              <w:t>～</w:t>
            </w:r>
            <w:r>
              <w:rPr>
                <w:sz w:val="18"/>
                <w:szCs w:val="18"/>
              </w:rPr>
              <w:t>94.7</w:t>
            </w:r>
          </w:p>
        </w:tc>
        <w:tc>
          <w:tcPr>
            <w:tcW w:w="1559" w:type="dxa"/>
            <w:vAlign w:val="center"/>
          </w:tcPr>
          <w:p w14:paraId="647CB4AA">
            <w:pPr>
              <w:snapToGrid w:val="0"/>
              <w:spacing w:beforeLines="50" w:after="100" w:line="240" w:lineRule="auto"/>
              <w:jc w:val="center"/>
              <w:rPr>
                <w:spacing w:val="-4"/>
                <w:sz w:val="18"/>
                <w:szCs w:val="18"/>
              </w:rPr>
            </w:pPr>
            <w:r>
              <w:rPr>
                <w:sz w:val="18"/>
                <w:szCs w:val="18"/>
              </w:rPr>
              <w:t>61.7-85.3</w:t>
            </w:r>
          </w:p>
        </w:tc>
      </w:tr>
      <w:tr w14:paraId="0D892D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2A6F57A0">
            <w:pPr>
              <w:spacing w:after="100" w:line="240" w:lineRule="auto"/>
              <w:jc w:val="center"/>
              <w:rPr>
                <w:spacing w:val="-4"/>
                <w:sz w:val="18"/>
                <w:szCs w:val="18"/>
              </w:rPr>
            </w:pPr>
            <w:r>
              <w:rPr>
                <w:spacing w:val="-4"/>
                <w:sz w:val="18"/>
                <w:szCs w:val="18"/>
              </w:rPr>
              <w:t>2</w:t>
            </w:r>
          </w:p>
        </w:tc>
        <w:tc>
          <w:tcPr>
            <w:tcW w:w="1436" w:type="dxa"/>
            <w:vMerge w:val="restart"/>
            <w:vAlign w:val="center"/>
          </w:tcPr>
          <w:p w14:paraId="5579E044">
            <w:pPr>
              <w:spacing w:after="100" w:line="240" w:lineRule="auto"/>
              <w:rPr>
                <w:spacing w:val="-4"/>
                <w:sz w:val="18"/>
                <w:szCs w:val="18"/>
              </w:rPr>
            </w:pPr>
            <w:r>
              <w:rPr>
                <w:rFonts w:hint="eastAsia"/>
                <w:spacing w:val="-4"/>
                <w:sz w:val="18"/>
                <w:szCs w:val="18"/>
              </w:rPr>
              <w:t>机械式油烟净</w:t>
            </w:r>
          </w:p>
          <w:p w14:paraId="25B8A377">
            <w:pPr>
              <w:spacing w:after="100" w:line="240" w:lineRule="auto"/>
              <w:jc w:val="center"/>
              <w:rPr>
                <w:spacing w:val="-4"/>
                <w:sz w:val="18"/>
                <w:szCs w:val="18"/>
              </w:rPr>
            </w:pPr>
            <w:r>
              <w:rPr>
                <w:rFonts w:hint="eastAsia"/>
                <w:spacing w:val="-4"/>
                <w:sz w:val="18"/>
                <w:szCs w:val="18"/>
              </w:rPr>
              <w:t>化技术</w:t>
            </w:r>
          </w:p>
        </w:tc>
        <w:tc>
          <w:tcPr>
            <w:tcW w:w="2126" w:type="dxa"/>
            <w:vAlign w:val="center"/>
          </w:tcPr>
          <w:p w14:paraId="6AA3DF43">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100CEDAC">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7EFD2D3E">
            <w:pPr>
              <w:snapToGrid w:val="0"/>
              <w:spacing w:beforeLines="50" w:after="100" w:line="240" w:lineRule="auto"/>
              <w:jc w:val="center"/>
              <w:rPr>
                <w:spacing w:val="-4"/>
                <w:sz w:val="18"/>
                <w:szCs w:val="18"/>
              </w:rPr>
            </w:pPr>
            <w:r>
              <w:rPr>
                <w:spacing w:val="-4"/>
                <w:sz w:val="18"/>
                <w:szCs w:val="18"/>
              </w:rPr>
              <w:t>0.8</w:t>
            </w:r>
            <w:r>
              <w:rPr>
                <w:rFonts w:hint="eastAsia"/>
                <w:sz w:val="18"/>
                <w:szCs w:val="18"/>
              </w:rPr>
              <w:t>～</w:t>
            </w:r>
            <w:r>
              <w:rPr>
                <w:sz w:val="18"/>
                <w:szCs w:val="18"/>
              </w:rPr>
              <w:t>1.8</w:t>
            </w:r>
          </w:p>
        </w:tc>
        <w:tc>
          <w:tcPr>
            <w:tcW w:w="1559" w:type="dxa"/>
            <w:vAlign w:val="center"/>
          </w:tcPr>
          <w:p w14:paraId="5A16701F">
            <w:pPr>
              <w:snapToGrid w:val="0"/>
              <w:spacing w:beforeLines="50" w:after="100" w:line="240" w:lineRule="auto"/>
              <w:jc w:val="center"/>
              <w:rPr>
                <w:spacing w:val="-4"/>
                <w:sz w:val="18"/>
                <w:szCs w:val="18"/>
              </w:rPr>
            </w:pPr>
            <w:r>
              <w:rPr>
                <w:sz w:val="18"/>
                <w:szCs w:val="18"/>
              </w:rPr>
              <w:t>1.4-3.4</w:t>
            </w:r>
          </w:p>
        </w:tc>
      </w:tr>
      <w:tr w14:paraId="682D3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664" w:type="dxa"/>
            <w:vMerge w:val="continue"/>
            <w:vAlign w:val="center"/>
          </w:tcPr>
          <w:p w14:paraId="1B976621">
            <w:pPr>
              <w:spacing w:after="100" w:line="240" w:lineRule="auto"/>
              <w:jc w:val="center"/>
              <w:rPr>
                <w:spacing w:val="-4"/>
                <w:sz w:val="18"/>
                <w:szCs w:val="18"/>
              </w:rPr>
            </w:pPr>
          </w:p>
        </w:tc>
        <w:tc>
          <w:tcPr>
            <w:tcW w:w="1436" w:type="dxa"/>
            <w:vMerge w:val="continue"/>
            <w:vAlign w:val="center"/>
          </w:tcPr>
          <w:p w14:paraId="1DB8E9D3">
            <w:pPr>
              <w:spacing w:after="100" w:line="240" w:lineRule="auto"/>
              <w:jc w:val="center"/>
              <w:rPr>
                <w:spacing w:val="-4"/>
                <w:sz w:val="18"/>
                <w:szCs w:val="18"/>
              </w:rPr>
            </w:pPr>
          </w:p>
        </w:tc>
        <w:tc>
          <w:tcPr>
            <w:tcW w:w="2126" w:type="dxa"/>
            <w:vAlign w:val="center"/>
          </w:tcPr>
          <w:p w14:paraId="11F683AA">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6D3DB3A3">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1069D621">
            <w:pPr>
              <w:snapToGrid w:val="0"/>
              <w:spacing w:beforeLines="50" w:after="100" w:line="240" w:lineRule="auto"/>
              <w:jc w:val="center"/>
              <w:rPr>
                <w:spacing w:val="-4"/>
                <w:sz w:val="18"/>
                <w:szCs w:val="18"/>
              </w:rPr>
            </w:pPr>
            <w:r>
              <w:rPr>
                <w:sz w:val="18"/>
                <w:szCs w:val="18"/>
              </w:rPr>
              <w:t>82.9</w:t>
            </w:r>
            <w:r>
              <w:rPr>
                <w:rFonts w:hint="eastAsia"/>
                <w:sz w:val="18"/>
                <w:szCs w:val="18"/>
              </w:rPr>
              <w:t>～</w:t>
            </w:r>
            <w:r>
              <w:rPr>
                <w:sz w:val="18"/>
                <w:szCs w:val="18"/>
              </w:rPr>
              <w:t>92.9</w:t>
            </w:r>
          </w:p>
        </w:tc>
        <w:tc>
          <w:tcPr>
            <w:tcW w:w="1559" w:type="dxa"/>
            <w:vAlign w:val="center"/>
          </w:tcPr>
          <w:p w14:paraId="0962B372">
            <w:pPr>
              <w:snapToGrid w:val="0"/>
              <w:spacing w:beforeLines="50" w:after="100" w:line="240" w:lineRule="auto"/>
              <w:jc w:val="center"/>
              <w:rPr>
                <w:spacing w:val="-4"/>
                <w:sz w:val="18"/>
                <w:szCs w:val="18"/>
              </w:rPr>
            </w:pPr>
            <w:r>
              <w:rPr>
                <w:sz w:val="18"/>
                <w:szCs w:val="18"/>
              </w:rPr>
              <w:t>71.2</w:t>
            </w:r>
          </w:p>
        </w:tc>
      </w:tr>
      <w:tr w14:paraId="08A9E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15DAFAA8">
            <w:pPr>
              <w:spacing w:after="100" w:line="240" w:lineRule="auto"/>
              <w:ind w:firstLine="86" w:firstLineChars="50"/>
              <w:jc w:val="center"/>
              <w:rPr>
                <w:spacing w:val="-4"/>
                <w:sz w:val="18"/>
                <w:szCs w:val="18"/>
              </w:rPr>
            </w:pPr>
            <w:r>
              <w:rPr>
                <w:spacing w:val="-4"/>
                <w:sz w:val="18"/>
                <w:szCs w:val="18"/>
              </w:rPr>
              <w:t>3</w:t>
            </w:r>
          </w:p>
        </w:tc>
        <w:tc>
          <w:tcPr>
            <w:tcW w:w="1436" w:type="dxa"/>
            <w:vMerge w:val="restart"/>
            <w:vAlign w:val="center"/>
          </w:tcPr>
          <w:p w14:paraId="7F82705A">
            <w:pPr>
              <w:spacing w:after="100" w:line="240" w:lineRule="auto"/>
              <w:jc w:val="center"/>
              <w:rPr>
                <w:spacing w:val="-4"/>
                <w:sz w:val="18"/>
                <w:szCs w:val="18"/>
              </w:rPr>
            </w:pPr>
            <w:r>
              <w:rPr>
                <w:rFonts w:hint="eastAsia"/>
                <w:spacing w:val="-4"/>
                <w:sz w:val="18"/>
                <w:szCs w:val="18"/>
              </w:rPr>
              <w:t>湿式油烟净化技术</w:t>
            </w:r>
          </w:p>
        </w:tc>
        <w:tc>
          <w:tcPr>
            <w:tcW w:w="2126" w:type="dxa"/>
            <w:vAlign w:val="center"/>
          </w:tcPr>
          <w:p w14:paraId="26B86EA1">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4C560958">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25B4E2BE">
            <w:pPr>
              <w:snapToGrid w:val="0"/>
              <w:spacing w:beforeLines="50" w:after="100" w:line="240" w:lineRule="auto"/>
              <w:jc w:val="center"/>
              <w:rPr>
                <w:spacing w:val="-4"/>
                <w:sz w:val="18"/>
                <w:szCs w:val="18"/>
              </w:rPr>
            </w:pPr>
            <w:r>
              <w:rPr>
                <w:sz w:val="18"/>
                <w:szCs w:val="18"/>
              </w:rPr>
              <w:t>1.3</w:t>
            </w:r>
            <w:r>
              <w:rPr>
                <w:rFonts w:hint="eastAsia"/>
                <w:sz w:val="18"/>
                <w:szCs w:val="18"/>
              </w:rPr>
              <w:t>～</w:t>
            </w:r>
            <w:r>
              <w:rPr>
                <w:sz w:val="18"/>
                <w:szCs w:val="18"/>
              </w:rPr>
              <w:t>2.6</w:t>
            </w:r>
          </w:p>
        </w:tc>
        <w:tc>
          <w:tcPr>
            <w:tcW w:w="1559" w:type="dxa"/>
            <w:vAlign w:val="center"/>
          </w:tcPr>
          <w:p w14:paraId="5D62F1A7">
            <w:pPr>
              <w:snapToGrid w:val="0"/>
              <w:spacing w:beforeLines="50" w:after="100" w:line="240" w:lineRule="auto"/>
              <w:jc w:val="center"/>
              <w:rPr>
                <w:spacing w:val="-4"/>
                <w:sz w:val="18"/>
                <w:szCs w:val="18"/>
              </w:rPr>
            </w:pPr>
            <w:r>
              <w:rPr>
                <w:sz w:val="18"/>
                <w:szCs w:val="18"/>
              </w:rPr>
              <w:t>0.8-3.1</w:t>
            </w:r>
          </w:p>
        </w:tc>
      </w:tr>
      <w:tr w14:paraId="3B3A9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continue"/>
            <w:vAlign w:val="center"/>
          </w:tcPr>
          <w:p w14:paraId="22AF320A">
            <w:pPr>
              <w:spacing w:after="100" w:line="240" w:lineRule="auto"/>
              <w:jc w:val="center"/>
              <w:rPr>
                <w:spacing w:val="-4"/>
                <w:sz w:val="18"/>
                <w:szCs w:val="18"/>
              </w:rPr>
            </w:pPr>
          </w:p>
        </w:tc>
        <w:tc>
          <w:tcPr>
            <w:tcW w:w="1436" w:type="dxa"/>
            <w:vMerge w:val="continue"/>
            <w:vAlign w:val="center"/>
          </w:tcPr>
          <w:p w14:paraId="51EC7665">
            <w:pPr>
              <w:spacing w:after="100" w:line="240" w:lineRule="auto"/>
              <w:jc w:val="center"/>
              <w:rPr>
                <w:spacing w:val="-4"/>
                <w:sz w:val="18"/>
                <w:szCs w:val="18"/>
              </w:rPr>
            </w:pPr>
          </w:p>
        </w:tc>
        <w:tc>
          <w:tcPr>
            <w:tcW w:w="2126" w:type="dxa"/>
            <w:vAlign w:val="center"/>
          </w:tcPr>
          <w:p w14:paraId="5FF723F3">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3A78C968">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12FD390B">
            <w:pPr>
              <w:snapToGrid w:val="0"/>
              <w:spacing w:beforeLines="50" w:after="100" w:line="240" w:lineRule="auto"/>
              <w:jc w:val="center"/>
              <w:rPr>
                <w:spacing w:val="-4"/>
                <w:sz w:val="18"/>
                <w:szCs w:val="18"/>
              </w:rPr>
            </w:pPr>
            <w:r>
              <w:rPr>
                <w:sz w:val="18"/>
                <w:szCs w:val="18"/>
              </w:rPr>
              <w:t>76.5</w:t>
            </w:r>
            <w:r>
              <w:rPr>
                <w:rFonts w:hint="eastAsia"/>
                <w:sz w:val="18"/>
                <w:szCs w:val="18"/>
              </w:rPr>
              <w:t>～</w:t>
            </w:r>
            <w:r>
              <w:rPr>
                <w:sz w:val="18"/>
                <w:szCs w:val="18"/>
              </w:rPr>
              <w:t>88.4</w:t>
            </w:r>
          </w:p>
        </w:tc>
        <w:tc>
          <w:tcPr>
            <w:tcW w:w="1559" w:type="dxa"/>
            <w:vAlign w:val="center"/>
          </w:tcPr>
          <w:p w14:paraId="11DDCE22">
            <w:pPr>
              <w:snapToGrid w:val="0"/>
              <w:spacing w:beforeLines="50" w:after="100" w:line="240" w:lineRule="auto"/>
              <w:jc w:val="center"/>
              <w:rPr>
                <w:spacing w:val="-4"/>
                <w:sz w:val="18"/>
                <w:szCs w:val="18"/>
              </w:rPr>
            </w:pPr>
            <w:r>
              <w:rPr>
                <w:sz w:val="18"/>
                <w:szCs w:val="18"/>
              </w:rPr>
              <w:t>67.9-93.3</w:t>
            </w:r>
          </w:p>
        </w:tc>
      </w:tr>
      <w:tr w14:paraId="7944E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473A114D">
            <w:pPr>
              <w:spacing w:after="100" w:line="240" w:lineRule="auto"/>
              <w:jc w:val="center"/>
              <w:rPr>
                <w:spacing w:val="-4"/>
                <w:sz w:val="18"/>
                <w:szCs w:val="18"/>
              </w:rPr>
            </w:pPr>
            <w:r>
              <w:rPr>
                <w:spacing w:val="-4"/>
                <w:sz w:val="18"/>
                <w:szCs w:val="18"/>
              </w:rPr>
              <w:t>4</w:t>
            </w:r>
          </w:p>
        </w:tc>
        <w:tc>
          <w:tcPr>
            <w:tcW w:w="1436" w:type="dxa"/>
            <w:vMerge w:val="restart"/>
            <w:vAlign w:val="center"/>
          </w:tcPr>
          <w:p w14:paraId="19216E82">
            <w:pPr>
              <w:spacing w:after="100" w:line="240" w:lineRule="auto"/>
              <w:jc w:val="center"/>
              <w:rPr>
                <w:spacing w:val="-4"/>
                <w:sz w:val="18"/>
                <w:szCs w:val="18"/>
              </w:rPr>
            </w:pPr>
            <w:r>
              <w:rPr>
                <w:rFonts w:hint="eastAsia"/>
                <w:spacing w:val="-4"/>
                <w:sz w:val="18"/>
                <w:szCs w:val="18"/>
              </w:rPr>
              <w:t>紫外光解式油烟净化技术</w:t>
            </w:r>
          </w:p>
        </w:tc>
        <w:tc>
          <w:tcPr>
            <w:tcW w:w="2126" w:type="dxa"/>
            <w:vAlign w:val="center"/>
          </w:tcPr>
          <w:p w14:paraId="0DB8C0A2">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4EA4E87D">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67CA09A5">
            <w:pPr>
              <w:snapToGrid w:val="0"/>
              <w:spacing w:beforeLines="50" w:after="100" w:line="240" w:lineRule="auto"/>
              <w:jc w:val="center"/>
              <w:rPr>
                <w:spacing w:val="-4"/>
                <w:sz w:val="18"/>
                <w:szCs w:val="18"/>
              </w:rPr>
            </w:pPr>
            <w:r>
              <w:rPr>
                <w:spacing w:val="-4"/>
                <w:sz w:val="18"/>
                <w:szCs w:val="18"/>
              </w:rPr>
              <w:t>1.6</w:t>
            </w:r>
            <w:r>
              <w:rPr>
                <w:rFonts w:hint="eastAsia"/>
                <w:sz w:val="18"/>
                <w:szCs w:val="18"/>
              </w:rPr>
              <w:t>～</w:t>
            </w:r>
            <w:r>
              <w:rPr>
                <w:sz w:val="18"/>
                <w:szCs w:val="18"/>
              </w:rPr>
              <w:t>2.6</w:t>
            </w:r>
          </w:p>
        </w:tc>
        <w:tc>
          <w:tcPr>
            <w:tcW w:w="1559" w:type="dxa"/>
            <w:vAlign w:val="center"/>
          </w:tcPr>
          <w:p w14:paraId="2C3E7F5F">
            <w:pPr>
              <w:snapToGrid w:val="0"/>
              <w:spacing w:beforeLines="50" w:after="100" w:line="240" w:lineRule="auto"/>
              <w:jc w:val="center"/>
              <w:rPr>
                <w:spacing w:val="-4"/>
                <w:sz w:val="18"/>
                <w:szCs w:val="18"/>
              </w:rPr>
            </w:pPr>
            <w:r>
              <w:rPr>
                <w:sz w:val="18"/>
                <w:szCs w:val="18"/>
              </w:rPr>
              <w:t>1.6-2.7</w:t>
            </w:r>
          </w:p>
        </w:tc>
      </w:tr>
      <w:tr w14:paraId="659C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continue"/>
            <w:vAlign w:val="center"/>
          </w:tcPr>
          <w:p w14:paraId="48EB33FF">
            <w:pPr>
              <w:spacing w:after="100" w:line="240" w:lineRule="auto"/>
              <w:jc w:val="center"/>
              <w:rPr>
                <w:spacing w:val="-4"/>
                <w:sz w:val="18"/>
                <w:szCs w:val="18"/>
              </w:rPr>
            </w:pPr>
          </w:p>
        </w:tc>
        <w:tc>
          <w:tcPr>
            <w:tcW w:w="1436" w:type="dxa"/>
            <w:vMerge w:val="continue"/>
            <w:vAlign w:val="center"/>
          </w:tcPr>
          <w:p w14:paraId="40E0850D">
            <w:pPr>
              <w:spacing w:after="100" w:line="240" w:lineRule="auto"/>
              <w:jc w:val="center"/>
              <w:rPr>
                <w:spacing w:val="-4"/>
                <w:sz w:val="18"/>
                <w:szCs w:val="18"/>
              </w:rPr>
            </w:pPr>
          </w:p>
        </w:tc>
        <w:tc>
          <w:tcPr>
            <w:tcW w:w="2126" w:type="dxa"/>
            <w:vAlign w:val="center"/>
          </w:tcPr>
          <w:p w14:paraId="41C69496">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49C934B8">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7B8DCEE2">
            <w:pPr>
              <w:snapToGrid w:val="0"/>
              <w:spacing w:beforeLines="50" w:after="100" w:line="240" w:lineRule="auto"/>
              <w:jc w:val="center"/>
              <w:rPr>
                <w:spacing w:val="-4"/>
                <w:sz w:val="18"/>
                <w:szCs w:val="18"/>
              </w:rPr>
            </w:pPr>
            <w:r>
              <w:rPr>
                <w:sz w:val="18"/>
                <w:szCs w:val="18"/>
              </w:rPr>
              <w:t>71.6</w:t>
            </w:r>
            <w:r>
              <w:rPr>
                <w:rFonts w:hint="eastAsia"/>
                <w:sz w:val="18"/>
                <w:szCs w:val="18"/>
              </w:rPr>
              <w:t>～</w:t>
            </w:r>
            <w:r>
              <w:rPr>
                <w:sz w:val="18"/>
                <w:szCs w:val="18"/>
              </w:rPr>
              <w:t>82.9</w:t>
            </w:r>
          </w:p>
        </w:tc>
        <w:tc>
          <w:tcPr>
            <w:tcW w:w="1559" w:type="dxa"/>
            <w:vAlign w:val="center"/>
          </w:tcPr>
          <w:p w14:paraId="110DE313">
            <w:pPr>
              <w:snapToGrid w:val="0"/>
              <w:spacing w:beforeLines="50" w:after="100" w:line="240" w:lineRule="auto"/>
              <w:jc w:val="center"/>
              <w:rPr>
                <w:spacing w:val="-4"/>
                <w:sz w:val="18"/>
                <w:szCs w:val="18"/>
              </w:rPr>
            </w:pPr>
            <w:r>
              <w:rPr>
                <w:sz w:val="18"/>
                <w:szCs w:val="18"/>
              </w:rPr>
              <w:t>67.1-70.9</w:t>
            </w:r>
          </w:p>
        </w:tc>
      </w:tr>
      <w:tr w14:paraId="70B6B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04C4157C">
            <w:pPr>
              <w:spacing w:after="100" w:line="240" w:lineRule="auto"/>
              <w:jc w:val="center"/>
              <w:rPr>
                <w:spacing w:val="-4"/>
                <w:sz w:val="18"/>
                <w:szCs w:val="18"/>
              </w:rPr>
            </w:pPr>
            <w:r>
              <w:rPr>
                <w:spacing w:val="-4"/>
                <w:sz w:val="18"/>
                <w:szCs w:val="18"/>
              </w:rPr>
              <w:t>5</w:t>
            </w:r>
          </w:p>
        </w:tc>
        <w:tc>
          <w:tcPr>
            <w:tcW w:w="1436" w:type="dxa"/>
            <w:vMerge w:val="restart"/>
            <w:vAlign w:val="center"/>
          </w:tcPr>
          <w:p w14:paraId="5ED69931">
            <w:pPr>
              <w:spacing w:after="100" w:line="240" w:lineRule="auto"/>
              <w:rPr>
                <w:spacing w:val="-4"/>
                <w:sz w:val="18"/>
                <w:szCs w:val="18"/>
              </w:rPr>
            </w:pPr>
            <w:r>
              <w:rPr>
                <w:rFonts w:hint="eastAsia"/>
                <w:spacing w:val="-4"/>
                <w:sz w:val="18"/>
                <w:szCs w:val="18"/>
              </w:rPr>
              <w:t>复合式油烟净</w:t>
            </w:r>
          </w:p>
          <w:p w14:paraId="5B4568FD">
            <w:pPr>
              <w:spacing w:after="100" w:line="240" w:lineRule="auto"/>
              <w:jc w:val="center"/>
              <w:rPr>
                <w:spacing w:val="-4"/>
                <w:sz w:val="18"/>
                <w:szCs w:val="18"/>
              </w:rPr>
            </w:pPr>
            <w:r>
              <w:rPr>
                <w:rFonts w:hint="eastAsia"/>
                <w:spacing w:val="-4"/>
                <w:sz w:val="18"/>
                <w:szCs w:val="18"/>
              </w:rPr>
              <w:t>化技术</w:t>
            </w:r>
          </w:p>
        </w:tc>
        <w:tc>
          <w:tcPr>
            <w:tcW w:w="2126" w:type="dxa"/>
            <w:vAlign w:val="center"/>
          </w:tcPr>
          <w:p w14:paraId="690D04C2">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01F1509D">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70E8C267">
            <w:pPr>
              <w:snapToGrid w:val="0"/>
              <w:spacing w:beforeLines="50" w:after="100" w:line="240" w:lineRule="auto"/>
              <w:jc w:val="center"/>
              <w:rPr>
                <w:spacing w:val="-4"/>
                <w:sz w:val="18"/>
                <w:szCs w:val="18"/>
              </w:rPr>
            </w:pPr>
            <w:r>
              <w:rPr>
                <w:spacing w:val="-4"/>
                <w:sz w:val="18"/>
                <w:szCs w:val="18"/>
              </w:rPr>
              <w:t>0.7</w:t>
            </w:r>
            <w:r>
              <w:rPr>
                <w:rFonts w:hint="eastAsia"/>
                <w:sz w:val="18"/>
                <w:szCs w:val="18"/>
              </w:rPr>
              <w:t>～</w:t>
            </w:r>
            <w:r>
              <w:rPr>
                <w:sz w:val="18"/>
                <w:szCs w:val="18"/>
              </w:rPr>
              <w:t>2.7</w:t>
            </w:r>
          </w:p>
        </w:tc>
        <w:tc>
          <w:tcPr>
            <w:tcW w:w="1559" w:type="dxa"/>
            <w:vAlign w:val="center"/>
          </w:tcPr>
          <w:p w14:paraId="38A8937A">
            <w:pPr>
              <w:snapToGrid w:val="0"/>
              <w:spacing w:beforeLines="50" w:after="100" w:line="240" w:lineRule="auto"/>
              <w:jc w:val="center"/>
              <w:rPr>
                <w:spacing w:val="-4"/>
                <w:sz w:val="18"/>
                <w:szCs w:val="18"/>
              </w:rPr>
            </w:pPr>
            <w:r>
              <w:rPr>
                <w:sz w:val="18"/>
                <w:szCs w:val="18"/>
              </w:rPr>
              <w:t>0.5</w:t>
            </w:r>
            <w:r>
              <w:rPr>
                <w:rFonts w:hint="eastAsia"/>
                <w:sz w:val="18"/>
                <w:szCs w:val="18"/>
              </w:rPr>
              <w:t>～</w:t>
            </w:r>
            <w:r>
              <w:rPr>
                <w:sz w:val="18"/>
                <w:szCs w:val="18"/>
              </w:rPr>
              <w:t>2.7</w:t>
            </w:r>
          </w:p>
        </w:tc>
      </w:tr>
      <w:tr w14:paraId="38B51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continue"/>
            <w:vAlign w:val="center"/>
          </w:tcPr>
          <w:p w14:paraId="6F358163">
            <w:pPr>
              <w:spacing w:after="100" w:line="240" w:lineRule="auto"/>
              <w:jc w:val="center"/>
              <w:rPr>
                <w:spacing w:val="-4"/>
                <w:sz w:val="18"/>
                <w:szCs w:val="18"/>
              </w:rPr>
            </w:pPr>
          </w:p>
        </w:tc>
        <w:tc>
          <w:tcPr>
            <w:tcW w:w="1436" w:type="dxa"/>
            <w:vMerge w:val="continue"/>
            <w:vAlign w:val="center"/>
          </w:tcPr>
          <w:p w14:paraId="2ED8E765">
            <w:pPr>
              <w:spacing w:after="100" w:line="240" w:lineRule="auto"/>
              <w:jc w:val="center"/>
              <w:rPr>
                <w:spacing w:val="-4"/>
                <w:sz w:val="18"/>
                <w:szCs w:val="18"/>
              </w:rPr>
            </w:pPr>
          </w:p>
        </w:tc>
        <w:tc>
          <w:tcPr>
            <w:tcW w:w="2126" w:type="dxa"/>
            <w:vAlign w:val="center"/>
          </w:tcPr>
          <w:p w14:paraId="6A32A72E">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2AB9B067">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4E310BC8">
            <w:pPr>
              <w:snapToGrid w:val="0"/>
              <w:spacing w:beforeLines="50" w:after="100" w:line="240" w:lineRule="auto"/>
              <w:jc w:val="center"/>
              <w:rPr>
                <w:spacing w:val="-4"/>
                <w:sz w:val="18"/>
                <w:szCs w:val="18"/>
              </w:rPr>
            </w:pPr>
            <w:r>
              <w:rPr>
                <w:sz w:val="18"/>
                <w:szCs w:val="18"/>
              </w:rPr>
              <w:t>74.3</w:t>
            </w:r>
            <w:r>
              <w:rPr>
                <w:rFonts w:hint="eastAsia"/>
                <w:sz w:val="18"/>
                <w:szCs w:val="18"/>
              </w:rPr>
              <w:t>～</w:t>
            </w:r>
            <w:r>
              <w:rPr>
                <w:sz w:val="18"/>
                <w:szCs w:val="18"/>
              </w:rPr>
              <w:t>93.8</w:t>
            </w:r>
          </w:p>
        </w:tc>
        <w:tc>
          <w:tcPr>
            <w:tcW w:w="1559" w:type="dxa"/>
            <w:vAlign w:val="center"/>
          </w:tcPr>
          <w:p w14:paraId="3432F896">
            <w:pPr>
              <w:snapToGrid w:val="0"/>
              <w:spacing w:beforeLines="50" w:after="100" w:line="240" w:lineRule="auto"/>
              <w:jc w:val="center"/>
              <w:rPr>
                <w:spacing w:val="-4"/>
                <w:sz w:val="18"/>
                <w:szCs w:val="18"/>
              </w:rPr>
            </w:pPr>
            <w:r>
              <w:rPr>
                <w:sz w:val="18"/>
                <w:szCs w:val="18"/>
              </w:rPr>
              <w:t>74.5-95.1</w:t>
            </w:r>
          </w:p>
        </w:tc>
      </w:tr>
      <w:tr w14:paraId="2A29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restart"/>
            <w:vAlign w:val="center"/>
          </w:tcPr>
          <w:p w14:paraId="61CFAEE3">
            <w:pPr>
              <w:spacing w:after="100" w:line="240" w:lineRule="auto"/>
              <w:jc w:val="center"/>
              <w:rPr>
                <w:spacing w:val="-4"/>
                <w:sz w:val="18"/>
                <w:szCs w:val="18"/>
              </w:rPr>
            </w:pPr>
            <w:r>
              <w:rPr>
                <w:spacing w:val="-4"/>
                <w:sz w:val="18"/>
                <w:szCs w:val="18"/>
              </w:rPr>
              <w:t>6</w:t>
            </w:r>
          </w:p>
        </w:tc>
        <w:tc>
          <w:tcPr>
            <w:tcW w:w="1436" w:type="dxa"/>
            <w:vMerge w:val="restart"/>
            <w:vAlign w:val="center"/>
          </w:tcPr>
          <w:p w14:paraId="27AEBB86">
            <w:pPr>
              <w:spacing w:after="100" w:line="240" w:lineRule="auto"/>
              <w:jc w:val="center"/>
              <w:rPr>
                <w:spacing w:val="-4"/>
                <w:sz w:val="18"/>
                <w:szCs w:val="18"/>
              </w:rPr>
            </w:pPr>
            <w:r>
              <w:rPr>
                <w:rFonts w:hint="eastAsia"/>
                <w:spacing w:val="-4"/>
                <w:sz w:val="18"/>
                <w:szCs w:val="18"/>
              </w:rPr>
              <w:t>旋转网式油烟净化技术</w:t>
            </w:r>
          </w:p>
        </w:tc>
        <w:tc>
          <w:tcPr>
            <w:tcW w:w="2126" w:type="dxa"/>
            <w:vAlign w:val="center"/>
          </w:tcPr>
          <w:p w14:paraId="012C3DDF">
            <w:pPr>
              <w:snapToGrid w:val="0"/>
              <w:spacing w:beforeLines="50" w:after="100" w:line="240" w:lineRule="auto"/>
              <w:jc w:val="center"/>
              <w:rPr>
                <w:spacing w:val="-4"/>
                <w:sz w:val="18"/>
                <w:szCs w:val="18"/>
              </w:rPr>
            </w:pPr>
            <w:r>
              <w:rPr>
                <w:rFonts w:hint="eastAsia"/>
                <w:spacing w:val="-4"/>
                <w:sz w:val="18"/>
                <w:szCs w:val="18"/>
              </w:rPr>
              <w:t>设备出口油烟排放浓度</w:t>
            </w:r>
          </w:p>
        </w:tc>
        <w:tc>
          <w:tcPr>
            <w:tcW w:w="851" w:type="dxa"/>
            <w:vAlign w:val="center"/>
          </w:tcPr>
          <w:p w14:paraId="54C38867">
            <w:pPr>
              <w:snapToGrid w:val="0"/>
              <w:spacing w:beforeLines="50" w:after="100" w:line="240" w:lineRule="auto"/>
              <w:ind w:firstLine="90" w:firstLineChars="50"/>
              <w:jc w:val="center"/>
              <w:rPr>
                <w:spacing w:val="-4"/>
                <w:sz w:val="18"/>
                <w:szCs w:val="18"/>
              </w:rPr>
            </w:pPr>
            <w:r>
              <w:rPr>
                <w:sz w:val="18"/>
                <w:szCs w:val="18"/>
              </w:rPr>
              <w:t>mg/m</w:t>
            </w:r>
            <w:r>
              <w:rPr>
                <w:sz w:val="18"/>
                <w:szCs w:val="18"/>
                <w:vertAlign w:val="superscript"/>
              </w:rPr>
              <w:t>3</w:t>
            </w:r>
          </w:p>
        </w:tc>
        <w:tc>
          <w:tcPr>
            <w:tcW w:w="1701" w:type="dxa"/>
            <w:vAlign w:val="center"/>
          </w:tcPr>
          <w:p w14:paraId="118D6B4D">
            <w:pPr>
              <w:snapToGrid w:val="0"/>
              <w:spacing w:beforeLines="50" w:after="100" w:line="240" w:lineRule="auto"/>
              <w:jc w:val="center"/>
              <w:rPr>
                <w:spacing w:val="-4"/>
                <w:sz w:val="18"/>
                <w:szCs w:val="18"/>
              </w:rPr>
            </w:pPr>
            <w:r>
              <w:rPr>
                <w:spacing w:val="-4"/>
                <w:sz w:val="18"/>
                <w:szCs w:val="18"/>
              </w:rPr>
              <w:t>0.6</w:t>
            </w:r>
            <w:r>
              <w:rPr>
                <w:rFonts w:hint="eastAsia"/>
                <w:sz w:val="18"/>
                <w:szCs w:val="18"/>
              </w:rPr>
              <w:t>～</w:t>
            </w:r>
            <w:r>
              <w:rPr>
                <w:sz w:val="18"/>
                <w:szCs w:val="18"/>
              </w:rPr>
              <w:t>1.6</w:t>
            </w:r>
          </w:p>
        </w:tc>
        <w:tc>
          <w:tcPr>
            <w:tcW w:w="1559" w:type="dxa"/>
            <w:vAlign w:val="center"/>
          </w:tcPr>
          <w:p w14:paraId="76362B9E">
            <w:pPr>
              <w:snapToGrid w:val="0"/>
              <w:spacing w:beforeLines="50" w:after="100" w:line="240" w:lineRule="auto"/>
              <w:jc w:val="center"/>
              <w:rPr>
                <w:spacing w:val="-4"/>
                <w:sz w:val="18"/>
                <w:szCs w:val="18"/>
              </w:rPr>
            </w:pPr>
            <w:r>
              <w:rPr>
                <w:sz w:val="18"/>
                <w:szCs w:val="18"/>
              </w:rPr>
              <w:t>1.4-2.1</w:t>
            </w:r>
          </w:p>
        </w:tc>
      </w:tr>
      <w:tr w14:paraId="78545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 w:hRule="atLeast"/>
        </w:trPr>
        <w:tc>
          <w:tcPr>
            <w:tcW w:w="664" w:type="dxa"/>
            <w:vMerge w:val="continue"/>
            <w:vAlign w:val="center"/>
          </w:tcPr>
          <w:p w14:paraId="723F67EB">
            <w:pPr>
              <w:spacing w:after="100" w:line="240" w:lineRule="auto"/>
              <w:jc w:val="center"/>
              <w:rPr>
                <w:spacing w:val="-4"/>
                <w:sz w:val="18"/>
                <w:szCs w:val="18"/>
              </w:rPr>
            </w:pPr>
          </w:p>
        </w:tc>
        <w:tc>
          <w:tcPr>
            <w:tcW w:w="1436" w:type="dxa"/>
            <w:vMerge w:val="continue"/>
            <w:vAlign w:val="center"/>
          </w:tcPr>
          <w:p w14:paraId="77B22F06">
            <w:pPr>
              <w:spacing w:after="100" w:line="240" w:lineRule="auto"/>
              <w:jc w:val="center"/>
              <w:rPr>
                <w:spacing w:val="-4"/>
                <w:sz w:val="18"/>
                <w:szCs w:val="18"/>
              </w:rPr>
            </w:pPr>
          </w:p>
        </w:tc>
        <w:tc>
          <w:tcPr>
            <w:tcW w:w="2126" w:type="dxa"/>
            <w:vAlign w:val="center"/>
          </w:tcPr>
          <w:p w14:paraId="39DFD20F">
            <w:pPr>
              <w:snapToGrid w:val="0"/>
              <w:spacing w:beforeLines="50" w:after="100" w:line="240" w:lineRule="auto"/>
              <w:jc w:val="center"/>
              <w:rPr>
                <w:spacing w:val="-4"/>
                <w:sz w:val="18"/>
                <w:szCs w:val="18"/>
              </w:rPr>
            </w:pPr>
            <w:r>
              <w:rPr>
                <w:rFonts w:hint="eastAsia"/>
                <w:sz w:val="18"/>
                <w:szCs w:val="18"/>
              </w:rPr>
              <w:t>去除效率</w:t>
            </w:r>
          </w:p>
        </w:tc>
        <w:tc>
          <w:tcPr>
            <w:tcW w:w="851" w:type="dxa"/>
            <w:vAlign w:val="center"/>
          </w:tcPr>
          <w:p w14:paraId="27BD5E05">
            <w:pPr>
              <w:snapToGrid w:val="0"/>
              <w:spacing w:beforeLines="50" w:after="100" w:line="240" w:lineRule="auto"/>
              <w:jc w:val="center"/>
              <w:rPr>
                <w:spacing w:val="-4"/>
                <w:sz w:val="18"/>
                <w:szCs w:val="18"/>
              </w:rPr>
            </w:pPr>
            <w:r>
              <w:rPr>
                <w:spacing w:val="-4"/>
                <w:sz w:val="18"/>
                <w:szCs w:val="18"/>
              </w:rPr>
              <w:t>%</w:t>
            </w:r>
          </w:p>
        </w:tc>
        <w:tc>
          <w:tcPr>
            <w:tcW w:w="1701" w:type="dxa"/>
            <w:vAlign w:val="center"/>
          </w:tcPr>
          <w:p w14:paraId="6D6AA72E">
            <w:pPr>
              <w:snapToGrid w:val="0"/>
              <w:spacing w:beforeLines="50" w:after="100" w:line="240" w:lineRule="auto"/>
              <w:jc w:val="center"/>
              <w:rPr>
                <w:spacing w:val="-4"/>
                <w:sz w:val="18"/>
                <w:szCs w:val="18"/>
              </w:rPr>
            </w:pPr>
            <w:r>
              <w:rPr>
                <w:sz w:val="18"/>
                <w:szCs w:val="18"/>
              </w:rPr>
              <w:t>85.4</w:t>
            </w:r>
            <w:r>
              <w:rPr>
                <w:rFonts w:hint="eastAsia"/>
                <w:sz w:val="18"/>
                <w:szCs w:val="18"/>
              </w:rPr>
              <w:t>～</w:t>
            </w:r>
            <w:r>
              <w:rPr>
                <w:sz w:val="18"/>
                <w:szCs w:val="18"/>
              </w:rPr>
              <w:t>93.9</w:t>
            </w:r>
          </w:p>
        </w:tc>
        <w:tc>
          <w:tcPr>
            <w:tcW w:w="1559" w:type="dxa"/>
            <w:vAlign w:val="center"/>
          </w:tcPr>
          <w:p w14:paraId="3BB63D2F">
            <w:pPr>
              <w:snapToGrid w:val="0"/>
              <w:spacing w:beforeLines="50" w:after="100" w:line="240" w:lineRule="auto"/>
              <w:jc w:val="center"/>
              <w:rPr>
                <w:spacing w:val="-4"/>
                <w:sz w:val="18"/>
                <w:szCs w:val="18"/>
              </w:rPr>
            </w:pPr>
            <w:r>
              <w:rPr>
                <w:sz w:val="18"/>
                <w:szCs w:val="18"/>
              </w:rPr>
              <w:t>81.2-87.2</w:t>
            </w:r>
          </w:p>
        </w:tc>
      </w:tr>
    </w:tbl>
    <w:p w14:paraId="1A26BED6">
      <w:pPr>
        <w:ind w:firstLine="480" w:firstLineChars="200"/>
        <w:jc w:val="left"/>
      </w:pPr>
      <w:r>
        <w:rPr>
          <w:rFonts w:hint="eastAsia"/>
        </w:rPr>
        <w:t>由油烟排放监测情况可知，餐饮企业油烟的实际排放浓度有</w:t>
      </w:r>
      <w:r>
        <w:t>34%</w:t>
      </w:r>
      <w:r>
        <w:rPr>
          <w:rFonts w:hint="eastAsia"/>
        </w:rPr>
        <w:t>在</w:t>
      </w:r>
      <w:r>
        <w:t>1mg/m</w:t>
      </w:r>
      <w:r>
        <w:rPr>
          <w:vertAlign w:val="superscript"/>
        </w:rPr>
        <w:t>3</w:t>
      </w:r>
      <w:r>
        <w:rPr>
          <w:rFonts w:hint="eastAsia"/>
        </w:rPr>
        <w:t>的以下，</w:t>
      </w:r>
      <w:r>
        <w:t>66%</w:t>
      </w:r>
      <w:r>
        <w:rPr>
          <w:rFonts w:hint="eastAsia"/>
        </w:rPr>
        <w:t>的油烟排放浓度高于</w:t>
      </w:r>
      <w:r>
        <w:t>1mg/m</w:t>
      </w:r>
      <w:r>
        <w:rPr>
          <w:vertAlign w:val="superscript"/>
        </w:rPr>
        <w:t>3</w:t>
      </w:r>
      <w:r>
        <w:rPr>
          <w:rFonts w:hint="eastAsia"/>
        </w:rPr>
        <w:t>，排放浓度最高为</w:t>
      </w:r>
      <w:r>
        <w:t>6mg/m</w:t>
      </w:r>
      <w:r>
        <w:rPr>
          <w:vertAlign w:val="superscript"/>
        </w:rPr>
        <w:t>3</w:t>
      </w:r>
      <w:r>
        <w:rPr>
          <w:rFonts w:hint="eastAsia"/>
        </w:rPr>
        <w:t>。根据《环境保护标准原理方法及应用》中介绍，一般情况下排放限值的制定依据为：排放限值</w:t>
      </w:r>
      <w:r>
        <w:t>=</w:t>
      </w:r>
      <w:r>
        <w:rPr>
          <w:rFonts w:hint="eastAsia"/>
        </w:rPr>
        <w:t>初始排放浓度</w:t>
      </w:r>
      <w:r>
        <w:t>*</w:t>
      </w:r>
      <w:r>
        <w:rPr>
          <w:rFonts w:hint="eastAsia"/>
        </w:rPr>
        <w:t>（</w:t>
      </w:r>
      <w:r>
        <w:t>1-</w:t>
      </w:r>
      <w:r>
        <w:rPr>
          <w:rFonts w:hint="eastAsia"/>
        </w:rPr>
        <w:t>可达的净化效率）。由图</w:t>
      </w:r>
      <w:r>
        <w:t>6-3</w:t>
      </w:r>
      <w:r>
        <w:rPr>
          <w:rFonts w:hint="eastAsia"/>
        </w:rPr>
        <w:t>和表</w:t>
      </w:r>
      <w:r>
        <w:t>6-6</w:t>
      </w:r>
      <w:r>
        <w:rPr>
          <w:rFonts w:hint="eastAsia"/>
        </w:rPr>
        <w:t>可知，静电式和复合式净化设备的净化效率最高，实验室认证净化效率最高约为</w:t>
      </w:r>
      <w:r>
        <w:t>95%</w:t>
      </w:r>
      <w:r>
        <w:rPr>
          <w:rFonts w:hint="eastAsia"/>
        </w:rPr>
        <w:t>，根据实际使用条件的不同，净化效率有不同程度的下降。则在测得的最高初始排放浓度</w:t>
      </w:r>
      <w:r>
        <w:t>6mg/m</w:t>
      </w:r>
      <w:r>
        <w:rPr>
          <w:vertAlign w:val="superscript"/>
        </w:rPr>
        <w:t>3</w:t>
      </w:r>
      <w:r>
        <w:rPr>
          <w:rFonts w:hint="eastAsia"/>
        </w:rPr>
        <w:t>的条件下，安装使用认证效率为</w:t>
      </w:r>
      <w:r>
        <w:t>95%</w:t>
      </w:r>
      <w:r>
        <w:rPr>
          <w:rFonts w:hint="eastAsia"/>
        </w:rPr>
        <w:t>，实际使用效率</w:t>
      </w:r>
      <w:r>
        <w:t>90%</w:t>
      </w:r>
      <w:r>
        <w:rPr>
          <w:rFonts w:hint="eastAsia"/>
        </w:rPr>
        <w:t>左右的净化设备，最终排放浓度可降低至</w:t>
      </w:r>
      <w:r>
        <w:t>1.0mg/m</w:t>
      </w:r>
      <w:r>
        <w:rPr>
          <w:vertAlign w:val="superscript"/>
        </w:rPr>
        <w:t>3</w:t>
      </w:r>
      <w:r>
        <w:rPr>
          <w:rFonts w:hint="eastAsia"/>
        </w:rPr>
        <w:t>以下。为使排放浓度降至</w:t>
      </w:r>
      <w:r>
        <w:t>1.0mg/m</w:t>
      </w:r>
      <w:r>
        <w:rPr>
          <w:vertAlign w:val="superscript"/>
        </w:rPr>
        <w:t>3</w:t>
      </w:r>
      <w:r>
        <w:rPr>
          <w:rFonts w:hint="eastAsia"/>
        </w:rPr>
        <w:t>以下，不同初始排放浓度油烟净化效率选择见表</w:t>
      </w:r>
      <w:r>
        <w:t>6-7</w:t>
      </w:r>
      <w:r>
        <w:rPr>
          <w:rFonts w:hint="eastAsia"/>
        </w:rPr>
        <w:t>。此外，上海、天津等城市已将油烟标准限值降低至</w:t>
      </w:r>
      <w:r>
        <w:t>1.0mg/m</w:t>
      </w:r>
      <w:r>
        <w:rPr>
          <w:vertAlign w:val="superscript"/>
        </w:rPr>
        <w:t>3</w:t>
      </w:r>
      <w:r>
        <w:rPr>
          <w:rFonts w:hint="eastAsia"/>
        </w:rPr>
        <w:t>，调研表明这些标准实施效果良好，各餐饮企业选用经认定的或市场口碑较好的净化设备，则完全能达到</w:t>
      </w:r>
      <w:r>
        <w:t>1.0 mg/m</w:t>
      </w:r>
      <w:r>
        <w:rPr>
          <w:vertAlign w:val="superscript"/>
        </w:rPr>
        <w:t>3</w:t>
      </w:r>
      <w:r>
        <w:rPr>
          <w:rFonts w:hint="eastAsia"/>
        </w:rPr>
        <w:t>的排放限值。可见，油烟排放限值定为</w:t>
      </w:r>
      <w:r>
        <w:t>1.0mg/m</w:t>
      </w:r>
      <w:r>
        <w:rPr>
          <w:vertAlign w:val="superscript"/>
        </w:rPr>
        <w:t>3</w:t>
      </w:r>
      <w:r>
        <w:rPr>
          <w:rFonts w:hint="eastAsia"/>
        </w:rPr>
        <w:t>完全合理可行、技术可达。</w:t>
      </w:r>
    </w:p>
    <w:p w14:paraId="7FFD7F84">
      <w:pPr>
        <w:jc w:val="center"/>
      </w:pPr>
      <w:r>
        <w:rPr>
          <w:rFonts w:hint="eastAsia"/>
        </w:rPr>
        <w:t>表</w:t>
      </w:r>
      <w:r>
        <w:t>6-7</w:t>
      </w:r>
      <w:r>
        <w:rPr>
          <w:rFonts w:hint="eastAsia"/>
        </w:rPr>
        <w:t>油烟不同排放浓度的达标方案</w:t>
      </w:r>
    </w:p>
    <w:tbl>
      <w:tblPr>
        <w:tblStyle w:val="18"/>
        <w:tblW w:w="7456" w:type="dxa"/>
        <w:jc w:val="center"/>
        <w:tblLayout w:type="fixed"/>
        <w:tblCellMar>
          <w:top w:w="0" w:type="dxa"/>
          <w:left w:w="0" w:type="dxa"/>
          <w:bottom w:w="0" w:type="dxa"/>
          <w:right w:w="0" w:type="dxa"/>
        </w:tblCellMar>
      </w:tblPr>
      <w:tblGrid>
        <w:gridCol w:w="2127"/>
        <w:gridCol w:w="2692"/>
        <w:gridCol w:w="2637"/>
      </w:tblGrid>
      <w:tr w14:paraId="724B8203">
        <w:tblPrEx>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1775418">
            <w:pPr>
              <w:jc w:val="center"/>
              <w:rPr>
                <w:b/>
                <w:sz w:val="21"/>
                <w:szCs w:val="21"/>
              </w:rPr>
            </w:pPr>
            <w:r>
              <w:rPr>
                <w:rFonts w:hint="eastAsia"/>
                <w:b/>
                <w:sz w:val="21"/>
                <w:szCs w:val="21"/>
              </w:rPr>
              <w:t>油烟初始浓度（</w:t>
            </w:r>
            <w:r>
              <w:t>mg/m</w:t>
            </w:r>
            <w:r>
              <w:rPr>
                <w:vertAlign w:val="superscript"/>
              </w:rPr>
              <w:t>3</w:t>
            </w:r>
            <w:r>
              <w:rPr>
                <w:rFonts w:hint="eastAsia"/>
                <w:b/>
                <w:sz w:val="21"/>
                <w:szCs w:val="21"/>
              </w:rPr>
              <w:t>）</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0F1C48D7">
            <w:pPr>
              <w:jc w:val="center"/>
              <w:rPr>
                <w:b/>
                <w:sz w:val="21"/>
                <w:szCs w:val="21"/>
              </w:rPr>
            </w:pPr>
            <w:r>
              <w:rPr>
                <w:rFonts w:hint="eastAsia"/>
                <w:b/>
                <w:sz w:val="21"/>
                <w:szCs w:val="21"/>
              </w:rPr>
              <w:t>净化设备认证去除效率（</w:t>
            </w:r>
            <w:r>
              <w:rPr>
                <w:b/>
                <w:sz w:val="21"/>
                <w:szCs w:val="21"/>
              </w:rPr>
              <w:t>%</w:t>
            </w:r>
            <w:r>
              <w:rPr>
                <w:rFonts w:hint="eastAsia"/>
                <w:b/>
                <w:sz w:val="21"/>
                <w:szCs w:val="21"/>
              </w:rPr>
              <w:t>）</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4242E64">
            <w:pPr>
              <w:jc w:val="center"/>
              <w:rPr>
                <w:b/>
                <w:sz w:val="21"/>
                <w:szCs w:val="21"/>
              </w:rPr>
            </w:pPr>
            <w:r>
              <w:rPr>
                <w:rFonts w:hint="eastAsia"/>
                <w:b/>
                <w:sz w:val="21"/>
                <w:szCs w:val="21"/>
              </w:rPr>
              <w:t>设备实际使用效率（</w:t>
            </w:r>
            <w:r>
              <w:rPr>
                <w:b/>
                <w:sz w:val="21"/>
                <w:szCs w:val="21"/>
              </w:rPr>
              <w:t>%</w:t>
            </w:r>
            <w:r>
              <w:rPr>
                <w:rFonts w:hint="eastAsia"/>
                <w:b/>
                <w:sz w:val="21"/>
                <w:szCs w:val="21"/>
              </w:rPr>
              <w:t>）</w:t>
            </w:r>
          </w:p>
        </w:tc>
      </w:tr>
      <w:tr w14:paraId="3AA21F8C">
        <w:tblPrEx>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950A681">
            <w:pPr>
              <w:jc w:val="center"/>
              <w:rPr>
                <w:sz w:val="21"/>
                <w:szCs w:val="21"/>
              </w:rPr>
            </w:pPr>
            <w:r>
              <w:rPr>
                <w:sz w:val="21"/>
                <w:szCs w:val="21"/>
              </w:rPr>
              <w:t>10</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8E38BCC">
            <w:pPr>
              <w:jc w:val="center"/>
              <w:rPr>
                <w:sz w:val="21"/>
                <w:szCs w:val="21"/>
              </w:rPr>
            </w:pPr>
            <w:r>
              <w:rPr>
                <w:sz w:val="21"/>
                <w:szCs w:val="21"/>
              </w:rPr>
              <w:t xml:space="preserve">95% </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77656F20">
            <w:pPr>
              <w:jc w:val="center"/>
              <w:rPr>
                <w:sz w:val="21"/>
                <w:szCs w:val="21"/>
              </w:rPr>
            </w:pPr>
            <w:r>
              <w:rPr>
                <w:sz w:val="21"/>
                <w:szCs w:val="21"/>
              </w:rPr>
              <w:t>90%</w:t>
            </w:r>
            <w:r>
              <w:rPr>
                <w:rFonts w:hint="eastAsia"/>
                <w:sz w:val="21"/>
                <w:szCs w:val="21"/>
              </w:rPr>
              <w:t>以上</w:t>
            </w:r>
          </w:p>
        </w:tc>
      </w:tr>
      <w:tr w14:paraId="2D7BBA12">
        <w:tblPrEx>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1676D2BA">
            <w:pPr>
              <w:jc w:val="center"/>
              <w:rPr>
                <w:sz w:val="21"/>
                <w:szCs w:val="21"/>
              </w:rPr>
            </w:pPr>
            <w:r>
              <w:rPr>
                <w:sz w:val="21"/>
                <w:szCs w:val="21"/>
              </w:rPr>
              <w:t>5</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18530B7">
            <w:pPr>
              <w:jc w:val="center"/>
              <w:rPr>
                <w:sz w:val="21"/>
                <w:szCs w:val="21"/>
              </w:rPr>
            </w:pPr>
            <w:r>
              <w:rPr>
                <w:sz w:val="21"/>
                <w:szCs w:val="21"/>
              </w:rPr>
              <w:t>85%</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2E27C09A">
            <w:pPr>
              <w:jc w:val="center"/>
              <w:rPr>
                <w:sz w:val="21"/>
                <w:szCs w:val="21"/>
              </w:rPr>
            </w:pPr>
            <w:r>
              <w:rPr>
                <w:sz w:val="21"/>
                <w:szCs w:val="21"/>
              </w:rPr>
              <w:t>80%</w:t>
            </w:r>
            <w:r>
              <w:rPr>
                <w:rFonts w:hint="eastAsia"/>
                <w:sz w:val="21"/>
                <w:szCs w:val="21"/>
              </w:rPr>
              <w:t>以上</w:t>
            </w:r>
          </w:p>
        </w:tc>
      </w:tr>
      <w:tr w14:paraId="5CB57D21">
        <w:tblPrEx>
          <w:tblCellMar>
            <w:top w:w="0" w:type="dxa"/>
            <w:left w:w="0" w:type="dxa"/>
            <w:bottom w:w="0" w:type="dxa"/>
            <w:right w:w="0" w:type="dxa"/>
          </w:tblCellMar>
        </w:tblPrEx>
        <w:trPr>
          <w:trHeight w:val="20" w:hRule="atLeast"/>
          <w:jc w:val="center"/>
        </w:trPr>
        <w:tc>
          <w:tcPr>
            <w:tcW w:w="212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69D95817">
            <w:pPr>
              <w:jc w:val="center"/>
              <w:rPr>
                <w:sz w:val="21"/>
                <w:szCs w:val="21"/>
              </w:rPr>
            </w:pPr>
            <w:r>
              <w:rPr>
                <w:sz w:val="21"/>
                <w:szCs w:val="21"/>
              </w:rPr>
              <w:t>3</w:t>
            </w:r>
          </w:p>
        </w:tc>
        <w:tc>
          <w:tcPr>
            <w:tcW w:w="2692"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58823FDB">
            <w:pPr>
              <w:jc w:val="center"/>
              <w:rPr>
                <w:sz w:val="21"/>
                <w:szCs w:val="21"/>
              </w:rPr>
            </w:pPr>
            <w:r>
              <w:rPr>
                <w:sz w:val="21"/>
                <w:szCs w:val="21"/>
              </w:rPr>
              <w:t>75%</w:t>
            </w:r>
          </w:p>
        </w:tc>
        <w:tc>
          <w:tcPr>
            <w:tcW w:w="2637" w:type="dxa"/>
            <w:tcBorders>
              <w:top w:val="single" w:color="000000" w:sz="4" w:space="0"/>
              <w:left w:val="single" w:color="000000" w:sz="4" w:space="0"/>
              <w:bottom w:val="single" w:color="000000" w:sz="4" w:space="0"/>
              <w:right w:val="single" w:color="000000" w:sz="4" w:space="0"/>
            </w:tcBorders>
            <w:shd w:val="clear" w:color="auto" w:fill="C4EFFF"/>
            <w:tcMar>
              <w:top w:w="12" w:type="dxa"/>
              <w:left w:w="12" w:type="dxa"/>
              <w:bottom w:w="0" w:type="dxa"/>
              <w:right w:w="12" w:type="dxa"/>
            </w:tcMar>
            <w:vAlign w:val="center"/>
          </w:tcPr>
          <w:p w14:paraId="6810572F">
            <w:pPr>
              <w:jc w:val="center"/>
              <w:rPr>
                <w:sz w:val="21"/>
                <w:szCs w:val="21"/>
              </w:rPr>
            </w:pPr>
            <w:r>
              <w:rPr>
                <w:sz w:val="21"/>
                <w:szCs w:val="21"/>
              </w:rPr>
              <w:t>70%</w:t>
            </w:r>
            <w:r>
              <w:rPr>
                <w:rFonts w:hint="eastAsia"/>
                <w:sz w:val="21"/>
                <w:szCs w:val="21"/>
              </w:rPr>
              <w:t>以上</w:t>
            </w:r>
          </w:p>
        </w:tc>
      </w:tr>
    </w:tbl>
    <w:p w14:paraId="36F3A89E">
      <w:pPr>
        <w:ind w:firstLine="480" w:firstLineChars="200"/>
      </w:pPr>
      <w:r>
        <w:rPr>
          <w:rFonts w:hint="eastAsia"/>
        </w:rPr>
        <w:t>不同类型的净化技术对于颗粒物和油烟净化具有很强的协同性。本次测试的典型餐饮企业颗粒物的排放浓度有</w:t>
      </w:r>
      <w:r>
        <w:t>27%</w:t>
      </w:r>
      <w:r>
        <w:rPr>
          <w:rFonts w:hint="eastAsia"/>
        </w:rPr>
        <w:t>在</w:t>
      </w:r>
      <w:r>
        <w:t>4 mg/m</w:t>
      </w:r>
      <w:r>
        <w:rPr>
          <w:vertAlign w:val="superscript"/>
        </w:rPr>
        <w:t>3</w:t>
      </w:r>
      <w:r>
        <w:rPr>
          <w:rFonts w:hint="eastAsia"/>
        </w:rPr>
        <w:t>以下，有</w:t>
      </w:r>
      <w:r>
        <w:t>45.9%</w:t>
      </w:r>
      <w:r>
        <w:rPr>
          <w:rFonts w:hint="eastAsia"/>
        </w:rPr>
        <w:t>在</w:t>
      </w:r>
      <w:r>
        <w:t>5 mg/m</w:t>
      </w:r>
      <w:r>
        <w:rPr>
          <w:vertAlign w:val="superscript"/>
        </w:rPr>
        <w:t>3</w:t>
      </w:r>
      <w:r>
        <w:rPr>
          <w:rFonts w:hint="eastAsia"/>
        </w:rPr>
        <w:t>以下，</w:t>
      </w:r>
      <w:r>
        <w:t>54.1%</w:t>
      </w:r>
      <w:r>
        <w:rPr>
          <w:rFonts w:hint="eastAsia"/>
        </w:rPr>
        <w:t>的颗粒物排放浓度高于</w:t>
      </w:r>
      <w:r>
        <w:t>5mg/m</w:t>
      </w:r>
      <w:r>
        <w:rPr>
          <w:vertAlign w:val="superscript"/>
        </w:rPr>
        <w:t>3</w:t>
      </w:r>
      <w:r>
        <w:rPr>
          <w:rFonts w:hint="eastAsia"/>
        </w:rPr>
        <w:t>，排放浓度最高为</w:t>
      </w:r>
      <w:r>
        <w:t>50mg/m</w:t>
      </w:r>
      <w:r>
        <w:rPr>
          <w:vertAlign w:val="superscript"/>
        </w:rPr>
        <w:t>3</w:t>
      </w:r>
      <w:r>
        <w:rPr>
          <w:rFonts w:hint="eastAsia"/>
        </w:rPr>
        <w:t>。根据《环境保护标准原理方法及应用》中介绍，一般情况下排放限值的制定依据为：排放限值</w:t>
      </w:r>
      <w:r>
        <w:t>=</w:t>
      </w:r>
      <w:r>
        <w:rPr>
          <w:rFonts w:hint="eastAsia"/>
        </w:rPr>
        <w:t>初始排放浓度</w:t>
      </w:r>
      <w:r>
        <w:t>*</w:t>
      </w:r>
      <w:r>
        <w:rPr>
          <w:rFonts w:hint="eastAsia"/>
        </w:rPr>
        <w:t>（</w:t>
      </w:r>
      <w:r>
        <w:t>1-</w:t>
      </w:r>
      <w:r>
        <w:rPr>
          <w:rFonts w:hint="eastAsia"/>
        </w:rPr>
        <w:t>可达的净化效率）。由图</w:t>
      </w:r>
      <w:r>
        <w:t>6-3</w:t>
      </w:r>
      <w:r>
        <w:rPr>
          <w:rFonts w:hint="eastAsia"/>
        </w:rPr>
        <w:t>和表</w:t>
      </w:r>
      <w:r>
        <w:t>6-6</w:t>
      </w:r>
      <w:r>
        <w:rPr>
          <w:rFonts w:hint="eastAsia"/>
        </w:rPr>
        <w:t>可知，静电式和复合式净化设备的净化效率最高，实验室认证净化效率最高约为</w:t>
      </w:r>
      <w:r>
        <w:t>95%</w:t>
      </w:r>
      <w:r>
        <w:rPr>
          <w:rFonts w:hint="eastAsia"/>
        </w:rPr>
        <w:t>，根据实际使用条件的不同，净化效率有不同程度的下降。则在测得的最高初始排放浓度</w:t>
      </w:r>
      <w:r>
        <w:t>50mg/m</w:t>
      </w:r>
      <w:r>
        <w:rPr>
          <w:vertAlign w:val="superscript"/>
        </w:rPr>
        <w:t>3</w:t>
      </w:r>
      <w:r>
        <w:rPr>
          <w:rFonts w:hint="eastAsia"/>
        </w:rPr>
        <w:t>的条件下，安装使用认证效率为</w:t>
      </w:r>
      <w:r>
        <w:t>95%</w:t>
      </w:r>
      <w:r>
        <w:rPr>
          <w:rFonts w:hint="eastAsia"/>
        </w:rPr>
        <w:t>，实际使用效率</w:t>
      </w:r>
      <w:r>
        <w:t>90%</w:t>
      </w:r>
      <w:r>
        <w:rPr>
          <w:rFonts w:hint="eastAsia"/>
        </w:rPr>
        <w:t>左右的净化设备，最终排放浓度可降低至</w:t>
      </w:r>
      <w:r>
        <w:t>5.0mg/m</w:t>
      </w:r>
      <w:r>
        <w:rPr>
          <w:vertAlign w:val="superscript"/>
        </w:rPr>
        <w:t>3</w:t>
      </w:r>
      <w:r>
        <w:rPr>
          <w:rFonts w:hint="eastAsia"/>
        </w:rPr>
        <w:t>以下，或将净化效率</w:t>
      </w:r>
      <w:r>
        <w:t>80%</w:t>
      </w:r>
      <w:r>
        <w:rPr>
          <w:rFonts w:hint="eastAsia"/>
        </w:rPr>
        <w:t>的净化设备两级串联，则最终排放浓度可降低至</w:t>
      </w:r>
      <w:r>
        <w:t>4.0mg/m</w:t>
      </w:r>
      <w:r>
        <w:rPr>
          <w:vertAlign w:val="superscript"/>
        </w:rPr>
        <w:t>3</w:t>
      </w:r>
      <w:r>
        <w:rPr>
          <w:rFonts w:hint="eastAsia"/>
        </w:rPr>
        <w:t>以下。不同餐饮企业排放浓度达到</w:t>
      </w:r>
      <w:r>
        <w:t>4.0mg/m</w:t>
      </w:r>
      <w:r>
        <w:rPr>
          <w:vertAlign w:val="superscript"/>
        </w:rPr>
        <w:t>3</w:t>
      </w:r>
      <w:r>
        <w:rPr>
          <w:rFonts w:hint="eastAsia"/>
        </w:rPr>
        <w:t>的净化设备的净化效率选择见表</w:t>
      </w:r>
      <w:r>
        <w:t>6-8</w:t>
      </w:r>
      <w:r>
        <w:rPr>
          <w:rFonts w:hint="eastAsia"/>
        </w:rPr>
        <w:t>。通过调研表明，在现有的油烟净化技术中，进行合理的设计选型，保证设备清洗维护合理，大多都能够达到</w:t>
      </w:r>
      <w:r>
        <w:t>90%</w:t>
      </w:r>
      <w:r>
        <w:rPr>
          <w:rFonts w:hint="eastAsia"/>
        </w:rPr>
        <w:t>的去除效率。因此，超标的企业通过相关措施，如更换高效的复合式净化设备能达到本标准的限值要求。可见，颗粒物排放限值定为</w:t>
      </w:r>
      <w:r>
        <w:t>4.0mg/m</w:t>
      </w:r>
      <w:r>
        <w:rPr>
          <w:vertAlign w:val="superscript"/>
        </w:rPr>
        <w:t>3</w:t>
      </w:r>
      <w:r>
        <w:rPr>
          <w:rFonts w:hint="eastAsia"/>
        </w:rPr>
        <w:t>完全合理可行、技术可达。</w:t>
      </w:r>
    </w:p>
    <w:p w14:paraId="3B41AB91">
      <w:pPr>
        <w:jc w:val="center"/>
      </w:pPr>
      <w:r>
        <w:rPr>
          <w:rFonts w:hint="eastAsia"/>
        </w:rPr>
        <w:t>表</w:t>
      </w:r>
      <w:r>
        <w:t xml:space="preserve">6-8  </w:t>
      </w:r>
      <w:r>
        <w:rPr>
          <w:rFonts w:hint="eastAsia"/>
        </w:rPr>
        <w:t>颗粒物不同初始浓度的达标方案</w:t>
      </w:r>
    </w:p>
    <w:tbl>
      <w:tblPr>
        <w:tblStyle w:val="18"/>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5"/>
        <w:gridCol w:w="2268"/>
        <w:gridCol w:w="1559"/>
        <w:gridCol w:w="1842"/>
      </w:tblGrid>
      <w:tr w14:paraId="59A8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4" w:hRule="atLeast"/>
        </w:trPr>
        <w:tc>
          <w:tcPr>
            <w:tcW w:w="2555" w:type="dxa"/>
            <w:shd w:val="clear" w:color="auto" w:fill="FFFFFF"/>
            <w:tcMar>
              <w:top w:w="72" w:type="dxa"/>
              <w:left w:w="144" w:type="dxa"/>
              <w:bottom w:w="72" w:type="dxa"/>
              <w:right w:w="144" w:type="dxa"/>
            </w:tcMar>
          </w:tcPr>
          <w:p w14:paraId="271B4A9B">
            <w:r>
              <w:rPr>
                <w:rFonts w:hint="eastAsia"/>
              </w:rPr>
              <w:t>餐饮类型及废气浓度</w:t>
            </w:r>
          </w:p>
        </w:tc>
        <w:tc>
          <w:tcPr>
            <w:tcW w:w="2268" w:type="dxa"/>
            <w:shd w:val="clear" w:color="auto" w:fill="FFFFFF"/>
            <w:tcMar>
              <w:top w:w="72" w:type="dxa"/>
              <w:left w:w="144" w:type="dxa"/>
              <w:bottom w:w="72" w:type="dxa"/>
              <w:right w:w="144" w:type="dxa"/>
            </w:tcMar>
          </w:tcPr>
          <w:p w14:paraId="52BE116E">
            <w:r>
              <w:rPr>
                <w:rFonts w:hint="eastAsia"/>
              </w:rPr>
              <w:t>颗粒物初始排放浓度范围</w:t>
            </w:r>
            <w:r>
              <w:t xml:space="preserve"> </w:t>
            </w:r>
            <w:r>
              <w:rPr>
                <w:rFonts w:hint="eastAsia"/>
              </w:rPr>
              <w:t>（</w:t>
            </w:r>
            <w:r>
              <w:t>mg/m</w:t>
            </w:r>
            <w:r>
              <w:rPr>
                <w:vertAlign w:val="superscript"/>
              </w:rPr>
              <w:t>3</w:t>
            </w:r>
            <w:r>
              <w:rPr>
                <w:rFonts w:hint="eastAsia"/>
              </w:rPr>
              <w:t>）</w:t>
            </w:r>
          </w:p>
        </w:tc>
        <w:tc>
          <w:tcPr>
            <w:tcW w:w="1559" w:type="dxa"/>
            <w:shd w:val="clear" w:color="auto" w:fill="FFFFFF"/>
            <w:tcMar>
              <w:top w:w="72" w:type="dxa"/>
              <w:left w:w="144" w:type="dxa"/>
              <w:bottom w:w="72" w:type="dxa"/>
              <w:right w:w="144" w:type="dxa"/>
            </w:tcMar>
          </w:tcPr>
          <w:p w14:paraId="68049740">
            <w:r>
              <w:rPr>
                <w:rFonts w:hint="eastAsia"/>
              </w:rPr>
              <w:t>达标浓度</w:t>
            </w:r>
            <w:r>
              <w:t xml:space="preserve"> </w:t>
            </w:r>
          </w:p>
          <w:p w14:paraId="147412B3">
            <w:r>
              <w:rPr>
                <w:rFonts w:hint="eastAsia"/>
              </w:rPr>
              <w:t>（</w:t>
            </w:r>
            <w:r>
              <w:t>mg/m</w:t>
            </w:r>
            <w:r>
              <w:rPr>
                <w:vertAlign w:val="superscript"/>
              </w:rPr>
              <w:t>3</w:t>
            </w:r>
            <w:r>
              <w:rPr>
                <w:rFonts w:hint="eastAsia"/>
              </w:rPr>
              <w:t>）</w:t>
            </w:r>
            <w:r>
              <w:t xml:space="preserve"> </w:t>
            </w:r>
          </w:p>
        </w:tc>
        <w:tc>
          <w:tcPr>
            <w:tcW w:w="1842" w:type="dxa"/>
            <w:shd w:val="clear" w:color="auto" w:fill="FFFFFF"/>
            <w:tcMar>
              <w:top w:w="72" w:type="dxa"/>
              <w:left w:w="144" w:type="dxa"/>
              <w:bottom w:w="72" w:type="dxa"/>
              <w:right w:w="144" w:type="dxa"/>
            </w:tcMar>
          </w:tcPr>
          <w:p w14:paraId="424E4BED">
            <w:r>
              <w:rPr>
                <w:rFonts w:hint="eastAsia"/>
              </w:rPr>
              <w:t>需求净化效率</w:t>
            </w:r>
          </w:p>
        </w:tc>
      </w:tr>
      <w:tr w14:paraId="505E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rPr>
        <w:tc>
          <w:tcPr>
            <w:tcW w:w="2555" w:type="dxa"/>
            <w:vMerge w:val="restart"/>
            <w:shd w:val="clear" w:color="auto" w:fill="FFFFFF"/>
            <w:tcMar>
              <w:top w:w="72" w:type="dxa"/>
              <w:left w:w="144" w:type="dxa"/>
              <w:bottom w:w="72" w:type="dxa"/>
              <w:right w:w="144" w:type="dxa"/>
            </w:tcMar>
          </w:tcPr>
          <w:p w14:paraId="42AD03AE">
            <w:r>
              <w:rPr>
                <w:rFonts w:hint="eastAsia"/>
              </w:rPr>
              <w:t>烧烤类</w:t>
            </w:r>
            <w:r>
              <w:t xml:space="preserve"> </w:t>
            </w:r>
          </w:p>
          <w:p w14:paraId="47AE1714">
            <w:r>
              <w:rPr>
                <w:rFonts w:hint="eastAsia"/>
              </w:rPr>
              <w:t>高浓度废气</w:t>
            </w:r>
          </w:p>
        </w:tc>
        <w:tc>
          <w:tcPr>
            <w:tcW w:w="2268" w:type="dxa"/>
            <w:vMerge w:val="restart"/>
            <w:shd w:val="clear" w:color="auto" w:fill="FFFFFF"/>
            <w:tcMar>
              <w:top w:w="72" w:type="dxa"/>
              <w:left w:w="144" w:type="dxa"/>
              <w:bottom w:w="72" w:type="dxa"/>
              <w:right w:w="144" w:type="dxa"/>
            </w:tcMar>
          </w:tcPr>
          <w:p w14:paraId="26A795BB">
            <w:r>
              <w:t xml:space="preserve">30~50 </w:t>
            </w:r>
          </w:p>
        </w:tc>
        <w:tc>
          <w:tcPr>
            <w:tcW w:w="1559" w:type="dxa"/>
            <w:shd w:val="clear" w:color="auto" w:fill="FFFFFF"/>
            <w:tcMar>
              <w:top w:w="72" w:type="dxa"/>
              <w:left w:w="144" w:type="dxa"/>
              <w:bottom w:w="72" w:type="dxa"/>
              <w:right w:w="144" w:type="dxa"/>
            </w:tcMar>
          </w:tcPr>
          <w:p w14:paraId="460B4B2C">
            <w:r>
              <w:t>5</w:t>
            </w:r>
            <w:r>
              <w:rPr>
                <w:rFonts w:hint="eastAsia"/>
              </w:rPr>
              <w:t>（</w:t>
            </w:r>
            <w:r>
              <w:t>I</w:t>
            </w:r>
            <w:r>
              <w:rPr>
                <w:rFonts w:hint="eastAsia"/>
              </w:rPr>
              <w:t>阶段）</w:t>
            </w:r>
          </w:p>
        </w:tc>
        <w:tc>
          <w:tcPr>
            <w:tcW w:w="1842" w:type="dxa"/>
            <w:shd w:val="clear" w:color="auto" w:fill="FFFFFF"/>
            <w:tcMar>
              <w:top w:w="72" w:type="dxa"/>
              <w:left w:w="144" w:type="dxa"/>
              <w:bottom w:w="72" w:type="dxa"/>
              <w:right w:w="144" w:type="dxa"/>
            </w:tcMar>
          </w:tcPr>
          <w:p w14:paraId="0DC421AC">
            <w:r>
              <w:rPr>
                <w:rFonts w:hint="eastAsia"/>
              </w:rPr>
              <w:t>≥</w:t>
            </w:r>
            <w:r>
              <w:t xml:space="preserve">90% </w:t>
            </w:r>
          </w:p>
        </w:tc>
      </w:tr>
      <w:tr w14:paraId="305F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trPr>
        <w:tc>
          <w:tcPr>
            <w:tcW w:w="2555" w:type="dxa"/>
            <w:vMerge w:val="continue"/>
            <w:shd w:val="clear" w:color="auto" w:fill="FFFFFF"/>
            <w:vAlign w:val="center"/>
          </w:tcPr>
          <w:p w14:paraId="731A9545"/>
        </w:tc>
        <w:tc>
          <w:tcPr>
            <w:tcW w:w="2268" w:type="dxa"/>
            <w:vMerge w:val="continue"/>
            <w:shd w:val="clear" w:color="auto" w:fill="FFFFFF"/>
            <w:vAlign w:val="center"/>
          </w:tcPr>
          <w:p w14:paraId="3FEBC167"/>
        </w:tc>
        <w:tc>
          <w:tcPr>
            <w:tcW w:w="1559" w:type="dxa"/>
            <w:shd w:val="clear" w:color="auto" w:fill="FFFFFF"/>
            <w:tcMar>
              <w:top w:w="72" w:type="dxa"/>
              <w:left w:w="144" w:type="dxa"/>
              <w:bottom w:w="72" w:type="dxa"/>
              <w:right w:w="144" w:type="dxa"/>
            </w:tcMar>
          </w:tcPr>
          <w:p w14:paraId="3324756C">
            <w:r>
              <w:t>4</w:t>
            </w:r>
            <w:r>
              <w:rPr>
                <w:rFonts w:hint="eastAsia"/>
              </w:rPr>
              <w:t>（</w:t>
            </w:r>
            <w:r>
              <w:t>II</w:t>
            </w:r>
            <w:r>
              <w:rPr>
                <w:rFonts w:hint="eastAsia"/>
              </w:rPr>
              <w:t>阶段）</w:t>
            </w:r>
          </w:p>
        </w:tc>
        <w:tc>
          <w:tcPr>
            <w:tcW w:w="1842" w:type="dxa"/>
            <w:shd w:val="clear" w:color="auto" w:fill="FFFFFF"/>
            <w:tcMar>
              <w:top w:w="72" w:type="dxa"/>
              <w:left w:w="144" w:type="dxa"/>
              <w:bottom w:w="72" w:type="dxa"/>
              <w:right w:w="144" w:type="dxa"/>
            </w:tcMar>
          </w:tcPr>
          <w:p w14:paraId="2CC8FB17">
            <w:r>
              <w:rPr>
                <w:rFonts w:hint="eastAsia"/>
              </w:rPr>
              <w:t>≥</w:t>
            </w:r>
            <w:r>
              <w:t xml:space="preserve">95% </w:t>
            </w:r>
          </w:p>
        </w:tc>
      </w:tr>
      <w:tr w14:paraId="0039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trPr>
        <w:tc>
          <w:tcPr>
            <w:tcW w:w="2555" w:type="dxa"/>
            <w:vMerge w:val="restart"/>
            <w:shd w:val="clear" w:color="auto" w:fill="FFFFFF"/>
            <w:tcMar>
              <w:top w:w="72" w:type="dxa"/>
              <w:left w:w="144" w:type="dxa"/>
              <w:bottom w:w="72" w:type="dxa"/>
              <w:right w:w="144" w:type="dxa"/>
            </w:tcMar>
          </w:tcPr>
          <w:p w14:paraId="53D5EA97">
            <w:r>
              <w:rPr>
                <w:rFonts w:hint="eastAsia"/>
              </w:rPr>
              <w:t>川湘家常菜等</w:t>
            </w:r>
            <w:r>
              <w:t xml:space="preserve"> </w:t>
            </w:r>
          </w:p>
          <w:p w14:paraId="37BF2437">
            <w:r>
              <w:rPr>
                <w:rFonts w:hint="eastAsia"/>
              </w:rPr>
              <w:t>中浓度废气</w:t>
            </w:r>
          </w:p>
        </w:tc>
        <w:tc>
          <w:tcPr>
            <w:tcW w:w="2268" w:type="dxa"/>
            <w:vMerge w:val="restart"/>
            <w:shd w:val="clear" w:color="auto" w:fill="FFFFFF"/>
            <w:tcMar>
              <w:top w:w="72" w:type="dxa"/>
              <w:left w:w="144" w:type="dxa"/>
              <w:bottom w:w="72" w:type="dxa"/>
              <w:right w:w="144" w:type="dxa"/>
            </w:tcMar>
          </w:tcPr>
          <w:p w14:paraId="71C5B65E">
            <w:r>
              <w:t xml:space="preserve">20~30 </w:t>
            </w:r>
          </w:p>
        </w:tc>
        <w:tc>
          <w:tcPr>
            <w:tcW w:w="1559" w:type="dxa"/>
            <w:shd w:val="clear" w:color="auto" w:fill="FFFFFF"/>
            <w:tcMar>
              <w:top w:w="72" w:type="dxa"/>
              <w:left w:w="144" w:type="dxa"/>
              <w:bottom w:w="72" w:type="dxa"/>
              <w:right w:w="144" w:type="dxa"/>
            </w:tcMar>
          </w:tcPr>
          <w:p w14:paraId="376403D0">
            <w:r>
              <w:t>5</w:t>
            </w:r>
            <w:r>
              <w:rPr>
                <w:rFonts w:hint="eastAsia"/>
              </w:rPr>
              <w:t>（</w:t>
            </w:r>
            <w:r>
              <w:t>I</w:t>
            </w:r>
            <w:r>
              <w:rPr>
                <w:rFonts w:hint="eastAsia"/>
              </w:rPr>
              <w:t>阶段）</w:t>
            </w:r>
          </w:p>
        </w:tc>
        <w:tc>
          <w:tcPr>
            <w:tcW w:w="1842" w:type="dxa"/>
            <w:shd w:val="clear" w:color="auto" w:fill="FFFFFF"/>
            <w:tcMar>
              <w:top w:w="72" w:type="dxa"/>
              <w:left w:w="144" w:type="dxa"/>
              <w:bottom w:w="72" w:type="dxa"/>
              <w:right w:w="144" w:type="dxa"/>
            </w:tcMar>
          </w:tcPr>
          <w:p w14:paraId="2C136ADB">
            <w:r>
              <w:rPr>
                <w:rFonts w:hint="eastAsia"/>
              </w:rPr>
              <w:t>≥</w:t>
            </w:r>
            <w:r>
              <w:t xml:space="preserve">75% </w:t>
            </w:r>
          </w:p>
        </w:tc>
      </w:tr>
      <w:tr w14:paraId="7105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2555" w:type="dxa"/>
            <w:vMerge w:val="continue"/>
            <w:shd w:val="clear" w:color="auto" w:fill="FFFFFF"/>
            <w:vAlign w:val="center"/>
          </w:tcPr>
          <w:p w14:paraId="2C7B0E07"/>
        </w:tc>
        <w:tc>
          <w:tcPr>
            <w:tcW w:w="2268" w:type="dxa"/>
            <w:vMerge w:val="continue"/>
            <w:shd w:val="clear" w:color="auto" w:fill="FFFFFF"/>
            <w:vAlign w:val="center"/>
          </w:tcPr>
          <w:p w14:paraId="3BEE9281"/>
        </w:tc>
        <w:tc>
          <w:tcPr>
            <w:tcW w:w="1559" w:type="dxa"/>
            <w:shd w:val="clear" w:color="auto" w:fill="FFFFFF"/>
            <w:tcMar>
              <w:top w:w="72" w:type="dxa"/>
              <w:left w:w="144" w:type="dxa"/>
              <w:bottom w:w="72" w:type="dxa"/>
              <w:right w:w="144" w:type="dxa"/>
            </w:tcMar>
          </w:tcPr>
          <w:p w14:paraId="000C6C25">
            <w:r>
              <w:t>4</w:t>
            </w:r>
            <w:r>
              <w:rPr>
                <w:rFonts w:hint="eastAsia"/>
              </w:rPr>
              <w:t>（</w:t>
            </w:r>
            <w:r>
              <w:t>II</w:t>
            </w:r>
            <w:r>
              <w:rPr>
                <w:rFonts w:hint="eastAsia"/>
              </w:rPr>
              <w:t>阶段）</w:t>
            </w:r>
          </w:p>
        </w:tc>
        <w:tc>
          <w:tcPr>
            <w:tcW w:w="1842" w:type="dxa"/>
            <w:shd w:val="clear" w:color="auto" w:fill="FFFFFF"/>
            <w:tcMar>
              <w:top w:w="72" w:type="dxa"/>
              <w:left w:w="144" w:type="dxa"/>
              <w:bottom w:w="72" w:type="dxa"/>
              <w:right w:w="144" w:type="dxa"/>
            </w:tcMar>
          </w:tcPr>
          <w:p w14:paraId="1CB4B421">
            <w:r>
              <w:rPr>
                <w:rFonts w:hint="eastAsia"/>
              </w:rPr>
              <w:t>≥</w:t>
            </w:r>
            <w:r>
              <w:t xml:space="preserve">80% </w:t>
            </w:r>
          </w:p>
        </w:tc>
      </w:tr>
      <w:tr w14:paraId="6E2F9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trPr>
        <w:tc>
          <w:tcPr>
            <w:tcW w:w="2555" w:type="dxa"/>
            <w:vMerge w:val="restart"/>
            <w:shd w:val="clear" w:color="auto" w:fill="FFFFFF"/>
            <w:tcMar>
              <w:top w:w="72" w:type="dxa"/>
              <w:left w:w="144" w:type="dxa"/>
              <w:bottom w:w="72" w:type="dxa"/>
              <w:right w:w="144" w:type="dxa"/>
            </w:tcMar>
          </w:tcPr>
          <w:p w14:paraId="30344FBD">
            <w:r>
              <w:rPr>
                <w:rFonts w:hint="eastAsia"/>
              </w:rPr>
              <w:t>蒸、煮类、面点小吃茶餐厅等低浓度废气</w:t>
            </w:r>
          </w:p>
        </w:tc>
        <w:tc>
          <w:tcPr>
            <w:tcW w:w="2268" w:type="dxa"/>
            <w:vMerge w:val="restart"/>
            <w:shd w:val="clear" w:color="auto" w:fill="FFFFFF"/>
            <w:tcMar>
              <w:top w:w="72" w:type="dxa"/>
              <w:left w:w="144" w:type="dxa"/>
              <w:bottom w:w="72" w:type="dxa"/>
              <w:right w:w="144" w:type="dxa"/>
            </w:tcMar>
          </w:tcPr>
          <w:p w14:paraId="3E8DFD9F">
            <w:r>
              <w:t>1~10</w:t>
            </w:r>
          </w:p>
          <w:p w14:paraId="1CAC41DD"/>
        </w:tc>
        <w:tc>
          <w:tcPr>
            <w:tcW w:w="1559" w:type="dxa"/>
            <w:shd w:val="clear" w:color="auto" w:fill="FFFFFF"/>
            <w:tcMar>
              <w:top w:w="72" w:type="dxa"/>
              <w:left w:w="144" w:type="dxa"/>
              <w:bottom w:w="72" w:type="dxa"/>
              <w:right w:w="144" w:type="dxa"/>
            </w:tcMar>
          </w:tcPr>
          <w:p w14:paraId="57842B58">
            <w:r>
              <w:t>5</w:t>
            </w:r>
            <w:r>
              <w:rPr>
                <w:rFonts w:hint="eastAsia"/>
              </w:rPr>
              <w:t>（</w:t>
            </w:r>
            <w:r>
              <w:t>I</w:t>
            </w:r>
            <w:r>
              <w:rPr>
                <w:rFonts w:hint="eastAsia"/>
              </w:rPr>
              <w:t>阶段）</w:t>
            </w:r>
          </w:p>
        </w:tc>
        <w:tc>
          <w:tcPr>
            <w:tcW w:w="1842" w:type="dxa"/>
            <w:shd w:val="clear" w:color="auto" w:fill="FFFFFF"/>
            <w:tcMar>
              <w:top w:w="72" w:type="dxa"/>
              <w:left w:w="144" w:type="dxa"/>
              <w:bottom w:w="72" w:type="dxa"/>
              <w:right w:w="144" w:type="dxa"/>
            </w:tcMar>
          </w:tcPr>
          <w:p w14:paraId="38F12A63">
            <w:r>
              <w:rPr>
                <w:rFonts w:hint="eastAsia"/>
              </w:rPr>
              <w:t>≥</w:t>
            </w:r>
            <w:r>
              <w:t xml:space="preserve">50% </w:t>
            </w:r>
          </w:p>
        </w:tc>
      </w:tr>
      <w:tr w14:paraId="1572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2555" w:type="dxa"/>
            <w:vMerge w:val="continue"/>
            <w:shd w:val="clear" w:color="auto" w:fill="FFFFFF"/>
            <w:vAlign w:val="center"/>
          </w:tcPr>
          <w:p w14:paraId="212852F7"/>
        </w:tc>
        <w:tc>
          <w:tcPr>
            <w:tcW w:w="2268" w:type="dxa"/>
            <w:vMerge w:val="continue"/>
            <w:shd w:val="clear" w:color="auto" w:fill="FFFFFF"/>
            <w:vAlign w:val="center"/>
          </w:tcPr>
          <w:p w14:paraId="3A85D476"/>
        </w:tc>
        <w:tc>
          <w:tcPr>
            <w:tcW w:w="1559" w:type="dxa"/>
            <w:shd w:val="clear" w:color="auto" w:fill="FFFFFF"/>
            <w:tcMar>
              <w:top w:w="72" w:type="dxa"/>
              <w:left w:w="144" w:type="dxa"/>
              <w:bottom w:w="72" w:type="dxa"/>
              <w:right w:w="144" w:type="dxa"/>
            </w:tcMar>
          </w:tcPr>
          <w:p w14:paraId="08B53D13">
            <w:r>
              <w:t>4</w:t>
            </w:r>
            <w:r>
              <w:rPr>
                <w:rFonts w:hint="eastAsia"/>
              </w:rPr>
              <w:t>（</w:t>
            </w:r>
            <w:r>
              <w:t>II</w:t>
            </w:r>
            <w:r>
              <w:rPr>
                <w:rFonts w:hint="eastAsia"/>
              </w:rPr>
              <w:t>阶段）</w:t>
            </w:r>
          </w:p>
        </w:tc>
        <w:tc>
          <w:tcPr>
            <w:tcW w:w="1842" w:type="dxa"/>
            <w:shd w:val="clear" w:color="auto" w:fill="FFFFFF"/>
            <w:tcMar>
              <w:top w:w="72" w:type="dxa"/>
              <w:left w:w="144" w:type="dxa"/>
              <w:bottom w:w="72" w:type="dxa"/>
              <w:right w:w="144" w:type="dxa"/>
            </w:tcMar>
          </w:tcPr>
          <w:p w14:paraId="33C91EF8">
            <w:r>
              <w:rPr>
                <w:rFonts w:hint="eastAsia"/>
              </w:rPr>
              <w:t>≥</w:t>
            </w:r>
            <w:r>
              <w:t xml:space="preserve">75% </w:t>
            </w:r>
          </w:p>
        </w:tc>
      </w:tr>
    </w:tbl>
    <w:p w14:paraId="45AACE7F">
      <w:pPr>
        <w:ind w:firstLine="480" w:firstLineChars="200"/>
      </w:pPr>
      <w:r>
        <w:t>6.2.2</w:t>
      </w:r>
      <w:r>
        <w:rPr>
          <w:rFonts w:hint="eastAsia"/>
        </w:rPr>
        <w:t>非甲烷总烃控制技术调查筛选</w:t>
      </w:r>
    </w:p>
    <w:p w14:paraId="7A542E61">
      <w:pPr>
        <w:ind w:firstLine="480" w:firstLineChars="200"/>
      </w:pPr>
      <w:r>
        <w:rPr>
          <w:rFonts w:hint="eastAsia"/>
        </w:rPr>
        <w:t>由于一直以来环境管理部门主要依据</w:t>
      </w:r>
      <w:r>
        <w:t>GB18483</w:t>
      </w:r>
      <w:r>
        <w:rPr>
          <w:rFonts w:hint="eastAsia"/>
        </w:rPr>
        <w:t>对餐饮企业排放的油烟进行管控，对餐饮业</w:t>
      </w:r>
      <w:r>
        <w:t>VOCs</w:t>
      </w:r>
      <w:r>
        <w:rPr>
          <w:rFonts w:hint="eastAsia"/>
        </w:rPr>
        <w:t>的排放控制没有明确的控制要求，目前市场上暂无可直接应用的餐饮业</w:t>
      </w:r>
      <w:r>
        <w:t>voc</w:t>
      </w:r>
      <w:r>
        <w:rPr>
          <w:rFonts w:hint="eastAsia"/>
        </w:rPr>
        <w:t>控制技术和设备。本标准两次征求意见中，许多科研院所和净化设备生产企业研提了一些建设性的意见和建议，并认识到研发餐饮业</w:t>
      </w:r>
      <w:r>
        <w:t>VOCs</w:t>
      </w:r>
      <w:r>
        <w:rPr>
          <w:rFonts w:hint="eastAsia"/>
        </w:rPr>
        <w:t>净化设备具有良好的市场前景和发展机会。目前多种类型的工业污染源</w:t>
      </w:r>
      <w:r>
        <w:t>VOCs</w:t>
      </w:r>
      <w:r>
        <w:rPr>
          <w:rFonts w:hint="eastAsia"/>
        </w:rPr>
        <w:t>防治技术和设备已经十分成熟，并得到广泛应用。餐饮业</w:t>
      </w:r>
      <w:r>
        <w:t>VOCs</w:t>
      </w:r>
      <w:r>
        <w:rPr>
          <w:rFonts w:hint="eastAsia"/>
        </w:rPr>
        <w:t>防治技术的关键问题和困难有两个：一是综合成本要低；二是安装使用要简单；因此，餐饮业</w:t>
      </w:r>
      <w:r>
        <w:t>VOCs</w:t>
      </w:r>
      <w:r>
        <w:rPr>
          <w:rFonts w:hint="eastAsia"/>
        </w:rPr>
        <w:t>净化技术研发方向主要是优选已经成熟的工业</w:t>
      </w:r>
      <w:r>
        <w:t>VOCs</w:t>
      </w:r>
      <w:r>
        <w:rPr>
          <w:rFonts w:hint="eastAsia"/>
        </w:rPr>
        <w:t>防治技术，进行二次研发和集成，充分考虑餐饮源废气排放特性及餐饮企业的经济承受能力，降低综合成本，以满足餐饮业</w:t>
      </w:r>
      <w:r>
        <w:t>VOCs</w:t>
      </w:r>
      <w:r>
        <w:rPr>
          <w:rFonts w:hint="eastAsia"/>
        </w:rPr>
        <w:t>净化的要求。</w:t>
      </w:r>
    </w:p>
    <w:p w14:paraId="75A0EFB2">
      <w:pPr>
        <w:ind w:firstLine="480" w:firstLineChars="200"/>
        <w:rPr>
          <w:kern w:val="0"/>
        </w:rPr>
      </w:pPr>
      <w:r>
        <w:rPr>
          <w:rFonts w:hint="eastAsia"/>
          <w:kern w:val="0"/>
        </w:rPr>
        <w:t>由于</w:t>
      </w:r>
      <w:r>
        <w:rPr>
          <w:kern w:val="0"/>
        </w:rPr>
        <w:t>VOCs</w:t>
      </w:r>
      <w:r>
        <w:rPr>
          <w:rFonts w:hint="eastAsia"/>
          <w:kern w:val="0"/>
        </w:rPr>
        <w:t>污染物种类繁多，性质各异，排放条件复杂，根据</w:t>
      </w:r>
      <w:r>
        <w:rPr>
          <w:kern w:val="0"/>
        </w:rPr>
        <w:t>VOCs</w:t>
      </w:r>
      <w:r>
        <w:rPr>
          <w:rFonts w:hint="eastAsia"/>
          <w:kern w:val="0"/>
        </w:rPr>
        <w:t>种类、废气性质和排放条件的不同，目前工业上已经发展了多种</w:t>
      </w:r>
      <w:r>
        <w:rPr>
          <w:kern w:val="0"/>
        </w:rPr>
        <w:t>VOCs</w:t>
      </w:r>
      <w:r>
        <w:rPr>
          <w:rFonts w:hint="eastAsia"/>
          <w:kern w:val="0"/>
        </w:rPr>
        <w:t>废气的实用治理技术：高温焚烧技术、催化燃烧技术、吸附技术、生物技术、吸收技术和冷凝技术、低温等离子体技术等以及多种工艺的组合技术</w:t>
      </w:r>
      <w:r>
        <w:rPr>
          <w:kern w:val="0"/>
        </w:rPr>
        <w:t>(</w:t>
      </w:r>
      <w:r>
        <w:rPr>
          <w:rFonts w:hint="eastAsia"/>
          <w:kern w:val="0"/>
        </w:rPr>
        <w:t>吸附</w:t>
      </w:r>
      <w:r>
        <w:rPr>
          <w:kern w:val="0"/>
        </w:rPr>
        <w:t xml:space="preserve">+ </w:t>
      </w:r>
      <w:r>
        <w:rPr>
          <w:rFonts w:hint="eastAsia"/>
          <w:kern w:val="0"/>
        </w:rPr>
        <w:t>冷凝回收、吸附浓缩</w:t>
      </w:r>
      <w:r>
        <w:rPr>
          <w:kern w:val="0"/>
        </w:rPr>
        <w:t>+</w:t>
      </w:r>
      <w:r>
        <w:rPr>
          <w:rFonts w:hint="eastAsia"/>
          <w:kern w:val="0"/>
        </w:rPr>
        <w:t>燃烧技术</w:t>
      </w:r>
      <w:r>
        <w:rPr>
          <w:kern w:val="0"/>
        </w:rPr>
        <w:t>)</w:t>
      </w:r>
      <w:r>
        <w:rPr>
          <w:rFonts w:hint="eastAsia"/>
          <w:kern w:val="0"/>
        </w:rPr>
        <w:t>。</w:t>
      </w:r>
    </w:p>
    <w:p w14:paraId="08D91721">
      <w:pPr>
        <w:ind w:firstLine="480" w:firstLineChars="200"/>
      </w:pPr>
      <w:r>
        <w:rPr>
          <w:rFonts w:hint="eastAsia"/>
          <w:kern w:val="0"/>
        </w:rPr>
        <w:t>其中吸收技术和冷凝技术是传统的</w:t>
      </w:r>
      <w:r>
        <w:rPr>
          <w:kern w:val="0"/>
        </w:rPr>
        <w:t>VOCs</w:t>
      </w:r>
      <w:r>
        <w:rPr>
          <w:rFonts w:hint="eastAsia"/>
          <w:kern w:val="0"/>
        </w:rPr>
        <w:t>治理技术，溶剂吸收技术的后处理过程复杂，单一的冷凝技术去除效率低，在目前的</w:t>
      </w:r>
      <w:r>
        <w:rPr>
          <w:kern w:val="0"/>
        </w:rPr>
        <w:t>VOCs</w:t>
      </w:r>
      <w:r>
        <w:rPr>
          <w:rFonts w:hint="eastAsia"/>
          <w:kern w:val="0"/>
        </w:rPr>
        <w:t>废气治理中，吸收技术和冷凝技术一般只是作为其他技术的辅助手段使用；生物技术占地面积大，受温度条件影响较大，不太适合北方气候条件；高温焚烧技术和催化燃烧技术在工业</w:t>
      </w:r>
      <w:r>
        <w:rPr>
          <w:kern w:val="0"/>
        </w:rPr>
        <w:t>VOCs</w:t>
      </w:r>
      <w:r>
        <w:rPr>
          <w:rFonts w:hint="eastAsia"/>
          <w:kern w:val="0"/>
        </w:rPr>
        <w:t>治理应用较为广泛，适用于浓度高的有机废气，设备及运行费用高，餐饮企业很难承受；低温等离子体治理技术近年来也得到了较快发展。虽然其去除效率较低，但设备简单，设备费用和运行费用低，所占空间小，对于低浓度的</w:t>
      </w:r>
      <w:r>
        <w:rPr>
          <w:kern w:val="0"/>
        </w:rPr>
        <w:t>VOCs</w:t>
      </w:r>
      <w:r>
        <w:rPr>
          <w:rFonts w:hint="eastAsia"/>
          <w:kern w:val="0"/>
        </w:rPr>
        <w:t>废气的治理，特别是对于臭味的消除具有良好的效果。</w:t>
      </w:r>
    </w:p>
    <w:p w14:paraId="1136C2F0">
      <w:pPr>
        <w:ind w:firstLine="480" w:firstLineChars="200"/>
      </w:pPr>
      <w:r>
        <w:rPr>
          <w:rFonts w:hint="eastAsia"/>
        </w:rPr>
        <w:t>通过对工业</w:t>
      </w:r>
      <w:r>
        <w:t>VOCs</w:t>
      </w:r>
      <w:r>
        <w:rPr>
          <w:rFonts w:hint="eastAsia"/>
        </w:rPr>
        <w:t>各种净化技术的比较研究，综合考虑餐饮源废气的排放特性（间歇排放、浓度较低、）及餐饮企业的经济承受能力，初步研究认为非原位再生的吸附处理技术、化学洗涤低温等离子体治理技术</w:t>
      </w:r>
      <w:r>
        <w:t>,</w:t>
      </w:r>
      <w:r>
        <w:rPr>
          <w:rFonts w:hint="eastAsia"/>
        </w:rPr>
        <w:t>应是餐饮业较为可行的</w:t>
      </w:r>
      <w:r>
        <w:t>VOCs</w:t>
      </w:r>
      <w:r>
        <w:rPr>
          <w:rFonts w:hint="eastAsia"/>
        </w:rPr>
        <w:t>治理技术路线。目前，北京化工大学在北京市科委的支持下正在研发适合于餐饮业的低温等离子净化设备，研究发现低温等离子技术对餐饮业</w:t>
      </w:r>
      <w:r>
        <w:t>VOCs</w:t>
      </w:r>
      <w:r>
        <w:rPr>
          <w:rFonts w:hint="eastAsia"/>
        </w:rPr>
        <w:t>的去除效率不理想，目前项目申请延期并更换技术路线重新研发。非原位再生的吸附处理技术（活性炭或分子筛）理论上能达到</w:t>
      </w:r>
      <w:r>
        <w:t>90%</w:t>
      </w:r>
      <w:r>
        <w:rPr>
          <w:rFonts w:hint="eastAsia"/>
        </w:rPr>
        <w:t>的去除效率，完全能够满足本标准的要求，但是存在着吸附剂（活性炭或分子筛）的再生及废吸附剂处置问题，需要建立餐废吸附剂（活性炭或分子筛）的统一回收、再生和循环利用体系。</w:t>
      </w:r>
    </w:p>
    <w:p w14:paraId="5EFFC094">
      <w:r>
        <w:rPr>
          <w:rFonts w:hint="eastAsia"/>
        </w:rPr>
        <w:t>不同餐饮类型和不同</w:t>
      </w:r>
      <w:r>
        <w:t>NMHC</w:t>
      </w:r>
      <w:r>
        <w:rPr>
          <w:rFonts w:hint="eastAsia"/>
        </w:rPr>
        <w:t>初始排放浓度条件下所需的净化设备的效率见表</w:t>
      </w:r>
      <w:r>
        <w:t>6-9</w:t>
      </w:r>
      <w:r>
        <w:rPr>
          <w:rFonts w:hint="eastAsia"/>
        </w:rPr>
        <w:t>。</w:t>
      </w:r>
    </w:p>
    <w:p w14:paraId="4A2B74F9">
      <w:pPr>
        <w:jc w:val="center"/>
      </w:pPr>
      <w:r>
        <w:rPr>
          <w:rFonts w:hint="eastAsia"/>
        </w:rPr>
        <w:t>表</w:t>
      </w:r>
      <w:r>
        <w:t xml:space="preserve">6-9  </w:t>
      </w:r>
      <w:r>
        <w:rPr>
          <w:rFonts w:hint="eastAsia"/>
        </w:rPr>
        <w:t>不同</w:t>
      </w:r>
      <w:r>
        <w:t>NMHC</w:t>
      </w:r>
      <w:r>
        <w:rPr>
          <w:rFonts w:hint="eastAsia"/>
        </w:rPr>
        <w:t>初始排放浓度条件下所需的净化设备的效率</w:t>
      </w:r>
    </w:p>
    <w:tbl>
      <w:tblPr>
        <w:tblStyle w:val="18"/>
        <w:tblW w:w="8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7"/>
        <w:gridCol w:w="1983"/>
        <w:gridCol w:w="1702"/>
        <w:gridCol w:w="1700"/>
      </w:tblGrid>
      <w:tr w14:paraId="5654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atLeast"/>
          <w:jc w:val="center"/>
        </w:trPr>
        <w:tc>
          <w:tcPr>
            <w:tcW w:w="2697" w:type="dxa"/>
            <w:tcMar>
              <w:top w:w="72" w:type="dxa"/>
              <w:left w:w="144" w:type="dxa"/>
              <w:bottom w:w="72" w:type="dxa"/>
              <w:right w:w="144" w:type="dxa"/>
            </w:tcMar>
          </w:tcPr>
          <w:p w14:paraId="163E38AD">
            <w:r>
              <w:rPr>
                <w:rFonts w:hint="eastAsia"/>
              </w:rPr>
              <w:t>餐饮类型及废气浓度</w:t>
            </w:r>
          </w:p>
        </w:tc>
        <w:tc>
          <w:tcPr>
            <w:tcW w:w="1983" w:type="dxa"/>
            <w:tcMar>
              <w:top w:w="72" w:type="dxa"/>
              <w:left w:w="144" w:type="dxa"/>
              <w:bottom w:w="72" w:type="dxa"/>
              <w:right w:w="144" w:type="dxa"/>
            </w:tcMar>
          </w:tcPr>
          <w:p w14:paraId="7FC571AA">
            <w:r>
              <w:rPr>
                <w:rFonts w:hint="eastAsia"/>
              </w:rPr>
              <w:t>初始排放浓度</w:t>
            </w:r>
            <w:r>
              <w:t xml:space="preserve"> </w:t>
            </w:r>
            <w:r>
              <w:rPr>
                <w:rFonts w:hint="eastAsia"/>
              </w:rPr>
              <w:t>（</w:t>
            </w:r>
            <w:r>
              <w:t>mg/m</w:t>
            </w:r>
            <w:r>
              <w:rPr>
                <w:vertAlign w:val="superscript"/>
              </w:rPr>
              <w:t>3</w:t>
            </w:r>
            <w:r>
              <w:rPr>
                <w:rFonts w:hint="eastAsia"/>
              </w:rPr>
              <w:t>）</w:t>
            </w:r>
          </w:p>
        </w:tc>
        <w:tc>
          <w:tcPr>
            <w:tcW w:w="1702" w:type="dxa"/>
            <w:tcMar>
              <w:top w:w="72" w:type="dxa"/>
              <w:left w:w="144" w:type="dxa"/>
              <w:bottom w:w="72" w:type="dxa"/>
              <w:right w:w="144" w:type="dxa"/>
            </w:tcMar>
          </w:tcPr>
          <w:p w14:paraId="14EE794D">
            <w:r>
              <w:rPr>
                <w:rFonts w:hint="eastAsia"/>
              </w:rPr>
              <w:t>达标浓度</w:t>
            </w:r>
            <w:r>
              <w:t xml:space="preserve"> </w:t>
            </w:r>
            <w:r>
              <w:rPr>
                <w:rFonts w:hint="eastAsia"/>
              </w:rPr>
              <w:t>（</w:t>
            </w:r>
            <w:r>
              <w:t>mg/m</w:t>
            </w:r>
            <w:r>
              <w:rPr>
                <w:vertAlign w:val="superscript"/>
              </w:rPr>
              <w:t>3</w:t>
            </w:r>
            <w:r>
              <w:rPr>
                <w:rFonts w:hint="eastAsia"/>
              </w:rPr>
              <w:t>）</w:t>
            </w:r>
            <w:r>
              <w:t xml:space="preserve"> </w:t>
            </w:r>
          </w:p>
        </w:tc>
        <w:tc>
          <w:tcPr>
            <w:tcW w:w="1700" w:type="dxa"/>
            <w:tcMar>
              <w:top w:w="72" w:type="dxa"/>
              <w:left w:w="144" w:type="dxa"/>
              <w:bottom w:w="72" w:type="dxa"/>
              <w:right w:w="144" w:type="dxa"/>
            </w:tcMar>
          </w:tcPr>
          <w:p w14:paraId="485C0B7F">
            <w:r>
              <w:rPr>
                <w:rFonts w:hint="eastAsia"/>
                <w:b/>
                <w:bCs/>
              </w:rPr>
              <w:t>需求净化效率</w:t>
            </w:r>
          </w:p>
        </w:tc>
      </w:tr>
      <w:tr w14:paraId="104EE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atLeast"/>
          <w:jc w:val="center"/>
        </w:trPr>
        <w:tc>
          <w:tcPr>
            <w:tcW w:w="2697" w:type="dxa"/>
            <w:vMerge w:val="restart"/>
            <w:tcMar>
              <w:top w:w="72" w:type="dxa"/>
              <w:left w:w="144" w:type="dxa"/>
              <w:bottom w:w="72" w:type="dxa"/>
              <w:right w:w="144" w:type="dxa"/>
            </w:tcMar>
          </w:tcPr>
          <w:p w14:paraId="5C0D9B10">
            <w:pPr>
              <w:ind w:firstLine="480"/>
            </w:pPr>
            <w:r>
              <w:rPr>
                <w:rFonts w:hint="eastAsia"/>
                <w:bCs/>
              </w:rPr>
              <w:t>烧烤类</w:t>
            </w:r>
            <w:r>
              <w:rPr>
                <w:bCs/>
              </w:rPr>
              <w:t xml:space="preserve"> </w:t>
            </w:r>
          </w:p>
          <w:p w14:paraId="1B97FB07">
            <w:pPr>
              <w:ind w:firstLine="480"/>
            </w:pPr>
            <w:r>
              <w:rPr>
                <w:rFonts w:hint="eastAsia"/>
                <w:bCs/>
              </w:rPr>
              <w:t>高浓度废气</w:t>
            </w:r>
          </w:p>
        </w:tc>
        <w:tc>
          <w:tcPr>
            <w:tcW w:w="1983" w:type="dxa"/>
            <w:vMerge w:val="restart"/>
            <w:tcMar>
              <w:top w:w="72" w:type="dxa"/>
              <w:left w:w="144" w:type="dxa"/>
              <w:bottom w:w="72" w:type="dxa"/>
              <w:right w:w="144" w:type="dxa"/>
            </w:tcMar>
          </w:tcPr>
          <w:p w14:paraId="0DECCED4">
            <w:pPr>
              <w:ind w:firstLine="480" w:firstLineChars="200"/>
            </w:pPr>
            <w:r>
              <w:t xml:space="preserve">40~60 </w:t>
            </w:r>
          </w:p>
        </w:tc>
        <w:tc>
          <w:tcPr>
            <w:tcW w:w="1702" w:type="dxa"/>
            <w:tcMar>
              <w:top w:w="72" w:type="dxa"/>
              <w:left w:w="144" w:type="dxa"/>
              <w:bottom w:w="72" w:type="dxa"/>
              <w:right w:w="144" w:type="dxa"/>
            </w:tcMar>
            <w:vAlign w:val="center"/>
          </w:tcPr>
          <w:p w14:paraId="56768EFF">
            <w:r>
              <w:t>-</w:t>
            </w:r>
            <w:r>
              <w:rPr>
                <w:rFonts w:hint="eastAsia"/>
              </w:rPr>
              <w:t>（</w:t>
            </w:r>
            <w:r>
              <w:t>I</w:t>
            </w:r>
            <w:r>
              <w:rPr>
                <w:rFonts w:hint="eastAsia"/>
              </w:rPr>
              <w:t>阶段）</w:t>
            </w:r>
          </w:p>
        </w:tc>
        <w:tc>
          <w:tcPr>
            <w:tcW w:w="1700" w:type="dxa"/>
            <w:tcMar>
              <w:top w:w="72" w:type="dxa"/>
              <w:left w:w="144" w:type="dxa"/>
              <w:bottom w:w="72" w:type="dxa"/>
              <w:right w:w="144" w:type="dxa"/>
            </w:tcMar>
          </w:tcPr>
          <w:p w14:paraId="0916F652">
            <w:pPr>
              <w:ind w:firstLine="480" w:firstLineChars="200"/>
            </w:pPr>
          </w:p>
        </w:tc>
      </w:tr>
      <w:tr w14:paraId="6667E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2697" w:type="dxa"/>
            <w:vMerge w:val="continue"/>
            <w:vAlign w:val="center"/>
          </w:tcPr>
          <w:p w14:paraId="76D6B706">
            <w:pPr>
              <w:ind w:firstLine="480" w:firstLineChars="200"/>
            </w:pPr>
          </w:p>
        </w:tc>
        <w:tc>
          <w:tcPr>
            <w:tcW w:w="1983" w:type="dxa"/>
            <w:vMerge w:val="continue"/>
            <w:vAlign w:val="center"/>
          </w:tcPr>
          <w:p w14:paraId="7814F689">
            <w:pPr>
              <w:ind w:firstLine="480" w:firstLineChars="200"/>
            </w:pPr>
          </w:p>
        </w:tc>
        <w:tc>
          <w:tcPr>
            <w:tcW w:w="1702" w:type="dxa"/>
            <w:tcMar>
              <w:top w:w="72" w:type="dxa"/>
              <w:left w:w="144" w:type="dxa"/>
              <w:bottom w:w="72" w:type="dxa"/>
              <w:right w:w="144" w:type="dxa"/>
            </w:tcMar>
            <w:vAlign w:val="center"/>
          </w:tcPr>
          <w:p w14:paraId="2C66B674">
            <w:r>
              <w:t>10</w:t>
            </w:r>
            <w:r>
              <w:rPr>
                <w:rFonts w:hint="eastAsia"/>
              </w:rPr>
              <w:t>（</w:t>
            </w:r>
            <w:r>
              <w:t>II</w:t>
            </w:r>
            <w:r>
              <w:rPr>
                <w:rFonts w:hint="eastAsia"/>
              </w:rPr>
              <w:t>阶段）</w:t>
            </w:r>
          </w:p>
        </w:tc>
        <w:tc>
          <w:tcPr>
            <w:tcW w:w="1700" w:type="dxa"/>
            <w:tcMar>
              <w:top w:w="72" w:type="dxa"/>
              <w:left w:w="144" w:type="dxa"/>
              <w:bottom w:w="72" w:type="dxa"/>
              <w:right w:w="144" w:type="dxa"/>
            </w:tcMar>
            <w:vAlign w:val="center"/>
          </w:tcPr>
          <w:p w14:paraId="04308C0A">
            <w:r>
              <w:t xml:space="preserve">≥85% </w:t>
            </w:r>
          </w:p>
        </w:tc>
      </w:tr>
      <w:tr w14:paraId="41BE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1" w:hRule="atLeast"/>
          <w:jc w:val="center"/>
        </w:trPr>
        <w:tc>
          <w:tcPr>
            <w:tcW w:w="2697" w:type="dxa"/>
            <w:vMerge w:val="restart"/>
            <w:tcMar>
              <w:top w:w="72" w:type="dxa"/>
              <w:left w:w="144" w:type="dxa"/>
              <w:bottom w:w="72" w:type="dxa"/>
              <w:right w:w="144" w:type="dxa"/>
            </w:tcMar>
          </w:tcPr>
          <w:p w14:paraId="6B1DD4E5">
            <w:r>
              <w:rPr>
                <w:rFonts w:hint="eastAsia"/>
              </w:rPr>
              <w:t>川湘家常菜等</w:t>
            </w:r>
            <w:r>
              <w:t xml:space="preserve"> </w:t>
            </w:r>
          </w:p>
          <w:p w14:paraId="1EE86563">
            <w:r>
              <w:rPr>
                <w:rFonts w:hint="eastAsia"/>
              </w:rPr>
              <w:t>中浓度废气</w:t>
            </w:r>
          </w:p>
        </w:tc>
        <w:tc>
          <w:tcPr>
            <w:tcW w:w="1983" w:type="dxa"/>
            <w:vMerge w:val="restart"/>
            <w:tcMar>
              <w:top w:w="72" w:type="dxa"/>
              <w:left w:w="144" w:type="dxa"/>
              <w:bottom w:w="72" w:type="dxa"/>
              <w:right w:w="144" w:type="dxa"/>
            </w:tcMar>
          </w:tcPr>
          <w:p w14:paraId="409AB3A6">
            <w:pPr>
              <w:ind w:firstLine="480" w:firstLineChars="200"/>
            </w:pPr>
            <w:r>
              <w:t xml:space="preserve">20~40 </w:t>
            </w:r>
          </w:p>
        </w:tc>
        <w:tc>
          <w:tcPr>
            <w:tcW w:w="1702" w:type="dxa"/>
            <w:tcMar>
              <w:top w:w="72" w:type="dxa"/>
              <w:left w:w="144" w:type="dxa"/>
              <w:bottom w:w="72" w:type="dxa"/>
              <w:right w:w="144" w:type="dxa"/>
            </w:tcMar>
            <w:vAlign w:val="center"/>
          </w:tcPr>
          <w:p w14:paraId="4C71F37D">
            <w:r>
              <w:t>-</w:t>
            </w:r>
            <w:r>
              <w:rPr>
                <w:rFonts w:hint="eastAsia"/>
              </w:rPr>
              <w:t>（</w:t>
            </w:r>
            <w:r>
              <w:t>I</w:t>
            </w:r>
            <w:r>
              <w:rPr>
                <w:rFonts w:hint="eastAsia"/>
              </w:rPr>
              <w:t>阶段）</w:t>
            </w:r>
          </w:p>
        </w:tc>
        <w:tc>
          <w:tcPr>
            <w:tcW w:w="1700" w:type="dxa"/>
            <w:tcMar>
              <w:top w:w="72" w:type="dxa"/>
              <w:left w:w="144" w:type="dxa"/>
              <w:bottom w:w="72" w:type="dxa"/>
              <w:right w:w="144" w:type="dxa"/>
            </w:tcMar>
            <w:vAlign w:val="center"/>
          </w:tcPr>
          <w:p w14:paraId="45042CB9">
            <w:pPr>
              <w:ind w:firstLine="480" w:firstLineChars="200"/>
            </w:pPr>
          </w:p>
        </w:tc>
      </w:tr>
      <w:tr w14:paraId="35CB4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2697" w:type="dxa"/>
            <w:vMerge w:val="continue"/>
            <w:vAlign w:val="center"/>
          </w:tcPr>
          <w:p w14:paraId="545096E9">
            <w:pPr>
              <w:ind w:firstLine="480" w:firstLineChars="200"/>
            </w:pPr>
          </w:p>
        </w:tc>
        <w:tc>
          <w:tcPr>
            <w:tcW w:w="1983" w:type="dxa"/>
            <w:vMerge w:val="continue"/>
            <w:vAlign w:val="center"/>
          </w:tcPr>
          <w:p w14:paraId="6A35FEC3">
            <w:pPr>
              <w:ind w:firstLine="480" w:firstLineChars="200"/>
            </w:pPr>
          </w:p>
        </w:tc>
        <w:tc>
          <w:tcPr>
            <w:tcW w:w="1702" w:type="dxa"/>
            <w:tcMar>
              <w:top w:w="72" w:type="dxa"/>
              <w:left w:w="144" w:type="dxa"/>
              <w:bottom w:w="72" w:type="dxa"/>
              <w:right w:w="144" w:type="dxa"/>
            </w:tcMar>
            <w:vAlign w:val="center"/>
          </w:tcPr>
          <w:p w14:paraId="4D2A1D3A">
            <w:r>
              <w:t>10</w:t>
            </w:r>
            <w:r>
              <w:rPr>
                <w:rFonts w:hint="eastAsia"/>
              </w:rPr>
              <w:t>（</w:t>
            </w:r>
            <w:r>
              <w:t>II</w:t>
            </w:r>
            <w:r>
              <w:rPr>
                <w:rFonts w:hint="eastAsia"/>
              </w:rPr>
              <w:t>阶段）</w:t>
            </w:r>
          </w:p>
        </w:tc>
        <w:tc>
          <w:tcPr>
            <w:tcW w:w="1700" w:type="dxa"/>
            <w:tcMar>
              <w:top w:w="72" w:type="dxa"/>
              <w:left w:w="144" w:type="dxa"/>
              <w:bottom w:w="72" w:type="dxa"/>
              <w:right w:w="144" w:type="dxa"/>
            </w:tcMar>
            <w:vAlign w:val="center"/>
          </w:tcPr>
          <w:p w14:paraId="40FBF082">
            <w:r>
              <w:t xml:space="preserve">≥70% </w:t>
            </w:r>
          </w:p>
        </w:tc>
      </w:tr>
      <w:tr w14:paraId="0A5CE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2697" w:type="dxa"/>
            <w:vMerge w:val="restart"/>
            <w:tcMar>
              <w:top w:w="72" w:type="dxa"/>
              <w:left w:w="144" w:type="dxa"/>
              <w:bottom w:w="72" w:type="dxa"/>
              <w:right w:w="144" w:type="dxa"/>
            </w:tcMar>
          </w:tcPr>
          <w:p w14:paraId="398488DE">
            <w:r>
              <w:rPr>
                <w:rFonts w:hint="eastAsia"/>
              </w:rPr>
              <w:t>蒸、煮类烹饪、小吃、茶餐厅、西式快餐等低浓度废气</w:t>
            </w:r>
          </w:p>
        </w:tc>
        <w:tc>
          <w:tcPr>
            <w:tcW w:w="1983" w:type="dxa"/>
            <w:vMerge w:val="restart"/>
            <w:tcMar>
              <w:top w:w="72" w:type="dxa"/>
              <w:left w:w="144" w:type="dxa"/>
              <w:bottom w:w="72" w:type="dxa"/>
              <w:right w:w="144" w:type="dxa"/>
            </w:tcMar>
          </w:tcPr>
          <w:p w14:paraId="4B46322F">
            <w:pPr>
              <w:ind w:firstLine="480" w:firstLineChars="200"/>
            </w:pPr>
            <w:r>
              <w:t xml:space="preserve">1~20 </w:t>
            </w:r>
          </w:p>
          <w:p w14:paraId="4225733A">
            <w:pPr>
              <w:ind w:firstLine="480" w:firstLineChars="200"/>
            </w:pPr>
          </w:p>
        </w:tc>
        <w:tc>
          <w:tcPr>
            <w:tcW w:w="1702" w:type="dxa"/>
            <w:tcMar>
              <w:top w:w="72" w:type="dxa"/>
              <w:left w:w="144" w:type="dxa"/>
              <w:bottom w:w="72" w:type="dxa"/>
              <w:right w:w="144" w:type="dxa"/>
            </w:tcMar>
            <w:vAlign w:val="center"/>
          </w:tcPr>
          <w:p w14:paraId="7FD78181">
            <w:r>
              <w:t>-</w:t>
            </w:r>
            <w:r>
              <w:rPr>
                <w:rFonts w:hint="eastAsia"/>
              </w:rPr>
              <w:t>（</w:t>
            </w:r>
            <w:r>
              <w:t>I</w:t>
            </w:r>
            <w:r>
              <w:rPr>
                <w:rFonts w:hint="eastAsia"/>
              </w:rPr>
              <w:t>阶段）</w:t>
            </w:r>
          </w:p>
        </w:tc>
        <w:tc>
          <w:tcPr>
            <w:tcW w:w="1700" w:type="dxa"/>
            <w:tcMar>
              <w:top w:w="72" w:type="dxa"/>
              <w:left w:w="144" w:type="dxa"/>
              <w:bottom w:w="72" w:type="dxa"/>
              <w:right w:w="144" w:type="dxa"/>
            </w:tcMar>
            <w:vAlign w:val="center"/>
          </w:tcPr>
          <w:p w14:paraId="7ED29BC8">
            <w:pPr>
              <w:ind w:firstLine="480" w:firstLineChars="200"/>
            </w:pPr>
          </w:p>
        </w:tc>
      </w:tr>
      <w:tr w14:paraId="64E8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2697" w:type="dxa"/>
            <w:vMerge w:val="continue"/>
            <w:vAlign w:val="center"/>
          </w:tcPr>
          <w:p w14:paraId="5C0C8964">
            <w:pPr>
              <w:ind w:firstLine="480" w:firstLineChars="200"/>
            </w:pPr>
          </w:p>
        </w:tc>
        <w:tc>
          <w:tcPr>
            <w:tcW w:w="1983" w:type="dxa"/>
            <w:vMerge w:val="continue"/>
            <w:vAlign w:val="center"/>
          </w:tcPr>
          <w:p w14:paraId="31117E93">
            <w:pPr>
              <w:ind w:firstLine="480" w:firstLineChars="200"/>
            </w:pPr>
          </w:p>
        </w:tc>
        <w:tc>
          <w:tcPr>
            <w:tcW w:w="1702" w:type="dxa"/>
            <w:tcMar>
              <w:top w:w="72" w:type="dxa"/>
              <w:left w:w="144" w:type="dxa"/>
              <w:bottom w:w="72" w:type="dxa"/>
              <w:right w:w="144" w:type="dxa"/>
            </w:tcMar>
            <w:vAlign w:val="center"/>
          </w:tcPr>
          <w:p w14:paraId="322E8FCD">
            <w:r>
              <w:t>10</w:t>
            </w:r>
            <w:r>
              <w:rPr>
                <w:rFonts w:hint="eastAsia"/>
              </w:rPr>
              <w:t>（</w:t>
            </w:r>
            <w:r>
              <w:t>II</w:t>
            </w:r>
            <w:r>
              <w:rPr>
                <w:rFonts w:hint="eastAsia"/>
              </w:rPr>
              <w:t>阶段）</w:t>
            </w:r>
          </w:p>
        </w:tc>
        <w:tc>
          <w:tcPr>
            <w:tcW w:w="1700" w:type="dxa"/>
            <w:tcMar>
              <w:top w:w="72" w:type="dxa"/>
              <w:left w:w="144" w:type="dxa"/>
              <w:bottom w:w="72" w:type="dxa"/>
              <w:right w:w="144" w:type="dxa"/>
            </w:tcMar>
            <w:vAlign w:val="center"/>
          </w:tcPr>
          <w:p w14:paraId="6C9A37C2">
            <w:r>
              <w:t>≥50%</w:t>
            </w:r>
            <w:r>
              <w:rPr>
                <w:rFonts w:hint="eastAsia"/>
              </w:rPr>
              <w:t>（按需）</w:t>
            </w:r>
            <w:r>
              <w:t xml:space="preserve"> </w:t>
            </w:r>
          </w:p>
        </w:tc>
      </w:tr>
    </w:tbl>
    <w:p w14:paraId="2E83CA9B">
      <w:pPr>
        <w:pStyle w:val="2"/>
        <w:numPr>
          <w:numberingChange w:id="31" w:author="刘海英" w:date="2017-09-08T15:13:00Z" w:original="%1:7:0:"/>
        </w:numPr>
        <w:spacing w:before="163" w:after="163"/>
      </w:pPr>
      <w:bookmarkStart w:id="43" w:name="_Toc492306082"/>
      <w:bookmarkEnd w:id="43"/>
      <w:bookmarkStart w:id="44" w:name="_Toc492569890"/>
      <w:r>
        <w:rPr>
          <w:rFonts w:hint="eastAsia"/>
        </w:rPr>
        <w:t>实施本标准的技术经济环境分析</w:t>
      </w:r>
      <w:bookmarkEnd w:id="44"/>
    </w:p>
    <w:p w14:paraId="2BA3523E">
      <w:pPr>
        <w:pStyle w:val="3"/>
        <w:numPr>
          <w:numberingChange w:id="32" w:author="刘海英" w:date="2017-09-08T15:13:00Z" w:original="%1:7:0:.%2:1:0:"/>
        </w:numPr>
        <w:spacing w:after="163"/>
      </w:pPr>
      <w:bookmarkStart w:id="45" w:name="_Toc492569891"/>
      <w:r>
        <w:rPr>
          <w:rFonts w:hint="eastAsia"/>
        </w:rPr>
        <w:t>实施本标准的技术经济分析</w:t>
      </w:r>
      <w:bookmarkEnd w:id="45"/>
    </w:p>
    <w:p w14:paraId="77A84D27">
      <w:pPr>
        <w:ind w:firstLine="480" w:firstLineChars="200"/>
      </w:pPr>
      <w:r>
        <w:rPr>
          <w:rFonts w:hint="eastAsia"/>
        </w:rPr>
        <w:t>根据典型餐饮企业实际排放监测数据，不包括新建餐饮企业，为达到本标准第二时段规定的油烟、颗粒物和非甲烷总烃的排放限值，有</w:t>
      </w:r>
      <w:r>
        <w:t>60%</w:t>
      </w:r>
      <w:r>
        <w:rPr>
          <w:rFonts w:hint="eastAsia"/>
        </w:rPr>
        <w:t>的餐饮企业需要改造更换高效油烟净化设备，</w:t>
      </w:r>
      <w:r>
        <w:t>50%</w:t>
      </w:r>
      <w:r>
        <w:rPr>
          <w:rFonts w:hint="eastAsia"/>
        </w:rPr>
        <w:t>的餐饮企业需要加装</w:t>
      </w:r>
      <w:r>
        <w:t>VOC</w:t>
      </w:r>
      <w:r>
        <w:rPr>
          <w:rFonts w:hint="eastAsia"/>
        </w:rPr>
        <w:t>去除装置。</w:t>
      </w:r>
    </w:p>
    <w:p w14:paraId="480A1413">
      <w:pPr>
        <w:ind w:firstLine="480" w:firstLineChars="200"/>
      </w:pPr>
      <w:r>
        <w:rPr>
          <w:rFonts w:hint="eastAsia"/>
        </w:rPr>
        <w:t>在北京市，假设</w:t>
      </w:r>
      <w:r>
        <w:t>60%</w:t>
      </w:r>
      <w:r>
        <w:rPr>
          <w:rFonts w:hint="eastAsia"/>
        </w:rPr>
        <w:t>的餐饮企业全部更换高效静电油烟净化器和</w:t>
      </w:r>
      <w:r>
        <w:t>50%</w:t>
      </w:r>
      <w:r>
        <w:rPr>
          <w:rFonts w:hint="eastAsia"/>
        </w:rPr>
        <w:t>的餐饮企业加装活性炭吸附装置，按一年内所有不达标的现有企业全部改造完成，则静电式高效油烟净化设备和活性炭吸附设备的总投入为</w:t>
      </w:r>
      <w:r>
        <w:t>161028</w:t>
      </w:r>
      <w:r>
        <w:rPr>
          <w:rFonts w:hint="eastAsia"/>
        </w:rPr>
        <w:t>万元（以</w:t>
      </w:r>
      <w:r>
        <w:t>2014</w:t>
      </w:r>
      <w:r>
        <w:rPr>
          <w:rFonts w:hint="eastAsia"/>
        </w:rPr>
        <w:t>年统计数据计算），一年的运行维护费用投入为</w:t>
      </w:r>
      <w:r>
        <w:t>114841</w:t>
      </w:r>
      <w:r>
        <w:rPr>
          <w:rFonts w:hint="eastAsia"/>
        </w:rPr>
        <w:t>万元。本次标准实施具体的达标改造设备投入及运行费用估算如表</w:t>
      </w:r>
      <w:r>
        <w:t>7-1</w:t>
      </w:r>
      <w:r>
        <w:rPr>
          <w:rFonts w:hint="eastAsia"/>
        </w:rPr>
        <w:t>。</w:t>
      </w:r>
    </w:p>
    <w:p w14:paraId="0E480455">
      <w:pPr>
        <w:jc w:val="center"/>
      </w:pPr>
      <w:r>
        <w:rPr>
          <w:rFonts w:hint="eastAsia"/>
        </w:rPr>
        <w:t>表</w:t>
      </w:r>
      <w:r>
        <w:t xml:space="preserve">7-1 </w:t>
      </w:r>
      <w:r>
        <w:rPr>
          <w:rFonts w:hint="eastAsia"/>
        </w:rPr>
        <w:t>全市达标改造设备投入及运行费用投入估算（单位：万元）</w:t>
      </w:r>
    </w:p>
    <w:tbl>
      <w:tblPr>
        <w:tblStyle w:val="18"/>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850"/>
        <w:gridCol w:w="1134"/>
        <w:gridCol w:w="851"/>
        <w:gridCol w:w="1134"/>
        <w:gridCol w:w="992"/>
        <w:gridCol w:w="1559"/>
        <w:gridCol w:w="1047"/>
      </w:tblGrid>
      <w:tr w14:paraId="37C6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Pr>
          <w:p w14:paraId="2ECD51A7">
            <w:pPr>
              <w:rPr>
                <w:sz w:val="21"/>
                <w:szCs w:val="21"/>
              </w:rPr>
            </w:pPr>
            <w:r>
              <w:rPr>
                <w:rFonts w:hint="eastAsia"/>
                <w:sz w:val="21"/>
                <w:szCs w:val="21"/>
              </w:rPr>
              <w:t>类型</w:t>
            </w:r>
          </w:p>
        </w:tc>
        <w:tc>
          <w:tcPr>
            <w:tcW w:w="850" w:type="dxa"/>
          </w:tcPr>
          <w:p w14:paraId="5E0A42C7">
            <w:pPr>
              <w:rPr>
                <w:sz w:val="21"/>
                <w:szCs w:val="21"/>
              </w:rPr>
            </w:pPr>
            <w:r>
              <w:rPr>
                <w:rFonts w:hint="eastAsia"/>
                <w:sz w:val="21"/>
                <w:szCs w:val="21"/>
              </w:rPr>
              <w:t>油烟净化设备</w:t>
            </w:r>
          </w:p>
        </w:tc>
        <w:tc>
          <w:tcPr>
            <w:tcW w:w="1134" w:type="dxa"/>
          </w:tcPr>
          <w:p w14:paraId="4AA2EBBF">
            <w:pPr>
              <w:rPr>
                <w:sz w:val="21"/>
                <w:szCs w:val="21"/>
              </w:rPr>
            </w:pPr>
            <w:r>
              <w:rPr>
                <w:rFonts w:hint="eastAsia"/>
                <w:sz w:val="21"/>
                <w:szCs w:val="21"/>
              </w:rPr>
              <w:t>平均风量</w:t>
            </w:r>
            <w:r>
              <w:rPr>
                <w:sz w:val="21"/>
                <w:szCs w:val="21"/>
              </w:rPr>
              <w:t>m</w:t>
            </w:r>
            <w:r>
              <w:rPr>
                <w:sz w:val="21"/>
                <w:szCs w:val="21"/>
                <w:vertAlign w:val="superscript"/>
              </w:rPr>
              <w:t>3</w:t>
            </w:r>
            <w:r>
              <w:rPr>
                <w:sz w:val="21"/>
                <w:szCs w:val="21"/>
              </w:rPr>
              <w:t>/h</w:t>
            </w:r>
          </w:p>
        </w:tc>
        <w:tc>
          <w:tcPr>
            <w:tcW w:w="851" w:type="dxa"/>
          </w:tcPr>
          <w:p w14:paraId="53FEBCBC">
            <w:pPr>
              <w:rPr>
                <w:sz w:val="21"/>
                <w:szCs w:val="21"/>
              </w:rPr>
            </w:pPr>
            <w:r>
              <w:rPr>
                <w:rFonts w:hint="eastAsia"/>
                <w:sz w:val="21"/>
                <w:szCs w:val="21"/>
              </w:rPr>
              <w:t>餐饮企业数量</w:t>
            </w:r>
          </w:p>
        </w:tc>
        <w:tc>
          <w:tcPr>
            <w:tcW w:w="1134" w:type="dxa"/>
          </w:tcPr>
          <w:p w14:paraId="3E6D904D">
            <w:pPr>
              <w:rPr>
                <w:sz w:val="21"/>
                <w:szCs w:val="21"/>
              </w:rPr>
            </w:pPr>
            <w:r>
              <w:rPr>
                <w:rFonts w:hint="eastAsia"/>
                <w:sz w:val="21"/>
                <w:szCs w:val="21"/>
              </w:rPr>
              <w:t>投资成本万元</w:t>
            </w:r>
            <w:r>
              <w:rPr>
                <w:sz w:val="21"/>
                <w:szCs w:val="21"/>
              </w:rPr>
              <w:t>/</w:t>
            </w:r>
            <w:r>
              <w:rPr>
                <w:rFonts w:hint="eastAsia"/>
                <w:sz w:val="21"/>
                <w:szCs w:val="21"/>
              </w:rPr>
              <w:t>台</w:t>
            </w:r>
          </w:p>
        </w:tc>
        <w:tc>
          <w:tcPr>
            <w:tcW w:w="992" w:type="dxa"/>
          </w:tcPr>
          <w:p w14:paraId="21E158A9">
            <w:pPr>
              <w:rPr>
                <w:sz w:val="21"/>
                <w:szCs w:val="21"/>
              </w:rPr>
            </w:pPr>
            <w:r>
              <w:rPr>
                <w:rFonts w:hint="eastAsia"/>
                <w:sz w:val="21"/>
                <w:szCs w:val="21"/>
              </w:rPr>
              <w:t>总成本（万元）</w:t>
            </w:r>
          </w:p>
        </w:tc>
        <w:tc>
          <w:tcPr>
            <w:tcW w:w="1559" w:type="dxa"/>
          </w:tcPr>
          <w:p w14:paraId="640A9A1C">
            <w:pPr>
              <w:rPr>
                <w:sz w:val="21"/>
                <w:szCs w:val="21"/>
              </w:rPr>
            </w:pPr>
            <w:r>
              <w:rPr>
                <w:rFonts w:hint="eastAsia"/>
                <w:sz w:val="21"/>
                <w:szCs w:val="21"/>
              </w:rPr>
              <w:t>运行及维护成本万元</w:t>
            </w:r>
            <w:r>
              <w:rPr>
                <w:sz w:val="21"/>
                <w:szCs w:val="21"/>
              </w:rPr>
              <w:t>/</w:t>
            </w:r>
            <w:r>
              <w:rPr>
                <w:rFonts w:hint="eastAsia"/>
                <w:sz w:val="21"/>
                <w:szCs w:val="21"/>
              </w:rPr>
              <w:t>台</w:t>
            </w:r>
            <w:r>
              <w:rPr>
                <w:sz w:val="21"/>
                <w:szCs w:val="21"/>
              </w:rPr>
              <w:t>/</w:t>
            </w:r>
            <w:r>
              <w:rPr>
                <w:rFonts w:hint="eastAsia"/>
                <w:sz w:val="21"/>
                <w:szCs w:val="21"/>
              </w:rPr>
              <w:t>年</w:t>
            </w:r>
          </w:p>
        </w:tc>
        <w:tc>
          <w:tcPr>
            <w:tcW w:w="1047" w:type="dxa"/>
          </w:tcPr>
          <w:p w14:paraId="52DE1792">
            <w:pPr>
              <w:rPr>
                <w:sz w:val="21"/>
                <w:szCs w:val="21"/>
              </w:rPr>
            </w:pPr>
            <w:r>
              <w:rPr>
                <w:rFonts w:hint="eastAsia"/>
                <w:sz w:val="21"/>
                <w:szCs w:val="21"/>
              </w:rPr>
              <w:t>运维经济效益</w:t>
            </w:r>
          </w:p>
        </w:tc>
      </w:tr>
      <w:tr w14:paraId="3A47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14:paraId="3B8AF79E">
            <w:pPr>
              <w:rPr>
                <w:sz w:val="21"/>
                <w:szCs w:val="21"/>
              </w:rPr>
            </w:pPr>
            <w:r>
              <w:rPr>
                <w:rFonts w:hint="eastAsia"/>
                <w:sz w:val="21"/>
                <w:szCs w:val="21"/>
              </w:rPr>
              <w:t>静电式油烟净化设备</w:t>
            </w:r>
          </w:p>
        </w:tc>
        <w:tc>
          <w:tcPr>
            <w:tcW w:w="850" w:type="dxa"/>
          </w:tcPr>
          <w:p w14:paraId="0AE50A1C">
            <w:pPr>
              <w:rPr>
                <w:sz w:val="21"/>
                <w:szCs w:val="21"/>
              </w:rPr>
            </w:pPr>
            <w:r>
              <w:rPr>
                <w:rFonts w:hint="eastAsia"/>
                <w:sz w:val="21"/>
                <w:szCs w:val="21"/>
              </w:rPr>
              <w:t>大型</w:t>
            </w:r>
          </w:p>
        </w:tc>
        <w:tc>
          <w:tcPr>
            <w:tcW w:w="1134" w:type="dxa"/>
          </w:tcPr>
          <w:p w14:paraId="3B04D490">
            <w:pPr>
              <w:rPr>
                <w:sz w:val="21"/>
                <w:szCs w:val="21"/>
              </w:rPr>
            </w:pPr>
            <w:r>
              <w:rPr>
                <w:sz w:val="21"/>
                <w:szCs w:val="21"/>
              </w:rPr>
              <w:t>16000</w:t>
            </w:r>
          </w:p>
        </w:tc>
        <w:tc>
          <w:tcPr>
            <w:tcW w:w="851" w:type="dxa"/>
          </w:tcPr>
          <w:p w14:paraId="750B9D47">
            <w:pPr>
              <w:rPr>
                <w:sz w:val="21"/>
                <w:szCs w:val="21"/>
              </w:rPr>
            </w:pPr>
            <w:r>
              <w:rPr>
                <w:sz w:val="21"/>
                <w:szCs w:val="21"/>
              </w:rPr>
              <w:t>2750</w:t>
            </w:r>
          </w:p>
        </w:tc>
        <w:tc>
          <w:tcPr>
            <w:tcW w:w="1134" w:type="dxa"/>
          </w:tcPr>
          <w:p w14:paraId="3AA2308A">
            <w:pPr>
              <w:rPr>
                <w:sz w:val="21"/>
                <w:szCs w:val="21"/>
              </w:rPr>
            </w:pPr>
            <w:r>
              <w:rPr>
                <w:sz w:val="21"/>
                <w:szCs w:val="21"/>
              </w:rPr>
              <w:t>3.2</w:t>
            </w:r>
          </w:p>
        </w:tc>
        <w:tc>
          <w:tcPr>
            <w:tcW w:w="992" w:type="dxa"/>
          </w:tcPr>
          <w:p w14:paraId="2D246E69">
            <w:pPr>
              <w:rPr>
                <w:sz w:val="21"/>
                <w:szCs w:val="21"/>
              </w:rPr>
            </w:pPr>
            <w:r>
              <w:rPr>
                <w:sz w:val="21"/>
                <w:szCs w:val="21"/>
              </w:rPr>
              <w:t>8800</w:t>
            </w:r>
          </w:p>
        </w:tc>
        <w:tc>
          <w:tcPr>
            <w:tcW w:w="1559" w:type="dxa"/>
          </w:tcPr>
          <w:p w14:paraId="6B0DC748">
            <w:pPr>
              <w:rPr>
                <w:sz w:val="21"/>
                <w:szCs w:val="21"/>
              </w:rPr>
            </w:pPr>
            <w:r>
              <w:rPr>
                <w:sz w:val="21"/>
                <w:szCs w:val="21"/>
              </w:rPr>
              <w:t>6.0</w:t>
            </w:r>
          </w:p>
        </w:tc>
        <w:tc>
          <w:tcPr>
            <w:tcW w:w="1047" w:type="dxa"/>
          </w:tcPr>
          <w:p w14:paraId="282250D7">
            <w:pPr>
              <w:rPr>
                <w:sz w:val="21"/>
                <w:szCs w:val="21"/>
              </w:rPr>
            </w:pPr>
            <w:r>
              <w:rPr>
                <w:sz w:val="21"/>
                <w:szCs w:val="21"/>
              </w:rPr>
              <w:t>16500</w:t>
            </w:r>
          </w:p>
        </w:tc>
      </w:tr>
      <w:tr w14:paraId="31512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0C55D07F">
            <w:pPr>
              <w:rPr>
                <w:sz w:val="21"/>
                <w:szCs w:val="21"/>
              </w:rPr>
            </w:pPr>
          </w:p>
        </w:tc>
        <w:tc>
          <w:tcPr>
            <w:tcW w:w="850" w:type="dxa"/>
          </w:tcPr>
          <w:p w14:paraId="1D423574">
            <w:pPr>
              <w:rPr>
                <w:sz w:val="21"/>
                <w:szCs w:val="21"/>
              </w:rPr>
            </w:pPr>
            <w:r>
              <w:rPr>
                <w:rFonts w:hint="eastAsia"/>
                <w:sz w:val="21"/>
                <w:szCs w:val="21"/>
              </w:rPr>
              <w:t>中型</w:t>
            </w:r>
          </w:p>
        </w:tc>
        <w:tc>
          <w:tcPr>
            <w:tcW w:w="1134" w:type="dxa"/>
          </w:tcPr>
          <w:p w14:paraId="0ACAD29F">
            <w:pPr>
              <w:rPr>
                <w:sz w:val="21"/>
                <w:szCs w:val="21"/>
              </w:rPr>
            </w:pPr>
            <w:r>
              <w:rPr>
                <w:sz w:val="21"/>
                <w:szCs w:val="21"/>
              </w:rPr>
              <w:t>8000</w:t>
            </w:r>
          </w:p>
        </w:tc>
        <w:tc>
          <w:tcPr>
            <w:tcW w:w="851" w:type="dxa"/>
          </w:tcPr>
          <w:p w14:paraId="5E61FDE2">
            <w:pPr>
              <w:rPr>
                <w:sz w:val="21"/>
                <w:szCs w:val="21"/>
              </w:rPr>
            </w:pPr>
            <w:r>
              <w:rPr>
                <w:sz w:val="21"/>
                <w:szCs w:val="21"/>
              </w:rPr>
              <w:t>15410</w:t>
            </w:r>
          </w:p>
        </w:tc>
        <w:tc>
          <w:tcPr>
            <w:tcW w:w="1134" w:type="dxa"/>
          </w:tcPr>
          <w:p w14:paraId="1B9B2C2D">
            <w:pPr>
              <w:rPr>
                <w:sz w:val="21"/>
                <w:szCs w:val="21"/>
              </w:rPr>
            </w:pPr>
            <w:r>
              <w:rPr>
                <w:sz w:val="21"/>
                <w:szCs w:val="21"/>
              </w:rPr>
              <w:t>1.6</w:t>
            </w:r>
          </w:p>
        </w:tc>
        <w:tc>
          <w:tcPr>
            <w:tcW w:w="992" w:type="dxa"/>
          </w:tcPr>
          <w:p w14:paraId="75411F7F">
            <w:pPr>
              <w:rPr>
                <w:sz w:val="21"/>
                <w:szCs w:val="21"/>
              </w:rPr>
            </w:pPr>
            <w:r>
              <w:rPr>
                <w:sz w:val="21"/>
                <w:szCs w:val="21"/>
              </w:rPr>
              <w:t>24656</w:t>
            </w:r>
          </w:p>
        </w:tc>
        <w:tc>
          <w:tcPr>
            <w:tcW w:w="1559" w:type="dxa"/>
          </w:tcPr>
          <w:p w14:paraId="1AEC1C12">
            <w:pPr>
              <w:rPr>
                <w:sz w:val="21"/>
                <w:szCs w:val="21"/>
              </w:rPr>
            </w:pPr>
            <w:r>
              <w:rPr>
                <w:sz w:val="21"/>
                <w:szCs w:val="21"/>
              </w:rPr>
              <w:t>3.0</w:t>
            </w:r>
          </w:p>
        </w:tc>
        <w:tc>
          <w:tcPr>
            <w:tcW w:w="1047" w:type="dxa"/>
          </w:tcPr>
          <w:p w14:paraId="38A054FB">
            <w:pPr>
              <w:rPr>
                <w:sz w:val="21"/>
                <w:szCs w:val="21"/>
              </w:rPr>
            </w:pPr>
            <w:r>
              <w:rPr>
                <w:sz w:val="21"/>
                <w:szCs w:val="21"/>
              </w:rPr>
              <w:t>46230</w:t>
            </w:r>
          </w:p>
        </w:tc>
      </w:tr>
      <w:tr w14:paraId="5324B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70C671AB">
            <w:pPr>
              <w:rPr>
                <w:sz w:val="21"/>
                <w:szCs w:val="21"/>
              </w:rPr>
            </w:pPr>
          </w:p>
        </w:tc>
        <w:tc>
          <w:tcPr>
            <w:tcW w:w="850" w:type="dxa"/>
          </w:tcPr>
          <w:p w14:paraId="07CC6C9B">
            <w:pPr>
              <w:rPr>
                <w:sz w:val="21"/>
                <w:szCs w:val="21"/>
              </w:rPr>
            </w:pPr>
            <w:r>
              <w:rPr>
                <w:rFonts w:hint="eastAsia"/>
                <w:sz w:val="21"/>
                <w:szCs w:val="21"/>
              </w:rPr>
              <w:t>小型</w:t>
            </w:r>
          </w:p>
        </w:tc>
        <w:tc>
          <w:tcPr>
            <w:tcW w:w="1134" w:type="dxa"/>
          </w:tcPr>
          <w:p w14:paraId="23491742">
            <w:pPr>
              <w:rPr>
                <w:sz w:val="21"/>
                <w:szCs w:val="21"/>
              </w:rPr>
            </w:pPr>
            <w:r>
              <w:rPr>
                <w:sz w:val="21"/>
                <w:szCs w:val="21"/>
              </w:rPr>
              <w:t>4000</w:t>
            </w:r>
          </w:p>
        </w:tc>
        <w:tc>
          <w:tcPr>
            <w:tcW w:w="851" w:type="dxa"/>
          </w:tcPr>
          <w:p w14:paraId="216434E8">
            <w:pPr>
              <w:rPr>
                <w:sz w:val="21"/>
                <w:szCs w:val="21"/>
              </w:rPr>
            </w:pPr>
            <w:r>
              <w:rPr>
                <w:sz w:val="21"/>
                <w:szCs w:val="21"/>
              </w:rPr>
              <w:t>18098</w:t>
            </w:r>
          </w:p>
        </w:tc>
        <w:tc>
          <w:tcPr>
            <w:tcW w:w="1134" w:type="dxa"/>
          </w:tcPr>
          <w:p w14:paraId="47142FA2">
            <w:pPr>
              <w:rPr>
                <w:sz w:val="21"/>
                <w:szCs w:val="21"/>
              </w:rPr>
            </w:pPr>
            <w:r>
              <w:rPr>
                <w:sz w:val="21"/>
                <w:szCs w:val="21"/>
              </w:rPr>
              <w:t>0.8</w:t>
            </w:r>
          </w:p>
        </w:tc>
        <w:tc>
          <w:tcPr>
            <w:tcW w:w="992" w:type="dxa"/>
          </w:tcPr>
          <w:p w14:paraId="2E0DC2E1">
            <w:pPr>
              <w:rPr>
                <w:sz w:val="21"/>
                <w:szCs w:val="21"/>
              </w:rPr>
            </w:pPr>
            <w:r>
              <w:rPr>
                <w:sz w:val="21"/>
                <w:szCs w:val="21"/>
              </w:rPr>
              <w:t>14478</w:t>
            </w:r>
          </w:p>
        </w:tc>
        <w:tc>
          <w:tcPr>
            <w:tcW w:w="1559" w:type="dxa"/>
          </w:tcPr>
          <w:p w14:paraId="30AF2C63">
            <w:pPr>
              <w:rPr>
                <w:sz w:val="21"/>
                <w:szCs w:val="21"/>
              </w:rPr>
            </w:pPr>
            <w:r>
              <w:rPr>
                <w:sz w:val="21"/>
                <w:szCs w:val="21"/>
              </w:rPr>
              <w:t>1.5</w:t>
            </w:r>
          </w:p>
        </w:tc>
        <w:tc>
          <w:tcPr>
            <w:tcW w:w="1047" w:type="dxa"/>
          </w:tcPr>
          <w:p w14:paraId="3A527AA6">
            <w:pPr>
              <w:rPr>
                <w:sz w:val="21"/>
                <w:szCs w:val="21"/>
              </w:rPr>
            </w:pPr>
            <w:r>
              <w:rPr>
                <w:sz w:val="21"/>
                <w:szCs w:val="21"/>
              </w:rPr>
              <w:t>27147</w:t>
            </w:r>
          </w:p>
        </w:tc>
      </w:tr>
      <w:tr w14:paraId="1EE17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Pr>
          <w:p w14:paraId="2EEC01BD">
            <w:pPr>
              <w:rPr>
                <w:sz w:val="21"/>
                <w:szCs w:val="21"/>
              </w:rPr>
            </w:pPr>
            <w:r>
              <w:rPr>
                <w:rFonts w:hint="eastAsia"/>
                <w:sz w:val="21"/>
                <w:szCs w:val="21"/>
              </w:rPr>
              <w:t>活性炭吸附设备</w:t>
            </w:r>
          </w:p>
        </w:tc>
        <w:tc>
          <w:tcPr>
            <w:tcW w:w="850" w:type="dxa"/>
          </w:tcPr>
          <w:p w14:paraId="6F1F5F37">
            <w:pPr>
              <w:rPr>
                <w:sz w:val="21"/>
                <w:szCs w:val="21"/>
              </w:rPr>
            </w:pPr>
            <w:r>
              <w:rPr>
                <w:rFonts w:hint="eastAsia"/>
                <w:sz w:val="21"/>
                <w:szCs w:val="21"/>
              </w:rPr>
              <w:t>大型</w:t>
            </w:r>
          </w:p>
        </w:tc>
        <w:tc>
          <w:tcPr>
            <w:tcW w:w="1134" w:type="dxa"/>
          </w:tcPr>
          <w:p w14:paraId="7EB3FCDE">
            <w:pPr>
              <w:rPr>
                <w:sz w:val="21"/>
                <w:szCs w:val="21"/>
              </w:rPr>
            </w:pPr>
            <w:r>
              <w:rPr>
                <w:sz w:val="21"/>
                <w:szCs w:val="21"/>
              </w:rPr>
              <w:t>16000</w:t>
            </w:r>
          </w:p>
        </w:tc>
        <w:tc>
          <w:tcPr>
            <w:tcW w:w="851" w:type="dxa"/>
          </w:tcPr>
          <w:p w14:paraId="296E1514">
            <w:pPr>
              <w:rPr>
                <w:sz w:val="21"/>
                <w:szCs w:val="21"/>
              </w:rPr>
            </w:pPr>
            <w:r>
              <w:rPr>
                <w:sz w:val="21"/>
                <w:szCs w:val="21"/>
              </w:rPr>
              <w:t>2291</w:t>
            </w:r>
          </w:p>
        </w:tc>
        <w:tc>
          <w:tcPr>
            <w:tcW w:w="1134" w:type="dxa"/>
          </w:tcPr>
          <w:p w14:paraId="654E9B8A">
            <w:pPr>
              <w:rPr>
                <w:sz w:val="21"/>
                <w:szCs w:val="21"/>
              </w:rPr>
            </w:pPr>
            <w:r>
              <w:rPr>
                <w:sz w:val="21"/>
                <w:szCs w:val="21"/>
              </w:rPr>
              <w:t>9</w:t>
            </w:r>
          </w:p>
        </w:tc>
        <w:tc>
          <w:tcPr>
            <w:tcW w:w="992" w:type="dxa"/>
          </w:tcPr>
          <w:p w14:paraId="743BCFA9">
            <w:pPr>
              <w:rPr>
                <w:sz w:val="21"/>
                <w:szCs w:val="21"/>
              </w:rPr>
            </w:pPr>
            <w:r>
              <w:rPr>
                <w:sz w:val="21"/>
                <w:szCs w:val="21"/>
              </w:rPr>
              <w:t>20619</w:t>
            </w:r>
          </w:p>
        </w:tc>
        <w:tc>
          <w:tcPr>
            <w:tcW w:w="1559" w:type="dxa"/>
          </w:tcPr>
          <w:p w14:paraId="0E42ECFB">
            <w:pPr>
              <w:rPr>
                <w:sz w:val="21"/>
                <w:szCs w:val="21"/>
              </w:rPr>
            </w:pPr>
            <w:r>
              <w:rPr>
                <w:sz w:val="21"/>
                <w:szCs w:val="21"/>
              </w:rPr>
              <w:t>2.0</w:t>
            </w:r>
          </w:p>
        </w:tc>
        <w:tc>
          <w:tcPr>
            <w:tcW w:w="1047" w:type="dxa"/>
          </w:tcPr>
          <w:p w14:paraId="6C212C64">
            <w:pPr>
              <w:rPr>
                <w:sz w:val="21"/>
                <w:szCs w:val="21"/>
              </w:rPr>
            </w:pPr>
            <w:r>
              <w:rPr>
                <w:sz w:val="21"/>
                <w:szCs w:val="21"/>
              </w:rPr>
              <w:t>4582</w:t>
            </w:r>
          </w:p>
        </w:tc>
      </w:tr>
      <w:tr w14:paraId="3BDC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3D4253AC">
            <w:pPr>
              <w:rPr>
                <w:sz w:val="21"/>
                <w:szCs w:val="21"/>
              </w:rPr>
            </w:pPr>
          </w:p>
        </w:tc>
        <w:tc>
          <w:tcPr>
            <w:tcW w:w="850" w:type="dxa"/>
          </w:tcPr>
          <w:p w14:paraId="68C13830">
            <w:pPr>
              <w:rPr>
                <w:sz w:val="21"/>
                <w:szCs w:val="21"/>
              </w:rPr>
            </w:pPr>
            <w:r>
              <w:rPr>
                <w:rFonts w:hint="eastAsia"/>
                <w:sz w:val="21"/>
                <w:szCs w:val="21"/>
              </w:rPr>
              <w:t>中型</w:t>
            </w:r>
          </w:p>
        </w:tc>
        <w:tc>
          <w:tcPr>
            <w:tcW w:w="1134" w:type="dxa"/>
          </w:tcPr>
          <w:p w14:paraId="6155AE3D">
            <w:pPr>
              <w:rPr>
                <w:sz w:val="21"/>
                <w:szCs w:val="21"/>
              </w:rPr>
            </w:pPr>
            <w:r>
              <w:rPr>
                <w:sz w:val="21"/>
                <w:szCs w:val="21"/>
              </w:rPr>
              <w:t>8000</w:t>
            </w:r>
          </w:p>
        </w:tc>
        <w:tc>
          <w:tcPr>
            <w:tcW w:w="851" w:type="dxa"/>
          </w:tcPr>
          <w:p w14:paraId="78508FD5">
            <w:pPr>
              <w:rPr>
                <w:sz w:val="21"/>
                <w:szCs w:val="21"/>
              </w:rPr>
            </w:pPr>
            <w:r>
              <w:rPr>
                <w:sz w:val="21"/>
                <w:szCs w:val="21"/>
              </w:rPr>
              <w:t>12842</w:t>
            </w:r>
          </w:p>
        </w:tc>
        <w:tc>
          <w:tcPr>
            <w:tcW w:w="1134" w:type="dxa"/>
          </w:tcPr>
          <w:p w14:paraId="32C89AAA">
            <w:pPr>
              <w:rPr>
                <w:sz w:val="21"/>
                <w:szCs w:val="21"/>
              </w:rPr>
            </w:pPr>
            <w:r>
              <w:rPr>
                <w:sz w:val="21"/>
                <w:szCs w:val="21"/>
              </w:rPr>
              <w:t>4.5</w:t>
            </w:r>
          </w:p>
        </w:tc>
        <w:tc>
          <w:tcPr>
            <w:tcW w:w="992" w:type="dxa"/>
          </w:tcPr>
          <w:p w14:paraId="3378B8AA">
            <w:pPr>
              <w:rPr>
                <w:sz w:val="21"/>
                <w:szCs w:val="21"/>
              </w:rPr>
            </w:pPr>
            <w:r>
              <w:rPr>
                <w:sz w:val="21"/>
                <w:szCs w:val="21"/>
              </w:rPr>
              <w:t>57789</w:t>
            </w:r>
          </w:p>
        </w:tc>
        <w:tc>
          <w:tcPr>
            <w:tcW w:w="1559" w:type="dxa"/>
          </w:tcPr>
          <w:p w14:paraId="306C0E80">
            <w:pPr>
              <w:rPr>
                <w:sz w:val="21"/>
                <w:szCs w:val="21"/>
              </w:rPr>
            </w:pPr>
            <w:r>
              <w:rPr>
                <w:sz w:val="21"/>
                <w:szCs w:val="21"/>
              </w:rPr>
              <w:t>1.0</w:t>
            </w:r>
          </w:p>
        </w:tc>
        <w:tc>
          <w:tcPr>
            <w:tcW w:w="1047" w:type="dxa"/>
          </w:tcPr>
          <w:p w14:paraId="29FCD630">
            <w:pPr>
              <w:rPr>
                <w:sz w:val="21"/>
                <w:szCs w:val="21"/>
              </w:rPr>
            </w:pPr>
            <w:r>
              <w:rPr>
                <w:sz w:val="21"/>
                <w:szCs w:val="21"/>
              </w:rPr>
              <w:t>12842</w:t>
            </w:r>
          </w:p>
        </w:tc>
      </w:tr>
      <w:tr w14:paraId="6733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Pr>
          <w:p w14:paraId="01B2F91D">
            <w:pPr>
              <w:rPr>
                <w:sz w:val="21"/>
                <w:szCs w:val="21"/>
              </w:rPr>
            </w:pPr>
          </w:p>
        </w:tc>
        <w:tc>
          <w:tcPr>
            <w:tcW w:w="850" w:type="dxa"/>
          </w:tcPr>
          <w:p w14:paraId="4FBDEA8E">
            <w:pPr>
              <w:rPr>
                <w:sz w:val="21"/>
                <w:szCs w:val="21"/>
              </w:rPr>
            </w:pPr>
            <w:r>
              <w:rPr>
                <w:rFonts w:hint="eastAsia"/>
                <w:sz w:val="21"/>
                <w:szCs w:val="21"/>
              </w:rPr>
              <w:t>小型</w:t>
            </w:r>
          </w:p>
        </w:tc>
        <w:tc>
          <w:tcPr>
            <w:tcW w:w="1134" w:type="dxa"/>
          </w:tcPr>
          <w:p w14:paraId="16DD9C20">
            <w:pPr>
              <w:rPr>
                <w:sz w:val="21"/>
                <w:szCs w:val="21"/>
              </w:rPr>
            </w:pPr>
            <w:r>
              <w:rPr>
                <w:sz w:val="21"/>
                <w:szCs w:val="21"/>
              </w:rPr>
              <w:t>4000</w:t>
            </w:r>
          </w:p>
        </w:tc>
        <w:tc>
          <w:tcPr>
            <w:tcW w:w="851" w:type="dxa"/>
          </w:tcPr>
          <w:p w14:paraId="4436D713">
            <w:pPr>
              <w:rPr>
                <w:sz w:val="21"/>
                <w:szCs w:val="21"/>
              </w:rPr>
            </w:pPr>
            <w:r>
              <w:rPr>
                <w:sz w:val="21"/>
                <w:szCs w:val="21"/>
              </w:rPr>
              <w:t>15081</w:t>
            </w:r>
          </w:p>
        </w:tc>
        <w:tc>
          <w:tcPr>
            <w:tcW w:w="1134" w:type="dxa"/>
          </w:tcPr>
          <w:p w14:paraId="5A276E9E">
            <w:pPr>
              <w:rPr>
                <w:sz w:val="21"/>
                <w:szCs w:val="21"/>
              </w:rPr>
            </w:pPr>
            <w:r>
              <w:rPr>
                <w:sz w:val="21"/>
                <w:szCs w:val="21"/>
              </w:rPr>
              <w:t>2.3</w:t>
            </w:r>
          </w:p>
        </w:tc>
        <w:tc>
          <w:tcPr>
            <w:tcW w:w="992" w:type="dxa"/>
          </w:tcPr>
          <w:p w14:paraId="58906B7E">
            <w:pPr>
              <w:rPr>
                <w:sz w:val="21"/>
                <w:szCs w:val="21"/>
              </w:rPr>
            </w:pPr>
            <w:r>
              <w:rPr>
                <w:sz w:val="21"/>
                <w:szCs w:val="21"/>
              </w:rPr>
              <w:t>34686</w:t>
            </w:r>
          </w:p>
        </w:tc>
        <w:tc>
          <w:tcPr>
            <w:tcW w:w="1559" w:type="dxa"/>
          </w:tcPr>
          <w:p w14:paraId="3D6D8782">
            <w:pPr>
              <w:rPr>
                <w:sz w:val="21"/>
                <w:szCs w:val="21"/>
              </w:rPr>
            </w:pPr>
            <w:r>
              <w:rPr>
                <w:sz w:val="21"/>
                <w:szCs w:val="21"/>
              </w:rPr>
              <w:t>0.5</w:t>
            </w:r>
          </w:p>
        </w:tc>
        <w:tc>
          <w:tcPr>
            <w:tcW w:w="1047" w:type="dxa"/>
          </w:tcPr>
          <w:p w14:paraId="318FC07C">
            <w:pPr>
              <w:rPr>
                <w:sz w:val="21"/>
                <w:szCs w:val="21"/>
              </w:rPr>
            </w:pPr>
            <w:r>
              <w:rPr>
                <w:sz w:val="21"/>
                <w:szCs w:val="21"/>
              </w:rPr>
              <w:t>7540</w:t>
            </w:r>
          </w:p>
        </w:tc>
      </w:tr>
      <w:tr w14:paraId="7C282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14:paraId="34F28CD3">
            <w:pPr>
              <w:rPr>
                <w:sz w:val="21"/>
                <w:szCs w:val="21"/>
              </w:rPr>
            </w:pPr>
            <w:r>
              <w:rPr>
                <w:rFonts w:hint="eastAsia"/>
                <w:sz w:val="21"/>
                <w:szCs w:val="21"/>
              </w:rPr>
              <w:t>合计</w:t>
            </w:r>
            <w:r>
              <w:rPr>
                <w:sz w:val="21"/>
                <w:szCs w:val="21"/>
              </w:rPr>
              <w:tab/>
            </w:r>
          </w:p>
        </w:tc>
        <w:tc>
          <w:tcPr>
            <w:tcW w:w="1134" w:type="dxa"/>
          </w:tcPr>
          <w:p w14:paraId="5477271C">
            <w:pPr>
              <w:rPr>
                <w:sz w:val="21"/>
                <w:szCs w:val="21"/>
              </w:rPr>
            </w:pPr>
          </w:p>
        </w:tc>
        <w:tc>
          <w:tcPr>
            <w:tcW w:w="851" w:type="dxa"/>
          </w:tcPr>
          <w:p w14:paraId="7A043CF9">
            <w:pPr>
              <w:rPr>
                <w:sz w:val="21"/>
                <w:szCs w:val="21"/>
              </w:rPr>
            </w:pPr>
          </w:p>
        </w:tc>
        <w:tc>
          <w:tcPr>
            <w:tcW w:w="1134" w:type="dxa"/>
          </w:tcPr>
          <w:p w14:paraId="113102F4">
            <w:pPr>
              <w:rPr>
                <w:sz w:val="21"/>
                <w:szCs w:val="21"/>
              </w:rPr>
            </w:pPr>
          </w:p>
        </w:tc>
        <w:tc>
          <w:tcPr>
            <w:tcW w:w="992" w:type="dxa"/>
          </w:tcPr>
          <w:p w14:paraId="7C89A153">
            <w:pPr>
              <w:rPr>
                <w:sz w:val="21"/>
                <w:szCs w:val="21"/>
              </w:rPr>
            </w:pPr>
            <w:r>
              <w:rPr>
                <w:sz w:val="21"/>
                <w:szCs w:val="21"/>
              </w:rPr>
              <w:t>161028</w:t>
            </w:r>
          </w:p>
        </w:tc>
        <w:tc>
          <w:tcPr>
            <w:tcW w:w="1559" w:type="dxa"/>
          </w:tcPr>
          <w:p w14:paraId="18071484">
            <w:pPr>
              <w:rPr>
                <w:sz w:val="21"/>
                <w:szCs w:val="21"/>
              </w:rPr>
            </w:pPr>
          </w:p>
        </w:tc>
        <w:tc>
          <w:tcPr>
            <w:tcW w:w="1047" w:type="dxa"/>
          </w:tcPr>
          <w:p w14:paraId="7F8B8AED">
            <w:pPr>
              <w:rPr>
                <w:sz w:val="21"/>
                <w:szCs w:val="21"/>
              </w:rPr>
            </w:pPr>
            <w:r>
              <w:rPr>
                <w:sz w:val="21"/>
                <w:szCs w:val="21"/>
              </w:rPr>
              <w:t>114841</w:t>
            </w:r>
          </w:p>
        </w:tc>
      </w:tr>
    </w:tbl>
    <w:p w14:paraId="1102AFE4">
      <w:pPr>
        <w:pStyle w:val="3"/>
        <w:numPr>
          <w:numberingChange w:id="33" w:author="刘海英" w:date="2017-09-08T15:13:00Z" w:original="%1:7:0:.%2:2:0:"/>
        </w:numPr>
        <w:spacing w:after="163"/>
      </w:pPr>
      <w:bookmarkStart w:id="46" w:name="_Toc492569892"/>
      <w:r>
        <w:rPr>
          <w:rFonts w:hint="eastAsia"/>
        </w:rPr>
        <w:t>实施本标准的环境效益分析</w:t>
      </w:r>
      <w:bookmarkEnd w:id="46"/>
    </w:p>
    <w:p w14:paraId="5B27D318">
      <w:pPr>
        <w:ind w:firstLine="480" w:firstLineChars="200"/>
      </w:pPr>
      <w:r>
        <w:rPr>
          <w:rFonts w:hint="eastAsia"/>
        </w:rPr>
        <w:t>根据</w:t>
      </w:r>
      <w:r>
        <w:t>2014</w:t>
      </w:r>
      <w:r>
        <w:rPr>
          <w:rFonts w:hint="eastAsia"/>
        </w:rPr>
        <w:t>年北京市食药监局卫生许可统计，北京市有餐饮服务单位共计约</w:t>
      </w:r>
      <w:r>
        <w:t>64000</w:t>
      </w:r>
      <w:r>
        <w:rPr>
          <w:rFonts w:hint="eastAsia"/>
        </w:rPr>
        <w:t>家，包括特大型餐馆，大中小型餐馆，小吃店，快餐店，食堂，集体用餐配送单位，中央厨房和民俗旅游户。根据本标准对北京市餐饮服务单位实际排放的监测数据，测算出北京市</w:t>
      </w:r>
      <w:r>
        <w:t>2014</w:t>
      </w:r>
      <w:r>
        <w:rPr>
          <w:rFonts w:hint="eastAsia"/>
        </w:rPr>
        <w:t>年餐饮业颗粒物的总排放量为</w:t>
      </w:r>
      <w:r>
        <w:t>6127</w:t>
      </w:r>
      <w:r>
        <w:rPr>
          <w:rFonts w:hint="eastAsia"/>
        </w:rPr>
        <w:t>吨，非甲烷总烃的总排放量</w:t>
      </w:r>
      <w:r>
        <w:t>9191</w:t>
      </w:r>
      <w:r>
        <w:rPr>
          <w:rFonts w:hint="eastAsia"/>
        </w:rPr>
        <w:t>吨。根据排放限值确定的数理统计分析，颗粒物限值为</w:t>
      </w:r>
      <w:r>
        <w:t>4mg/m</w:t>
      </w:r>
      <w:r>
        <w:rPr>
          <w:vertAlign w:val="superscript"/>
        </w:rPr>
        <w:t>3</w:t>
      </w:r>
      <w:r>
        <w:rPr>
          <w:rFonts w:hint="eastAsia"/>
        </w:rPr>
        <w:t>时，</w:t>
      </w:r>
      <w:r>
        <w:t>60%</w:t>
      </w:r>
      <w:r>
        <w:rPr>
          <w:rFonts w:hint="eastAsia"/>
        </w:rPr>
        <w:t>的餐饮企业不能达标需要改造更换高效净化设备，按照净化设备的颗粒物去除效率保持</w:t>
      </w:r>
      <w:r>
        <w:t>80%</w:t>
      </w:r>
      <w:r>
        <w:rPr>
          <w:rFonts w:hint="eastAsia"/>
        </w:rPr>
        <w:t>计算，则可减排颗粒物</w:t>
      </w:r>
      <w:r>
        <w:t>2941</w:t>
      </w:r>
      <w:r>
        <w:rPr>
          <w:rFonts w:hint="eastAsia"/>
        </w:rPr>
        <w:t>吨；按照颗粒物的粒径分布比例，</w:t>
      </w:r>
      <w:r>
        <w:t>60%</w:t>
      </w:r>
      <w:r>
        <w:rPr>
          <w:rFonts w:hint="eastAsia"/>
        </w:rPr>
        <w:t>以上为</w:t>
      </w:r>
      <w:r>
        <w:t>PM</w:t>
      </w:r>
      <w:r>
        <w:rPr>
          <w:vertAlign w:val="subscript"/>
        </w:rPr>
        <w:t>2.5</w:t>
      </w:r>
      <w:r>
        <w:rPr>
          <w:rFonts w:hint="eastAsia"/>
        </w:rPr>
        <w:t>，则可减排</w:t>
      </w:r>
      <w:r>
        <w:t>PM</w:t>
      </w:r>
      <w:r>
        <w:rPr>
          <w:vertAlign w:val="subscript"/>
        </w:rPr>
        <w:t>2.5</w:t>
      </w:r>
      <w:r>
        <w:rPr>
          <w:rFonts w:hint="eastAsia"/>
        </w:rPr>
        <w:t>最少</w:t>
      </w:r>
      <w:r>
        <w:t>1765</w:t>
      </w:r>
      <w:r>
        <w:rPr>
          <w:rFonts w:hint="eastAsia"/>
        </w:rPr>
        <w:t>吨。非甲烷总烃排放限值为</w:t>
      </w:r>
      <w:r>
        <w:t>10mg/m</w:t>
      </w:r>
      <w:r>
        <w:rPr>
          <w:vertAlign w:val="superscript"/>
        </w:rPr>
        <w:t>3</w:t>
      </w:r>
      <w:r>
        <w:rPr>
          <w:rFonts w:hint="eastAsia"/>
        </w:rPr>
        <w:t>时，</w:t>
      </w:r>
      <w:r>
        <w:t>50%</w:t>
      </w:r>
      <w:r>
        <w:rPr>
          <w:rFonts w:hint="eastAsia"/>
        </w:rPr>
        <w:t>的餐饮企业不能达标需要加装</w:t>
      </w:r>
      <w:r>
        <w:t>VOC</w:t>
      </w:r>
      <w:r>
        <w:rPr>
          <w:rFonts w:hint="eastAsia"/>
        </w:rPr>
        <w:t>去除装置，按照活性炭吸附设备去除效率平均</w:t>
      </w:r>
      <w:r>
        <w:t>60%</w:t>
      </w:r>
      <w:r>
        <w:rPr>
          <w:rFonts w:hint="eastAsia"/>
        </w:rPr>
        <w:t>计算，则可减排非甲烷总烃</w:t>
      </w:r>
      <w:r>
        <w:t>2757</w:t>
      </w:r>
      <w:r>
        <w:rPr>
          <w:rFonts w:hint="eastAsia"/>
        </w:rPr>
        <w:t>吨。</w:t>
      </w:r>
    </w:p>
    <w:p w14:paraId="25B04FF8">
      <w:pPr>
        <w:pStyle w:val="2"/>
        <w:numPr>
          <w:numberingChange w:id="34" w:author="刘海英" w:date="2017-09-08T15:13:00Z" w:original="%1:8:0:"/>
        </w:numPr>
        <w:spacing w:before="163" w:after="163"/>
      </w:pPr>
      <w:bookmarkStart w:id="47" w:name="_Toc492569893"/>
      <w:r>
        <w:rPr>
          <w:rFonts w:hint="eastAsia"/>
        </w:rPr>
        <w:t>实施本标准的措施建议</w:t>
      </w:r>
      <w:bookmarkEnd w:id="47"/>
    </w:p>
    <w:p w14:paraId="48531692">
      <w:pPr>
        <w:pStyle w:val="3"/>
        <w:numPr>
          <w:numberingChange w:id="35" w:author="刘海英" w:date="2017-09-08T15:13:00Z" w:original="%1:8:0:.%2:1:0:"/>
        </w:numPr>
        <w:spacing w:after="163"/>
      </w:pPr>
      <w:bookmarkStart w:id="48" w:name="_Toc492569894"/>
      <w:r>
        <w:rPr>
          <w:rFonts w:hint="eastAsia"/>
        </w:rPr>
        <w:t>关于实施净化设备污染物去除效率评价的建议</w:t>
      </w:r>
      <w:bookmarkEnd w:id="48"/>
    </w:p>
    <w:p w14:paraId="232AA5B5">
      <w:pPr>
        <w:ind w:firstLine="420"/>
      </w:pPr>
      <w:r>
        <w:rPr>
          <w:rFonts w:hint="eastAsia"/>
        </w:rPr>
        <w:t>为实现餐饮业大气污染物的精准减排，降低全行业的治理和管理成本，本标准中未强制规定净化设施的去除效率，而是根据《大气污染防治法》的法规要求以达标排放为原则，建议餐饮服务单位应根据其规模、主要污染物及初始排放浓度，科学选择相应去除效率的净化设备，为此在标准中增加了两个资料性附录，其中附录</w:t>
      </w:r>
      <w:r>
        <w:t>B</w:t>
      </w:r>
      <w:r>
        <w:rPr>
          <w:rFonts w:hint="eastAsia"/>
        </w:rPr>
        <w:t>将餐饮业用大气污染物净化设备的去除效率划分为三个级别，餐饮服务单位应根据其规模、主要污染物及其初始排放浓度，满足达标排放要求，确定所需的污染物去除效率，选择相应级别的净化设备。目的是引导、指导和帮助餐饮源科学选择合理、适用的净化设备。</w:t>
      </w:r>
    </w:p>
    <w:p w14:paraId="69084B08">
      <w:pPr>
        <w:ind w:firstLine="420"/>
      </w:pPr>
      <w:r>
        <w:rPr>
          <w:rFonts w:hint="eastAsia"/>
        </w:rPr>
        <w:t>根据国家“放管服”改革精神和环境保护管理制度的改革要求，建议由相关行业协会或团体组织实施餐饮业净化设施的去除效率级别评价或产品认证，设备生产厂商自愿参与。在技术规范方面，《饮食业油烟净化设备技术要求及检测技术规范》（</w:t>
      </w:r>
      <w:r>
        <w:t>HJ62-2001</w:t>
      </w:r>
      <w:r>
        <w:rPr>
          <w:rFonts w:hint="eastAsia"/>
        </w:rPr>
        <w:t>）中已规定了油烟净化设备的性能评价方法，缺乏餐饮业颗粒物和</w:t>
      </w:r>
      <w:r>
        <w:t>VOCs</w:t>
      </w:r>
      <w:r>
        <w:rPr>
          <w:rFonts w:hint="eastAsia"/>
        </w:rPr>
        <w:t>净化设施去除效率的技术要求和检测技术规范，建议相关行业协会或团体应根据本标准的要求，尽快组织编制相关技术规范或标准，建立第三方检测评价能力，组织生产厂商自愿参与认证，并定期向社会公开净化设备厂商、型号及去除效率性能评价级别或认证清单。</w:t>
      </w:r>
    </w:p>
    <w:p w14:paraId="1BDD3116">
      <w:pPr>
        <w:ind w:firstLine="420"/>
      </w:pPr>
      <w:r>
        <w:rPr>
          <w:rFonts w:hint="eastAsia"/>
        </w:rPr>
        <w:t>本条建议的实施不仅将为餐饮源科学选用净化设备提供准确、真实的依据，而且有利于规范餐饮业污染物净化服务市场，有利于促进和提高治理技术水平和产品质量。对于餐饮源来说，通过安装优质高效净化设施，将减低治理成本，满足稳定达标排放环境管理要求；对于各级相关管理部门，优质高效净化设施的推广应用，实现了对量大面广餐饮源的排放治理，不但利于降低执法监测成本，而且有利于推进餐饮业大气污染污染防治和居住环境改善工作。</w:t>
      </w:r>
    </w:p>
    <w:p w14:paraId="6B5AA2CF">
      <w:pPr>
        <w:pStyle w:val="3"/>
        <w:numPr>
          <w:numberingChange w:id="36" w:author="刘海英" w:date="2017-09-08T15:13:00Z" w:original="%1:8:0:.%2:2:0:"/>
        </w:numPr>
        <w:spacing w:after="163"/>
      </w:pPr>
      <w:bookmarkStart w:id="49" w:name="_Toc492569895"/>
      <w:r>
        <w:rPr>
          <w:rFonts w:hint="eastAsia"/>
        </w:rPr>
        <w:t>各类餐饮源大气污染物防治工艺技术路线建议</w:t>
      </w:r>
      <w:bookmarkEnd w:id="49"/>
    </w:p>
    <w:p w14:paraId="24A860F9">
      <w:pPr>
        <w:ind w:firstLine="480" w:firstLineChars="200"/>
        <w:rPr>
          <w:color w:val="FF0000"/>
        </w:rPr>
      </w:pPr>
      <w:r>
        <w:rPr>
          <w:rFonts w:hint="eastAsia"/>
          <w:szCs w:val="24"/>
        </w:rPr>
        <w:t>现有的油烟</w:t>
      </w:r>
      <w:r>
        <w:rPr>
          <w:szCs w:val="24"/>
        </w:rPr>
        <w:t>/</w:t>
      </w:r>
      <w:r>
        <w:rPr>
          <w:rFonts w:hint="eastAsia"/>
          <w:szCs w:val="24"/>
        </w:rPr>
        <w:t>颗粒物净化技术如与选定的</w:t>
      </w:r>
      <w:r>
        <w:rPr>
          <w:szCs w:val="24"/>
        </w:rPr>
        <w:t>VOCs</w:t>
      </w:r>
      <w:r>
        <w:rPr>
          <w:rFonts w:hint="eastAsia"/>
          <w:szCs w:val="24"/>
        </w:rPr>
        <w:t>净化技术进行集成并定期进行维护保养，能保证多级复合式净化设施对</w:t>
      </w:r>
      <w:r>
        <w:rPr>
          <w:szCs w:val="24"/>
        </w:rPr>
        <w:t>VOCs80%</w:t>
      </w:r>
      <w:r>
        <w:rPr>
          <w:rFonts w:hint="eastAsia"/>
          <w:szCs w:val="24"/>
        </w:rPr>
        <w:t>以上的去除效率。现有企业通过更换高效油烟净化设备，加装活性炭吸附装置也能够达到本标准的要求。标准编制组根据调研和研究的结果，提出了北京市不同类型餐饮源可能可行的控制技术路线，见表</w:t>
      </w:r>
      <w:r>
        <w:rPr>
          <w:szCs w:val="24"/>
        </w:rPr>
        <w:t>8-1</w:t>
      </w:r>
      <w:r>
        <w:rPr>
          <w:rFonts w:hint="eastAsia"/>
          <w:szCs w:val="24"/>
        </w:rPr>
        <w:t>。</w:t>
      </w:r>
    </w:p>
    <w:p w14:paraId="382419EF">
      <w:pPr>
        <w:jc w:val="center"/>
        <w:rPr>
          <w:szCs w:val="24"/>
        </w:rPr>
      </w:pPr>
      <w:r>
        <w:rPr>
          <w:rFonts w:hint="eastAsia"/>
          <w:szCs w:val="24"/>
        </w:rPr>
        <w:t>表</w:t>
      </w:r>
      <w:r>
        <w:rPr>
          <w:szCs w:val="24"/>
        </w:rPr>
        <w:t>8-1</w:t>
      </w:r>
      <w:r>
        <w:rPr>
          <w:rFonts w:hint="eastAsia"/>
          <w:szCs w:val="24"/>
        </w:rPr>
        <w:t>北京市各类餐饮源污染防治工艺技术路线</w:t>
      </w:r>
    </w:p>
    <w:tbl>
      <w:tblPr>
        <w:tblStyle w:val="18"/>
        <w:tblW w:w="85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1"/>
        <w:gridCol w:w="1447"/>
        <w:gridCol w:w="1560"/>
        <w:gridCol w:w="1701"/>
        <w:gridCol w:w="2876"/>
      </w:tblGrid>
      <w:tr w14:paraId="01596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tcPr>
          <w:p w14:paraId="513E80B2">
            <w:pPr>
              <w:snapToGrid w:val="0"/>
              <w:spacing w:beforeLines="50" w:after="100" w:line="240" w:lineRule="auto"/>
              <w:jc w:val="left"/>
              <w:rPr>
                <w:spacing w:val="-4"/>
                <w:sz w:val="21"/>
                <w:szCs w:val="21"/>
              </w:rPr>
            </w:pPr>
            <w:r>
              <w:rPr>
                <w:rFonts w:hint="eastAsia"/>
                <w:spacing w:val="-4"/>
                <w:sz w:val="21"/>
                <w:szCs w:val="21"/>
              </w:rPr>
              <w:t>类别</w:t>
            </w:r>
          </w:p>
        </w:tc>
        <w:tc>
          <w:tcPr>
            <w:tcW w:w="1447" w:type="dxa"/>
          </w:tcPr>
          <w:p w14:paraId="0288A9A7">
            <w:pPr>
              <w:snapToGrid w:val="0"/>
              <w:spacing w:beforeLines="50" w:after="100" w:line="240" w:lineRule="auto"/>
              <w:jc w:val="left"/>
              <w:rPr>
                <w:spacing w:val="-4"/>
                <w:sz w:val="21"/>
                <w:szCs w:val="21"/>
              </w:rPr>
            </w:pPr>
            <w:r>
              <w:rPr>
                <w:rFonts w:hint="eastAsia"/>
                <w:spacing w:val="-4"/>
                <w:sz w:val="21"/>
                <w:szCs w:val="21"/>
              </w:rPr>
              <w:t>类型</w:t>
            </w:r>
          </w:p>
        </w:tc>
        <w:tc>
          <w:tcPr>
            <w:tcW w:w="1560" w:type="dxa"/>
          </w:tcPr>
          <w:p w14:paraId="5824ED73">
            <w:pPr>
              <w:snapToGrid w:val="0"/>
              <w:spacing w:beforeLines="50" w:after="100" w:line="240" w:lineRule="auto"/>
              <w:jc w:val="left"/>
              <w:rPr>
                <w:spacing w:val="-4"/>
                <w:sz w:val="21"/>
                <w:szCs w:val="21"/>
              </w:rPr>
            </w:pPr>
            <w:r>
              <w:rPr>
                <w:rFonts w:hint="eastAsia"/>
                <w:spacing w:val="-4"/>
                <w:sz w:val="21"/>
                <w:szCs w:val="21"/>
              </w:rPr>
              <w:t>餐饮规模</w:t>
            </w:r>
          </w:p>
        </w:tc>
        <w:tc>
          <w:tcPr>
            <w:tcW w:w="1701" w:type="dxa"/>
          </w:tcPr>
          <w:p w14:paraId="00D6FC4D">
            <w:pPr>
              <w:snapToGrid w:val="0"/>
              <w:spacing w:beforeLines="50" w:after="100" w:line="240" w:lineRule="auto"/>
              <w:jc w:val="left"/>
              <w:rPr>
                <w:spacing w:val="-4"/>
                <w:sz w:val="21"/>
                <w:szCs w:val="21"/>
              </w:rPr>
            </w:pPr>
            <w:r>
              <w:rPr>
                <w:rFonts w:hint="eastAsia"/>
                <w:spacing w:val="-4"/>
                <w:sz w:val="21"/>
                <w:szCs w:val="21"/>
              </w:rPr>
              <w:t>工艺要求</w:t>
            </w:r>
          </w:p>
        </w:tc>
        <w:tc>
          <w:tcPr>
            <w:tcW w:w="2876" w:type="dxa"/>
          </w:tcPr>
          <w:p w14:paraId="63267CBB">
            <w:pPr>
              <w:snapToGrid w:val="0"/>
              <w:spacing w:beforeLines="50" w:after="100" w:line="240" w:lineRule="auto"/>
              <w:jc w:val="left"/>
              <w:rPr>
                <w:spacing w:val="-4"/>
                <w:sz w:val="21"/>
                <w:szCs w:val="21"/>
              </w:rPr>
            </w:pPr>
            <w:r>
              <w:rPr>
                <w:rFonts w:hint="eastAsia"/>
                <w:spacing w:val="-4"/>
                <w:sz w:val="21"/>
                <w:szCs w:val="21"/>
              </w:rPr>
              <w:t>技术路线</w:t>
            </w:r>
          </w:p>
        </w:tc>
      </w:tr>
      <w:tr w14:paraId="67092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restart"/>
          </w:tcPr>
          <w:p w14:paraId="03F98E00">
            <w:pPr>
              <w:snapToGrid w:val="0"/>
              <w:spacing w:beforeLines="50" w:after="100" w:line="240" w:lineRule="auto"/>
              <w:jc w:val="left"/>
              <w:rPr>
                <w:spacing w:val="-4"/>
                <w:sz w:val="21"/>
                <w:szCs w:val="21"/>
              </w:rPr>
            </w:pPr>
          </w:p>
          <w:p w14:paraId="0D71A7B5">
            <w:pPr>
              <w:snapToGrid w:val="0"/>
              <w:spacing w:beforeLines="50" w:after="100" w:line="240" w:lineRule="auto"/>
              <w:jc w:val="left"/>
              <w:rPr>
                <w:spacing w:val="-4"/>
                <w:sz w:val="21"/>
                <w:szCs w:val="21"/>
              </w:rPr>
            </w:pPr>
          </w:p>
          <w:p w14:paraId="1C2DF0C7">
            <w:pPr>
              <w:snapToGrid w:val="0"/>
              <w:spacing w:beforeLines="50" w:after="100" w:line="240" w:lineRule="auto"/>
              <w:jc w:val="left"/>
              <w:rPr>
                <w:spacing w:val="-4"/>
                <w:sz w:val="21"/>
                <w:szCs w:val="21"/>
              </w:rPr>
            </w:pPr>
            <w:r>
              <w:rPr>
                <w:rFonts w:hint="eastAsia"/>
                <w:spacing w:val="-4"/>
                <w:sz w:val="21"/>
                <w:szCs w:val="21"/>
              </w:rPr>
              <w:t>中餐</w:t>
            </w:r>
          </w:p>
        </w:tc>
        <w:tc>
          <w:tcPr>
            <w:tcW w:w="1447" w:type="dxa"/>
          </w:tcPr>
          <w:p w14:paraId="36F3C43B">
            <w:pPr>
              <w:snapToGrid w:val="0"/>
              <w:spacing w:beforeLines="50" w:after="100" w:line="240" w:lineRule="auto"/>
              <w:jc w:val="left"/>
              <w:rPr>
                <w:spacing w:val="-4"/>
                <w:sz w:val="21"/>
                <w:szCs w:val="21"/>
              </w:rPr>
            </w:pPr>
            <w:r>
              <w:rPr>
                <w:rFonts w:hint="eastAsia"/>
                <w:spacing w:val="-4"/>
                <w:sz w:val="21"/>
                <w:szCs w:val="21"/>
              </w:rPr>
              <w:t>大型餐馆，</w:t>
            </w:r>
          </w:p>
          <w:p w14:paraId="75F35686">
            <w:pPr>
              <w:snapToGrid w:val="0"/>
              <w:spacing w:beforeLines="50" w:after="100" w:line="240" w:lineRule="auto"/>
              <w:jc w:val="left"/>
              <w:rPr>
                <w:spacing w:val="-4"/>
                <w:sz w:val="21"/>
                <w:szCs w:val="21"/>
              </w:rPr>
            </w:pPr>
            <w:r>
              <w:rPr>
                <w:rFonts w:hint="eastAsia"/>
                <w:spacing w:val="-4"/>
                <w:sz w:val="21"/>
                <w:szCs w:val="21"/>
              </w:rPr>
              <w:t>大中型食堂</w:t>
            </w:r>
          </w:p>
          <w:p w14:paraId="6E6D9B76">
            <w:pPr>
              <w:snapToGrid w:val="0"/>
              <w:spacing w:beforeLines="50" w:after="100" w:line="240" w:lineRule="auto"/>
              <w:jc w:val="left"/>
              <w:rPr>
                <w:spacing w:val="-4"/>
                <w:sz w:val="21"/>
                <w:szCs w:val="21"/>
              </w:rPr>
            </w:pPr>
            <w:r>
              <w:rPr>
                <w:rFonts w:hint="eastAsia"/>
                <w:spacing w:val="-4"/>
                <w:sz w:val="21"/>
                <w:szCs w:val="21"/>
              </w:rPr>
              <w:t>川湘菜</w:t>
            </w:r>
          </w:p>
          <w:p w14:paraId="19710A00">
            <w:pPr>
              <w:snapToGrid w:val="0"/>
              <w:spacing w:beforeLines="50" w:after="100" w:line="240" w:lineRule="auto"/>
              <w:jc w:val="left"/>
              <w:rPr>
                <w:spacing w:val="-4"/>
                <w:sz w:val="21"/>
                <w:szCs w:val="21"/>
              </w:rPr>
            </w:pPr>
            <w:r>
              <w:rPr>
                <w:rFonts w:hint="eastAsia"/>
                <w:spacing w:val="-4"/>
                <w:sz w:val="21"/>
                <w:szCs w:val="21"/>
              </w:rPr>
              <w:t>烧烤</w:t>
            </w:r>
          </w:p>
          <w:p w14:paraId="54EAA9DF">
            <w:pPr>
              <w:snapToGrid w:val="0"/>
              <w:spacing w:beforeLines="50" w:after="100" w:line="240" w:lineRule="auto"/>
              <w:jc w:val="left"/>
              <w:rPr>
                <w:spacing w:val="-4"/>
                <w:sz w:val="21"/>
                <w:szCs w:val="21"/>
              </w:rPr>
            </w:pPr>
            <w:r>
              <w:rPr>
                <w:rFonts w:hint="eastAsia"/>
                <w:spacing w:val="-4"/>
                <w:sz w:val="21"/>
                <w:szCs w:val="21"/>
              </w:rPr>
              <w:t>环保投诉项目</w:t>
            </w:r>
          </w:p>
        </w:tc>
        <w:tc>
          <w:tcPr>
            <w:tcW w:w="1560" w:type="dxa"/>
          </w:tcPr>
          <w:p w14:paraId="333406AD">
            <w:pPr>
              <w:snapToGrid w:val="0"/>
              <w:spacing w:beforeLines="50" w:after="100" w:line="240" w:lineRule="auto"/>
              <w:jc w:val="left"/>
              <w:rPr>
                <w:spacing w:val="-4"/>
                <w:sz w:val="21"/>
                <w:szCs w:val="21"/>
              </w:rPr>
            </w:pPr>
            <w:r>
              <w:rPr>
                <w:rFonts w:hint="eastAsia"/>
                <w:spacing w:val="-4"/>
                <w:sz w:val="21"/>
                <w:szCs w:val="21"/>
              </w:rPr>
              <w:t>灶头数≥</w:t>
            </w:r>
            <w:r>
              <w:rPr>
                <w:spacing w:val="-4"/>
                <w:sz w:val="21"/>
                <w:szCs w:val="21"/>
              </w:rPr>
              <w:t>6</w:t>
            </w:r>
            <w:r>
              <w:rPr>
                <w:rFonts w:hint="eastAsia"/>
                <w:spacing w:val="-4"/>
                <w:sz w:val="21"/>
                <w:szCs w:val="21"/>
              </w:rPr>
              <w:t>个</w:t>
            </w:r>
          </w:p>
        </w:tc>
        <w:tc>
          <w:tcPr>
            <w:tcW w:w="1701" w:type="dxa"/>
          </w:tcPr>
          <w:p w14:paraId="3A969CDA">
            <w:pPr>
              <w:snapToGrid w:val="0"/>
              <w:spacing w:beforeLines="50" w:after="100" w:line="240" w:lineRule="auto"/>
              <w:jc w:val="left"/>
              <w:rPr>
                <w:spacing w:val="-4"/>
                <w:sz w:val="21"/>
                <w:szCs w:val="21"/>
              </w:rPr>
            </w:pPr>
            <w:r>
              <w:rPr>
                <w:rFonts w:hint="eastAsia"/>
                <w:spacing w:val="-4"/>
                <w:sz w:val="21"/>
                <w:szCs w:val="21"/>
              </w:rPr>
              <w:t>油烟高效捕集</w:t>
            </w:r>
            <w:r>
              <w:rPr>
                <w:spacing w:val="-4"/>
                <w:sz w:val="21"/>
                <w:szCs w:val="21"/>
              </w:rPr>
              <w:t>VOCs</w:t>
            </w:r>
            <w:r>
              <w:rPr>
                <w:rFonts w:hint="eastAsia"/>
                <w:spacing w:val="-4"/>
                <w:sz w:val="21"/>
                <w:szCs w:val="21"/>
              </w:rPr>
              <w:t>同步去除</w:t>
            </w:r>
          </w:p>
          <w:p w14:paraId="314068DD">
            <w:pPr>
              <w:snapToGrid w:val="0"/>
              <w:spacing w:beforeLines="50" w:after="100" w:line="240" w:lineRule="auto"/>
              <w:jc w:val="left"/>
              <w:rPr>
                <w:spacing w:val="-4"/>
                <w:sz w:val="21"/>
                <w:szCs w:val="21"/>
              </w:rPr>
            </w:pPr>
            <w:r>
              <w:rPr>
                <w:rFonts w:hint="eastAsia"/>
                <w:spacing w:val="-4"/>
                <w:sz w:val="21"/>
                <w:szCs w:val="21"/>
              </w:rPr>
              <w:t>在线监控</w:t>
            </w:r>
          </w:p>
        </w:tc>
        <w:tc>
          <w:tcPr>
            <w:tcW w:w="2876" w:type="dxa"/>
          </w:tcPr>
          <w:p w14:paraId="0BCE2706">
            <w:pPr>
              <w:pStyle w:val="32"/>
              <w:numPr>
                <w:ilvl w:val="0"/>
                <w:numId w:val="4"/>
                <w:numberingChange w:id="37"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活性炭吸附</w:t>
            </w:r>
          </w:p>
          <w:p w14:paraId="2CC5E2FC">
            <w:pPr>
              <w:pStyle w:val="32"/>
              <w:numPr>
                <w:ilvl w:val="0"/>
                <w:numId w:val="4"/>
                <w:numberingChange w:id="38"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化学洗涤</w:t>
            </w:r>
          </w:p>
          <w:p w14:paraId="05F6C3C3">
            <w:pPr>
              <w:pStyle w:val="32"/>
              <w:numPr>
                <w:ilvl w:val="0"/>
                <w:numId w:val="4"/>
                <w:numberingChange w:id="39"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湿式</w:t>
            </w:r>
            <w:r>
              <w:rPr>
                <w:spacing w:val="-4"/>
                <w:sz w:val="21"/>
                <w:szCs w:val="21"/>
              </w:rPr>
              <w:t>+</w:t>
            </w:r>
            <w:r>
              <w:rPr>
                <w:rFonts w:hint="eastAsia"/>
                <w:spacing w:val="-4"/>
                <w:sz w:val="21"/>
                <w:szCs w:val="21"/>
              </w:rPr>
              <w:t>化学洗涤</w:t>
            </w:r>
          </w:p>
        </w:tc>
      </w:tr>
      <w:tr w14:paraId="27D4D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continue"/>
          </w:tcPr>
          <w:p w14:paraId="48336E3C">
            <w:pPr>
              <w:snapToGrid w:val="0"/>
              <w:spacing w:beforeLines="50" w:after="100" w:line="240" w:lineRule="auto"/>
              <w:jc w:val="left"/>
              <w:rPr>
                <w:spacing w:val="-4"/>
                <w:sz w:val="21"/>
                <w:szCs w:val="21"/>
              </w:rPr>
            </w:pPr>
          </w:p>
        </w:tc>
        <w:tc>
          <w:tcPr>
            <w:tcW w:w="1447" w:type="dxa"/>
          </w:tcPr>
          <w:p w14:paraId="3783E69B">
            <w:pPr>
              <w:snapToGrid w:val="0"/>
              <w:spacing w:beforeLines="50" w:after="100" w:line="240" w:lineRule="auto"/>
              <w:jc w:val="left"/>
              <w:rPr>
                <w:spacing w:val="-4"/>
                <w:sz w:val="21"/>
                <w:szCs w:val="21"/>
              </w:rPr>
            </w:pPr>
            <w:r>
              <w:rPr>
                <w:rFonts w:hint="eastAsia"/>
                <w:spacing w:val="-4"/>
                <w:sz w:val="21"/>
                <w:szCs w:val="21"/>
              </w:rPr>
              <w:t>中型餐馆、小型食堂</w:t>
            </w:r>
          </w:p>
        </w:tc>
        <w:tc>
          <w:tcPr>
            <w:tcW w:w="1560" w:type="dxa"/>
          </w:tcPr>
          <w:p w14:paraId="71597DED">
            <w:pPr>
              <w:snapToGrid w:val="0"/>
              <w:spacing w:beforeLines="50" w:after="100" w:line="240" w:lineRule="auto"/>
              <w:jc w:val="left"/>
              <w:rPr>
                <w:spacing w:val="-4"/>
                <w:sz w:val="21"/>
                <w:szCs w:val="21"/>
              </w:rPr>
            </w:pPr>
            <w:r>
              <w:rPr>
                <w:rFonts w:hint="eastAsia"/>
                <w:spacing w:val="-4"/>
                <w:sz w:val="21"/>
                <w:szCs w:val="21"/>
              </w:rPr>
              <w:t>灶头数</w:t>
            </w:r>
            <w:r>
              <w:rPr>
                <w:spacing w:val="-4"/>
                <w:sz w:val="21"/>
                <w:szCs w:val="21"/>
              </w:rPr>
              <w:t>3-5</w:t>
            </w:r>
            <w:r>
              <w:rPr>
                <w:rFonts w:hint="eastAsia"/>
                <w:spacing w:val="-4"/>
                <w:sz w:val="21"/>
                <w:szCs w:val="21"/>
              </w:rPr>
              <w:t>个</w:t>
            </w:r>
          </w:p>
        </w:tc>
        <w:tc>
          <w:tcPr>
            <w:tcW w:w="1701" w:type="dxa"/>
          </w:tcPr>
          <w:p w14:paraId="2237D9E1">
            <w:pPr>
              <w:snapToGrid w:val="0"/>
              <w:spacing w:beforeLines="50" w:after="100" w:line="240" w:lineRule="auto"/>
              <w:jc w:val="left"/>
              <w:rPr>
                <w:spacing w:val="-4"/>
                <w:sz w:val="21"/>
                <w:szCs w:val="21"/>
              </w:rPr>
            </w:pPr>
            <w:r>
              <w:rPr>
                <w:rFonts w:hint="eastAsia"/>
                <w:spacing w:val="-4"/>
                <w:sz w:val="21"/>
                <w:szCs w:val="21"/>
              </w:rPr>
              <w:t>油烟高效捕集</w:t>
            </w:r>
          </w:p>
          <w:p w14:paraId="3FF95DBE">
            <w:pPr>
              <w:snapToGrid w:val="0"/>
              <w:spacing w:beforeLines="50" w:after="100" w:line="240" w:lineRule="auto"/>
              <w:jc w:val="left"/>
              <w:rPr>
                <w:spacing w:val="-4"/>
                <w:sz w:val="21"/>
                <w:szCs w:val="21"/>
              </w:rPr>
            </w:pPr>
            <w:r>
              <w:rPr>
                <w:spacing w:val="-4"/>
                <w:sz w:val="21"/>
                <w:szCs w:val="21"/>
              </w:rPr>
              <w:t>VOCs</w:t>
            </w:r>
            <w:r>
              <w:rPr>
                <w:rFonts w:hint="eastAsia"/>
                <w:spacing w:val="-4"/>
                <w:sz w:val="21"/>
                <w:szCs w:val="21"/>
              </w:rPr>
              <w:t>同步去除</w:t>
            </w:r>
          </w:p>
          <w:p w14:paraId="4250EC44">
            <w:pPr>
              <w:snapToGrid w:val="0"/>
              <w:spacing w:beforeLines="50" w:after="100" w:line="240" w:lineRule="auto"/>
              <w:jc w:val="left"/>
              <w:rPr>
                <w:spacing w:val="-4"/>
                <w:sz w:val="21"/>
                <w:szCs w:val="21"/>
              </w:rPr>
            </w:pPr>
            <w:r>
              <w:rPr>
                <w:rFonts w:hint="eastAsia"/>
                <w:spacing w:val="-4"/>
                <w:sz w:val="21"/>
                <w:szCs w:val="21"/>
              </w:rPr>
              <w:t>在线监控</w:t>
            </w:r>
          </w:p>
        </w:tc>
        <w:tc>
          <w:tcPr>
            <w:tcW w:w="2876" w:type="dxa"/>
          </w:tcPr>
          <w:p w14:paraId="3A7C09FA">
            <w:pPr>
              <w:pStyle w:val="32"/>
              <w:numPr>
                <w:ilvl w:val="0"/>
                <w:numId w:val="4"/>
                <w:numberingChange w:id="40"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活性炭吸附</w:t>
            </w:r>
          </w:p>
          <w:p w14:paraId="2A6E45A2">
            <w:pPr>
              <w:pStyle w:val="32"/>
              <w:numPr>
                <w:ilvl w:val="0"/>
                <w:numId w:val="4"/>
                <w:numberingChange w:id="41"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化学洗涤</w:t>
            </w:r>
          </w:p>
        </w:tc>
      </w:tr>
      <w:tr w14:paraId="3D59F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continue"/>
          </w:tcPr>
          <w:p w14:paraId="33A6B3C2">
            <w:pPr>
              <w:snapToGrid w:val="0"/>
              <w:spacing w:beforeLines="50" w:after="100" w:line="240" w:lineRule="auto"/>
              <w:jc w:val="left"/>
              <w:rPr>
                <w:spacing w:val="-4"/>
                <w:sz w:val="21"/>
                <w:szCs w:val="21"/>
              </w:rPr>
            </w:pPr>
          </w:p>
        </w:tc>
        <w:tc>
          <w:tcPr>
            <w:tcW w:w="1447" w:type="dxa"/>
          </w:tcPr>
          <w:p w14:paraId="7CB92D2B">
            <w:pPr>
              <w:snapToGrid w:val="0"/>
              <w:spacing w:beforeLines="50" w:after="100" w:line="240" w:lineRule="auto"/>
              <w:jc w:val="left"/>
              <w:rPr>
                <w:spacing w:val="-4"/>
                <w:sz w:val="21"/>
                <w:szCs w:val="21"/>
              </w:rPr>
            </w:pPr>
            <w:r>
              <w:rPr>
                <w:rFonts w:hint="eastAsia"/>
                <w:spacing w:val="-4"/>
                <w:sz w:val="21"/>
                <w:szCs w:val="21"/>
              </w:rPr>
              <w:t>小型餐馆、快餐店、小吃店</w:t>
            </w:r>
          </w:p>
        </w:tc>
        <w:tc>
          <w:tcPr>
            <w:tcW w:w="1560" w:type="dxa"/>
          </w:tcPr>
          <w:p w14:paraId="54FBEC76">
            <w:pPr>
              <w:snapToGrid w:val="0"/>
              <w:spacing w:beforeLines="50" w:after="100" w:line="240" w:lineRule="auto"/>
              <w:jc w:val="left"/>
              <w:rPr>
                <w:spacing w:val="-4"/>
                <w:sz w:val="21"/>
                <w:szCs w:val="21"/>
              </w:rPr>
            </w:pPr>
            <w:r>
              <w:rPr>
                <w:rFonts w:hint="eastAsia"/>
                <w:spacing w:val="-4"/>
                <w:sz w:val="21"/>
                <w:szCs w:val="21"/>
              </w:rPr>
              <w:t>灶头数</w:t>
            </w:r>
            <w:r>
              <w:rPr>
                <w:spacing w:val="-4"/>
                <w:sz w:val="21"/>
                <w:szCs w:val="21"/>
              </w:rPr>
              <w:t>1-2</w:t>
            </w:r>
            <w:r>
              <w:rPr>
                <w:rFonts w:hint="eastAsia"/>
                <w:spacing w:val="-4"/>
                <w:sz w:val="21"/>
                <w:szCs w:val="21"/>
              </w:rPr>
              <w:t>个</w:t>
            </w:r>
          </w:p>
        </w:tc>
        <w:tc>
          <w:tcPr>
            <w:tcW w:w="1701" w:type="dxa"/>
          </w:tcPr>
          <w:p w14:paraId="5E33BAE3">
            <w:pPr>
              <w:snapToGrid w:val="0"/>
              <w:spacing w:beforeLines="50" w:after="100" w:line="240" w:lineRule="auto"/>
              <w:jc w:val="left"/>
              <w:rPr>
                <w:spacing w:val="-4"/>
                <w:sz w:val="21"/>
                <w:szCs w:val="21"/>
              </w:rPr>
            </w:pPr>
            <w:r>
              <w:rPr>
                <w:rFonts w:hint="eastAsia"/>
                <w:spacing w:val="-4"/>
                <w:sz w:val="21"/>
                <w:szCs w:val="21"/>
              </w:rPr>
              <w:t>油烟捕集</w:t>
            </w:r>
          </w:p>
          <w:p w14:paraId="5DF723AF">
            <w:pPr>
              <w:snapToGrid w:val="0"/>
              <w:spacing w:beforeLines="50" w:after="100" w:line="240" w:lineRule="auto"/>
              <w:jc w:val="left"/>
              <w:rPr>
                <w:spacing w:val="-4"/>
                <w:sz w:val="21"/>
                <w:szCs w:val="21"/>
              </w:rPr>
            </w:pPr>
          </w:p>
        </w:tc>
        <w:tc>
          <w:tcPr>
            <w:tcW w:w="2876" w:type="dxa"/>
          </w:tcPr>
          <w:p w14:paraId="25A131C7">
            <w:pPr>
              <w:pStyle w:val="32"/>
              <w:numPr>
                <w:ilvl w:val="0"/>
                <w:numId w:val="4"/>
                <w:numberingChange w:id="42"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p>
          <w:p w14:paraId="36D3E2E5">
            <w:pPr>
              <w:pStyle w:val="32"/>
              <w:numPr>
                <w:ilvl w:val="0"/>
                <w:numId w:val="4"/>
                <w:numberingChange w:id="43"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机械式</w:t>
            </w:r>
          </w:p>
          <w:p w14:paraId="584B9662">
            <w:pPr>
              <w:pStyle w:val="32"/>
              <w:numPr>
                <w:ilvl w:val="0"/>
                <w:numId w:val="4"/>
                <w:numberingChange w:id="44"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湿式</w:t>
            </w:r>
          </w:p>
        </w:tc>
      </w:tr>
      <w:tr w14:paraId="3C6D7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restart"/>
          </w:tcPr>
          <w:p w14:paraId="7ED1A7D7">
            <w:pPr>
              <w:snapToGrid w:val="0"/>
              <w:spacing w:beforeLines="50" w:after="100" w:line="240" w:lineRule="auto"/>
              <w:jc w:val="left"/>
              <w:rPr>
                <w:spacing w:val="-4"/>
                <w:sz w:val="21"/>
                <w:szCs w:val="21"/>
              </w:rPr>
            </w:pPr>
            <w:r>
              <w:rPr>
                <w:rFonts w:hint="eastAsia"/>
                <w:spacing w:val="-4"/>
                <w:sz w:val="21"/>
                <w:szCs w:val="21"/>
              </w:rPr>
              <w:t>西餐</w:t>
            </w:r>
          </w:p>
          <w:p w14:paraId="1AA280EA">
            <w:pPr>
              <w:snapToGrid w:val="0"/>
              <w:spacing w:beforeLines="50" w:after="100" w:line="240" w:lineRule="auto"/>
              <w:jc w:val="left"/>
              <w:rPr>
                <w:spacing w:val="-4"/>
                <w:sz w:val="21"/>
                <w:szCs w:val="21"/>
              </w:rPr>
            </w:pPr>
          </w:p>
        </w:tc>
        <w:tc>
          <w:tcPr>
            <w:tcW w:w="1447" w:type="dxa"/>
          </w:tcPr>
          <w:p w14:paraId="0AC57108">
            <w:pPr>
              <w:snapToGrid w:val="0"/>
              <w:spacing w:beforeLines="50" w:after="100" w:line="240" w:lineRule="auto"/>
              <w:jc w:val="left"/>
              <w:rPr>
                <w:spacing w:val="-4"/>
                <w:sz w:val="21"/>
                <w:szCs w:val="21"/>
              </w:rPr>
            </w:pPr>
            <w:r>
              <w:rPr>
                <w:rFonts w:hint="eastAsia"/>
                <w:spacing w:val="-4"/>
                <w:sz w:val="21"/>
                <w:szCs w:val="21"/>
              </w:rPr>
              <w:t>大型西餐厅、快餐连锁</w:t>
            </w:r>
          </w:p>
          <w:p w14:paraId="7B74978F">
            <w:pPr>
              <w:snapToGrid w:val="0"/>
              <w:spacing w:beforeLines="50" w:after="100" w:line="240" w:lineRule="auto"/>
              <w:jc w:val="left"/>
              <w:rPr>
                <w:spacing w:val="-4"/>
                <w:sz w:val="21"/>
                <w:szCs w:val="21"/>
              </w:rPr>
            </w:pPr>
            <w:r>
              <w:rPr>
                <w:rFonts w:hint="eastAsia"/>
                <w:spacing w:val="-4"/>
                <w:sz w:val="21"/>
                <w:szCs w:val="21"/>
              </w:rPr>
              <w:t>烧烤</w:t>
            </w:r>
          </w:p>
          <w:p w14:paraId="18A6AE91">
            <w:pPr>
              <w:snapToGrid w:val="0"/>
              <w:spacing w:beforeLines="50" w:after="100" w:line="240" w:lineRule="auto"/>
              <w:jc w:val="left"/>
              <w:rPr>
                <w:spacing w:val="-4"/>
                <w:sz w:val="21"/>
                <w:szCs w:val="21"/>
              </w:rPr>
            </w:pPr>
            <w:r>
              <w:rPr>
                <w:rFonts w:hint="eastAsia"/>
                <w:spacing w:val="-4"/>
                <w:sz w:val="21"/>
                <w:szCs w:val="21"/>
              </w:rPr>
              <w:t>环保投诉项目</w:t>
            </w:r>
          </w:p>
        </w:tc>
        <w:tc>
          <w:tcPr>
            <w:tcW w:w="1560" w:type="dxa"/>
          </w:tcPr>
          <w:p w14:paraId="1CB24B75">
            <w:pPr>
              <w:snapToGrid w:val="0"/>
              <w:spacing w:beforeLines="50" w:after="100" w:line="240" w:lineRule="auto"/>
              <w:jc w:val="left"/>
              <w:rPr>
                <w:spacing w:val="-4"/>
                <w:sz w:val="21"/>
                <w:szCs w:val="21"/>
              </w:rPr>
            </w:pPr>
            <w:r>
              <w:rPr>
                <w:rFonts w:hint="eastAsia"/>
                <w:spacing w:val="-4"/>
                <w:sz w:val="21"/>
                <w:szCs w:val="21"/>
              </w:rPr>
              <w:t>建筑面积≥</w:t>
            </w:r>
            <w:r>
              <w:rPr>
                <w:spacing w:val="-4"/>
                <w:sz w:val="21"/>
                <w:szCs w:val="21"/>
              </w:rPr>
              <w:t>600</w:t>
            </w:r>
            <w:r>
              <w:rPr>
                <w:rFonts w:hint="eastAsia"/>
                <w:spacing w:val="-4"/>
                <w:sz w:val="21"/>
                <w:szCs w:val="21"/>
              </w:rPr>
              <w:t>平方米</w:t>
            </w:r>
          </w:p>
        </w:tc>
        <w:tc>
          <w:tcPr>
            <w:tcW w:w="1701" w:type="dxa"/>
          </w:tcPr>
          <w:p w14:paraId="69E04935">
            <w:pPr>
              <w:snapToGrid w:val="0"/>
              <w:spacing w:beforeLines="50" w:after="100" w:line="240" w:lineRule="auto"/>
              <w:jc w:val="left"/>
              <w:rPr>
                <w:spacing w:val="-4"/>
                <w:sz w:val="21"/>
                <w:szCs w:val="21"/>
              </w:rPr>
            </w:pPr>
            <w:r>
              <w:rPr>
                <w:rFonts w:hint="eastAsia"/>
                <w:spacing w:val="-4"/>
                <w:sz w:val="21"/>
                <w:szCs w:val="21"/>
              </w:rPr>
              <w:t>油烟高效捕集</w:t>
            </w:r>
          </w:p>
          <w:p w14:paraId="7A1EC3DB">
            <w:pPr>
              <w:snapToGrid w:val="0"/>
              <w:spacing w:beforeLines="50" w:after="100" w:line="240" w:lineRule="auto"/>
              <w:jc w:val="left"/>
              <w:rPr>
                <w:spacing w:val="-4"/>
                <w:sz w:val="21"/>
                <w:szCs w:val="21"/>
              </w:rPr>
            </w:pPr>
            <w:r>
              <w:rPr>
                <w:spacing w:val="-4"/>
                <w:sz w:val="21"/>
                <w:szCs w:val="21"/>
              </w:rPr>
              <w:t>VOCs</w:t>
            </w:r>
            <w:r>
              <w:rPr>
                <w:rFonts w:hint="eastAsia"/>
                <w:spacing w:val="-4"/>
                <w:sz w:val="21"/>
                <w:szCs w:val="21"/>
              </w:rPr>
              <w:t>同步去除</w:t>
            </w:r>
          </w:p>
          <w:p w14:paraId="08A03B6E">
            <w:pPr>
              <w:snapToGrid w:val="0"/>
              <w:spacing w:beforeLines="50" w:after="100" w:line="240" w:lineRule="auto"/>
              <w:jc w:val="left"/>
              <w:rPr>
                <w:spacing w:val="-4"/>
                <w:sz w:val="21"/>
                <w:szCs w:val="21"/>
              </w:rPr>
            </w:pPr>
            <w:r>
              <w:rPr>
                <w:rFonts w:hint="eastAsia"/>
                <w:spacing w:val="-4"/>
                <w:sz w:val="21"/>
                <w:szCs w:val="21"/>
              </w:rPr>
              <w:t>在线监控</w:t>
            </w:r>
          </w:p>
        </w:tc>
        <w:tc>
          <w:tcPr>
            <w:tcW w:w="2876" w:type="dxa"/>
          </w:tcPr>
          <w:p w14:paraId="3D577BDA">
            <w:pPr>
              <w:pStyle w:val="32"/>
              <w:numPr>
                <w:ilvl w:val="0"/>
                <w:numId w:val="4"/>
                <w:numberingChange w:id="45"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活性炭吸附</w:t>
            </w:r>
          </w:p>
          <w:p w14:paraId="29BD06FF">
            <w:pPr>
              <w:pStyle w:val="32"/>
              <w:numPr>
                <w:ilvl w:val="0"/>
                <w:numId w:val="4"/>
                <w:numberingChange w:id="46"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旋转网式</w:t>
            </w:r>
            <w:r>
              <w:rPr>
                <w:spacing w:val="-4"/>
                <w:sz w:val="21"/>
                <w:szCs w:val="21"/>
              </w:rPr>
              <w:t>+</w:t>
            </w:r>
            <w:r>
              <w:rPr>
                <w:rFonts w:hint="eastAsia"/>
                <w:spacing w:val="-4"/>
                <w:sz w:val="21"/>
                <w:szCs w:val="21"/>
              </w:rPr>
              <w:t>高效静电</w:t>
            </w:r>
            <w:r>
              <w:rPr>
                <w:spacing w:val="-4"/>
                <w:sz w:val="21"/>
                <w:szCs w:val="21"/>
              </w:rPr>
              <w:t>+</w:t>
            </w:r>
            <w:r>
              <w:rPr>
                <w:rFonts w:hint="eastAsia"/>
                <w:spacing w:val="-4"/>
                <w:sz w:val="21"/>
                <w:szCs w:val="21"/>
              </w:rPr>
              <w:t>化学洗涤</w:t>
            </w:r>
          </w:p>
          <w:p w14:paraId="2DF239A9">
            <w:pPr>
              <w:pStyle w:val="32"/>
              <w:numPr>
                <w:ilvl w:val="0"/>
                <w:numId w:val="4"/>
                <w:numberingChange w:id="47"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湿式</w:t>
            </w:r>
            <w:r>
              <w:rPr>
                <w:spacing w:val="-4"/>
                <w:sz w:val="21"/>
                <w:szCs w:val="21"/>
              </w:rPr>
              <w:t>+</w:t>
            </w:r>
            <w:r>
              <w:rPr>
                <w:rFonts w:hint="eastAsia"/>
                <w:spacing w:val="-4"/>
                <w:sz w:val="21"/>
                <w:szCs w:val="21"/>
              </w:rPr>
              <w:t>化学洗涤</w:t>
            </w:r>
          </w:p>
        </w:tc>
      </w:tr>
      <w:tr w14:paraId="1BC35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1" w:type="dxa"/>
            <w:vMerge w:val="continue"/>
          </w:tcPr>
          <w:p w14:paraId="740B06C7">
            <w:pPr>
              <w:snapToGrid w:val="0"/>
              <w:spacing w:beforeLines="50" w:after="100" w:line="240" w:lineRule="auto"/>
              <w:jc w:val="left"/>
              <w:rPr>
                <w:spacing w:val="-4"/>
                <w:sz w:val="21"/>
                <w:szCs w:val="21"/>
              </w:rPr>
            </w:pPr>
          </w:p>
        </w:tc>
        <w:tc>
          <w:tcPr>
            <w:tcW w:w="1447" w:type="dxa"/>
          </w:tcPr>
          <w:p w14:paraId="40AE3220">
            <w:pPr>
              <w:snapToGrid w:val="0"/>
              <w:spacing w:beforeLines="50" w:after="100" w:line="240" w:lineRule="auto"/>
              <w:jc w:val="left"/>
              <w:rPr>
                <w:spacing w:val="-4"/>
                <w:sz w:val="21"/>
                <w:szCs w:val="21"/>
              </w:rPr>
            </w:pPr>
            <w:r>
              <w:rPr>
                <w:rFonts w:hint="eastAsia"/>
                <w:spacing w:val="-4"/>
                <w:sz w:val="21"/>
                <w:szCs w:val="21"/>
              </w:rPr>
              <w:t>中小型西餐厅、快餐连锁</w:t>
            </w:r>
          </w:p>
        </w:tc>
        <w:tc>
          <w:tcPr>
            <w:tcW w:w="1560" w:type="dxa"/>
          </w:tcPr>
          <w:p w14:paraId="3A544449">
            <w:pPr>
              <w:snapToGrid w:val="0"/>
              <w:spacing w:beforeLines="50" w:after="100" w:line="240" w:lineRule="auto"/>
              <w:jc w:val="left"/>
              <w:rPr>
                <w:spacing w:val="-4"/>
                <w:sz w:val="21"/>
                <w:szCs w:val="21"/>
              </w:rPr>
            </w:pPr>
            <w:r>
              <w:rPr>
                <w:rFonts w:hint="eastAsia"/>
                <w:spacing w:val="-4"/>
                <w:sz w:val="21"/>
                <w:szCs w:val="21"/>
              </w:rPr>
              <w:t>建筑面积</w:t>
            </w:r>
            <w:r>
              <w:rPr>
                <w:spacing w:val="-4"/>
                <w:sz w:val="21"/>
                <w:szCs w:val="21"/>
              </w:rPr>
              <w:t>&lt;600</w:t>
            </w:r>
            <w:r>
              <w:rPr>
                <w:rFonts w:hint="eastAsia"/>
                <w:spacing w:val="-4"/>
                <w:sz w:val="21"/>
                <w:szCs w:val="21"/>
              </w:rPr>
              <w:t>平方米</w:t>
            </w:r>
          </w:p>
        </w:tc>
        <w:tc>
          <w:tcPr>
            <w:tcW w:w="1701" w:type="dxa"/>
          </w:tcPr>
          <w:p w14:paraId="12EC5D41">
            <w:pPr>
              <w:snapToGrid w:val="0"/>
              <w:spacing w:beforeLines="50" w:after="100" w:line="240" w:lineRule="auto"/>
              <w:jc w:val="left"/>
              <w:rPr>
                <w:spacing w:val="-4"/>
                <w:sz w:val="21"/>
                <w:szCs w:val="21"/>
              </w:rPr>
            </w:pPr>
          </w:p>
        </w:tc>
        <w:tc>
          <w:tcPr>
            <w:tcW w:w="2876" w:type="dxa"/>
          </w:tcPr>
          <w:p w14:paraId="476AEA89">
            <w:pPr>
              <w:pStyle w:val="32"/>
              <w:numPr>
                <w:ilvl w:val="0"/>
                <w:numId w:val="4"/>
                <w:numberingChange w:id="48"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活性炭吸附</w:t>
            </w:r>
          </w:p>
          <w:p w14:paraId="2D06D221">
            <w:pPr>
              <w:pStyle w:val="32"/>
              <w:numPr>
                <w:ilvl w:val="0"/>
                <w:numId w:val="4"/>
                <w:numberingChange w:id="49" w:author="刘海英" w:date="2017-09-08T15:13:00Z" w:original=""/>
              </w:numPr>
              <w:snapToGrid w:val="0"/>
              <w:spacing w:beforeLines="50" w:after="100" w:line="240" w:lineRule="auto"/>
              <w:ind w:firstLineChars="0"/>
              <w:jc w:val="left"/>
              <w:rPr>
                <w:spacing w:val="-4"/>
                <w:sz w:val="21"/>
                <w:szCs w:val="21"/>
              </w:rPr>
            </w:pPr>
            <w:r>
              <w:rPr>
                <w:rFonts w:hint="eastAsia"/>
                <w:spacing w:val="-4"/>
                <w:sz w:val="21"/>
                <w:szCs w:val="21"/>
              </w:rPr>
              <w:t>高效静电</w:t>
            </w:r>
            <w:r>
              <w:rPr>
                <w:spacing w:val="-4"/>
                <w:sz w:val="21"/>
                <w:szCs w:val="21"/>
              </w:rPr>
              <w:t>+</w:t>
            </w:r>
            <w:r>
              <w:rPr>
                <w:rFonts w:hint="eastAsia"/>
                <w:spacing w:val="-4"/>
                <w:sz w:val="21"/>
                <w:szCs w:val="21"/>
              </w:rPr>
              <w:t>化学洗涤</w:t>
            </w:r>
          </w:p>
        </w:tc>
      </w:tr>
    </w:tbl>
    <w:p w14:paraId="47036839">
      <w:pPr>
        <w:ind w:firstLine="420"/>
      </w:pPr>
    </w:p>
    <w:sectPr>
      <w:footerReference r:id="rId5" w:type="default"/>
      <w:pgSz w:w="11906" w:h="16838"/>
      <w:pgMar w:top="1440" w:right="1800" w:bottom="1440" w:left="1800" w:header="851" w:footer="992" w:gutter="0"/>
      <w:pgNumType w:fmt="numberInDash" w:start="1"/>
      <w:cols w:space="425" w:num="1"/>
      <w:titlePg/>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94115">
    <w:pPr>
      <w:pStyle w:val="13"/>
      <w:jc w:val="center"/>
    </w:pPr>
    <w:r>
      <w:fldChar w:fldCharType="begin"/>
    </w:r>
    <w:r>
      <w:instrText xml:space="preserve"> PAGE   \* MERGEFORMAT </w:instrText>
    </w:r>
    <w:r>
      <w:fldChar w:fldCharType="separate"/>
    </w:r>
    <w:r>
      <w:rPr>
        <w:lang w:val="zh-CN"/>
      </w:rPr>
      <w:t>-</w:t>
    </w:r>
    <w:r>
      <w:t xml:space="preserve"> 2 -</w:t>
    </w:r>
    <w:r>
      <w:fldChar w:fldCharType="end"/>
    </w:r>
  </w:p>
  <w:p w14:paraId="79403911">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CC0063"/>
    <w:multiLevelType w:val="multilevel"/>
    <w:tmpl w:val="0DCC0063"/>
    <w:lvl w:ilvl="0" w:tentative="0">
      <w:start w:val="1"/>
      <w:numFmt w:val="decimal"/>
      <w:lvlText w:val="（%1）"/>
      <w:lvlJc w:val="left"/>
      <w:pPr>
        <w:ind w:left="1200" w:hanging="72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1">
    <w:nsid w:val="1FC91163"/>
    <w:multiLevelType w:val="multilevel"/>
    <w:tmpl w:val="1FC91163"/>
    <w:lvl w:ilvl="0" w:tentative="0">
      <w:start w:val="1"/>
      <w:numFmt w:val="decimal"/>
      <w:pStyle w:val="45"/>
      <w:suff w:val="nothing"/>
      <w:lvlText w:val="%1　"/>
      <w:lvlJc w:val="left"/>
      <w:rPr>
        <w:rFonts w:hint="eastAsia" w:ascii="黑体" w:hAnsi="Times New Roman" w:eastAsia="黑体" w:cs="Times New Roman"/>
        <w:b w:val="0"/>
        <w:i w:val="0"/>
        <w:sz w:val="21"/>
        <w:szCs w:val="21"/>
      </w:rPr>
    </w:lvl>
    <w:lvl w:ilvl="1" w:tentative="0">
      <w:start w:val="1"/>
      <w:numFmt w:val="decimal"/>
      <w:pStyle w:val="44"/>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6"/>
      <w:suff w:val="nothing"/>
      <w:lvlText w:val="%1.%2.%3　"/>
      <w:lvlJc w:val="left"/>
      <w:rPr>
        <w:rFonts w:hint="eastAsia" w:ascii="黑体" w:hAnsi="Times New Roman" w:eastAsia="黑体" w:cs="Times New Roman"/>
        <w:b w:val="0"/>
        <w:i w:val="0"/>
        <w:sz w:val="21"/>
      </w:rPr>
    </w:lvl>
    <w:lvl w:ilvl="3" w:tentative="0">
      <w:start w:val="1"/>
      <w:numFmt w:val="decimal"/>
      <w:pStyle w:val="47"/>
      <w:suff w:val="nothing"/>
      <w:lvlText w:val="%1.%2.%3.%4　"/>
      <w:lvlJc w:val="left"/>
      <w:rPr>
        <w:rFonts w:hint="eastAsia" w:ascii="黑体" w:hAnsi="Times New Roman" w:eastAsia="黑体" w:cs="Times New Roman"/>
        <w:b w:val="0"/>
        <w:i w:val="0"/>
        <w:sz w:val="21"/>
      </w:rPr>
    </w:lvl>
    <w:lvl w:ilvl="4" w:tentative="0">
      <w:start w:val="1"/>
      <w:numFmt w:val="decimal"/>
      <w:pStyle w:val="48"/>
      <w:suff w:val="nothing"/>
      <w:lvlText w:val="%1.%2.%3.%4.%5　"/>
      <w:lvlJc w:val="left"/>
      <w:rPr>
        <w:rFonts w:hint="eastAsia" w:ascii="黑体" w:hAnsi="Times New Roman" w:eastAsia="黑体" w:cs="Times New Roman"/>
        <w:b w:val="0"/>
        <w:i w:val="0"/>
        <w:sz w:val="21"/>
      </w:rPr>
    </w:lvl>
    <w:lvl w:ilvl="5" w:tentative="0">
      <w:start w:val="1"/>
      <w:numFmt w:val="decimal"/>
      <w:pStyle w:val="49"/>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519C0839"/>
    <w:multiLevelType w:val="multilevel"/>
    <w:tmpl w:val="519C08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710096"/>
    <w:multiLevelType w:val="multilevel"/>
    <w:tmpl w:val="52710096"/>
    <w:lvl w:ilvl="0" w:tentative="0">
      <w:start w:val="1"/>
      <w:numFmt w:val="decimal"/>
      <w:pStyle w:val="2"/>
      <w:lvlText w:val="%1"/>
      <w:lvlJc w:val="left"/>
      <w:pPr>
        <w:tabs>
          <w:tab w:val="left" w:pos="432"/>
        </w:tabs>
        <w:ind w:left="432" w:hanging="432"/>
      </w:pPr>
      <w:rPr>
        <w:rFonts w:hint="eastAsia" w:cs="Times New Roman"/>
      </w:rPr>
    </w:lvl>
    <w:lvl w:ilvl="1" w:tentative="0">
      <w:start w:val="1"/>
      <w:numFmt w:val="decimal"/>
      <w:pStyle w:val="3"/>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pStyle w:val="5"/>
      <w:lvlText w:val="%1.%2.%3.%4"/>
      <w:lvlJc w:val="left"/>
      <w:pPr>
        <w:tabs>
          <w:tab w:val="left" w:pos="864"/>
        </w:tabs>
        <w:ind w:left="864" w:hanging="864"/>
      </w:pPr>
      <w:rPr>
        <w:rFonts w:hint="eastAsia" w:cs="Times New Roman"/>
      </w:rPr>
    </w:lvl>
    <w:lvl w:ilvl="4" w:tentative="0">
      <w:start w:val="1"/>
      <w:numFmt w:val="decimal"/>
      <w:pStyle w:val="6"/>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pStyle w:val="8"/>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海英">
    <w15:presenceInfo w15:providerId="None" w15:userId="刘海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538"/>
    <w:rsid w:val="000058B9"/>
    <w:rsid w:val="00005D5E"/>
    <w:rsid w:val="00011113"/>
    <w:rsid w:val="0001123F"/>
    <w:rsid w:val="0001575D"/>
    <w:rsid w:val="00022A79"/>
    <w:rsid w:val="0002364F"/>
    <w:rsid w:val="00024DF9"/>
    <w:rsid w:val="00025C4A"/>
    <w:rsid w:val="00025DED"/>
    <w:rsid w:val="0002603C"/>
    <w:rsid w:val="000267B5"/>
    <w:rsid w:val="00027BFC"/>
    <w:rsid w:val="00030B4A"/>
    <w:rsid w:val="00030C12"/>
    <w:rsid w:val="000328FD"/>
    <w:rsid w:val="0003496C"/>
    <w:rsid w:val="000354E9"/>
    <w:rsid w:val="00040770"/>
    <w:rsid w:val="000412C1"/>
    <w:rsid w:val="000454C7"/>
    <w:rsid w:val="00045E52"/>
    <w:rsid w:val="00047FB2"/>
    <w:rsid w:val="00050C5F"/>
    <w:rsid w:val="00050EB3"/>
    <w:rsid w:val="00053DBC"/>
    <w:rsid w:val="00054192"/>
    <w:rsid w:val="000544F1"/>
    <w:rsid w:val="00057BF1"/>
    <w:rsid w:val="00060A89"/>
    <w:rsid w:val="00060C94"/>
    <w:rsid w:val="0006528A"/>
    <w:rsid w:val="000656C7"/>
    <w:rsid w:val="00066267"/>
    <w:rsid w:val="0006776E"/>
    <w:rsid w:val="00072310"/>
    <w:rsid w:val="00072D08"/>
    <w:rsid w:val="00074677"/>
    <w:rsid w:val="00075616"/>
    <w:rsid w:val="0007796A"/>
    <w:rsid w:val="00077C6A"/>
    <w:rsid w:val="0008085E"/>
    <w:rsid w:val="00081BA3"/>
    <w:rsid w:val="00085D09"/>
    <w:rsid w:val="000914E2"/>
    <w:rsid w:val="00093439"/>
    <w:rsid w:val="00094062"/>
    <w:rsid w:val="00094FF8"/>
    <w:rsid w:val="000A0B17"/>
    <w:rsid w:val="000A64CB"/>
    <w:rsid w:val="000A6957"/>
    <w:rsid w:val="000B03E5"/>
    <w:rsid w:val="000B086F"/>
    <w:rsid w:val="000B0A02"/>
    <w:rsid w:val="000B14C0"/>
    <w:rsid w:val="000B6367"/>
    <w:rsid w:val="000B69BC"/>
    <w:rsid w:val="000C07EC"/>
    <w:rsid w:val="000C12C9"/>
    <w:rsid w:val="000C3465"/>
    <w:rsid w:val="000C54CF"/>
    <w:rsid w:val="000C584E"/>
    <w:rsid w:val="000C6D72"/>
    <w:rsid w:val="000C7A8C"/>
    <w:rsid w:val="000D0461"/>
    <w:rsid w:val="000D221D"/>
    <w:rsid w:val="000D292A"/>
    <w:rsid w:val="000D2E04"/>
    <w:rsid w:val="000D38A3"/>
    <w:rsid w:val="000D4CB7"/>
    <w:rsid w:val="000E0689"/>
    <w:rsid w:val="000E21EE"/>
    <w:rsid w:val="000E2879"/>
    <w:rsid w:val="000E4206"/>
    <w:rsid w:val="000E50CB"/>
    <w:rsid w:val="000E5A10"/>
    <w:rsid w:val="000E667F"/>
    <w:rsid w:val="000F22EB"/>
    <w:rsid w:val="000F3568"/>
    <w:rsid w:val="000F4436"/>
    <w:rsid w:val="000F49C3"/>
    <w:rsid w:val="000F583E"/>
    <w:rsid w:val="001034A7"/>
    <w:rsid w:val="0010362B"/>
    <w:rsid w:val="00106AD3"/>
    <w:rsid w:val="00111845"/>
    <w:rsid w:val="0011566A"/>
    <w:rsid w:val="00117A32"/>
    <w:rsid w:val="00120B8D"/>
    <w:rsid w:val="001238A7"/>
    <w:rsid w:val="0012446C"/>
    <w:rsid w:val="00124E02"/>
    <w:rsid w:val="00124E2C"/>
    <w:rsid w:val="00124F58"/>
    <w:rsid w:val="001252A1"/>
    <w:rsid w:val="001252FC"/>
    <w:rsid w:val="00125D4F"/>
    <w:rsid w:val="00134550"/>
    <w:rsid w:val="00136E26"/>
    <w:rsid w:val="00137DEA"/>
    <w:rsid w:val="00140E85"/>
    <w:rsid w:val="0014340B"/>
    <w:rsid w:val="001472DD"/>
    <w:rsid w:val="001512A6"/>
    <w:rsid w:val="00153539"/>
    <w:rsid w:val="00156EFF"/>
    <w:rsid w:val="001571E6"/>
    <w:rsid w:val="00157CFB"/>
    <w:rsid w:val="001672AB"/>
    <w:rsid w:val="001679C3"/>
    <w:rsid w:val="00167D8B"/>
    <w:rsid w:val="00170532"/>
    <w:rsid w:val="0017196E"/>
    <w:rsid w:val="0017198B"/>
    <w:rsid w:val="00174695"/>
    <w:rsid w:val="00174821"/>
    <w:rsid w:val="001766A5"/>
    <w:rsid w:val="00180A7A"/>
    <w:rsid w:val="001812BD"/>
    <w:rsid w:val="00181768"/>
    <w:rsid w:val="00181821"/>
    <w:rsid w:val="00182955"/>
    <w:rsid w:val="00183036"/>
    <w:rsid w:val="00184C62"/>
    <w:rsid w:val="00185302"/>
    <w:rsid w:val="001855C7"/>
    <w:rsid w:val="001859F1"/>
    <w:rsid w:val="00186092"/>
    <w:rsid w:val="00186619"/>
    <w:rsid w:val="00190213"/>
    <w:rsid w:val="00190BE2"/>
    <w:rsid w:val="00191113"/>
    <w:rsid w:val="00191CA8"/>
    <w:rsid w:val="00191FBD"/>
    <w:rsid w:val="001954C1"/>
    <w:rsid w:val="001954D4"/>
    <w:rsid w:val="00196702"/>
    <w:rsid w:val="00197F08"/>
    <w:rsid w:val="001A088D"/>
    <w:rsid w:val="001A15B7"/>
    <w:rsid w:val="001A24AC"/>
    <w:rsid w:val="001A2EA3"/>
    <w:rsid w:val="001A31DD"/>
    <w:rsid w:val="001A6B6B"/>
    <w:rsid w:val="001B0249"/>
    <w:rsid w:val="001B0CC6"/>
    <w:rsid w:val="001B27B8"/>
    <w:rsid w:val="001B3DF6"/>
    <w:rsid w:val="001B3EF4"/>
    <w:rsid w:val="001B6980"/>
    <w:rsid w:val="001B6F89"/>
    <w:rsid w:val="001C003B"/>
    <w:rsid w:val="001C7FCD"/>
    <w:rsid w:val="001D1B16"/>
    <w:rsid w:val="001D378B"/>
    <w:rsid w:val="001D4105"/>
    <w:rsid w:val="001D41CA"/>
    <w:rsid w:val="001D50F1"/>
    <w:rsid w:val="001D5173"/>
    <w:rsid w:val="001D5702"/>
    <w:rsid w:val="001D7309"/>
    <w:rsid w:val="001E07FE"/>
    <w:rsid w:val="001E0EE4"/>
    <w:rsid w:val="001E1069"/>
    <w:rsid w:val="001E2681"/>
    <w:rsid w:val="001E6BCB"/>
    <w:rsid w:val="001E72DC"/>
    <w:rsid w:val="001E757A"/>
    <w:rsid w:val="001F050A"/>
    <w:rsid w:val="001F0562"/>
    <w:rsid w:val="001F47A9"/>
    <w:rsid w:val="001F4DFA"/>
    <w:rsid w:val="001F6E35"/>
    <w:rsid w:val="0020294E"/>
    <w:rsid w:val="00202CBC"/>
    <w:rsid w:val="002033AA"/>
    <w:rsid w:val="0020474A"/>
    <w:rsid w:val="002059DB"/>
    <w:rsid w:val="00205FC6"/>
    <w:rsid w:val="0020693A"/>
    <w:rsid w:val="002128EA"/>
    <w:rsid w:val="002131F2"/>
    <w:rsid w:val="00213CFC"/>
    <w:rsid w:val="00221110"/>
    <w:rsid w:val="002225A7"/>
    <w:rsid w:val="00230358"/>
    <w:rsid w:val="00230AAC"/>
    <w:rsid w:val="00232950"/>
    <w:rsid w:val="00234D0C"/>
    <w:rsid w:val="00235280"/>
    <w:rsid w:val="00235D3D"/>
    <w:rsid w:val="0024227E"/>
    <w:rsid w:val="00244160"/>
    <w:rsid w:val="00247520"/>
    <w:rsid w:val="002512DC"/>
    <w:rsid w:val="002518D0"/>
    <w:rsid w:val="00251A3D"/>
    <w:rsid w:val="00257821"/>
    <w:rsid w:val="00257A59"/>
    <w:rsid w:val="00260562"/>
    <w:rsid w:val="00260843"/>
    <w:rsid w:val="00270D6F"/>
    <w:rsid w:val="00271B00"/>
    <w:rsid w:val="00276D99"/>
    <w:rsid w:val="002802F2"/>
    <w:rsid w:val="002816A4"/>
    <w:rsid w:val="00281B4C"/>
    <w:rsid w:val="00284C81"/>
    <w:rsid w:val="00287C73"/>
    <w:rsid w:val="00291D59"/>
    <w:rsid w:val="00291ED0"/>
    <w:rsid w:val="00293141"/>
    <w:rsid w:val="00293EEA"/>
    <w:rsid w:val="00294D8C"/>
    <w:rsid w:val="0029530F"/>
    <w:rsid w:val="002954EE"/>
    <w:rsid w:val="002A06F4"/>
    <w:rsid w:val="002A1ACE"/>
    <w:rsid w:val="002A45C4"/>
    <w:rsid w:val="002A4652"/>
    <w:rsid w:val="002B1159"/>
    <w:rsid w:val="002B38D9"/>
    <w:rsid w:val="002B39F3"/>
    <w:rsid w:val="002B4377"/>
    <w:rsid w:val="002B49EF"/>
    <w:rsid w:val="002B52EC"/>
    <w:rsid w:val="002B5CDC"/>
    <w:rsid w:val="002C0124"/>
    <w:rsid w:val="002C0FE7"/>
    <w:rsid w:val="002C23E5"/>
    <w:rsid w:val="002D1BCD"/>
    <w:rsid w:val="002D49EB"/>
    <w:rsid w:val="002D7A6A"/>
    <w:rsid w:val="002E028C"/>
    <w:rsid w:val="002E23AE"/>
    <w:rsid w:val="002E2A4D"/>
    <w:rsid w:val="002E3238"/>
    <w:rsid w:val="002E4CED"/>
    <w:rsid w:val="002E6D2B"/>
    <w:rsid w:val="002E736B"/>
    <w:rsid w:val="002F4B66"/>
    <w:rsid w:val="002F749E"/>
    <w:rsid w:val="002F7F67"/>
    <w:rsid w:val="0030036B"/>
    <w:rsid w:val="00301572"/>
    <w:rsid w:val="003079D5"/>
    <w:rsid w:val="00311B31"/>
    <w:rsid w:val="003131B2"/>
    <w:rsid w:val="0031376A"/>
    <w:rsid w:val="003158FF"/>
    <w:rsid w:val="00316338"/>
    <w:rsid w:val="00317BC1"/>
    <w:rsid w:val="00321C3E"/>
    <w:rsid w:val="0032223E"/>
    <w:rsid w:val="003233FF"/>
    <w:rsid w:val="00326C23"/>
    <w:rsid w:val="00330C3A"/>
    <w:rsid w:val="003342E8"/>
    <w:rsid w:val="003350CC"/>
    <w:rsid w:val="00335DB7"/>
    <w:rsid w:val="00341B87"/>
    <w:rsid w:val="00341E35"/>
    <w:rsid w:val="00343B73"/>
    <w:rsid w:val="00343E82"/>
    <w:rsid w:val="00350D60"/>
    <w:rsid w:val="0035123C"/>
    <w:rsid w:val="003537C5"/>
    <w:rsid w:val="00353F59"/>
    <w:rsid w:val="00356953"/>
    <w:rsid w:val="00360E6D"/>
    <w:rsid w:val="00360F26"/>
    <w:rsid w:val="003623FF"/>
    <w:rsid w:val="0036253B"/>
    <w:rsid w:val="00362697"/>
    <w:rsid w:val="003627E7"/>
    <w:rsid w:val="003633E9"/>
    <w:rsid w:val="00365B76"/>
    <w:rsid w:val="00366094"/>
    <w:rsid w:val="00366248"/>
    <w:rsid w:val="00367373"/>
    <w:rsid w:val="00367603"/>
    <w:rsid w:val="00372402"/>
    <w:rsid w:val="0037609C"/>
    <w:rsid w:val="00376113"/>
    <w:rsid w:val="003775F6"/>
    <w:rsid w:val="00381EFA"/>
    <w:rsid w:val="00382C9C"/>
    <w:rsid w:val="00382CA2"/>
    <w:rsid w:val="00383D89"/>
    <w:rsid w:val="00385845"/>
    <w:rsid w:val="0039523E"/>
    <w:rsid w:val="00396C2C"/>
    <w:rsid w:val="003A053D"/>
    <w:rsid w:val="003A1640"/>
    <w:rsid w:val="003A22FF"/>
    <w:rsid w:val="003A3F9D"/>
    <w:rsid w:val="003A42CC"/>
    <w:rsid w:val="003A4A52"/>
    <w:rsid w:val="003A4E54"/>
    <w:rsid w:val="003A61F6"/>
    <w:rsid w:val="003B14DA"/>
    <w:rsid w:val="003B25AA"/>
    <w:rsid w:val="003B2B3D"/>
    <w:rsid w:val="003B7A75"/>
    <w:rsid w:val="003C0C40"/>
    <w:rsid w:val="003C1730"/>
    <w:rsid w:val="003C27E8"/>
    <w:rsid w:val="003C2975"/>
    <w:rsid w:val="003C6249"/>
    <w:rsid w:val="003C661B"/>
    <w:rsid w:val="003D2B53"/>
    <w:rsid w:val="003D2E5F"/>
    <w:rsid w:val="003D3790"/>
    <w:rsid w:val="003D3CAC"/>
    <w:rsid w:val="003D4F6F"/>
    <w:rsid w:val="003D65EE"/>
    <w:rsid w:val="003D6ACB"/>
    <w:rsid w:val="003D6F09"/>
    <w:rsid w:val="003D7239"/>
    <w:rsid w:val="003D7B51"/>
    <w:rsid w:val="003E0D13"/>
    <w:rsid w:val="003E0D42"/>
    <w:rsid w:val="003E1000"/>
    <w:rsid w:val="003E2C26"/>
    <w:rsid w:val="003E6B1F"/>
    <w:rsid w:val="003F2FBB"/>
    <w:rsid w:val="003F5747"/>
    <w:rsid w:val="003F5750"/>
    <w:rsid w:val="003F575D"/>
    <w:rsid w:val="003F7BF8"/>
    <w:rsid w:val="00400A56"/>
    <w:rsid w:val="00402CA9"/>
    <w:rsid w:val="0040314E"/>
    <w:rsid w:val="00404454"/>
    <w:rsid w:val="00405B07"/>
    <w:rsid w:val="00405D40"/>
    <w:rsid w:val="00406BA2"/>
    <w:rsid w:val="0041177D"/>
    <w:rsid w:val="00411EB1"/>
    <w:rsid w:val="00414B04"/>
    <w:rsid w:val="004153AF"/>
    <w:rsid w:val="00416B41"/>
    <w:rsid w:val="0042454E"/>
    <w:rsid w:val="0042518D"/>
    <w:rsid w:val="00427FEC"/>
    <w:rsid w:val="00430AEE"/>
    <w:rsid w:val="0043231F"/>
    <w:rsid w:val="00433DD9"/>
    <w:rsid w:val="00434DAB"/>
    <w:rsid w:val="004368E7"/>
    <w:rsid w:val="00440E99"/>
    <w:rsid w:val="004411B8"/>
    <w:rsid w:val="00443890"/>
    <w:rsid w:val="004449B2"/>
    <w:rsid w:val="00445B45"/>
    <w:rsid w:val="0044650B"/>
    <w:rsid w:val="00450772"/>
    <w:rsid w:val="00450D33"/>
    <w:rsid w:val="0045576B"/>
    <w:rsid w:val="00456457"/>
    <w:rsid w:val="00461112"/>
    <w:rsid w:val="00463DB0"/>
    <w:rsid w:val="004653B0"/>
    <w:rsid w:val="00467FB2"/>
    <w:rsid w:val="00470F55"/>
    <w:rsid w:val="004741A2"/>
    <w:rsid w:val="00476AFA"/>
    <w:rsid w:val="00477563"/>
    <w:rsid w:val="004805E0"/>
    <w:rsid w:val="00480AEA"/>
    <w:rsid w:val="0048202D"/>
    <w:rsid w:val="00482182"/>
    <w:rsid w:val="00482DE0"/>
    <w:rsid w:val="00484BB6"/>
    <w:rsid w:val="004860F4"/>
    <w:rsid w:val="00487453"/>
    <w:rsid w:val="004875BC"/>
    <w:rsid w:val="0049128B"/>
    <w:rsid w:val="00491C01"/>
    <w:rsid w:val="004924E7"/>
    <w:rsid w:val="00492D71"/>
    <w:rsid w:val="00494387"/>
    <w:rsid w:val="00494FB0"/>
    <w:rsid w:val="004963BF"/>
    <w:rsid w:val="004A4A80"/>
    <w:rsid w:val="004A554A"/>
    <w:rsid w:val="004A5CAE"/>
    <w:rsid w:val="004A5D96"/>
    <w:rsid w:val="004A7A5E"/>
    <w:rsid w:val="004B05AE"/>
    <w:rsid w:val="004B0745"/>
    <w:rsid w:val="004B1F35"/>
    <w:rsid w:val="004B2C45"/>
    <w:rsid w:val="004B4597"/>
    <w:rsid w:val="004B747F"/>
    <w:rsid w:val="004B7AB3"/>
    <w:rsid w:val="004C09A6"/>
    <w:rsid w:val="004C13A0"/>
    <w:rsid w:val="004C21C5"/>
    <w:rsid w:val="004C23A8"/>
    <w:rsid w:val="004C3B22"/>
    <w:rsid w:val="004C5347"/>
    <w:rsid w:val="004C6AFC"/>
    <w:rsid w:val="004D012B"/>
    <w:rsid w:val="004D5B6B"/>
    <w:rsid w:val="004D5DB8"/>
    <w:rsid w:val="004D7A8D"/>
    <w:rsid w:val="004E1077"/>
    <w:rsid w:val="004E158D"/>
    <w:rsid w:val="004E3C3C"/>
    <w:rsid w:val="004E3C83"/>
    <w:rsid w:val="004E4BFA"/>
    <w:rsid w:val="004E4D15"/>
    <w:rsid w:val="004E73E0"/>
    <w:rsid w:val="004F4D41"/>
    <w:rsid w:val="004F7840"/>
    <w:rsid w:val="005013E6"/>
    <w:rsid w:val="00501C75"/>
    <w:rsid w:val="00501E0E"/>
    <w:rsid w:val="0050313D"/>
    <w:rsid w:val="00505BCA"/>
    <w:rsid w:val="005105B9"/>
    <w:rsid w:val="00510CC9"/>
    <w:rsid w:val="00512177"/>
    <w:rsid w:val="00513F9C"/>
    <w:rsid w:val="00514BFD"/>
    <w:rsid w:val="005154D2"/>
    <w:rsid w:val="00516F46"/>
    <w:rsid w:val="005174B1"/>
    <w:rsid w:val="005215E3"/>
    <w:rsid w:val="00522E28"/>
    <w:rsid w:val="00524DD0"/>
    <w:rsid w:val="0052630F"/>
    <w:rsid w:val="0052725D"/>
    <w:rsid w:val="005314A5"/>
    <w:rsid w:val="005329FF"/>
    <w:rsid w:val="005342B8"/>
    <w:rsid w:val="0053617F"/>
    <w:rsid w:val="0054037B"/>
    <w:rsid w:val="00541A17"/>
    <w:rsid w:val="00541E7D"/>
    <w:rsid w:val="00542190"/>
    <w:rsid w:val="005436F7"/>
    <w:rsid w:val="005446F7"/>
    <w:rsid w:val="00544D6B"/>
    <w:rsid w:val="00547464"/>
    <w:rsid w:val="00552C28"/>
    <w:rsid w:val="00553C35"/>
    <w:rsid w:val="00553C9C"/>
    <w:rsid w:val="0055410E"/>
    <w:rsid w:val="00554F39"/>
    <w:rsid w:val="005569F5"/>
    <w:rsid w:val="00561098"/>
    <w:rsid w:val="0056137D"/>
    <w:rsid w:val="00564E6C"/>
    <w:rsid w:val="00570957"/>
    <w:rsid w:val="005745EA"/>
    <w:rsid w:val="00577778"/>
    <w:rsid w:val="00584564"/>
    <w:rsid w:val="00584A21"/>
    <w:rsid w:val="00585FA6"/>
    <w:rsid w:val="0059136B"/>
    <w:rsid w:val="00591C27"/>
    <w:rsid w:val="005961DA"/>
    <w:rsid w:val="00597971"/>
    <w:rsid w:val="005A2573"/>
    <w:rsid w:val="005A2698"/>
    <w:rsid w:val="005A351E"/>
    <w:rsid w:val="005A4603"/>
    <w:rsid w:val="005A7DF5"/>
    <w:rsid w:val="005B2944"/>
    <w:rsid w:val="005B38D1"/>
    <w:rsid w:val="005B5879"/>
    <w:rsid w:val="005B616E"/>
    <w:rsid w:val="005B6438"/>
    <w:rsid w:val="005B79A3"/>
    <w:rsid w:val="005C037B"/>
    <w:rsid w:val="005C0C3F"/>
    <w:rsid w:val="005C4362"/>
    <w:rsid w:val="005C44DD"/>
    <w:rsid w:val="005C4A98"/>
    <w:rsid w:val="005C5431"/>
    <w:rsid w:val="005C585B"/>
    <w:rsid w:val="005C5A79"/>
    <w:rsid w:val="005D024C"/>
    <w:rsid w:val="005D1269"/>
    <w:rsid w:val="005D6FB2"/>
    <w:rsid w:val="005D769E"/>
    <w:rsid w:val="005E123A"/>
    <w:rsid w:val="005E1407"/>
    <w:rsid w:val="005F0828"/>
    <w:rsid w:val="005F4952"/>
    <w:rsid w:val="005F5AB8"/>
    <w:rsid w:val="005F72B3"/>
    <w:rsid w:val="006014F1"/>
    <w:rsid w:val="00601AE7"/>
    <w:rsid w:val="006073A4"/>
    <w:rsid w:val="00610540"/>
    <w:rsid w:val="00610C5E"/>
    <w:rsid w:val="00613034"/>
    <w:rsid w:val="006162C0"/>
    <w:rsid w:val="006218DD"/>
    <w:rsid w:val="00621B01"/>
    <w:rsid w:val="00623866"/>
    <w:rsid w:val="006241D7"/>
    <w:rsid w:val="0062421A"/>
    <w:rsid w:val="00625232"/>
    <w:rsid w:val="00625FCF"/>
    <w:rsid w:val="00630849"/>
    <w:rsid w:val="00632C91"/>
    <w:rsid w:val="00633457"/>
    <w:rsid w:val="006342A1"/>
    <w:rsid w:val="0063460F"/>
    <w:rsid w:val="0064120B"/>
    <w:rsid w:val="00641E5E"/>
    <w:rsid w:val="00642794"/>
    <w:rsid w:val="00644AF7"/>
    <w:rsid w:val="00647B05"/>
    <w:rsid w:val="00650FFF"/>
    <w:rsid w:val="006512CF"/>
    <w:rsid w:val="00654D3E"/>
    <w:rsid w:val="00663546"/>
    <w:rsid w:val="006664FB"/>
    <w:rsid w:val="006722F3"/>
    <w:rsid w:val="00674BAC"/>
    <w:rsid w:val="006753CD"/>
    <w:rsid w:val="00675DF6"/>
    <w:rsid w:val="00677908"/>
    <w:rsid w:val="0068148A"/>
    <w:rsid w:val="00681C84"/>
    <w:rsid w:val="00682076"/>
    <w:rsid w:val="0068486A"/>
    <w:rsid w:val="006851E5"/>
    <w:rsid w:val="00686A72"/>
    <w:rsid w:val="006963A9"/>
    <w:rsid w:val="00697D75"/>
    <w:rsid w:val="00697F2A"/>
    <w:rsid w:val="006A1531"/>
    <w:rsid w:val="006A4F84"/>
    <w:rsid w:val="006A5015"/>
    <w:rsid w:val="006B00DC"/>
    <w:rsid w:val="006B162E"/>
    <w:rsid w:val="006B557C"/>
    <w:rsid w:val="006B6A2F"/>
    <w:rsid w:val="006B7A2B"/>
    <w:rsid w:val="006C535C"/>
    <w:rsid w:val="006C763D"/>
    <w:rsid w:val="006D1384"/>
    <w:rsid w:val="006D65E4"/>
    <w:rsid w:val="006D72C3"/>
    <w:rsid w:val="006E6D48"/>
    <w:rsid w:val="006F14F4"/>
    <w:rsid w:val="006F1D5F"/>
    <w:rsid w:val="006F3653"/>
    <w:rsid w:val="006F37BE"/>
    <w:rsid w:val="006F3EC7"/>
    <w:rsid w:val="006F6C2E"/>
    <w:rsid w:val="006F77CF"/>
    <w:rsid w:val="00700567"/>
    <w:rsid w:val="00700599"/>
    <w:rsid w:val="00705B2D"/>
    <w:rsid w:val="00705D16"/>
    <w:rsid w:val="00706A86"/>
    <w:rsid w:val="007102F4"/>
    <w:rsid w:val="007134BA"/>
    <w:rsid w:val="00716604"/>
    <w:rsid w:val="00717517"/>
    <w:rsid w:val="0072232D"/>
    <w:rsid w:val="00726677"/>
    <w:rsid w:val="00730FE0"/>
    <w:rsid w:val="007352CA"/>
    <w:rsid w:val="0073579A"/>
    <w:rsid w:val="007411CC"/>
    <w:rsid w:val="007418B0"/>
    <w:rsid w:val="00742AB1"/>
    <w:rsid w:val="007432CC"/>
    <w:rsid w:val="0074377F"/>
    <w:rsid w:val="00747B76"/>
    <w:rsid w:val="007500FA"/>
    <w:rsid w:val="00750F45"/>
    <w:rsid w:val="00756D08"/>
    <w:rsid w:val="00756D96"/>
    <w:rsid w:val="007621EE"/>
    <w:rsid w:val="0076282E"/>
    <w:rsid w:val="00762FBA"/>
    <w:rsid w:val="00763948"/>
    <w:rsid w:val="00764DF5"/>
    <w:rsid w:val="00767957"/>
    <w:rsid w:val="00770892"/>
    <w:rsid w:val="0077629E"/>
    <w:rsid w:val="00776D8B"/>
    <w:rsid w:val="00776FA8"/>
    <w:rsid w:val="00781069"/>
    <w:rsid w:val="00782B70"/>
    <w:rsid w:val="007831CE"/>
    <w:rsid w:val="00783ACF"/>
    <w:rsid w:val="00786903"/>
    <w:rsid w:val="00787DE1"/>
    <w:rsid w:val="0079357E"/>
    <w:rsid w:val="00793816"/>
    <w:rsid w:val="007945FE"/>
    <w:rsid w:val="00794923"/>
    <w:rsid w:val="007959CA"/>
    <w:rsid w:val="0079761C"/>
    <w:rsid w:val="00797CBF"/>
    <w:rsid w:val="007A3F75"/>
    <w:rsid w:val="007A47D7"/>
    <w:rsid w:val="007B0F16"/>
    <w:rsid w:val="007B7828"/>
    <w:rsid w:val="007B792B"/>
    <w:rsid w:val="007C2D03"/>
    <w:rsid w:val="007C474A"/>
    <w:rsid w:val="007C766F"/>
    <w:rsid w:val="007C78B3"/>
    <w:rsid w:val="007D16BA"/>
    <w:rsid w:val="007D206A"/>
    <w:rsid w:val="007D29C0"/>
    <w:rsid w:val="007D6116"/>
    <w:rsid w:val="007D7758"/>
    <w:rsid w:val="007E2258"/>
    <w:rsid w:val="007E2BB9"/>
    <w:rsid w:val="007E371B"/>
    <w:rsid w:val="007E53A2"/>
    <w:rsid w:val="007F1628"/>
    <w:rsid w:val="007F226F"/>
    <w:rsid w:val="007F4099"/>
    <w:rsid w:val="008002EB"/>
    <w:rsid w:val="008005E6"/>
    <w:rsid w:val="00801802"/>
    <w:rsid w:val="008020FB"/>
    <w:rsid w:val="00803639"/>
    <w:rsid w:val="00803AF4"/>
    <w:rsid w:val="00804926"/>
    <w:rsid w:val="00810E0C"/>
    <w:rsid w:val="00813631"/>
    <w:rsid w:val="008143F2"/>
    <w:rsid w:val="008152EF"/>
    <w:rsid w:val="008160FD"/>
    <w:rsid w:val="008166A9"/>
    <w:rsid w:val="00821BFC"/>
    <w:rsid w:val="00823095"/>
    <w:rsid w:val="008240FE"/>
    <w:rsid w:val="0082517F"/>
    <w:rsid w:val="00825B62"/>
    <w:rsid w:val="008260BB"/>
    <w:rsid w:val="00830C9D"/>
    <w:rsid w:val="008321A4"/>
    <w:rsid w:val="0083313E"/>
    <w:rsid w:val="0083377F"/>
    <w:rsid w:val="00834CFC"/>
    <w:rsid w:val="00835023"/>
    <w:rsid w:val="008355A3"/>
    <w:rsid w:val="008379CA"/>
    <w:rsid w:val="0084067D"/>
    <w:rsid w:val="0084323A"/>
    <w:rsid w:val="00852A79"/>
    <w:rsid w:val="00854329"/>
    <w:rsid w:val="00857263"/>
    <w:rsid w:val="00857724"/>
    <w:rsid w:val="00860364"/>
    <w:rsid w:val="00861EB9"/>
    <w:rsid w:val="00862023"/>
    <w:rsid w:val="00862D5B"/>
    <w:rsid w:val="00863F0F"/>
    <w:rsid w:val="00865231"/>
    <w:rsid w:val="00867C7F"/>
    <w:rsid w:val="0087230F"/>
    <w:rsid w:val="008730E8"/>
    <w:rsid w:val="00873704"/>
    <w:rsid w:val="0087603A"/>
    <w:rsid w:val="008814AA"/>
    <w:rsid w:val="00882247"/>
    <w:rsid w:val="00882498"/>
    <w:rsid w:val="0088259D"/>
    <w:rsid w:val="0088328D"/>
    <w:rsid w:val="00883C73"/>
    <w:rsid w:val="00884163"/>
    <w:rsid w:val="00884F31"/>
    <w:rsid w:val="00885214"/>
    <w:rsid w:val="00887AB7"/>
    <w:rsid w:val="00890113"/>
    <w:rsid w:val="008913CB"/>
    <w:rsid w:val="008922AE"/>
    <w:rsid w:val="00892CB5"/>
    <w:rsid w:val="00894F1A"/>
    <w:rsid w:val="00895FCB"/>
    <w:rsid w:val="008A0652"/>
    <w:rsid w:val="008A14E4"/>
    <w:rsid w:val="008A154B"/>
    <w:rsid w:val="008A15B5"/>
    <w:rsid w:val="008A43AB"/>
    <w:rsid w:val="008A442D"/>
    <w:rsid w:val="008A69BD"/>
    <w:rsid w:val="008B14C5"/>
    <w:rsid w:val="008B3597"/>
    <w:rsid w:val="008B3D37"/>
    <w:rsid w:val="008B775A"/>
    <w:rsid w:val="008C1FCA"/>
    <w:rsid w:val="008C2236"/>
    <w:rsid w:val="008C2B58"/>
    <w:rsid w:val="008C3AA0"/>
    <w:rsid w:val="008C4033"/>
    <w:rsid w:val="008C4914"/>
    <w:rsid w:val="008C4D74"/>
    <w:rsid w:val="008C740F"/>
    <w:rsid w:val="008D16B7"/>
    <w:rsid w:val="008D36BF"/>
    <w:rsid w:val="008D41A2"/>
    <w:rsid w:val="008D5259"/>
    <w:rsid w:val="008D6286"/>
    <w:rsid w:val="008D73A9"/>
    <w:rsid w:val="008D7598"/>
    <w:rsid w:val="008E2A85"/>
    <w:rsid w:val="008E2BB9"/>
    <w:rsid w:val="008E2C75"/>
    <w:rsid w:val="008E5F05"/>
    <w:rsid w:val="008E71C3"/>
    <w:rsid w:val="008F0734"/>
    <w:rsid w:val="008F44A1"/>
    <w:rsid w:val="00900676"/>
    <w:rsid w:val="00900D26"/>
    <w:rsid w:val="009011D5"/>
    <w:rsid w:val="009012C5"/>
    <w:rsid w:val="00901419"/>
    <w:rsid w:val="0090146C"/>
    <w:rsid w:val="009022A8"/>
    <w:rsid w:val="00902380"/>
    <w:rsid w:val="00905F76"/>
    <w:rsid w:val="00906087"/>
    <w:rsid w:val="00907A74"/>
    <w:rsid w:val="00907C29"/>
    <w:rsid w:val="0091132F"/>
    <w:rsid w:val="00912080"/>
    <w:rsid w:val="00912307"/>
    <w:rsid w:val="0091238D"/>
    <w:rsid w:val="009136C4"/>
    <w:rsid w:val="00917641"/>
    <w:rsid w:val="0092079D"/>
    <w:rsid w:val="00920839"/>
    <w:rsid w:val="00920E6B"/>
    <w:rsid w:val="00921DCF"/>
    <w:rsid w:val="00923AFD"/>
    <w:rsid w:val="00923DC0"/>
    <w:rsid w:val="00924451"/>
    <w:rsid w:val="00925553"/>
    <w:rsid w:val="00927FDC"/>
    <w:rsid w:val="00932B78"/>
    <w:rsid w:val="00932E46"/>
    <w:rsid w:val="00933056"/>
    <w:rsid w:val="0093547D"/>
    <w:rsid w:val="009369FB"/>
    <w:rsid w:val="00936E72"/>
    <w:rsid w:val="0093738F"/>
    <w:rsid w:val="00942F66"/>
    <w:rsid w:val="00943130"/>
    <w:rsid w:val="009453F2"/>
    <w:rsid w:val="00947632"/>
    <w:rsid w:val="009550FA"/>
    <w:rsid w:val="00955B4B"/>
    <w:rsid w:val="00956E6D"/>
    <w:rsid w:val="00957AE3"/>
    <w:rsid w:val="0096128B"/>
    <w:rsid w:val="00961C98"/>
    <w:rsid w:val="009620A5"/>
    <w:rsid w:val="009641CE"/>
    <w:rsid w:val="009660C5"/>
    <w:rsid w:val="009705A4"/>
    <w:rsid w:val="00972F77"/>
    <w:rsid w:val="00973DA2"/>
    <w:rsid w:val="00973DF2"/>
    <w:rsid w:val="00976F06"/>
    <w:rsid w:val="009771C2"/>
    <w:rsid w:val="009828F8"/>
    <w:rsid w:val="009854FA"/>
    <w:rsid w:val="00986081"/>
    <w:rsid w:val="0098611A"/>
    <w:rsid w:val="009917A3"/>
    <w:rsid w:val="00992138"/>
    <w:rsid w:val="0099244C"/>
    <w:rsid w:val="00995037"/>
    <w:rsid w:val="00996903"/>
    <w:rsid w:val="009974EC"/>
    <w:rsid w:val="009A1867"/>
    <w:rsid w:val="009A1B3F"/>
    <w:rsid w:val="009A7E14"/>
    <w:rsid w:val="009B3159"/>
    <w:rsid w:val="009B52CB"/>
    <w:rsid w:val="009B5F95"/>
    <w:rsid w:val="009B63BD"/>
    <w:rsid w:val="009B76D2"/>
    <w:rsid w:val="009D0CD1"/>
    <w:rsid w:val="009D192C"/>
    <w:rsid w:val="009D1CFE"/>
    <w:rsid w:val="009D2359"/>
    <w:rsid w:val="009D2DD8"/>
    <w:rsid w:val="009D5F67"/>
    <w:rsid w:val="009D6BFF"/>
    <w:rsid w:val="009D71C9"/>
    <w:rsid w:val="009D7E44"/>
    <w:rsid w:val="009E0BFD"/>
    <w:rsid w:val="009E20D6"/>
    <w:rsid w:val="009E4953"/>
    <w:rsid w:val="009E4D19"/>
    <w:rsid w:val="009E4D73"/>
    <w:rsid w:val="009E5F6E"/>
    <w:rsid w:val="009E695B"/>
    <w:rsid w:val="009F072C"/>
    <w:rsid w:val="009F5179"/>
    <w:rsid w:val="009F5B3E"/>
    <w:rsid w:val="00A00B5C"/>
    <w:rsid w:val="00A03968"/>
    <w:rsid w:val="00A03C31"/>
    <w:rsid w:val="00A05C5E"/>
    <w:rsid w:val="00A061DC"/>
    <w:rsid w:val="00A07409"/>
    <w:rsid w:val="00A07C6F"/>
    <w:rsid w:val="00A1072F"/>
    <w:rsid w:val="00A1169A"/>
    <w:rsid w:val="00A1248C"/>
    <w:rsid w:val="00A13BF6"/>
    <w:rsid w:val="00A15D27"/>
    <w:rsid w:val="00A1739B"/>
    <w:rsid w:val="00A2016E"/>
    <w:rsid w:val="00A21212"/>
    <w:rsid w:val="00A21463"/>
    <w:rsid w:val="00A22435"/>
    <w:rsid w:val="00A23711"/>
    <w:rsid w:val="00A237A9"/>
    <w:rsid w:val="00A24CC6"/>
    <w:rsid w:val="00A26187"/>
    <w:rsid w:val="00A334D4"/>
    <w:rsid w:val="00A33D20"/>
    <w:rsid w:val="00A34A92"/>
    <w:rsid w:val="00A41D43"/>
    <w:rsid w:val="00A42CDA"/>
    <w:rsid w:val="00A4446A"/>
    <w:rsid w:val="00A47032"/>
    <w:rsid w:val="00A50598"/>
    <w:rsid w:val="00A5090F"/>
    <w:rsid w:val="00A51D76"/>
    <w:rsid w:val="00A52524"/>
    <w:rsid w:val="00A53BF8"/>
    <w:rsid w:val="00A5469A"/>
    <w:rsid w:val="00A56A83"/>
    <w:rsid w:val="00A609CC"/>
    <w:rsid w:val="00A614E3"/>
    <w:rsid w:val="00A70339"/>
    <w:rsid w:val="00A762DD"/>
    <w:rsid w:val="00A77E3C"/>
    <w:rsid w:val="00A831E7"/>
    <w:rsid w:val="00A849DA"/>
    <w:rsid w:val="00A857E4"/>
    <w:rsid w:val="00A85A60"/>
    <w:rsid w:val="00A87AE9"/>
    <w:rsid w:val="00A87C6F"/>
    <w:rsid w:val="00A91D10"/>
    <w:rsid w:val="00A92B25"/>
    <w:rsid w:val="00A93C3A"/>
    <w:rsid w:val="00A95611"/>
    <w:rsid w:val="00A9639E"/>
    <w:rsid w:val="00AA14DD"/>
    <w:rsid w:val="00AA1A97"/>
    <w:rsid w:val="00AA2FBC"/>
    <w:rsid w:val="00AA3DB9"/>
    <w:rsid w:val="00AA63C4"/>
    <w:rsid w:val="00AA6B7D"/>
    <w:rsid w:val="00AB25AE"/>
    <w:rsid w:val="00AB3B60"/>
    <w:rsid w:val="00AB3CE7"/>
    <w:rsid w:val="00AB5F9A"/>
    <w:rsid w:val="00AB7C57"/>
    <w:rsid w:val="00AC082C"/>
    <w:rsid w:val="00AC0B2F"/>
    <w:rsid w:val="00AC2100"/>
    <w:rsid w:val="00AC28EF"/>
    <w:rsid w:val="00AC321E"/>
    <w:rsid w:val="00AC43B9"/>
    <w:rsid w:val="00AC45FC"/>
    <w:rsid w:val="00AC4AD8"/>
    <w:rsid w:val="00AC576D"/>
    <w:rsid w:val="00AC6FAE"/>
    <w:rsid w:val="00AC77E8"/>
    <w:rsid w:val="00AD1391"/>
    <w:rsid w:val="00AD7381"/>
    <w:rsid w:val="00AD7BBD"/>
    <w:rsid w:val="00AE08E1"/>
    <w:rsid w:val="00AE1174"/>
    <w:rsid w:val="00AE1182"/>
    <w:rsid w:val="00AE2849"/>
    <w:rsid w:val="00AE4675"/>
    <w:rsid w:val="00AE4DA9"/>
    <w:rsid w:val="00AE60C6"/>
    <w:rsid w:val="00AE610F"/>
    <w:rsid w:val="00AE79B5"/>
    <w:rsid w:val="00AF196F"/>
    <w:rsid w:val="00AF2147"/>
    <w:rsid w:val="00AF3D9A"/>
    <w:rsid w:val="00AF3E3E"/>
    <w:rsid w:val="00AF6480"/>
    <w:rsid w:val="00AF6F97"/>
    <w:rsid w:val="00AF7B77"/>
    <w:rsid w:val="00B008C2"/>
    <w:rsid w:val="00B0215E"/>
    <w:rsid w:val="00B07F35"/>
    <w:rsid w:val="00B10203"/>
    <w:rsid w:val="00B109DB"/>
    <w:rsid w:val="00B111FB"/>
    <w:rsid w:val="00B145BB"/>
    <w:rsid w:val="00B17675"/>
    <w:rsid w:val="00B21ED4"/>
    <w:rsid w:val="00B23EDB"/>
    <w:rsid w:val="00B2788D"/>
    <w:rsid w:val="00B325A3"/>
    <w:rsid w:val="00B33CBD"/>
    <w:rsid w:val="00B413C9"/>
    <w:rsid w:val="00B415D7"/>
    <w:rsid w:val="00B432A7"/>
    <w:rsid w:val="00B43F48"/>
    <w:rsid w:val="00B440E5"/>
    <w:rsid w:val="00B4497E"/>
    <w:rsid w:val="00B45706"/>
    <w:rsid w:val="00B46362"/>
    <w:rsid w:val="00B47479"/>
    <w:rsid w:val="00B474C5"/>
    <w:rsid w:val="00B47EDD"/>
    <w:rsid w:val="00B50AB8"/>
    <w:rsid w:val="00B51C92"/>
    <w:rsid w:val="00B55E3A"/>
    <w:rsid w:val="00B5728C"/>
    <w:rsid w:val="00B60263"/>
    <w:rsid w:val="00B60991"/>
    <w:rsid w:val="00B666E9"/>
    <w:rsid w:val="00B66760"/>
    <w:rsid w:val="00B671DD"/>
    <w:rsid w:val="00B716F7"/>
    <w:rsid w:val="00B7392C"/>
    <w:rsid w:val="00B75CCD"/>
    <w:rsid w:val="00B76026"/>
    <w:rsid w:val="00B76224"/>
    <w:rsid w:val="00B80881"/>
    <w:rsid w:val="00B814A9"/>
    <w:rsid w:val="00B825F2"/>
    <w:rsid w:val="00B827ED"/>
    <w:rsid w:val="00B8292E"/>
    <w:rsid w:val="00B830BD"/>
    <w:rsid w:val="00B83DCF"/>
    <w:rsid w:val="00B85217"/>
    <w:rsid w:val="00B85937"/>
    <w:rsid w:val="00B87549"/>
    <w:rsid w:val="00B910AA"/>
    <w:rsid w:val="00B92F6B"/>
    <w:rsid w:val="00B95119"/>
    <w:rsid w:val="00BA0763"/>
    <w:rsid w:val="00BA40E4"/>
    <w:rsid w:val="00BA7F02"/>
    <w:rsid w:val="00BB0CDA"/>
    <w:rsid w:val="00BB0E91"/>
    <w:rsid w:val="00BB1A46"/>
    <w:rsid w:val="00BB20D3"/>
    <w:rsid w:val="00BB54A4"/>
    <w:rsid w:val="00BB73EC"/>
    <w:rsid w:val="00BC0A4F"/>
    <w:rsid w:val="00BC0C26"/>
    <w:rsid w:val="00BC0C35"/>
    <w:rsid w:val="00BC5307"/>
    <w:rsid w:val="00BC62EE"/>
    <w:rsid w:val="00BC727C"/>
    <w:rsid w:val="00BD0383"/>
    <w:rsid w:val="00BD0AE8"/>
    <w:rsid w:val="00BD598F"/>
    <w:rsid w:val="00BD6031"/>
    <w:rsid w:val="00BD65C0"/>
    <w:rsid w:val="00BD667C"/>
    <w:rsid w:val="00BE1A08"/>
    <w:rsid w:val="00BE2E15"/>
    <w:rsid w:val="00BE30FC"/>
    <w:rsid w:val="00BE4F19"/>
    <w:rsid w:val="00BE5641"/>
    <w:rsid w:val="00BE59D3"/>
    <w:rsid w:val="00BE6392"/>
    <w:rsid w:val="00BE6DDD"/>
    <w:rsid w:val="00BF2569"/>
    <w:rsid w:val="00BF29A4"/>
    <w:rsid w:val="00BF48DB"/>
    <w:rsid w:val="00C019B4"/>
    <w:rsid w:val="00C03C62"/>
    <w:rsid w:val="00C03C7F"/>
    <w:rsid w:val="00C10FBC"/>
    <w:rsid w:val="00C1259D"/>
    <w:rsid w:val="00C14B2D"/>
    <w:rsid w:val="00C1725E"/>
    <w:rsid w:val="00C22DDA"/>
    <w:rsid w:val="00C22FD8"/>
    <w:rsid w:val="00C25EC0"/>
    <w:rsid w:val="00C31A45"/>
    <w:rsid w:val="00C34745"/>
    <w:rsid w:val="00C35627"/>
    <w:rsid w:val="00C358B1"/>
    <w:rsid w:val="00C416E1"/>
    <w:rsid w:val="00C445BE"/>
    <w:rsid w:val="00C4507A"/>
    <w:rsid w:val="00C46607"/>
    <w:rsid w:val="00C61945"/>
    <w:rsid w:val="00C62EAE"/>
    <w:rsid w:val="00C65024"/>
    <w:rsid w:val="00C65817"/>
    <w:rsid w:val="00C65A58"/>
    <w:rsid w:val="00C65AF2"/>
    <w:rsid w:val="00C669B6"/>
    <w:rsid w:val="00C66DB4"/>
    <w:rsid w:val="00C71B3A"/>
    <w:rsid w:val="00C7379C"/>
    <w:rsid w:val="00C74460"/>
    <w:rsid w:val="00C74A8A"/>
    <w:rsid w:val="00C7569C"/>
    <w:rsid w:val="00C808C7"/>
    <w:rsid w:val="00C808E1"/>
    <w:rsid w:val="00C83C35"/>
    <w:rsid w:val="00C84755"/>
    <w:rsid w:val="00C84AE9"/>
    <w:rsid w:val="00C84B1A"/>
    <w:rsid w:val="00C8567C"/>
    <w:rsid w:val="00C867AE"/>
    <w:rsid w:val="00C907D9"/>
    <w:rsid w:val="00C90F4C"/>
    <w:rsid w:val="00C92DD7"/>
    <w:rsid w:val="00C959DD"/>
    <w:rsid w:val="00CA1720"/>
    <w:rsid w:val="00CA31D6"/>
    <w:rsid w:val="00CA5E97"/>
    <w:rsid w:val="00CB2C43"/>
    <w:rsid w:val="00CB30B0"/>
    <w:rsid w:val="00CB50D8"/>
    <w:rsid w:val="00CB6059"/>
    <w:rsid w:val="00CB669B"/>
    <w:rsid w:val="00CB6799"/>
    <w:rsid w:val="00CB7A54"/>
    <w:rsid w:val="00CC2324"/>
    <w:rsid w:val="00CC2480"/>
    <w:rsid w:val="00CC3EA3"/>
    <w:rsid w:val="00CC41E6"/>
    <w:rsid w:val="00CC44C3"/>
    <w:rsid w:val="00CC57DC"/>
    <w:rsid w:val="00CC6AB3"/>
    <w:rsid w:val="00CC6CF4"/>
    <w:rsid w:val="00CD5182"/>
    <w:rsid w:val="00CD5663"/>
    <w:rsid w:val="00CD5AB3"/>
    <w:rsid w:val="00CD6050"/>
    <w:rsid w:val="00CE414C"/>
    <w:rsid w:val="00CE4265"/>
    <w:rsid w:val="00CE468A"/>
    <w:rsid w:val="00CF49BA"/>
    <w:rsid w:val="00CF51E2"/>
    <w:rsid w:val="00CF69C7"/>
    <w:rsid w:val="00CF6B00"/>
    <w:rsid w:val="00D01524"/>
    <w:rsid w:val="00D022F3"/>
    <w:rsid w:val="00D03562"/>
    <w:rsid w:val="00D038CA"/>
    <w:rsid w:val="00D040FE"/>
    <w:rsid w:val="00D052A2"/>
    <w:rsid w:val="00D05CC1"/>
    <w:rsid w:val="00D075D2"/>
    <w:rsid w:val="00D07C0C"/>
    <w:rsid w:val="00D11DCD"/>
    <w:rsid w:val="00D127DB"/>
    <w:rsid w:val="00D139F7"/>
    <w:rsid w:val="00D15070"/>
    <w:rsid w:val="00D158FE"/>
    <w:rsid w:val="00D15BAA"/>
    <w:rsid w:val="00D169D1"/>
    <w:rsid w:val="00D1756C"/>
    <w:rsid w:val="00D17CD2"/>
    <w:rsid w:val="00D20AE7"/>
    <w:rsid w:val="00D24CF9"/>
    <w:rsid w:val="00D25653"/>
    <w:rsid w:val="00D25AEA"/>
    <w:rsid w:val="00D31D5C"/>
    <w:rsid w:val="00D31DD5"/>
    <w:rsid w:val="00D31F93"/>
    <w:rsid w:val="00D32EE7"/>
    <w:rsid w:val="00D3556C"/>
    <w:rsid w:val="00D40A1F"/>
    <w:rsid w:val="00D45C39"/>
    <w:rsid w:val="00D46582"/>
    <w:rsid w:val="00D47434"/>
    <w:rsid w:val="00D47DE5"/>
    <w:rsid w:val="00D51254"/>
    <w:rsid w:val="00D61A61"/>
    <w:rsid w:val="00D6234D"/>
    <w:rsid w:val="00D66C02"/>
    <w:rsid w:val="00D670A7"/>
    <w:rsid w:val="00D67267"/>
    <w:rsid w:val="00D70007"/>
    <w:rsid w:val="00D712AA"/>
    <w:rsid w:val="00D7220A"/>
    <w:rsid w:val="00D74037"/>
    <w:rsid w:val="00D75095"/>
    <w:rsid w:val="00D751E6"/>
    <w:rsid w:val="00D76057"/>
    <w:rsid w:val="00D76F0D"/>
    <w:rsid w:val="00D77826"/>
    <w:rsid w:val="00D81382"/>
    <w:rsid w:val="00D8248B"/>
    <w:rsid w:val="00D825E2"/>
    <w:rsid w:val="00D82F7F"/>
    <w:rsid w:val="00D832A4"/>
    <w:rsid w:val="00D83A4E"/>
    <w:rsid w:val="00D85376"/>
    <w:rsid w:val="00D87884"/>
    <w:rsid w:val="00D91C48"/>
    <w:rsid w:val="00D921CE"/>
    <w:rsid w:val="00D92D35"/>
    <w:rsid w:val="00D92FC2"/>
    <w:rsid w:val="00D937CB"/>
    <w:rsid w:val="00DA062F"/>
    <w:rsid w:val="00DA1B67"/>
    <w:rsid w:val="00DA2F9B"/>
    <w:rsid w:val="00DA355F"/>
    <w:rsid w:val="00DA3B83"/>
    <w:rsid w:val="00DA7479"/>
    <w:rsid w:val="00DA7A86"/>
    <w:rsid w:val="00DB0871"/>
    <w:rsid w:val="00DB4724"/>
    <w:rsid w:val="00DB746A"/>
    <w:rsid w:val="00DC0795"/>
    <w:rsid w:val="00DC33E3"/>
    <w:rsid w:val="00DC3449"/>
    <w:rsid w:val="00DC3C0F"/>
    <w:rsid w:val="00DC78B7"/>
    <w:rsid w:val="00DD0843"/>
    <w:rsid w:val="00DD0FFA"/>
    <w:rsid w:val="00DD1F4D"/>
    <w:rsid w:val="00DD2A56"/>
    <w:rsid w:val="00DD37B8"/>
    <w:rsid w:val="00DD6471"/>
    <w:rsid w:val="00DD732B"/>
    <w:rsid w:val="00DD74EE"/>
    <w:rsid w:val="00DE4444"/>
    <w:rsid w:val="00DE4DD0"/>
    <w:rsid w:val="00DE5538"/>
    <w:rsid w:val="00DE6AFE"/>
    <w:rsid w:val="00DF2855"/>
    <w:rsid w:val="00DF2EDE"/>
    <w:rsid w:val="00DF30E3"/>
    <w:rsid w:val="00DF5EF8"/>
    <w:rsid w:val="00DF6812"/>
    <w:rsid w:val="00DF7B17"/>
    <w:rsid w:val="00DF7BDB"/>
    <w:rsid w:val="00DF7FD9"/>
    <w:rsid w:val="00E009C7"/>
    <w:rsid w:val="00E026DE"/>
    <w:rsid w:val="00E035F0"/>
    <w:rsid w:val="00E0504F"/>
    <w:rsid w:val="00E060E4"/>
    <w:rsid w:val="00E06219"/>
    <w:rsid w:val="00E063FA"/>
    <w:rsid w:val="00E1294D"/>
    <w:rsid w:val="00E15970"/>
    <w:rsid w:val="00E168DE"/>
    <w:rsid w:val="00E16D17"/>
    <w:rsid w:val="00E17C22"/>
    <w:rsid w:val="00E206C7"/>
    <w:rsid w:val="00E22AD9"/>
    <w:rsid w:val="00E26A62"/>
    <w:rsid w:val="00E27F6A"/>
    <w:rsid w:val="00E30D03"/>
    <w:rsid w:val="00E33F28"/>
    <w:rsid w:val="00E355C3"/>
    <w:rsid w:val="00E42EB6"/>
    <w:rsid w:val="00E44A7D"/>
    <w:rsid w:val="00E47041"/>
    <w:rsid w:val="00E532CC"/>
    <w:rsid w:val="00E53337"/>
    <w:rsid w:val="00E569D5"/>
    <w:rsid w:val="00E631CB"/>
    <w:rsid w:val="00E64250"/>
    <w:rsid w:val="00E646A1"/>
    <w:rsid w:val="00E64909"/>
    <w:rsid w:val="00E65AEE"/>
    <w:rsid w:val="00E70C43"/>
    <w:rsid w:val="00E73343"/>
    <w:rsid w:val="00E73D97"/>
    <w:rsid w:val="00E75E44"/>
    <w:rsid w:val="00E80A2C"/>
    <w:rsid w:val="00E82600"/>
    <w:rsid w:val="00E8439E"/>
    <w:rsid w:val="00E87C06"/>
    <w:rsid w:val="00E92120"/>
    <w:rsid w:val="00E94039"/>
    <w:rsid w:val="00E942D6"/>
    <w:rsid w:val="00E96285"/>
    <w:rsid w:val="00E96829"/>
    <w:rsid w:val="00EA3317"/>
    <w:rsid w:val="00EA58E0"/>
    <w:rsid w:val="00EB03B2"/>
    <w:rsid w:val="00EB1B0F"/>
    <w:rsid w:val="00EB1D01"/>
    <w:rsid w:val="00EB2645"/>
    <w:rsid w:val="00EB788E"/>
    <w:rsid w:val="00EC05C0"/>
    <w:rsid w:val="00EC0F3B"/>
    <w:rsid w:val="00EC230B"/>
    <w:rsid w:val="00EC23FE"/>
    <w:rsid w:val="00EC5525"/>
    <w:rsid w:val="00EC66F6"/>
    <w:rsid w:val="00EC69F6"/>
    <w:rsid w:val="00ED1CD5"/>
    <w:rsid w:val="00ED23C3"/>
    <w:rsid w:val="00ED733E"/>
    <w:rsid w:val="00EE3956"/>
    <w:rsid w:val="00EE467C"/>
    <w:rsid w:val="00EF08F8"/>
    <w:rsid w:val="00EF2431"/>
    <w:rsid w:val="00EF4B2B"/>
    <w:rsid w:val="00EF547C"/>
    <w:rsid w:val="00EF64DD"/>
    <w:rsid w:val="00EF699E"/>
    <w:rsid w:val="00EF7779"/>
    <w:rsid w:val="00F07731"/>
    <w:rsid w:val="00F07C94"/>
    <w:rsid w:val="00F10862"/>
    <w:rsid w:val="00F11B17"/>
    <w:rsid w:val="00F11F31"/>
    <w:rsid w:val="00F1287C"/>
    <w:rsid w:val="00F14F38"/>
    <w:rsid w:val="00F16D36"/>
    <w:rsid w:val="00F17A10"/>
    <w:rsid w:val="00F17F31"/>
    <w:rsid w:val="00F215A4"/>
    <w:rsid w:val="00F21D5A"/>
    <w:rsid w:val="00F22B80"/>
    <w:rsid w:val="00F22C6E"/>
    <w:rsid w:val="00F24E31"/>
    <w:rsid w:val="00F24F2A"/>
    <w:rsid w:val="00F2544F"/>
    <w:rsid w:val="00F26266"/>
    <w:rsid w:val="00F262B8"/>
    <w:rsid w:val="00F30A3C"/>
    <w:rsid w:val="00F31128"/>
    <w:rsid w:val="00F31141"/>
    <w:rsid w:val="00F33C94"/>
    <w:rsid w:val="00F34D70"/>
    <w:rsid w:val="00F359DE"/>
    <w:rsid w:val="00F4107E"/>
    <w:rsid w:val="00F414B7"/>
    <w:rsid w:val="00F53C0D"/>
    <w:rsid w:val="00F53FBB"/>
    <w:rsid w:val="00F5491F"/>
    <w:rsid w:val="00F55C19"/>
    <w:rsid w:val="00F561D5"/>
    <w:rsid w:val="00F579E3"/>
    <w:rsid w:val="00F648B2"/>
    <w:rsid w:val="00F64C01"/>
    <w:rsid w:val="00F700AC"/>
    <w:rsid w:val="00F72579"/>
    <w:rsid w:val="00F72D3B"/>
    <w:rsid w:val="00F739B3"/>
    <w:rsid w:val="00F7462F"/>
    <w:rsid w:val="00F80953"/>
    <w:rsid w:val="00F80ED0"/>
    <w:rsid w:val="00F82B8E"/>
    <w:rsid w:val="00F83171"/>
    <w:rsid w:val="00F90B6A"/>
    <w:rsid w:val="00F90C30"/>
    <w:rsid w:val="00F91E15"/>
    <w:rsid w:val="00F96BCA"/>
    <w:rsid w:val="00F96CE2"/>
    <w:rsid w:val="00F97368"/>
    <w:rsid w:val="00FA10E9"/>
    <w:rsid w:val="00FA49E9"/>
    <w:rsid w:val="00FA580C"/>
    <w:rsid w:val="00FB331D"/>
    <w:rsid w:val="00FB342B"/>
    <w:rsid w:val="00FB548C"/>
    <w:rsid w:val="00FB5B38"/>
    <w:rsid w:val="00FC1BC2"/>
    <w:rsid w:val="00FC2955"/>
    <w:rsid w:val="00FC40BE"/>
    <w:rsid w:val="00FC63A5"/>
    <w:rsid w:val="00FC737B"/>
    <w:rsid w:val="00FD0087"/>
    <w:rsid w:val="00FD4156"/>
    <w:rsid w:val="00FD427B"/>
    <w:rsid w:val="00FD6BB5"/>
    <w:rsid w:val="00FE2300"/>
    <w:rsid w:val="00FE2542"/>
    <w:rsid w:val="00FE3E52"/>
    <w:rsid w:val="00FE4853"/>
    <w:rsid w:val="00FE50B1"/>
    <w:rsid w:val="00FF0665"/>
    <w:rsid w:val="00FF3434"/>
    <w:rsid w:val="00FF3C5F"/>
    <w:rsid w:val="09690619"/>
    <w:rsid w:val="32B31430"/>
    <w:rsid w:val="3BF000A0"/>
    <w:rsid w:val="765D701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qFormat="1" w:unhideWhenUsed="0" w:uiPriority="99" w:semiHidden="0" w:name="toc 2" w:locked="1"/>
    <w:lsdException w:qFormat="1" w:unhideWhenUsed="0" w:uiPriority="99" w:semiHidden="0" w:name="toc 3" w:locked="1"/>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23"/>
    <w:qFormat/>
    <w:uiPriority w:val="99"/>
    <w:pPr>
      <w:keepNext/>
      <w:keepLines/>
      <w:numPr>
        <w:ilvl w:val="0"/>
        <w:numId w:val="1"/>
      </w:numPr>
      <w:adjustRightInd w:val="0"/>
      <w:spacing w:beforeLines="50" w:afterLines="50" w:line="360" w:lineRule="exact"/>
      <w:jc w:val="left"/>
      <w:textAlignment w:val="baseline"/>
      <w:outlineLvl w:val="0"/>
    </w:pPr>
    <w:rPr>
      <w:rFonts w:eastAsia="黑体"/>
      <w:bCs/>
      <w:color w:val="000000"/>
      <w:kern w:val="44"/>
      <w:sz w:val="28"/>
      <w:szCs w:val="44"/>
    </w:rPr>
  </w:style>
  <w:style w:type="paragraph" w:styleId="3">
    <w:name w:val="heading 2"/>
    <w:basedOn w:val="1"/>
    <w:next w:val="1"/>
    <w:link w:val="24"/>
    <w:qFormat/>
    <w:uiPriority w:val="99"/>
    <w:pPr>
      <w:keepNext/>
      <w:keepLines/>
      <w:numPr>
        <w:ilvl w:val="1"/>
        <w:numId w:val="1"/>
      </w:numPr>
      <w:adjustRightInd w:val="0"/>
      <w:spacing w:before="120" w:afterLines="50" w:line="576" w:lineRule="auto"/>
      <w:jc w:val="left"/>
      <w:textAlignment w:val="baseline"/>
      <w:outlineLvl w:val="1"/>
    </w:pPr>
    <w:rPr>
      <w:rFonts w:eastAsia="黑体"/>
      <w:color w:val="000000"/>
      <w:kern w:val="0"/>
      <w:szCs w:val="28"/>
    </w:rPr>
  </w:style>
  <w:style w:type="paragraph" w:styleId="4">
    <w:name w:val="heading 3"/>
    <w:basedOn w:val="1"/>
    <w:next w:val="1"/>
    <w:link w:val="25"/>
    <w:qFormat/>
    <w:uiPriority w:val="99"/>
    <w:pPr>
      <w:adjustRightInd w:val="0"/>
      <w:spacing w:beforeLines="50" w:afterLines="50" w:line="415" w:lineRule="auto"/>
      <w:ind w:left="720" w:leftChars="200" w:hanging="240" w:hangingChars="100"/>
      <w:textAlignment w:val="baseline"/>
      <w:outlineLvl w:val="2"/>
    </w:pPr>
    <w:rPr>
      <w:color w:val="000000"/>
      <w:kern w:val="0"/>
      <w:szCs w:val="24"/>
    </w:rPr>
  </w:style>
  <w:style w:type="paragraph" w:styleId="5">
    <w:name w:val="heading 4"/>
    <w:basedOn w:val="1"/>
    <w:next w:val="1"/>
    <w:link w:val="26"/>
    <w:qFormat/>
    <w:uiPriority w:val="99"/>
    <w:pPr>
      <w:keepNext/>
      <w:keepLines/>
      <w:numPr>
        <w:ilvl w:val="3"/>
        <w:numId w:val="1"/>
      </w:numPr>
      <w:autoSpaceDE w:val="0"/>
      <w:autoSpaceDN w:val="0"/>
      <w:adjustRightInd w:val="0"/>
      <w:snapToGrid w:val="0"/>
      <w:spacing w:beforeLines="50" w:after="120" w:line="377" w:lineRule="auto"/>
      <w:textAlignment w:val="bottom"/>
      <w:outlineLvl w:val="3"/>
    </w:pPr>
    <w:rPr>
      <w:bCs/>
      <w:color w:val="000000"/>
      <w:kern w:val="0"/>
      <w:szCs w:val="21"/>
    </w:rPr>
  </w:style>
  <w:style w:type="paragraph" w:styleId="6">
    <w:name w:val="heading 5"/>
    <w:basedOn w:val="1"/>
    <w:next w:val="1"/>
    <w:link w:val="27"/>
    <w:qFormat/>
    <w:uiPriority w:val="99"/>
    <w:pPr>
      <w:keepNext/>
      <w:keepLines/>
      <w:numPr>
        <w:ilvl w:val="4"/>
        <w:numId w:val="1"/>
      </w:numPr>
      <w:tabs>
        <w:tab w:val="left" w:pos="3780"/>
      </w:tabs>
      <w:adjustRightInd w:val="0"/>
      <w:spacing w:beforeLines="50" w:afterLines="50" w:line="360" w:lineRule="exact"/>
      <w:jc w:val="left"/>
      <w:textAlignment w:val="baseline"/>
      <w:outlineLvl w:val="4"/>
    </w:pPr>
    <w:rPr>
      <w:rFonts w:ascii="Arial" w:hAnsi="Arial"/>
      <w:b/>
      <w:bCs/>
      <w:color w:val="000000"/>
      <w:kern w:val="0"/>
      <w:szCs w:val="28"/>
    </w:rPr>
  </w:style>
  <w:style w:type="paragraph" w:styleId="7">
    <w:name w:val="heading 6"/>
    <w:basedOn w:val="1"/>
    <w:next w:val="1"/>
    <w:link w:val="28"/>
    <w:qFormat/>
    <w:uiPriority w:val="99"/>
    <w:pPr>
      <w:keepNext/>
      <w:keepLines/>
      <w:spacing w:before="240" w:after="64" w:line="320" w:lineRule="auto"/>
      <w:outlineLvl w:val="5"/>
    </w:pPr>
    <w:rPr>
      <w:rFonts w:ascii="Arial" w:hAnsi="Arial" w:eastAsia="黑体"/>
      <w:b/>
      <w:bCs/>
      <w:szCs w:val="24"/>
    </w:rPr>
  </w:style>
  <w:style w:type="paragraph" w:styleId="8">
    <w:name w:val="heading 7"/>
    <w:basedOn w:val="1"/>
    <w:next w:val="1"/>
    <w:link w:val="29"/>
    <w:qFormat/>
    <w:uiPriority w:val="99"/>
    <w:pPr>
      <w:numPr>
        <w:ilvl w:val="6"/>
        <w:numId w:val="1"/>
      </w:numPr>
      <w:adjustRightInd w:val="0"/>
      <w:spacing w:line="480" w:lineRule="atLeast"/>
      <w:textAlignment w:val="baseline"/>
      <w:outlineLvl w:val="6"/>
    </w:pPr>
    <w:rPr>
      <w:color w:val="000000"/>
      <w:spacing w:val="5"/>
      <w:sz w:val="28"/>
      <w:szCs w:val="20"/>
    </w:rPr>
  </w:style>
  <w:style w:type="character" w:default="1" w:styleId="20">
    <w:name w:val="Default Paragraph Font"/>
    <w:semiHidden/>
    <w:qFormat/>
    <w:uiPriority w:val="99"/>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39"/>
    <w:semiHidden/>
    <w:qFormat/>
    <w:uiPriority w:val="99"/>
    <w:rPr>
      <w:rFonts w:ascii="宋体"/>
      <w:sz w:val="18"/>
      <w:szCs w:val="18"/>
    </w:rPr>
  </w:style>
  <w:style w:type="paragraph" w:styleId="10">
    <w:name w:val="toc 3"/>
    <w:basedOn w:val="1"/>
    <w:next w:val="1"/>
    <w:qFormat/>
    <w:locked/>
    <w:uiPriority w:val="99"/>
    <w:pPr>
      <w:widowControl/>
      <w:spacing w:after="100" w:line="276" w:lineRule="auto"/>
      <w:ind w:left="440"/>
      <w:jc w:val="left"/>
    </w:pPr>
    <w:rPr>
      <w:kern w:val="0"/>
      <w:sz w:val="22"/>
    </w:rPr>
  </w:style>
  <w:style w:type="paragraph" w:styleId="11">
    <w:name w:val="Date"/>
    <w:basedOn w:val="1"/>
    <w:next w:val="1"/>
    <w:link w:val="33"/>
    <w:semiHidden/>
    <w:qFormat/>
    <w:uiPriority w:val="99"/>
    <w:pPr>
      <w:ind w:left="100" w:leftChars="2500"/>
    </w:pPr>
  </w:style>
  <w:style w:type="paragraph" w:styleId="12">
    <w:name w:val="Balloon Text"/>
    <w:basedOn w:val="1"/>
    <w:link w:val="35"/>
    <w:semiHidden/>
    <w:qFormat/>
    <w:uiPriority w:val="99"/>
    <w:rPr>
      <w:sz w:val="18"/>
      <w:szCs w:val="18"/>
    </w:rPr>
  </w:style>
  <w:style w:type="paragraph" w:styleId="13">
    <w:name w:val="footer"/>
    <w:basedOn w:val="1"/>
    <w:link w:val="31"/>
    <w:qFormat/>
    <w:uiPriority w:val="99"/>
    <w:pPr>
      <w:tabs>
        <w:tab w:val="center" w:pos="4153"/>
        <w:tab w:val="right" w:pos="8306"/>
      </w:tabs>
      <w:snapToGrid w:val="0"/>
      <w:jc w:val="left"/>
    </w:pPr>
    <w:rPr>
      <w:sz w:val="18"/>
      <w:szCs w:val="18"/>
    </w:rPr>
  </w:style>
  <w:style w:type="paragraph" w:styleId="14">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locked/>
    <w:uiPriority w:val="99"/>
    <w:pPr>
      <w:widowControl/>
      <w:spacing w:after="100" w:line="276" w:lineRule="auto"/>
      <w:jc w:val="left"/>
    </w:pPr>
    <w:rPr>
      <w:kern w:val="0"/>
      <w:sz w:val="22"/>
    </w:rPr>
  </w:style>
  <w:style w:type="paragraph" w:styleId="16">
    <w:name w:val="toc 2"/>
    <w:basedOn w:val="1"/>
    <w:next w:val="1"/>
    <w:qFormat/>
    <w:locked/>
    <w:uiPriority w:val="99"/>
    <w:pPr>
      <w:widowControl/>
      <w:spacing w:after="100" w:line="276" w:lineRule="auto"/>
      <w:ind w:left="220"/>
      <w:jc w:val="left"/>
    </w:pPr>
    <w:rPr>
      <w:kern w:val="0"/>
      <w:sz w:val="22"/>
    </w:rPr>
  </w:style>
  <w:style w:type="paragraph" w:styleId="17">
    <w:name w:val="Normal (Web)"/>
    <w:basedOn w:val="1"/>
    <w:semiHidden/>
    <w:qFormat/>
    <w:uiPriority w:val="99"/>
    <w:pPr>
      <w:widowControl/>
      <w:spacing w:before="100" w:beforeAutospacing="1" w:after="100" w:afterAutospacing="1" w:line="240" w:lineRule="auto"/>
      <w:jc w:val="left"/>
    </w:pPr>
    <w:rPr>
      <w:rFonts w:ascii="宋体" w:hAnsi="宋体" w:cs="宋体"/>
      <w:kern w:val="0"/>
      <w:szCs w:val="24"/>
    </w:rPr>
  </w:style>
  <w:style w:type="table" w:styleId="19">
    <w:name w:val="Table Grid"/>
    <w:basedOn w:val="18"/>
    <w:qFormat/>
    <w:locked/>
    <w:uiPriority w:val="99"/>
    <w:pPr>
      <w:widowControl w:val="0"/>
      <w:spacing w:line="360" w:lineRule="auto"/>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99"/>
    <w:rPr>
      <w:rFonts w:cs="Times New Roman"/>
      <w:b/>
      <w:bCs/>
    </w:rPr>
  </w:style>
  <w:style w:type="character" w:styleId="22">
    <w:name w:val="Hyperlink"/>
    <w:basedOn w:val="20"/>
    <w:qFormat/>
    <w:uiPriority w:val="99"/>
    <w:rPr>
      <w:rFonts w:cs="Times New Roman"/>
      <w:color w:val="0000FF"/>
      <w:u w:val="single"/>
    </w:rPr>
  </w:style>
  <w:style w:type="character" w:customStyle="1" w:styleId="23">
    <w:name w:val="Heading 1 Char"/>
    <w:basedOn w:val="20"/>
    <w:link w:val="2"/>
    <w:qFormat/>
    <w:locked/>
    <w:uiPriority w:val="99"/>
    <w:rPr>
      <w:rFonts w:ascii="Times New Roman" w:hAnsi="Times New Roman" w:eastAsia="黑体" w:cs="Times New Roman"/>
      <w:bCs/>
      <w:color w:val="000000"/>
      <w:kern w:val="44"/>
      <w:sz w:val="44"/>
      <w:szCs w:val="44"/>
    </w:rPr>
  </w:style>
  <w:style w:type="character" w:customStyle="1" w:styleId="24">
    <w:name w:val="Heading 2 Char"/>
    <w:basedOn w:val="20"/>
    <w:link w:val="3"/>
    <w:qFormat/>
    <w:locked/>
    <w:uiPriority w:val="99"/>
    <w:rPr>
      <w:rFonts w:ascii="Times New Roman" w:hAnsi="Times New Roman" w:eastAsia="黑体" w:cs="Times New Roman"/>
      <w:color w:val="000000"/>
      <w:sz w:val="28"/>
      <w:szCs w:val="28"/>
    </w:rPr>
  </w:style>
  <w:style w:type="character" w:customStyle="1" w:styleId="25">
    <w:name w:val="Heading 3 Char"/>
    <w:basedOn w:val="20"/>
    <w:link w:val="4"/>
    <w:qFormat/>
    <w:locked/>
    <w:uiPriority w:val="99"/>
    <w:rPr>
      <w:rFonts w:ascii="Times New Roman" w:hAnsi="Times New Roman" w:cs="Times New Roman"/>
      <w:color w:val="000000"/>
      <w:sz w:val="24"/>
      <w:szCs w:val="24"/>
    </w:rPr>
  </w:style>
  <w:style w:type="character" w:customStyle="1" w:styleId="26">
    <w:name w:val="Heading 4 Char"/>
    <w:basedOn w:val="20"/>
    <w:link w:val="5"/>
    <w:locked/>
    <w:uiPriority w:val="99"/>
    <w:rPr>
      <w:rFonts w:ascii="Times New Roman" w:hAnsi="Times New Roman" w:cs="Times New Roman"/>
      <w:bCs/>
      <w:color w:val="000000"/>
      <w:sz w:val="21"/>
      <w:szCs w:val="21"/>
    </w:rPr>
  </w:style>
  <w:style w:type="character" w:customStyle="1" w:styleId="27">
    <w:name w:val="Heading 5 Char"/>
    <w:basedOn w:val="20"/>
    <w:link w:val="6"/>
    <w:qFormat/>
    <w:locked/>
    <w:uiPriority w:val="99"/>
    <w:rPr>
      <w:rFonts w:ascii="Arial" w:hAnsi="Arial" w:eastAsia="宋体" w:cs="Times New Roman"/>
      <w:b/>
      <w:bCs/>
      <w:color w:val="000000"/>
      <w:kern w:val="0"/>
      <w:sz w:val="28"/>
      <w:szCs w:val="28"/>
    </w:rPr>
  </w:style>
  <w:style w:type="character" w:customStyle="1" w:styleId="28">
    <w:name w:val="Heading 6 Char"/>
    <w:basedOn w:val="20"/>
    <w:link w:val="7"/>
    <w:qFormat/>
    <w:locked/>
    <w:uiPriority w:val="99"/>
    <w:rPr>
      <w:rFonts w:ascii="Arial" w:hAnsi="Arial" w:eastAsia="黑体" w:cs="Times New Roman"/>
      <w:b/>
      <w:bCs/>
      <w:sz w:val="24"/>
      <w:szCs w:val="24"/>
    </w:rPr>
  </w:style>
  <w:style w:type="character" w:customStyle="1" w:styleId="29">
    <w:name w:val="Heading 7 Char"/>
    <w:basedOn w:val="20"/>
    <w:link w:val="8"/>
    <w:qFormat/>
    <w:locked/>
    <w:uiPriority w:val="99"/>
    <w:rPr>
      <w:rFonts w:ascii="Times New Roman" w:hAnsi="Times New Roman" w:eastAsia="宋体" w:cs="Times New Roman"/>
      <w:color w:val="000000"/>
      <w:spacing w:val="5"/>
      <w:sz w:val="20"/>
      <w:szCs w:val="20"/>
    </w:rPr>
  </w:style>
  <w:style w:type="character" w:customStyle="1" w:styleId="30">
    <w:name w:val="Header Char"/>
    <w:basedOn w:val="20"/>
    <w:link w:val="14"/>
    <w:locked/>
    <w:uiPriority w:val="99"/>
    <w:rPr>
      <w:rFonts w:cs="Times New Roman"/>
      <w:sz w:val="18"/>
      <w:szCs w:val="18"/>
    </w:rPr>
  </w:style>
  <w:style w:type="character" w:customStyle="1" w:styleId="31">
    <w:name w:val="Footer Char"/>
    <w:basedOn w:val="20"/>
    <w:link w:val="13"/>
    <w:locked/>
    <w:uiPriority w:val="99"/>
    <w:rPr>
      <w:rFonts w:cs="Times New Roman"/>
      <w:sz w:val="18"/>
      <w:szCs w:val="18"/>
    </w:rPr>
  </w:style>
  <w:style w:type="paragraph" w:styleId="32">
    <w:name w:val="List Paragraph"/>
    <w:basedOn w:val="1"/>
    <w:qFormat/>
    <w:uiPriority w:val="99"/>
    <w:pPr>
      <w:ind w:firstLine="420" w:firstLineChars="200"/>
    </w:pPr>
  </w:style>
  <w:style w:type="character" w:customStyle="1" w:styleId="33">
    <w:name w:val="Date Char"/>
    <w:basedOn w:val="20"/>
    <w:link w:val="11"/>
    <w:semiHidden/>
    <w:locked/>
    <w:uiPriority w:val="99"/>
    <w:rPr>
      <w:rFonts w:cs="Times New Roman"/>
    </w:rPr>
  </w:style>
  <w:style w:type="character" w:customStyle="1" w:styleId="34">
    <w:name w:val="apple-style-span"/>
    <w:basedOn w:val="20"/>
    <w:qFormat/>
    <w:uiPriority w:val="99"/>
    <w:rPr>
      <w:rFonts w:cs="Times New Roman"/>
    </w:rPr>
  </w:style>
  <w:style w:type="character" w:customStyle="1" w:styleId="35">
    <w:name w:val="Balloon Text Char"/>
    <w:basedOn w:val="20"/>
    <w:link w:val="12"/>
    <w:semiHidden/>
    <w:locked/>
    <w:uiPriority w:val="99"/>
    <w:rPr>
      <w:rFonts w:cs="Times New Roman"/>
      <w:sz w:val="18"/>
      <w:szCs w:val="18"/>
    </w:rPr>
  </w:style>
  <w:style w:type="paragraph" w:customStyle="1" w:styleId="36">
    <w:name w:val="正文."/>
    <w:basedOn w:val="1"/>
    <w:uiPriority w:val="99"/>
    <w:pPr>
      <w:ind w:firstLine="397"/>
    </w:pPr>
    <w:rPr>
      <w:color w:val="000000"/>
      <w:szCs w:val="20"/>
    </w:rPr>
  </w:style>
  <w:style w:type="character" w:customStyle="1" w:styleId="37">
    <w:name w:val="apple-converted-space"/>
    <w:basedOn w:val="20"/>
    <w:uiPriority w:val="99"/>
    <w:rPr>
      <w:rFonts w:cs="Times New Roman"/>
    </w:rPr>
  </w:style>
  <w:style w:type="paragraph" w:customStyle="1" w:styleId="38">
    <w:name w:val="表名"/>
    <w:basedOn w:val="1"/>
    <w:uiPriority w:val="99"/>
    <w:pPr>
      <w:adjustRightInd w:val="0"/>
      <w:jc w:val="center"/>
      <w:textAlignment w:val="baseline"/>
    </w:pPr>
    <w:rPr>
      <w:rFonts w:ascii="黑体" w:eastAsia="黑体"/>
      <w:color w:val="000000"/>
      <w:kern w:val="0"/>
      <w:szCs w:val="24"/>
    </w:rPr>
  </w:style>
  <w:style w:type="character" w:customStyle="1" w:styleId="39">
    <w:name w:val="Document Map Char"/>
    <w:basedOn w:val="20"/>
    <w:link w:val="9"/>
    <w:semiHidden/>
    <w:locked/>
    <w:uiPriority w:val="99"/>
    <w:rPr>
      <w:rFonts w:ascii="宋体" w:eastAsia="宋体" w:cs="Times New Roman"/>
      <w:sz w:val="18"/>
      <w:szCs w:val="18"/>
    </w:rPr>
  </w:style>
  <w:style w:type="paragraph" w:customStyle="1" w:styleId="40">
    <w:name w:val="段"/>
    <w:link w:val="41"/>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41">
    <w:name w:val="段 Char"/>
    <w:basedOn w:val="20"/>
    <w:link w:val="40"/>
    <w:locked/>
    <w:uiPriority w:val="99"/>
    <w:rPr>
      <w:rFonts w:ascii="宋体" w:hAnsi="Times New Roman" w:cs="Times New Roman"/>
      <w:sz w:val="21"/>
      <w:lang w:val="en-US" w:eastAsia="zh-CN" w:bidi="ar-SA"/>
    </w:rPr>
  </w:style>
  <w:style w:type="paragraph" w:customStyle="1" w:styleId="42">
    <w:name w:val="TOC Heading"/>
    <w:basedOn w:val="2"/>
    <w:next w:val="1"/>
    <w:qFormat/>
    <w:uiPriority w:val="99"/>
    <w:pPr>
      <w:widowControl/>
      <w:numPr>
        <w:numId w:val="0"/>
      </w:numPr>
      <w:adjustRightInd/>
      <w:spacing w:beforeLines="0" w:afterLines="0" w:line="276" w:lineRule="auto"/>
      <w:textAlignment w:val="auto"/>
      <w:outlineLvl w:val="9"/>
    </w:pPr>
    <w:rPr>
      <w:rFonts w:ascii="Cambria" w:hAnsi="Cambria" w:eastAsia="宋体"/>
      <w:b/>
      <w:color w:val="365F91"/>
      <w:kern w:val="0"/>
      <w:szCs w:val="28"/>
    </w:rPr>
  </w:style>
  <w:style w:type="paragraph" w:customStyle="1" w:styleId="43">
    <w:name w:val="列出段落1"/>
    <w:basedOn w:val="1"/>
    <w:uiPriority w:val="99"/>
    <w:pPr>
      <w:spacing w:line="240" w:lineRule="auto"/>
      <w:ind w:firstLine="420" w:firstLineChars="200"/>
    </w:pPr>
    <w:rPr>
      <w:sz w:val="21"/>
    </w:rPr>
  </w:style>
  <w:style w:type="paragraph" w:customStyle="1" w:styleId="44">
    <w:name w:val="一级条标题"/>
    <w:next w:val="40"/>
    <w:uiPriority w:val="99"/>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45">
    <w:name w:val="章标题"/>
    <w:next w:val="40"/>
    <w:qFormat/>
    <w:uiPriority w:val="99"/>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6">
    <w:name w:val="二级条标题"/>
    <w:basedOn w:val="44"/>
    <w:next w:val="40"/>
    <w:uiPriority w:val="99"/>
    <w:pPr>
      <w:numPr>
        <w:ilvl w:val="2"/>
      </w:numPr>
      <w:spacing w:before="50" w:after="50"/>
      <w:ind w:left="0"/>
      <w:outlineLvl w:val="3"/>
    </w:pPr>
  </w:style>
  <w:style w:type="paragraph" w:customStyle="1" w:styleId="47">
    <w:name w:val="三级条标题"/>
    <w:basedOn w:val="46"/>
    <w:next w:val="40"/>
    <w:uiPriority w:val="99"/>
    <w:pPr>
      <w:numPr>
        <w:ilvl w:val="3"/>
      </w:numPr>
      <w:outlineLvl w:val="4"/>
    </w:pPr>
  </w:style>
  <w:style w:type="paragraph" w:customStyle="1" w:styleId="48">
    <w:name w:val="四级条标题"/>
    <w:basedOn w:val="47"/>
    <w:next w:val="40"/>
    <w:uiPriority w:val="99"/>
    <w:pPr>
      <w:numPr>
        <w:ilvl w:val="4"/>
      </w:numPr>
      <w:outlineLvl w:val="5"/>
    </w:pPr>
  </w:style>
  <w:style w:type="paragraph" w:customStyle="1" w:styleId="49">
    <w:name w:val="五级条标题"/>
    <w:basedOn w:val="48"/>
    <w:next w:val="40"/>
    <w:uiPriority w:val="99"/>
    <w:pPr>
      <w:numPr>
        <w:ilvl w:val="5"/>
      </w:numPr>
      <w:outlineLvl w:val="6"/>
    </w:pPr>
  </w:style>
  <w:style w:type="paragraph" w:customStyle="1" w:styleId="50">
    <w:name w:val="Char"/>
    <w:basedOn w:val="1"/>
    <w:uiPriority w:val="99"/>
    <w:pPr>
      <w:spacing w:line="240" w:lineRule="auto"/>
    </w:pPr>
    <w:rPr>
      <w:rFonts w:ascii="宋体" w:hAnsi="宋体" w:cs="Courier New"/>
      <w:sz w:val="32"/>
      <w:szCs w:val="32"/>
    </w:rPr>
  </w:style>
  <w:style w:type="paragraph" w:customStyle="1" w:styleId="51">
    <w:name w:val="S-正文"/>
    <w:basedOn w:val="1"/>
    <w:uiPriority w:val="99"/>
    <w:pPr>
      <w:widowControl/>
      <w:ind w:firstLine="200" w:firstLineChars="200"/>
      <w:jc w:val="left"/>
    </w:pPr>
    <w:rPr>
      <w:rFonts w:ascii="仿宋_GB2312" w:hAnsi="Calibri" w:eastAsia="仿宋_GB2312" w:cs="仿宋_GB2312"/>
      <w:sz w:val="28"/>
      <w:szCs w:val="24"/>
    </w:rPr>
  </w:style>
  <w:style w:type="paragraph" w:customStyle="1" w:styleId="52">
    <w:name w:val="正文表标题"/>
    <w:next w:val="40"/>
    <w:uiPriority w:val="99"/>
    <w:pPr>
      <w:tabs>
        <w:tab w:val="left" w:pos="360"/>
      </w:tabs>
      <w:spacing w:beforeLines="50" w:afterLines="50"/>
      <w:jc w:val="center"/>
    </w:pPr>
    <w:rPr>
      <w:rFonts w:ascii="黑体" w:hAnsi="Times New Roman" w:eastAsia="黑体" w:cs="Times New Roman"/>
      <w:kern w:val="0"/>
      <w:sz w:val="21"/>
      <w:szCs w:val="22"/>
      <w:lang w:val="en-US" w:eastAsia="zh-CN" w:bidi="ar-SA"/>
    </w:rPr>
  </w:style>
  <w:style w:type="paragraph" w:customStyle="1" w:styleId="53">
    <w:name w:val="列出段落2"/>
    <w:basedOn w:val="1"/>
    <w:uiPriority w:val="99"/>
    <w:pPr>
      <w:spacing w:line="240" w:lineRule="auto"/>
      <w:ind w:firstLine="420" w:firstLineChars="200"/>
    </w:pPr>
    <w:rPr>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microsoft.com/office/2011/relationships/people" Target="people.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jpeg"/><Relationship Id="rId13" Type="http://schemas.openxmlformats.org/officeDocument/2006/relationships/image" Target="media/image6.jpeg"/><Relationship Id="rId12" Type="http://schemas.openxmlformats.org/officeDocument/2006/relationships/image" Target="media/image5.e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 (Beijing) Limited</Company>
  <Pages>55</Pages>
  <Words>2204</Words>
  <Characters>2400</Characters>
  <Lines>0</Lines>
  <Paragraphs>0</Paragraphs>
  <TotalTime>0</TotalTime>
  <ScaleCrop>false</ScaleCrop>
  <LinksUpToDate>false</LinksUpToDate>
  <CharactersWithSpaces>2540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2017-09-06T13:42:00Z</dcterms:created>
  <dc:creator>webuser</dc:creator>
  <cp:lastModifiedBy>赵旭</cp:lastModifiedBy>
  <cp:lastPrinted>2017-09-08T07:39:00Z</cp:lastPrinted>
  <dcterms:modified xsi:type="dcterms:W3CDTF">2025-04-11T02:31:02Z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eyJoZGlkIjoiYjQ4NmM3ZGU0MzFkYTQzMTExZDdhYTk5MDczNzcxNmUiLCJ1c2VySWQiOiIxMDgyMzM2MzI3In0=</vt:lpwstr>
  </property>
  <property fmtid="{D5CDD505-2E9C-101B-9397-08002B2CF9AE}" pid="4" name="ICV">
    <vt:lpwstr>0C4A713EBCB64334B4AC485E4AD532FC_12</vt:lpwstr>
  </property>
</Properties>
</file>