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881ED">
      <w:pPr>
        <w:ind w:firstLine="198" w:firstLineChars="62"/>
        <w:rPr>
          <w:rFonts w:ascii="黑体" w:hAnsi="黑体" w:eastAsia="黑体"/>
          <w:color w:val="000000"/>
          <w:kern w:val="0"/>
          <w:sz w:val="32"/>
          <w:szCs w:val="32"/>
        </w:rPr>
      </w:pPr>
      <w:bookmarkStart w:id="0" w:name="_Toc510449701"/>
      <w:bookmarkStart w:id="1" w:name="_Toc510983302"/>
      <w:bookmarkStart w:id="2" w:name="_Toc510984040"/>
      <w:bookmarkStart w:id="3" w:name="_Hlk497483184"/>
      <w:r>
        <w:rPr>
          <w:rFonts w:hint="eastAsia" w:ascii="黑体" w:eastAsia="黑体" w:cs="黑体"/>
          <w:sz w:val="32"/>
          <w:szCs w:val="32"/>
        </w:rPr>
        <w:t>京环函〔</w:t>
      </w:r>
      <w:r>
        <w:rPr>
          <w:rFonts w:ascii="黑体" w:eastAsia="黑体" w:cs="黑体"/>
          <w:sz w:val="32"/>
          <w:szCs w:val="32"/>
        </w:rPr>
        <w:t>2019</w:t>
      </w:r>
      <w:r>
        <w:rPr>
          <w:rFonts w:hint="eastAsia" w:ascii="黑体" w:eastAsia="黑体" w:cs="黑体"/>
          <w:sz w:val="32"/>
          <w:szCs w:val="32"/>
        </w:rPr>
        <w:t>〕</w:t>
      </w:r>
      <w:r>
        <w:rPr>
          <w:rFonts w:ascii="黑体" w:eastAsia="黑体" w:cs="黑体"/>
          <w:sz w:val="32"/>
          <w:szCs w:val="32"/>
        </w:rPr>
        <w:t>352</w:t>
      </w:r>
      <w:r>
        <w:rPr>
          <w:rFonts w:hint="eastAsia" w:ascii="黑体" w:eastAsia="黑体" w:cs="黑体"/>
          <w:sz w:val="32"/>
          <w:szCs w:val="32"/>
        </w:rPr>
        <w:t>号附件</w:t>
      </w:r>
      <w:r>
        <w:rPr>
          <w:rFonts w:ascii="黑体" w:eastAsia="黑体" w:cs="黑体"/>
          <w:sz w:val="32"/>
          <w:szCs w:val="32"/>
        </w:rPr>
        <w:t>3</w:t>
      </w:r>
    </w:p>
    <w:p w14:paraId="452F5D25">
      <w:pPr>
        <w:pStyle w:val="19"/>
        <w:adjustRightInd w:val="0"/>
        <w:snapToGrid w:val="0"/>
        <w:spacing w:before="0" w:after="0" w:line="480" w:lineRule="auto"/>
        <w:ind w:firstLine="0" w:firstLineChars="0"/>
        <w:jc w:val="both"/>
        <w:outlineLvl w:val="9"/>
        <w:rPr>
          <w:rFonts w:ascii="Times New Roman" w:hAnsi="Times New Roman" w:eastAsia="黑体" w:cs="Times New Roman"/>
          <w:sz w:val="48"/>
          <w:szCs w:val="48"/>
        </w:rPr>
      </w:pPr>
    </w:p>
    <w:p w14:paraId="33F70637">
      <w:pPr>
        <w:ind w:firstLine="0" w:firstLineChars="0"/>
        <w:rPr>
          <w:rFonts w:eastAsia="黑体"/>
          <w:sz w:val="48"/>
          <w:szCs w:val="48"/>
        </w:rPr>
      </w:pPr>
    </w:p>
    <w:p w14:paraId="5B2F58F6">
      <w:pPr>
        <w:spacing w:line="720" w:lineRule="auto"/>
        <w:ind w:firstLine="0" w:firstLineChars="0"/>
        <w:jc w:val="center"/>
        <w:rPr>
          <w:rFonts w:eastAsia="黑体"/>
          <w:sz w:val="40"/>
          <w:szCs w:val="40"/>
        </w:rPr>
      </w:pPr>
      <w:r>
        <w:rPr>
          <w:rFonts w:hint="eastAsia" w:eastAsia="黑体" w:cs="黑体"/>
          <w:sz w:val="40"/>
          <w:szCs w:val="40"/>
        </w:rPr>
        <w:t>《</w:t>
      </w:r>
      <w:bookmarkStart w:id="4" w:name="OLE_LINK1"/>
      <w:r>
        <w:rPr>
          <w:rFonts w:hint="eastAsia" w:eastAsia="黑体" w:cs="黑体"/>
          <w:sz w:val="40"/>
          <w:szCs w:val="40"/>
        </w:rPr>
        <w:t>液</w:t>
      </w:r>
      <w:bookmarkStart w:id="5" w:name="StandardName"/>
      <w:r>
        <w:rPr>
          <w:rFonts w:hint="eastAsia" w:eastAsia="黑体" w:cs="黑体"/>
          <w:sz w:val="40"/>
          <w:szCs w:val="40"/>
        </w:rPr>
        <w:t>氨贮存使用</w:t>
      </w:r>
      <w:bookmarkEnd w:id="4"/>
      <w:r>
        <w:rPr>
          <w:rFonts w:hint="eastAsia" w:eastAsia="黑体" w:cs="黑体"/>
          <w:sz w:val="40"/>
          <w:szCs w:val="40"/>
        </w:rPr>
        <w:t>单位环境风险防控技术规范</w:t>
      </w:r>
      <w:bookmarkEnd w:id="5"/>
      <w:r>
        <w:rPr>
          <w:rFonts w:hint="eastAsia" w:eastAsia="黑体" w:cs="黑体"/>
          <w:sz w:val="40"/>
          <w:szCs w:val="40"/>
        </w:rPr>
        <w:t>》</w:t>
      </w:r>
    </w:p>
    <w:p w14:paraId="138F0CD2">
      <w:pPr>
        <w:spacing w:line="720" w:lineRule="auto"/>
        <w:ind w:firstLine="0" w:firstLineChars="0"/>
        <w:jc w:val="center"/>
        <w:rPr>
          <w:rFonts w:eastAsia="黑体"/>
          <w:sz w:val="40"/>
          <w:szCs w:val="40"/>
        </w:rPr>
      </w:pPr>
      <w:r>
        <w:rPr>
          <w:rFonts w:hint="eastAsia" w:eastAsia="黑体" w:cs="黑体"/>
          <w:sz w:val="40"/>
          <w:szCs w:val="40"/>
        </w:rPr>
        <w:t>编制</w:t>
      </w:r>
      <w:bookmarkEnd w:id="0"/>
      <w:r>
        <w:rPr>
          <w:rFonts w:hint="eastAsia" w:eastAsia="黑体" w:cs="黑体"/>
          <w:sz w:val="40"/>
          <w:szCs w:val="40"/>
        </w:rPr>
        <w:t>说明</w:t>
      </w:r>
      <w:bookmarkEnd w:id="1"/>
      <w:bookmarkEnd w:id="2"/>
    </w:p>
    <w:p w14:paraId="53171E07">
      <w:pPr>
        <w:pStyle w:val="19"/>
        <w:spacing w:line="240" w:lineRule="auto"/>
        <w:ind w:firstLine="0" w:firstLineChars="0"/>
        <w:outlineLvl w:val="9"/>
        <w:rPr>
          <w:rFonts w:ascii="Times New Roman" w:hAnsi="Times New Roman" w:cs="Times New Roman"/>
          <w:sz w:val="52"/>
          <w:szCs w:val="52"/>
        </w:rPr>
      </w:pPr>
    </w:p>
    <w:p w14:paraId="6DB196FC">
      <w:pPr>
        <w:pStyle w:val="19"/>
        <w:spacing w:line="240" w:lineRule="auto"/>
        <w:ind w:firstLine="0" w:firstLineChars="0"/>
        <w:outlineLvl w:val="9"/>
        <w:rPr>
          <w:rFonts w:ascii="Times New Roman" w:hAnsi="Times New Roman" w:cs="Times New Roman"/>
          <w:sz w:val="52"/>
          <w:szCs w:val="52"/>
        </w:rPr>
      </w:pPr>
    </w:p>
    <w:p w14:paraId="75EB8CC1">
      <w:pPr>
        <w:pStyle w:val="19"/>
        <w:spacing w:line="240" w:lineRule="auto"/>
        <w:ind w:firstLine="0" w:firstLineChars="0"/>
        <w:outlineLvl w:val="9"/>
        <w:rPr>
          <w:rFonts w:ascii="Times New Roman" w:hAnsi="Times New Roman" w:cs="Times New Roman"/>
          <w:sz w:val="52"/>
          <w:szCs w:val="52"/>
        </w:rPr>
      </w:pPr>
    </w:p>
    <w:p w14:paraId="770F8754">
      <w:pPr>
        <w:ind w:firstLine="480"/>
      </w:pPr>
    </w:p>
    <w:p w14:paraId="169BDA6B">
      <w:pPr>
        <w:pStyle w:val="19"/>
        <w:spacing w:line="240" w:lineRule="auto"/>
        <w:ind w:firstLine="0" w:firstLineChars="0"/>
        <w:outlineLvl w:val="9"/>
        <w:rPr>
          <w:rFonts w:ascii="Times New Roman" w:hAnsi="Times New Roman" w:cs="Times New Roman"/>
          <w:sz w:val="52"/>
          <w:szCs w:val="52"/>
        </w:rPr>
      </w:pPr>
    </w:p>
    <w:p w14:paraId="1EA8AC02">
      <w:pPr>
        <w:ind w:firstLine="480"/>
      </w:pPr>
    </w:p>
    <w:p w14:paraId="49B84C5F">
      <w:pPr>
        <w:ind w:firstLine="480"/>
      </w:pPr>
    </w:p>
    <w:p w14:paraId="12198BFB">
      <w:pPr>
        <w:ind w:firstLine="480"/>
      </w:pPr>
    </w:p>
    <w:p w14:paraId="7F9F183C">
      <w:pPr>
        <w:ind w:firstLine="480"/>
      </w:pPr>
    </w:p>
    <w:p w14:paraId="7DAB2C18">
      <w:pPr>
        <w:ind w:firstLine="480"/>
      </w:pPr>
    </w:p>
    <w:p w14:paraId="16050B25">
      <w:pPr>
        <w:ind w:firstLine="480"/>
      </w:pPr>
    </w:p>
    <w:p w14:paraId="779B22CD">
      <w:pPr>
        <w:ind w:firstLine="480"/>
      </w:pPr>
    </w:p>
    <w:p w14:paraId="0678FAC4">
      <w:pPr>
        <w:spacing w:line="720" w:lineRule="auto"/>
        <w:ind w:firstLine="0" w:firstLineChars="0"/>
        <w:jc w:val="center"/>
        <w:rPr>
          <w:rFonts w:eastAsia="黑体"/>
          <w:sz w:val="28"/>
          <w:szCs w:val="28"/>
        </w:rPr>
      </w:pPr>
      <w:r>
        <w:rPr>
          <w:rFonts w:hint="eastAsia" w:eastAsia="黑体" w:cs="黑体"/>
          <w:sz w:val="28"/>
          <w:szCs w:val="28"/>
        </w:rPr>
        <w:t>标准编制组</w:t>
      </w:r>
    </w:p>
    <w:p w14:paraId="483E6C09">
      <w:pPr>
        <w:spacing w:line="720" w:lineRule="auto"/>
        <w:ind w:firstLine="0" w:firstLineChars="0"/>
        <w:jc w:val="center"/>
        <w:rPr>
          <w:rFonts w:eastAsia="黑体"/>
          <w:sz w:val="28"/>
          <w:szCs w:val="28"/>
        </w:rPr>
      </w:pPr>
      <w:r>
        <w:rPr>
          <w:rFonts w:hint="eastAsia" w:eastAsia="黑体" w:cs="黑体"/>
          <w:sz w:val="28"/>
          <w:szCs w:val="28"/>
        </w:rPr>
        <w:t>二零一九年三月</w:t>
      </w:r>
    </w:p>
    <w:p w14:paraId="132C07FA">
      <w:pPr>
        <w:spacing w:line="720" w:lineRule="auto"/>
        <w:ind w:firstLine="0" w:firstLineChars="0"/>
        <w:jc w:val="center"/>
        <w:rPr>
          <w:rFonts w:eastAsia="黑体"/>
          <w:sz w:val="28"/>
          <w:szCs w:val="28"/>
        </w:rPr>
      </w:pPr>
    </w:p>
    <w:p w14:paraId="0037DE18">
      <w:pPr>
        <w:spacing w:line="720" w:lineRule="auto"/>
        <w:ind w:firstLine="0" w:firstLineChars="0"/>
        <w:jc w:val="center"/>
        <w:rPr>
          <w:rFonts w:eastAsia="黑体"/>
          <w:sz w:val="28"/>
          <w:szCs w:val="28"/>
        </w:rPr>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720" w:num="1"/>
          <w:titlePg/>
          <w:docGrid w:type="lines" w:linePitch="312" w:charSpace="0"/>
        </w:sectPr>
      </w:pPr>
    </w:p>
    <w:p w14:paraId="476D6864">
      <w:pPr>
        <w:pStyle w:val="14"/>
        <w:tabs>
          <w:tab w:val="right" w:leader="dot" w:pos="8306"/>
        </w:tabs>
        <w:jc w:val="center"/>
        <w:rPr>
          <w:rFonts w:eastAsia="微软雅黑"/>
          <w:sz w:val="32"/>
          <w:szCs w:val="32"/>
        </w:rPr>
      </w:pPr>
    </w:p>
    <w:p w14:paraId="1527B9C2">
      <w:pPr>
        <w:ind w:firstLine="480"/>
      </w:pPr>
    </w:p>
    <w:p w14:paraId="3211052E">
      <w:pPr>
        <w:pStyle w:val="14"/>
        <w:tabs>
          <w:tab w:val="right" w:leader="dot" w:pos="8306"/>
        </w:tabs>
        <w:jc w:val="center"/>
        <w:rPr>
          <w:rFonts w:eastAsia="微软雅黑"/>
          <w:sz w:val="32"/>
          <w:szCs w:val="32"/>
        </w:rPr>
      </w:pPr>
      <w:r>
        <w:rPr>
          <w:rFonts w:hint="eastAsia" w:eastAsia="微软雅黑" w:cs="微软雅黑"/>
          <w:sz w:val="32"/>
          <w:szCs w:val="32"/>
        </w:rPr>
        <w:t>目</w:t>
      </w:r>
      <w:r>
        <w:rPr>
          <w:rFonts w:eastAsia="微软雅黑"/>
          <w:sz w:val="32"/>
          <w:szCs w:val="32"/>
        </w:rPr>
        <w:t xml:space="preserve">      </w:t>
      </w:r>
      <w:r>
        <w:rPr>
          <w:rFonts w:hint="eastAsia" w:eastAsia="微软雅黑" w:cs="微软雅黑"/>
          <w:sz w:val="32"/>
          <w:szCs w:val="32"/>
        </w:rPr>
        <w:t>录</w:t>
      </w:r>
    </w:p>
    <w:p w14:paraId="195ED08A">
      <w:pPr>
        <w:ind w:firstLine="480"/>
      </w:pPr>
    </w:p>
    <w:p w14:paraId="1FB8EBD4">
      <w:pPr>
        <w:pStyle w:val="14"/>
        <w:tabs>
          <w:tab w:val="right" w:leader="dot" w:pos="8296"/>
        </w:tabs>
        <w:rPr>
          <w:sz w:val="21"/>
          <w:szCs w:val="21"/>
        </w:rPr>
      </w:pPr>
      <w:r>
        <w:rPr>
          <w:rFonts w:eastAsia="微软雅黑"/>
          <w:sz w:val="21"/>
          <w:szCs w:val="21"/>
        </w:rPr>
        <w:fldChar w:fldCharType="begin"/>
      </w:r>
      <w:r>
        <w:rPr>
          <w:rFonts w:eastAsia="微软雅黑"/>
          <w:sz w:val="21"/>
          <w:szCs w:val="21"/>
        </w:rPr>
        <w:instrText xml:space="preserve">TOC \o "1-2" \h \u </w:instrText>
      </w:r>
      <w:r>
        <w:rPr>
          <w:rFonts w:eastAsia="微软雅黑"/>
          <w:sz w:val="21"/>
          <w:szCs w:val="21"/>
        </w:rPr>
        <w:fldChar w:fldCharType="separate"/>
      </w:r>
      <w:r>
        <w:fldChar w:fldCharType="begin"/>
      </w:r>
      <w:r>
        <w:instrText xml:space="preserve"> HYPERLINK \l "_Toc13753231" </w:instrText>
      </w:r>
      <w:r>
        <w:fldChar w:fldCharType="separate"/>
      </w:r>
      <w:r>
        <w:rPr>
          <w:rStyle w:val="26"/>
          <w:rFonts w:hint="eastAsia" w:cs="宋体"/>
        </w:rPr>
        <w:t>一、项目背景</w:t>
      </w:r>
      <w:r>
        <w:tab/>
      </w:r>
      <w:r>
        <w:fldChar w:fldCharType="begin"/>
      </w:r>
      <w:r>
        <w:instrText xml:space="preserve"> PAGEREF _Toc13753231 \h </w:instrText>
      </w:r>
      <w:r>
        <w:fldChar w:fldCharType="separate"/>
      </w:r>
      <w:r>
        <w:t>3</w:t>
      </w:r>
      <w:r>
        <w:fldChar w:fldCharType="end"/>
      </w:r>
      <w:r>
        <w:fldChar w:fldCharType="end"/>
      </w:r>
    </w:p>
    <w:p w14:paraId="570DFFC1">
      <w:pPr>
        <w:pStyle w:val="17"/>
        <w:ind w:firstLine="480"/>
        <w:rPr>
          <w:sz w:val="21"/>
          <w:szCs w:val="21"/>
        </w:rPr>
      </w:pPr>
      <w:r>
        <w:fldChar w:fldCharType="begin"/>
      </w:r>
      <w:r>
        <w:instrText xml:space="preserve"> HYPERLINK \l "_Toc13753232" </w:instrText>
      </w:r>
      <w:r>
        <w:fldChar w:fldCharType="separate"/>
      </w:r>
      <w:r>
        <w:rPr>
          <w:rStyle w:val="26"/>
        </w:rPr>
        <w:t>1.1</w:t>
      </w:r>
      <w:r>
        <w:rPr>
          <w:rStyle w:val="26"/>
          <w:rFonts w:hint="eastAsia" w:cs="宋体"/>
        </w:rPr>
        <w:t>任务来源</w:t>
      </w:r>
      <w:r>
        <w:tab/>
      </w:r>
      <w:r>
        <w:fldChar w:fldCharType="begin"/>
      </w:r>
      <w:r>
        <w:instrText xml:space="preserve"> PAGEREF _Toc13753232 \h </w:instrText>
      </w:r>
      <w:r>
        <w:fldChar w:fldCharType="separate"/>
      </w:r>
      <w:r>
        <w:t>3</w:t>
      </w:r>
      <w:r>
        <w:fldChar w:fldCharType="end"/>
      </w:r>
      <w:r>
        <w:fldChar w:fldCharType="end"/>
      </w:r>
    </w:p>
    <w:p w14:paraId="089ECEC6">
      <w:pPr>
        <w:pStyle w:val="17"/>
        <w:ind w:firstLine="480"/>
        <w:rPr>
          <w:sz w:val="21"/>
          <w:szCs w:val="21"/>
        </w:rPr>
      </w:pPr>
      <w:r>
        <w:fldChar w:fldCharType="begin"/>
      </w:r>
      <w:r>
        <w:instrText xml:space="preserve"> HYPERLINK \l "_Toc13753233" </w:instrText>
      </w:r>
      <w:r>
        <w:fldChar w:fldCharType="separate"/>
      </w:r>
      <w:r>
        <w:rPr>
          <w:rStyle w:val="26"/>
        </w:rPr>
        <w:t>1.2</w:t>
      </w:r>
      <w:r>
        <w:rPr>
          <w:rStyle w:val="26"/>
          <w:rFonts w:hint="eastAsia" w:cs="宋体"/>
        </w:rPr>
        <w:t>起草单位</w:t>
      </w:r>
      <w:r>
        <w:tab/>
      </w:r>
      <w:r>
        <w:fldChar w:fldCharType="begin"/>
      </w:r>
      <w:r>
        <w:instrText xml:space="preserve"> PAGEREF _Toc13753233 \h </w:instrText>
      </w:r>
      <w:r>
        <w:fldChar w:fldCharType="separate"/>
      </w:r>
      <w:r>
        <w:t>4</w:t>
      </w:r>
      <w:r>
        <w:fldChar w:fldCharType="end"/>
      </w:r>
      <w:r>
        <w:fldChar w:fldCharType="end"/>
      </w:r>
    </w:p>
    <w:p w14:paraId="78E3D6CC">
      <w:pPr>
        <w:pStyle w:val="17"/>
        <w:ind w:firstLine="480"/>
        <w:rPr>
          <w:sz w:val="21"/>
          <w:szCs w:val="21"/>
        </w:rPr>
      </w:pPr>
      <w:r>
        <w:fldChar w:fldCharType="begin"/>
      </w:r>
      <w:r>
        <w:instrText xml:space="preserve"> HYPERLINK \l "_Toc13753234" </w:instrText>
      </w:r>
      <w:r>
        <w:fldChar w:fldCharType="separate"/>
      </w:r>
      <w:r>
        <w:rPr>
          <w:rStyle w:val="26"/>
        </w:rPr>
        <w:t>1.3</w:t>
      </w:r>
      <w:r>
        <w:rPr>
          <w:rStyle w:val="26"/>
          <w:rFonts w:hint="eastAsia" w:cs="宋体"/>
        </w:rPr>
        <w:t>起草人员</w:t>
      </w:r>
      <w:r>
        <w:tab/>
      </w:r>
      <w:r>
        <w:fldChar w:fldCharType="begin"/>
      </w:r>
      <w:r>
        <w:instrText xml:space="preserve"> PAGEREF _Toc13753234 \h </w:instrText>
      </w:r>
      <w:r>
        <w:fldChar w:fldCharType="separate"/>
      </w:r>
      <w:r>
        <w:t>4</w:t>
      </w:r>
      <w:r>
        <w:fldChar w:fldCharType="end"/>
      </w:r>
      <w:r>
        <w:fldChar w:fldCharType="end"/>
      </w:r>
    </w:p>
    <w:p w14:paraId="02886C7F">
      <w:pPr>
        <w:pStyle w:val="14"/>
        <w:tabs>
          <w:tab w:val="right" w:leader="dot" w:pos="8296"/>
        </w:tabs>
        <w:rPr>
          <w:sz w:val="21"/>
          <w:szCs w:val="21"/>
        </w:rPr>
      </w:pPr>
      <w:r>
        <w:fldChar w:fldCharType="begin"/>
      </w:r>
      <w:r>
        <w:instrText xml:space="preserve"> HYPERLINK \l "_Toc13753235" </w:instrText>
      </w:r>
      <w:r>
        <w:fldChar w:fldCharType="separate"/>
      </w:r>
      <w:r>
        <w:rPr>
          <w:rStyle w:val="26"/>
          <w:rFonts w:hint="eastAsia" w:cs="宋体"/>
        </w:rPr>
        <w:t>二、工作过程</w:t>
      </w:r>
      <w:r>
        <w:tab/>
      </w:r>
      <w:r>
        <w:fldChar w:fldCharType="begin"/>
      </w:r>
      <w:r>
        <w:instrText xml:space="preserve"> PAGEREF _Toc13753235 \h </w:instrText>
      </w:r>
      <w:r>
        <w:fldChar w:fldCharType="separate"/>
      </w:r>
      <w:r>
        <w:t>4</w:t>
      </w:r>
      <w:r>
        <w:fldChar w:fldCharType="end"/>
      </w:r>
      <w:r>
        <w:fldChar w:fldCharType="end"/>
      </w:r>
    </w:p>
    <w:p w14:paraId="72269434">
      <w:pPr>
        <w:pStyle w:val="14"/>
        <w:tabs>
          <w:tab w:val="right" w:leader="dot" w:pos="8296"/>
        </w:tabs>
        <w:rPr>
          <w:sz w:val="21"/>
          <w:szCs w:val="21"/>
        </w:rPr>
      </w:pPr>
      <w:r>
        <w:fldChar w:fldCharType="begin"/>
      </w:r>
      <w:r>
        <w:instrText xml:space="preserve"> HYPERLINK \l "_Toc13753236" </w:instrText>
      </w:r>
      <w:r>
        <w:fldChar w:fldCharType="separate"/>
      </w:r>
      <w:r>
        <w:rPr>
          <w:rStyle w:val="26"/>
          <w:rFonts w:hint="eastAsia" w:cs="宋体"/>
        </w:rPr>
        <w:t>三、标准的必要性分析</w:t>
      </w:r>
      <w:r>
        <w:tab/>
      </w:r>
      <w:r>
        <w:fldChar w:fldCharType="begin"/>
      </w:r>
      <w:r>
        <w:instrText xml:space="preserve"> PAGEREF _Toc13753236 \h </w:instrText>
      </w:r>
      <w:r>
        <w:fldChar w:fldCharType="separate"/>
      </w:r>
      <w:r>
        <w:t>5</w:t>
      </w:r>
      <w:r>
        <w:fldChar w:fldCharType="end"/>
      </w:r>
      <w:r>
        <w:fldChar w:fldCharType="end"/>
      </w:r>
    </w:p>
    <w:p w14:paraId="2DAA7F5A">
      <w:pPr>
        <w:pStyle w:val="14"/>
        <w:tabs>
          <w:tab w:val="right" w:leader="dot" w:pos="8296"/>
        </w:tabs>
        <w:rPr>
          <w:sz w:val="21"/>
          <w:szCs w:val="21"/>
        </w:rPr>
      </w:pPr>
      <w:r>
        <w:fldChar w:fldCharType="begin"/>
      </w:r>
      <w:r>
        <w:instrText xml:space="preserve"> HYPERLINK \l "_Toc13753237" </w:instrText>
      </w:r>
      <w:r>
        <w:fldChar w:fldCharType="separate"/>
      </w:r>
      <w:r>
        <w:rPr>
          <w:rStyle w:val="26"/>
          <w:rFonts w:hint="eastAsia" w:cs="宋体"/>
        </w:rPr>
        <w:t>四、液氨贮存使用单位概况</w:t>
      </w:r>
      <w:r>
        <w:tab/>
      </w:r>
      <w:r>
        <w:fldChar w:fldCharType="begin"/>
      </w:r>
      <w:r>
        <w:instrText xml:space="preserve"> PAGEREF _Toc13753237 \h </w:instrText>
      </w:r>
      <w:r>
        <w:fldChar w:fldCharType="separate"/>
      </w:r>
      <w:r>
        <w:t>6</w:t>
      </w:r>
      <w:r>
        <w:fldChar w:fldCharType="end"/>
      </w:r>
      <w:r>
        <w:fldChar w:fldCharType="end"/>
      </w:r>
    </w:p>
    <w:p w14:paraId="2D42024F">
      <w:pPr>
        <w:pStyle w:val="17"/>
        <w:ind w:firstLine="480"/>
        <w:rPr>
          <w:sz w:val="21"/>
          <w:szCs w:val="21"/>
        </w:rPr>
      </w:pPr>
      <w:r>
        <w:fldChar w:fldCharType="begin"/>
      </w:r>
      <w:r>
        <w:instrText xml:space="preserve"> HYPERLINK \l "_Toc13753238" </w:instrText>
      </w:r>
      <w:r>
        <w:fldChar w:fldCharType="separate"/>
      </w:r>
      <w:r>
        <w:rPr>
          <w:rStyle w:val="26"/>
        </w:rPr>
        <w:t>4.1</w:t>
      </w:r>
      <w:r>
        <w:rPr>
          <w:rStyle w:val="26"/>
          <w:rFonts w:hint="eastAsia" w:cs="宋体"/>
        </w:rPr>
        <w:t>天津市、河北省基本情况</w:t>
      </w:r>
      <w:r>
        <w:tab/>
      </w:r>
      <w:r>
        <w:fldChar w:fldCharType="begin"/>
      </w:r>
      <w:r>
        <w:instrText xml:space="preserve"> PAGEREF _Toc13753238 \h </w:instrText>
      </w:r>
      <w:r>
        <w:fldChar w:fldCharType="separate"/>
      </w:r>
      <w:r>
        <w:t>6</w:t>
      </w:r>
      <w:r>
        <w:fldChar w:fldCharType="end"/>
      </w:r>
      <w:r>
        <w:fldChar w:fldCharType="end"/>
      </w:r>
    </w:p>
    <w:p w14:paraId="7EDA72B4">
      <w:pPr>
        <w:pStyle w:val="17"/>
        <w:ind w:firstLine="480"/>
        <w:rPr>
          <w:sz w:val="21"/>
          <w:szCs w:val="21"/>
        </w:rPr>
      </w:pPr>
      <w:r>
        <w:fldChar w:fldCharType="begin"/>
      </w:r>
      <w:r>
        <w:instrText xml:space="preserve"> HYPERLINK \l "_Toc13753239" </w:instrText>
      </w:r>
      <w:r>
        <w:fldChar w:fldCharType="separate"/>
      </w:r>
      <w:r>
        <w:rPr>
          <w:rStyle w:val="26"/>
        </w:rPr>
        <w:t>4.2</w:t>
      </w:r>
      <w:r>
        <w:rPr>
          <w:rStyle w:val="26"/>
          <w:rFonts w:hint="eastAsia" w:cs="宋体"/>
        </w:rPr>
        <w:t>北京市基本情况</w:t>
      </w:r>
      <w:r>
        <w:tab/>
      </w:r>
      <w:r>
        <w:fldChar w:fldCharType="begin"/>
      </w:r>
      <w:r>
        <w:instrText xml:space="preserve"> PAGEREF _Toc13753239 \h </w:instrText>
      </w:r>
      <w:r>
        <w:fldChar w:fldCharType="separate"/>
      </w:r>
      <w:r>
        <w:t>7</w:t>
      </w:r>
      <w:r>
        <w:fldChar w:fldCharType="end"/>
      </w:r>
      <w:r>
        <w:fldChar w:fldCharType="end"/>
      </w:r>
    </w:p>
    <w:p w14:paraId="1E9F32BC">
      <w:pPr>
        <w:pStyle w:val="14"/>
        <w:tabs>
          <w:tab w:val="right" w:leader="dot" w:pos="8296"/>
        </w:tabs>
        <w:rPr>
          <w:sz w:val="21"/>
          <w:szCs w:val="21"/>
        </w:rPr>
      </w:pPr>
      <w:r>
        <w:fldChar w:fldCharType="begin"/>
      </w:r>
      <w:r>
        <w:instrText xml:space="preserve"> HYPERLINK \l "_Toc13753240" </w:instrText>
      </w:r>
      <w:r>
        <w:fldChar w:fldCharType="separate"/>
      </w:r>
      <w:r>
        <w:rPr>
          <w:rStyle w:val="26"/>
          <w:rFonts w:hint="eastAsia" w:cs="宋体"/>
        </w:rPr>
        <w:t>五、北京市涉氨行业风险评估</w:t>
      </w:r>
      <w:r>
        <w:tab/>
      </w:r>
      <w:r>
        <w:fldChar w:fldCharType="begin"/>
      </w:r>
      <w:r>
        <w:instrText xml:space="preserve"> PAGEREF _Toc13753240 \h </w:instrText>
      </w:r>
      <w:r>
        <w:fldChar w:fldCharType="separate"/>
      </w:r>
      <w:r>
        <w:t>14</w:t>
      </w:r>
      <w:r>
        <w:fldChar w:fldCharType="end"/>
      </w:r>
      <w:r>
        <w:fldChar w:fldCharType="end"/>
      </w:r>
    </w:p>
    <w:p w14:paraId="092ED57E">
      <w:pPr>
        <w:pStyle w:val="17"/>
        <w:ind w:firstLine="480"/>
        <w:rPr>
          <w:sz w:val="21"/>
          <w:szCs w:val="21"/>
        </w:rPr>
      </w:pPr>
      <w:r>
        <w:fldChar w:fldCharType="begin"/>
      </w:r>
      <w:r>
        <w:instrText xml:space="preserve"> HYPERLINK \l "_Toc13753241" </w:instrText>
      </w:r>
      <w:r>
        <w:fldChar w:fldCharType="separate"/>
      </w:r>
      <w:r>
        <w:rPr>
          <w:rStyle w:val="26"/>
        </w:rPr>
        <w:t>5.1</w:t>
      </w:r>
      <w:r>
        <w:rPr>
          <w:rStyle w:val="26"/>
          <w:rFonts w:hint="eastAsia" w:cs="宋体"/>
        </w:rPr>
        <w:t>主要风险单元</w:t>
      </w:r>
      <w:r>
        <w:tab/>
      </w:r>
      <w:r>
        <w:fldChar w:fldCharType="begin"/>
      </w:r>
      <w:r>
        <w:instrText xml:space="preserve"> PAGEREF _Toc13753241 \h </w:instrText>
      </w:r>
      <w:r>
        <w:fldChar w:fldCharType="separate"/>
      </w:r>
      <w:r>
        <w:t>14</w:t>
      </w:r>
      <w:r>
        <w:fldChar w:fldCharType="end"/>
      </w:r>
      <w:r>
        <w:fldChar w:fldCharType="end"/>
      </w:r>
    </w:p>
    <w:p w14:paraId="01C20F46">
      <w:pPr>
        <w:pStyle w:val="17"/>
        <w:ind w:firstLine="480"/>
        <w:rPr>
          <w:sz w:val="21"/>
          <w:szCs w:val="21"/>
        </w:rPr>
      </w:pPr>
      <w:r>
        <w:fldChar w:fldCharType="begin"/>
      </w:r>
      <w:r>
        <w:instrText xml:space="preserve"> HYPERLINK \l "_Toc13753242" </w:instrText>
      </w:r>
      <w:r>
        <w:fldChar w:fldCharType="separate"/>
      </w:r>
      <w:r>
        <w:rPr>
          <w:rStyle w:val="26"/>
        </w:rPr>
        <w:t>5.2</w:t>
      </w:r>
      <w:r>
        <w:rPr>
          <w:rStyle w:val="26"/>
          <w:rFonts w:hint="eastAsia" w:cs="宋体"/>
        </w:rPr>
        <w:t>环境风险评估</w:t>
      </w:r>
      <w:r>
        <w:tab/>
      </w:r>
      <w:r>
        <w:fldChar w:fldCharType="begin"/>
      </w:r>
      <w:r>
        <w:instrText xml:space="preserve"> PAGEREF _Toc13753242 \h </w:instrText>
      </w:r>
      <w:r>
        <w:fldChar w:fldCharType="separate"/>
      </w:r>
      <w:r>
        <w:t>15</w:t>
      </w:r>
      <w:r>
        <w:fldChar w:fldCharType="end"/>
      </w:r>
      <w:r>
        <w:fldChar w:fldCharType="end"/>
      </w:r>
    </w:p>
    <w:p w14:paraId="22836521">
      <w:pPr>
        <w:pStyle w:val="17"/>
        <w:ind w:firstLine="480"/>
        <w:rPr>
          <w:sz w:val="21"/>
          <w:szCs w:val="21"/>
        </w:rPr>
      </w:pPr>
      <w:r>
        <w:fldChar w:fldCharType="begin"/>
      </w:r>
      <w:r>
        <w:instrText xml:space="preserve"> HYPERLINK \l "_Toc13753243" </w:instrText>
      </w:r>
      <w:r>
        <w:fldChar w:fldCharType="separate"/>
      </w:r>
      <w:r>
        <w:rPr>
          <w:rStyle w:val="26"/>
        </w:rPr>
        <w:t>5.3</w:t>
      </w:r>
      <w:r>
        <w:rPr>
          <w:rStyle w:val="26"/>
          <w:rFonts w:hint="eastAsia" w:cs="宋体"/>
        </w:rPr>
        <w:t>氨泄漏事故风险预测</w:t>
      </w:r>
      <w:r>
        <w:tab/>
      </w:r>
      <w:r>
        <w:fldChar w:fldCharType="begin"/>
      </w:r>
      <w:r>
        <w:instrText xml:space="preserve"> PAGEREF _Toc13753243 \h </w:instrText>
      </w:r>
      <w:r>
        <w:fldChar w:fldCharType="separate"/>
      </w:r>
      <w:r>
        <w:t>17</w:t>
      </w:r>
      <w:r>
        <w:fldChar w:fldCharType="end"/>
      </w:r>
      <w:r>
        <w:fldChar w:fldCharType="end"/>
      </w:r>
    </w:p>
    <w:p w14:paraId="6F58B7D4">
      <w:pPr>
        <w:pStyle w:val="14"/>
        <w:tabs>
          <w:tab w:val="right" w:leader="dot" w:pos="8296"/>
        </w:tabs>
        <w:rPr>
          <w:sz w:val="21"/>
          <w:szCs w:val="21"/>
        </w:rPr>
      </w:pPr>
      <w:r>
        <w:fldChar w:fldCharType="begin"/>
      </w:r>
      <w:r>
        <w:instrText xml:space="preserve"> HYPERLINK \l "_Toc13753244" </w:instrText>
      </w:r>
      <w:r>
        <w:fldChar w:fldCharType="separate"/>
      </w:r>
      <w:r>
        <w:rPr>
          <w:rStyle w:val="26"/>
          <w:rFonts w:hint="eastAsia" w:cs="宋体"/>
        </w:rPr>
        <w:t>六、存在问题与对策</w:t>
      </w:r>
      <w:r>
        <w:tab/>
      </w:r>
      <w:r>
        <w:fldChar w:fldCharType="begin"/>
      </w:r>
      <w:r>
        <w:instrText xml:space="preserve"> PAGEREF _Toc13753244 \h </w:instrText>
      </w:r>
      <w:r>
        <w:fldChar w:fldCharType="separate"/>
      </w:r>
      <w:r>
        <w:t>18</w:t>
      </w:r>
      <w:r>
        <w:fldChar w:fldCharType="end"/>
      </w:r>
      <w:r>
        <w:fldChar w:fldCharType="end"/>
      </w:r>
    </w:p>
    <w:p w14:paraId="683761F7">
      <w:pPr>
        <w:pStyle w:val="17"/>
        <w:ind w:firstLine="480"/>
        <w:rPr>
          <w:sz w:val="21"/>
          <w:szCs w:val="21"/>
        </w:rPr>
      </w:pPr>
      <w:r>
        <w:fldChar w:fldCharType="begin"/>
      </w:r>
      <w:r>
        <w:instrText xml:space="preserve"> HYPERLINK \l "_Toc13753245" </w:instrText>
      </w:r>
      <w:r>
        <w:fldChar w:fldCharType="separate"/>
      </w:r>
      <w:r>
        <w:rPr>
          <w:rStyle w:val="26"/>
        </w:rPr>
        <w:t>6.1</w:t>
      </w:r>
      <w:r>
        <w:rPr>
          <w:rStyle w:val="26"/>
          <w:rFonts w:hint="eastAsia" w:cs="宋体"/>
        </w:rPr>
        <w:t>存在问题</w:t>
      </w:r>
      <w:r>
        <w:tab/>
      </w:r>
      <w:r>
        <w:fldChar w:fldCharType="begin"/>
      </w:r>
      <w:r>
        <w:instrText xml:space="preserve"> PAGEREF _Toc13753245 \h </w:instrText>
      </w:r>
      <w:r>
        <w:fldChar w:fldCharType="separate"/>
      </w:r>
      <w:r>
        <w:t>18</w:t>
      </w:r>
      <w:r>
        <w:fldChar w:fldCharType="end"/>
      </w:r>
      <w:r>
        <w:fldChar w:fldCharType="end"/>
      </w:r>
    </w:p>
    <w:p w14:paraId="7AB42F5B">
      <w:pPr>
        <w:pStyle w:val="17"/>
        <w:ind w:firstLine="480"/>
        <w:rPr>
          <w:sz w:val="21"/>
          <w:szCs w:val="21"/>
        </w:rPr>
      </w:pPr>
      <w:r>
        <w:fldChar w:fldCharType="begin"/>
      </w:r>
      <w:r>
        <w:instrText xml:space="preserve"> HYPERLINK \l "_Toc13753246" </w:instrText>
      </w:r>
      <w:r>
        <w:fldChar w:fldCharType="separate"/>
      </w:r>
      <w:r>
        <w:rPr>
          <w:rStyle w:val="26"/>
        </w:rPr>
        <w:t>6.2</w:t>
      </w:r>
      <w:r>
        <w:rPr>
          <w:rStyle w:val="26"/>
          <w:rFonts w:hint="eastAsia" w:cs="宋体"/>
        </w:rPr>
        <w:t>对策</w:t>
      </w:r>
      <w:r>
        <w:tab/>
      </w:r>
      <w:r>
        <w:fldChar w:fldCharType="begin"/>
      </w:r>
      <w:r>
        <w:instrText xml:space="preserve"> PAGEREF _Toc13753246 \h </w:instrText>
      </w:r>
      <w:r>
        <w:fldChar w:fldCharType="separate"/>
      </w:r>
      <w:r>
        <w:t>20</w:t>
      </w:r>
      <w:r>
        <w:fldChar w:fldCharType="end"/>
      </w:r>
      <w:r>
        <w:fldChar w:fldCharType="end"/>
      </w:r>
    </w:p>
    <w:p w14:paraId="13B5C5D8">
      <w:pPr>
        <w:pStyle w:val="14"/>
        <w:tabs>
          <w:tab w:val="right" w:leader="dot" w:pos="8296"/>
        </w:tabs>
        <w:rPr>
          <w:sz w:val="21"/>
          <w:szCs w:val="21"/>
        </w:rPr>
      </w:pPr>
      <w:r>
        <w:fldChar w:fldCharType="begin"/>
      </w:r>
      <w:r>
        <w:instrText xml:space="preserve"> HYPERLINK \l "_Toc13753247" </w:instrText>
      </w:r>
      <w:r>
        <w:fldChar w:fldCharType="separate"/>
      </w:r>
      <w:r>
        <w:rPr>
          <w:rStyle w:val="26"/>
          <w:rFonts w:hint="eastAsia" w:cs="宋体"/>
        </w:rPr>
        <w:t>七、主要技术内容及说明</w:t>
      </w:r>
      <w:r>
        <w:tab/>
      </w:r>
      <w:r>
        <w:fldChar w:fldCharType="begin"/>
      </w:r>
      <w:r>
        <w:instrText xml:space="preserve"> PAGEREF _Toc13753247 \h </w:instrText>
      </w:r>
      <w:r>
        <w:fldChar w:fldCharType="separate"/>
      </w:r>
      <w:r>
        <w:t>22</w:t>
      </w:r>
      <w:r>
        <w:fldChar w:fldCharType="end"/>
      </w:r>
      <w:r>
        <w:fldChar w:fldCharType="end"/>
      </w:r>
    </w:p>
    <w:p w14:paraId="7BDC8AA1">
      <w:pPr>
        <w:pStyle w:val="17"/>
        <w:ind w:firstLine="480"/>
        <w:rPr>
          <w:sz w:val="21"/>
          <w:szCs w:val="21"/>
        </w:rPr>
      </w:pPr>
      <w:r>
        <w:fldChar w:fldCharType="begin"/>
      </w:r>
      <w:r>
        <w:instrText xml:space="preserve"> HYPERLINK \l "_Toc13753248" </w:instrText>
      </w:r>
      <w:r>
        <w:fldChar w:fldCharType="separate"/>
      </w:r>
      <w:r>
        <w:rPr>
          <w:rStyle w:val="26"/>
        </w:rPr>
        <w:t xml:space="preserve">7.1 </w:t>
      </w:r>
      <w:r>
        <w:rPr>
          <w:rStyle w:val="26"/>
          <w:rFonts w:hint="eastAsia" w:cs="宋体"/>
        </w:rPr>
        <w:t>标准名称</w:t>
      </w:r>
      <w:r>
        <w:tab/>
      </w:r>
      <w:r>
        <w:fldChar w:fldCharType="begin"/>
      </w:r>
      <w:r>
        <w:instrText xml:space="preserve"> PAGEREF _Toc13753248 \h </w:instrText>
      </w:r>
      <w:r>
        <w:fldChar w:fldCharType="separate"/>
      </w:r>
      <w:r>
        <w:t>22</w:t>
      </w:r>
      <w:r>
        <w:fldChar w:fldCharType="end"/>
      </w:r>
      <w:r>
        <w:fldChar w:fldCharType="end"/>
      </w:r>
    </w:p>
    <w:p w14:paraId="1D076DC4">
      <w:pPr>
        <w:pStyle w:val="17"/>
        <w:ind w:firstLine="480"/>
        <w:rPr>
          <w:sz w:val="21"/>
          <w:szCs w:val="21"/>
        </w:rPr>
      </w:pPr>
      <w:r>
        <w:fldChar w:fldCharType="begin"/>
      </w:r>
      <w:r>
        <w:instrText xml:space="preserve"> HYPERLINK \l "_Toc13753249" </w:instrText>
      </w:r>
      <w:r>
        <w:fldChar w:fldCharType="separate"/>
      </w:r>
      <w:r>
        <w:rPr>
          <w:rStyle w:val="26"/>
        </w:rPr>
        <w:t xml:space="preserve">7.2 </w:t>
      </w:r>
      <w:r>
        <w:rPr>
          <w:rStyle w:val="26"/>
          <w:rFonts w:hint="eastAsia" w:cs="宋体"/>
        </w:rPr>
        <w:t>标准主题内容及适用范围</w:t>
      </w:r>
      <w:r>
        <w:tab/>
      </w:r>
      <w:r>
        <w:fldChar w:fldCharType="begin"/>
      </w:r>
      <w:r>
        <w:instrText xml:space="preserve"> PAGEREF _Toc13753249 \h </w:instrText>
      </w:r>
      <w:r>
        <w:fldChar w:fldCharType="separate"/>
      </w:r>
      <w:r>
        <w:t>22</w:t>
      </w:r>
      <w:r>
        <w:fldChar w:fldCharType="end"/>
      </w:r>
      <w:r>
        <w:fldChar w:fldCharType="end"/>
      </w:r>
    </w:p>
    <w:p w14:paraId="3D352497">
      <w:pPr>
        <w:pStyle w:val="17"/>
        <w:ind w:firstLine="480"/>
        <w:rPr>
          <w:sz w:val="21"/>
          <w:szCs w:val="21"/>
        </w:rPr>
      </w:pPr>
      <w:r>
        <w:fldChar w:fldCharType="begin"/>
      </w:r>
      <w:r>
        <w:instrText xml:space="preserve"> HYPERLINK \l "_Toc13753250" </w:instrText>
      </w:r>
      <w:r>
        <w:fldChar w:fldCharType="separate"/>
      </w:r>
      <w:r>
        <w:rPr>
          <w:rStyle w:val="26"/>
        </w:rPr>
        <w:t xml:space="preserve">7.3 </w:t>
      </w:r>
      <w:r>
        <w:rPr>
          <w:rStyle w:val="26"/>
          <w:rFonts w:hint="eastAsia" w:cs="宋体"/>
        </w:rPr>
        <w:t>规范性引用文件</w:t>
      </w:r>
      <w:r>
        <w:tab/>
      </w:r>
      <w:r>
        <w:fldChar w:fldCharType="begin"/>
      </w:r>
      <w:r>
        <w:instrText xml:space="preserve"> PAGEREF _Toc13753250 \h </w:instrText>
      </w:r>
      <w:r>
        <w:fldChar w:fldCharType="separate"/>
      </w:r>
      <w:r>
        <w:t>22</w:t>
      </w:r>
      <w:r>
        <w:fldChar w:fldCharType="end"/>
      </w:r>
      <w:r>
        <w:fldChar w:fldCharType="end"/>
      </w:r>
    </w:p>
    <w:p w14:paraId="5DCBC36E">
      <w:pPr>
        <w:pStyle w:val="17"/>
        <w:ind w:firstLine="480"/>
        <w:rPr>
          <w:sz w:val="21"/>
          <w:szCs w:val="21"/>
        </w:rPr>
      </w:pPr>
      <w:r>
        <w:fldChar w:fldCharType="begin"/>
      </w:r>
      <w:r>
        <w:instrText xml:space="preserve"> HYPERLINK \l "_Toc13753251" </w:instrText>
      </w:r>
      <w:r>
        <w:fldChar w:fldCharType="separate"/>
      </w:r>
      <w:r>
        <w:rPr>
          <w:rStyle w:val="26"/>
        </w:rPr>
        <w:t xml:space="preserve">7.4 </w:t>
      </w:r>
      <w:r>
        <w:rPr>
          <w:rStyle w:val="26"/>
          <w:rFonts w:hint="eastAsia" w:cs="宋体"/>
        </w:rPr>
        <w:t>术语和定义</w:t>
      </w:r>
      <w:r>
        <w:tab/>
      </w:r>
      <w:r>
        <w:fldChar w:fldCharType="begin"/>
      </w:r>
      <w:r>
        <w:instrText xml:space="preserve"> PAGEREF _Toc13753251 \h </w:instrText>
      </w:r>
      <w:r>
        <w:fldChar w:fldCharType="separate"/>
      </w:r>
      <w:r>
        <w:t>22</w:t>
      </w:r>
      <w:r>
        <w:fldChar w:fldCharType="end"/>
      </w:r>
      <w:r>
        <w:fldChar w:fldCharType="end"/>
      </w:r>
    </w:p>
    <w:p w14:paraId="7A5A8EAB">
      <w:pPr>
        <w:pStyle w:val="17"/>
        <w:ind w:firstLine="480"/>
        <w:rPr>
          <w:sz w:val="21"/>
          <w:szCs w:val="21"/>
        </w:rPr>
      </w:pPr>
      <w:r>
        <w:fldChar w:fldCharType="begin"/>
      </w:r>
      <w:r>
        <w:instrText xml:space="preserve"> HYPERLINK \l "_Toc13753252" </w:instrText>
      </w:r>
      <w:r>
        <w:fldChar w:fldCharType="separate"/>
      </w:r>
      <w:r>
        <w:rPr>
          <w:rStyle w:val="26"/>
        </w:rPr>
        <w:t xml:space="preserve">7.5 </w:t>
      </w:r>
      <w:r>
        <w:rPr>
          <w:rStyle w:val="26"/>
          <w:rFonts w:hint="eastAsia" w:cs="宋体"/>
        </w:rPr>
        <w:t>编制思路</w:t>
      </w:r>
      <w:r>
        <w:tab/>
      </w:r>
      <w:r>
        <w:fldChar w:fldCharType="begin"/>
      </w:r>
      <w:r>
        <w:instrText xml:space="preserve"> PAGEREF _Toc13753252 \h </w:instrText>
      </w:r>
      <w:r>
        <w:fldChar w:fldCharType="separate"/>
      </w:r>
      <w:r>
        <w:t>24</w:t>
      </w:r>
      <w:r>
        <w:fldChar w:fldCharType="end"/>
      </w:r>
      <w:r>
        <w:fldChar w:fldCharType="end"/>
      </w:r>
    </w:p>
    <w:p w14:paraId="3386B479">
      <w:pPr>
        <w:pStyle w:val="17"/>
        <w:ind w:firstLine="480"/>
        <w:rPr>
          <w:sz w:val="21"/>
          <w:szCs w:val="21"/>
        </w:rPr>
      </w:pPr>
      <w:r>
        <w:fldChar w:fldCharType="begin"/>
      </w:r>
      <w:r>
        <w:instrText xml:space="preserve"> HYPERLINK \l "_Toc13753253" </w:instrText>
      </w:r>
      <w:r>
        <w:fldChar w:fldCharType="separate"/>
      </w:r>
      <w:r>
        <w:rPr>
          <w:rStyle w:val="26"/>
        </w:rPr>
        <w:t>7.6</w:t>
      </w:r>
      <w:r>
        <w:rPr>
          <w:rStyle w:val="26"/>
          <w:rFonts w:hint="eastAsia" w:cs="宋体"/>
        </w:rPr>
        <w:t>标准主要内容</w:t>
      </w:r>
      <w:r>
        <w:tab/>
      </w:r>
      <w:r>
        <w:fldChar w:fldCharType="begin"/>
      </w:r>
      <w:r>
        <w:instrText xml:space="preserve"> PAGEREF _Toc13753253 \h </w:instrText>
      </w:r>
      <w:r>
        <w:fldChar w:fldCharType="separate"/>
      </w:r>
      <w:r>
        <w:t>24</w:t>
      </w:r>
      <w:r>
        <w:fldChar w:fldCharType="end"/>
      </w:r>
      <w:r>
        <w:fldChar w:fldCharType="end"/>
      </w:r>
    </w:p>
    <w:p w14:paraId="34301619">
      <w:pPr>
        <w:pStyle w:val="14"/>
        <w:tabs>
          <w:tab w:val="right" w:leader="dot" w:pos="8296"/>
        </w:tabs>
        <w:rPr>
          <w:sz w:val="21"/>
          <w:szCs w:val="21"/>
        </w:rPr>
      </w:pPr>
      <w:r>
        <w:fldChar w:fldCharType="begin"/>
      </w:r>
      <w:r>
        <w:instrText xml:space="preserve"> HYPERLINK \l "_Toc13753254" </w:instrText>
      </w:r>
      <w:r>
        <w:fldChar w:fldCharType="separate"/>
      </w:r>
      <w:r>
        <w:rPr>
          <w:rStyle w:val="26"/>
          <w:rFonts w:hint="eastAsia" w:cs="宋体"/>
        </w:rPr>
        <w:t>八、相关法律法规及标准</w:t>
      </w:r>
      <w:r>
        <w:tab/>
      </w:r>
      <w:r>
        <w:fldChar w:fldCharType="begin"/>
      </w:r>
      <w:r>
        <w:instrText xml:space="preserve"> PAGEREF _Toc13753254 \h </w:instrText>
      </w:r>
      <w:r>
        <w:fldChar w:fldCharType="separate"/>
      </w:r>
      <w:r>
        <w:t>34</w:t>
      </w:r>
      <w:r>
        <w:fldChar w:fldCharType="end"/>
      </w:r>
      <w:r>
        <w:fldChar w:fldCharType="end"/>
      </w:r>
    </w:p>
    <w:p w14:paraId="061D659B">
      <w:pPr>
        <w:pStyle w:val="17"/>
        <w:ind w:firstLine="480"/>
        <w:rPr>
          <w:sz w:val="21"/>
          <w:szCs w:val="21"/>
        </w:rPr>
      </w:pPr>
      <w:r>
        <w:fldChar w:fldCharType="begin"/>
      </w:r>
      <w:r>
        <w:instrText xml:space="preserve"> HYPERLINK \l "_Toc13753255" </w:instrText>
      </w:r>
      <w:r>
        <w:fldChar w:fldCharType="separate"/>
      </w:r>
      <w:r>
        <w:rPr>
          <w:rStyle w:val="26"/>
        </w:rPr>
        <w:t>8.1</w:t>
      </w:r>
      <w:r>
        <w:rPr>
          <w:rStyle w:val="26"/>
          <w:rFonts w:hint="eastAsia" w:cs="宋体"/>
        </w:rPr>
        <w:t>法律法规依据</w:t>
      </w:r>
      <w:r>
        <w:tab/>
      </w:r>
      <w:r>
        <w:fldChar w:fldCharType="begin"/>
      </w:r>
      <w:r>
        <w:instrText xml:space="preserve"> PAGEREF _Toc13753255 \h </w:instrText>
      </w:r>
      <w:r>
        <w:fldChar w:fldCharType="separate"/>
      </w:r>
      <w:r>
        <w:t>34</w:t>
      </w:r>
      <w:r>
        <w:fldChar w:fldCharType="end"/>
      </w:r>
      <w:r>
        <w:fldChar w:fldCharType="end"/>
      </w:r>
    </w:p>
    <w:p w14:paraId="4854616C">
      <w:pPr>
        <w:pStyle w:val="17"/>
        <w:ind w:firstLine="480"/>
        <w:rPr>
          <w:sz w:val="21"/>
          <w:szCs w:val="21"/>
        </w:rPr>
      </w:pPr>
      <w:r>
        <w:fldChar w:fldCharType="begin"/>
      </w:r>
      <w:r>
        <w:instrText xml:space="preserve"> HYPERLINK \l "_Toc13753256" </w:instrText>
      </w:r>
      <w:r>
        <w:fldChar w:fldCharType="separate"/>
      </w:r>
      <w:r>
        <w:rPr>
          <w:rStyle w:val="26"/>
        </w:rPr>
        <w:t>8.2</w:t>
      </w:r>
      <w:r>
        <w:rPr>
          <w:rStyle w:val="26"/>
          <w:rFonts w:hint="eastAsia" w:cs="宋体"/>
        </w:rPr>
        <w:t>与国内外相关标准的内容异同</w:t>
      </w:r>
      <w:r>
        <w:tab/>
      </w:r>
      <w:r>
        <w:fldChar w:fldCharType="begin"/>
      </w:r>
      <w:r>
        <w:instrText xml:space="preserve"> PAGEREF _Toc13753256 \h </w:instrText>
      </w:r>
      <w:r>
        <w:fldChar w:fldCharType="separate"/>
      </w:r>
      <w:r>
        <w:t>36</w:t>
      </w:r>
      <w:r>
        <w:fldChar w:fldCharType="end"/>
      </w:r>
      <w:r>
        <w:fldChar w:fldCharType="end"/>
      </w:r>
    </w:p>
    <w:p w14:paraId="5ED3AD69">
      <w:pPr>
        <w:pStyle w:val="14"/>
        <w:tabs>
          <w:tab w:val="right" w:leader="dot" w:pos="8296"/>
        </w:tabs>
        <w:rPr>
          <w:sz w:val="21"/>
          <w:szCs w:val="21"/>
        </w:rPr>
      </w:pPr>
      <w:r>
        <w:fldChar w:fldCharType="begin"/>
      </w:r>
      <w:r>
        <w:instrText xml:space="preserve"> HYPERLINK \l "_Toc13753257" </w:instrText>
      </w:r>
      <w:r>
        <w:fldChar w:fldCharType="separate"/>
      </w:r>
      <w:r>
        <w:rPr>
          <w:rStyle w:val="26"/>
          <w:rFonts w:hint="eastAsia" w:cs="宋体"/>
        </w:rPr>
        <w:t>九、采用国际标准和国外先进标准的，说明采标程度，以及与国内外同类标准水平的对比情况</w:t>
      </w:r>
      <w:r>
        <w:tab/>
      </w:r>
      <w:r>
        <w:fldChar w:fldCharType="begin"/>
      </w:r>
      <w:r>
        <w:instrText xml:space="preserve"> PAGEREF _Toc13753257 \h </w:instrText>
      </w:r>
      <w:r>
        <w:fldChar w:fldCharType="separate"/>
      </w:r>
      <w:r>
        <w:t>37</w:t>
      </w:r>
      <w:r>
        <w:fldChar w:fldCharType="end"/>
      </w:r>
      <w:r>
        <w:fldChar w:fldCharType="end"/>
      </w:r>
    </w:p>
    <w:p w14:paraId="6A5D15AA">
      <w:pPr>
        <w:pStyle w:val="14"/>
        <w:tabs>
          <w:tab w:val="right" w:leader="dot" w:pos="8296"/>
        </w:tabs>
        <w:rPr>
          <w:sz w:val="21"/>
          <w:szCs w:val="21"/>
        </w:rPr>
      </w:pPr>
      <w:r>
        <w:fldChar w:fldCharType="begin"/>
      </w:r>
      <w:r>
        <w:instrText xml:space="preserve"> HYPERLINK \l "_Toc13753258" </w:instrText>
      </w:r>
      <w:r>
        <w:fldChar w:fldCharType="separate"/>
      </w:r>
      <w:r>
        <w:rPr>
          <w:rStyle w:val="26"/>
          <w:rFonts w:hint="eastAsia" w:cs="宋体"/>
        </w:rPr>
        <w:t>十、作为推荐性标准或者强制性标准的建议及其理由</w:t>
      </w:r>
      <w:r>
        <w:tab/>
      </w:r>
      <w:r>
        <w:fldChar w:fldCharType="begin"/>
      </w:r>
      <w:r>
        <w:instrText xml:space="preserve"> PAGEREF _Toc13753258 \h </w:instrText>
      </w:r>
      <w:r>
        <w:fldChar w:fldCharType="separate"/>
      </w:r>
      <w:r>
        <w:t>37</w:t>
      </w:r>
      <w:r>
        <w:fldChar w:fldCharType="end"/>
      </w:r>
      <w:r>
        <w:fldChar w:fldCharType="end"/>
      </w:r>
    </w:p>
    <w:p w14:paraId="49082D6F">
      <w:pPr>
        <w:pStyle w:val="14"/>
        <w:tabs>
          <w:tab w:val="right" w:leader="dot" w:pos="8296"/>
        </w:tabs>
        <w:rPr>
          <w:sz w:val="21"/>
          <w:szCs w:val="21"/>
        </w:rPr>
      </w:pPr>
      <w:r>
        <w:fldChar w:fldCharType="begin"/>
      </w:r>
      <w:r>
        <w:instrText xml:space="preserve"> HYPERLINK \l "_Toc13753259" </w:instrText>
      </w:r>
      <w:r>
        <w:fldChar w:fldCharType="separate"/>
      </w:r>
      <w:r>
        <w:rPr>
          <w:rStyle w:val="26"/>
          <w:rFonts w:hint="eastAsia" w:cs="宋体"/>
        </w:rPr>
        <w:t>十一、强制性标准实施的风险点、风险程度、风险防控措施和预案</w:t>
      </w:r>
      <w:r>
        <w:tab/>
      </w:r>
      <w:r>
        <w:fldChar w:fldCharType="begin"/>
      </w:r>
      <w:r>
        <w:instrText xml:space="preserve"> PAGEREF _Toc13753259 \h </w:instrText>
      </w:r>
      <w:r>
        <w:fldChar w:fldCharType="separate"/>
      </w:r>
      <w:r>
        <w:t>38</w:t>
      </w:r>
      <w:r>
        <w:fldChar w:fldCharType="end"/>
      </w:r>
      <w:r>
        <w:fldChar w:fldCharType="end"/>
      </w:r>
    </w:p>
    <w:p w14:paraId="234BDE75">
      <w:pPr>
        <w:pStyle w:val="14"/>
        <w:tabs>
          <w:tab w:val="right" w:leader="dot" w:pos="8296"/>
        </w:tabs>
        <w:rPr>
          <w:sz w:val="21"/>
          <w:szCs w:val="21"/>
        </w:rPr>
      </w:pPr>
      <w:r>
        <w:fldChar w:fldCharType="begin"/>
      </w:r>
      <w:r>
        <w:instrText xml:space="preserve"> HYPERLINK \l "_Toc13753260" </w:instrText>
      </w:r>
      <w:r>
        <w:fldChar w:fldCharType="separate"/>
      </w:r>
      <w:r>
        <w:rPr>
          <w:rStyle w:val="26"/>
          <w:rFonts w:hint="eastAsia" w:cs="宋体"/>
        </w:rPr>
        <w:t>十二、实施标准的措施</w:t>
      </w:r>
      <w:r>
        <w:tab/>
      </w:r>
      <w:r>
        <w:fldChar w:fldCharType="begin"/>
      </w:r>
      <w:r>
        <w:instrText xml:space="preserve"> PAGEREF _Toc13753260 \h </w:instrText>
      </w:r>
      <w:r>
        <w:fldChar w:fldCharType="separate"/>
      </w:r>
      <w:r>
        <w:t>38</w:t>
      </w:r>
      <w:r>
        <w:fldChar w:fldCharType="end"/>
      </w:r>
      <w:r>
        <w:fldChar w:fldCharType="end"/>
      </w:r>
    </w:p>
    <w:p w14:paraId="7A1F60B3">
      <w:pPr>
        <w:pStyle w:val="14"/>
        <w:tabs>
          <w:tab w:val="right" w:leader="dot" w:pos="8306"/>
        </w:tabs>
        <w:spacing w:line="240" w:lineRule="auto"/>
        <w:rPr>
          <w:rFonts w:eastAsia="微软雅黑"/>
          <w:sz w:val="21"/>
          <w:szCs w:val="21"/>
        </w:rPr>
      </w:pPr>
      <w:r>
        <w:rPr>
          <w:rFonts w:eastAsia="微软雅黑"/>
          <w:sz w:val="21"/>
          <w:szCs w:val="21"/>
        </w:rPr>
        <w:fldChar w:fldCharType="end"/>
      </w:r>
    </w:p>
    <w:p w14:paraId="411723B0">
      <w:pPr>
        <w:pStyle w:val="60"/>
        <w:spacing w:before="312" w:after="312"/>
        <w:rPr>
          <w:rFonts w:ascii="Times New Roman" w:hAnsi="Times New Roman" w:eastAsia="微软雅黑" w:cs="Times New Roman"/>
          <w:sz w:val="21"/>
          <w:szCs w:val="21"/>
        </w:rPr>
        <w:sectPr>
          <w:footerReference r:id="rId9" w:type="default"/>
          <w:pgSz w:w="11906" w:h="16838"/>
          <w:pgMar w:top="1440" w:right="1800" w:bottom="1440" w:left="1800" w:header="851" w:footer="992" w:gutter="0"/>
          <w:pgNumType w:fmt="upperRoman" w:start="1"/>
          <w:cols w:space="720" w:num="1"/>
          <w:docGrid w:type="lines" w:linePitch="312" w:charSpace="0"/>
        </w:sectPr>
      </w:pPr>
      <w:bookmarkStart w:id="6" w:name="_Toc16375"/>
      <w:bookmarkStart w:id="7" w:name="_Toc17119"/>
      <w:bookmarkStart w:id="8" w:name="_Toc15931"/>
      <w:bookmarkStart w:id="9" w:name="_Toc515984547"/>
      <w:bookmarkStart w:id="10" w:name="_Toc5705"/>
      <w:bookmarkStart w:id="11" w:name="_Toc7260"/>
      <w:bookmarkStart w:id="12" w:name="_Toc31967"/>
      <w:bookmarkStart w:id="13" w:name="_Toc1014"/>
      <w:bookmarkStart w:id="14" w:name="_Toc18175"/>
      <w:bookmarkStart w:id="15" w:name="_Toc30969"/>
      <w:bookmarkStart w:id="16" w:name="_Toc1021"/>
      <w:bookmarkStart w:id="17" w:name="_Toc24005"/>
      <w:bookmarkStart w:id="18" w:name="_Toc3438"/>
      <w:bookmarkStart w:id="19" w:name="_Toc25294"/>
      <w:bookmarkStart w:id="20" w:name="_Toc15967"/>
      <w:bookmarkStart w:id="21" w:name="_Toc21880"/>
      <w:bookmarkStart w:id="22" w:name="_Toc605"/>
      <w:bookmarkStart w:id="23" w:name="_Toc4274"/>
      <w:bookmarkStart w:id="24" w:name="_Toc19377"/>
      <w:bookmarkStart w:id="25" w:name="_Toc11020"/>
      <w:bookmarkStart w:id="26" w:name="_Toc28889"/>
      <w:bookmarkStart w:id="27" w:name="_Toc3491"/>
    </w:p>
    <w:p w14:paraId="35C53061">
      <w:pPr>
        <w:pStyle w:val="60"/>
        <w:spacing w:before="312" w:after="312"/>
        <w:rPr>
          <w:rFonts w:ascii="Times New Roman" w:hAnsi="Times New Roman" w:cs="Times New Roman"/>
        </w:rPr>
      </w:pPr>
      <w:bookmarkStart w:id="28" w:name="_Toc30410"/>
      <w:bookmarkStart w:id="29" w:name="_Toc13753231"/>
      <w:r>
        <w:rPr>
          <w:rFonts w:hint="eastAsia" w:ascii="Times New Roman" w:hAnsi="Times New Roman" w:cs="黑体"/>
        </w:rPr>
        <w:t>一、项目背景</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088DBD8">
      <w:pPr>
        <w:pStyle w:val="64"/>
        <w:outlineLvl w:val="1"/>
        <w:rPr>
          <w:rFonts w:hAnsi="Times New Roman"/>
        </w:rPr>
      </w:pPr>
      <w:bookmarkStart w:id="30" w:name="_Toc25931"/>
      <w:bookmarkStart w:id="31" w:name="_Toc515984548"/>
      <w:bookmarkStart w:id="32" w:name="_Toc26852"/>
      <w:bookmarkStart w:id="33" w:name="_Toc8880"/>
      <w:bookmarkStart w:id="34" w:name="_Toc24653"/>
      <w:bookmarkStart w:id="35" w:name="_Toc15681"/>
      <w:bookmarkStart w:id="36" w:name="_Toc8481"/>
      <w:bookmarkStart w:id="37" w:name="_Toc30335"/>
      <w:bookmarkStart w:id="38" w:name="_Toc23062"/>
      <w:bookmarkStart w:id="39" w:name="_Toc21949"/>
      <w:bookmarkStart w:id="40" w:name="_Toc25131"/>
      <w:bookmarkStart w:id="41" w:name="_Toc15235"/>
      <w:bookmarkStart w:id="42" w:name="_Toc13730"/>
      <w:bookmarkStart w:id="43" w:name="_Toc5941"/>
      <w:bookmarkStart w:id="44" w:name="_Toc828"/>
      <w:bookmarkStart w:id="45" w:name="_Toc28498"/>
      <w:bookmarkStart w:id="46" w:name="_Toc20102"/>
      <w:bookmarkStart w:id="47" w:name="_Toc19757"/>
      <w:bookmarkStart w:id="48" w:name="_Toc20225"/>
      <w:bookmarkStart w:id="49" w:name="_Toc29787"/>
      <w:bookmarkStart w:id="50" w:name="_Toc16576"/>
      <w:bookmarkStart w:id="51" w:name="_Toc450"/>
      <w:bookmarkStart w:id="52" w:name="_Toc22170"/>
      <w:bookmarkStart w:id="53" w:name="_Toc13753232"/>
      <w:r>
        <w:rPr>
          <w:rFonts w:hAnsi="Times New Roman"/>
        </w:rPr>
        <w:t>1.1</w:t>
      </w:r>
      <w:r>
        <w:rPr>
          <w:rFonts w:hint="eastAsia" w:hAnsi="Times New Roman" w:cs="黑体"/>
        </w:rPr>
        <w:t>任务来源</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A20C102">
      <w:pPr>
        <w:ind w:firstLine="480"/>
      </w:pPr>
      <w:r>
        <w:rPr>
          <w:rFonts w:hint="eastAsia" w:cs="宋体"/>
        </w:rPr>
        <w:t>国务院安委会于</w:t>
      </w:r>
      <w:r>
        <w:t>2013</w:t>
      </w:r>
      <w:r>
        <w:rPr>
          <w:rFonts w:hint="eastAsia" w:cs="宋体"/>
        </w:rPr>
        <w:t>年印发了《国务院安委会关于深入开展涉氨制冷企业液氨使用专项治理的通知》后，又于</w:t>
      </w:r>
      <w:r>
        <w:t>2014</w:t>
      </w:r>
      <w:r>
        <w:rPr>
          <w:rFonts w:hint="eastAsia" w:cs="宋体"/>
        </w:rPr>
        <w:t>年发布了《国务院安委会办公室关于继续深入开展涉氨制冷企业液氨使用专项治理的通知》，可见国家对于彻底整治和消除</w:t>
      </w:r>
      <w:bookmarkStart w:id="54" w:name="OLE_LINK19"/>
      <w:bookmarkStart w:id="55" w:name="OLE_LINK20"/>
      <w:r>
        <w:rPr>
          <w:rFonts w:hint="eastAsia" w:cs="宋体"/>
        </w:rPr>
        <w:t>液氨</w:t>
      </w:r>
      <w:bookmarkEnd w:id="54"/>
      <w:bookmarkEnd w:id="55"/>
      <w:r>
        <w:rPr>
          <w:rFonts w:hint="eastAsia" w:cs="宋体"/>
        </w:rPr>
        <w:t>贮存使用单位中存在的重大环境风险隐患，巩固和扩大专项治理成效，有效遏制液氨事故发生的决心。液氨贮存使用单位环境风险防控技术规范虽然属于应急范畴，但提升环境风险防控和应急处置能力本质也是</w:t>
      </w:r>
      <w:bookmarkStart w:id="56" w:name="OLE_LINK18"/>
      <w:r>
        <w:rPr>
          <w:rFonts w:hint="eastAsia" w:cs="宋体"/>
        </w:rPr>
        <w:t>液氨贮存使用单位</w:t>
      </w:r>
      <w:bookmarkEnd w:id="56"/>
      <w:r>
        <w:rPr>
          <w:rFonts w:hint="eastAsia" w:cs="宋体"/>
        </w:rPr>
        <w:t>安全管理的重要内容之一，对提升企业安全管理水平具有重要意义。</w:t>
      </w:r>
    </w:p>
    <w:p w14:paraId="49E40DC4">
      <w:pPr>
        <w:ind w:firstLine="480"/>
      </w:pPr>
      <w:r>
        <w:rPr>
          <w:rFonts w:hint="eastAsia" w:cs="宋体"/>
        </w:rPr>
        <w:t>为贯彻《中华人民共和国环境保护法》，及时控制和消除液氨事故引发的环境污染及危害，最大限度地减少损失，原北京市环境保护局制定了《北京市液氨事故状态下环境污染防控技术导则》，其中对液氨事故的紧急处置提供了概括性的指导，可以该技术导则为基本原则，进行本技术规范的制定。同时，</w:t>
      </w:r>
      <w:r>
        <w:t>2017</w:t>
      </w:r>
      <w:r>
        <w:rPr>
          <w:rFonts w:hint="eastAsia" w:cs="宋体"/>
        </w:rPr>
        <w:t>年又组织开展了全市液氨贮存使用单位的环境风险调研工作，在调研的基础上，组织开展液氨贮存使用单位的环境风险评估，进一步摸清了其环境风险现状和管理中存在的问题，针对问题提出了有针对性的对策建议，为本技术规范的制定奠定了基础。</w:t>
      </w:r>
    </w:p>
    <w:p w14:paraId="7168B550">
      <w:pPr>
        <w:ind w:firstLine="480"/>
      </w:pPr>
      <w:r>
        <w:rPr>
          <w:rFonts w:hint="eastAsia" w:cs="宋体"/>
        </w:rPr>
        <w:t>由于近年来涉氨企业事故多发，有较多关于涉氨事故的调查报告，事故原因案例分析等可为规范的编制提供参考，安全监管等相关部门有关液氨使用与存储方面的技术规范及相关领域的研究成果，可使本规范具有全面性、可操作性等特征，在环境风险防控中起到科学的指导作用。</w:t>
      </w:r>
    </w:p>
    <w:p w14:paraId="27318B8B">
      <w:pPr>
        <w:ind w:firstLine="480"/>
      </w:pPr>
      <w:r>
        <w:rPr>
          <w:rFonts w:hint="eastAsia" w:cs="宋体"/>
        </w:rPr>
        <w:t>在此背景下，原北京市环境保护局结合北京市地方标准制修订项目计划于</w:t>
      </w:r>
      <w:r>
        <w:t>2018</w:t>
      </w:r>
      <w:r>
        <w:rPr>
          <w:rFonts w:hint="eastAsia" w:cs="宋体"/>
        </w:rPr>
        <w:t>年</w:t>
      </w:r>
      <w:r>
        <w:t>9</w:t>
      </w:r>
      <w:r>
        <w:rPr>
          <w:rFonts w:hint="eastAsia" w:cs="宋体"/>
        </w:rPr>
        <w:t>月下达了《液氨贮存使用单位环境风险防控技术规范》（以下简称《技术规范》）的编制任务，委托北京市环境应急与事故调查中心承担该《技术规范》的编制工作。同时，协调天津市生态环境局、河北省生态环境厅，积极推进该标准作为京津冀联合标准的立项和编制工作，以有效推动京津冀三地环境风险的联防联控。截至目前，天津、河北两地申报立项工作进展顺利。</w:t>
      </w:r>
    </w:p>
    <w:p w14:paraId="50627326">
      <w:pPr>
        <w:ind w:firstLine="480"/>
      </w:pPr>
      <w:r>
        <w:rPr>
          <w:rFonts w:hint="eastAsia" w:cs="宋体"/>
        </w:rPr>
        <w:t>本标准由北京市生态环境局提出并归口。</w:t>
      </w:r>
    </w:p>
    <w:p w14:paraId="1F15416D">
      <w:pPr>
        <w:pStyle w:val="64"/>
        <w:outlineLvl w:val="1"/>
        <w:rPr>
          <w:rFonts w:hAnsi="Times New Roman"/>
        </w:rPr>
      </w:pPr>
      <w:bookmarkStart w:id="57" w:name="_Toc17853"/>
      <w:bookmarkStart w:id="58" w:name="_Toc8460"/>
      <w:bookmarkStart w:id="59" w:name="_Toc7927"/>
      <w:bookmarkStart w:id="60" w:name="_Toc26061"/>
      <w:bookmarkStart w:id="61" w:name="_Toc10299"/>
      <w:bookmarkStart w:id="62" w:name="_Toc6093"/>
      <w:bookmarkStart w:id="63" w:name="_Toc6486"/>
      <w:bookmarkStart w:id="64" w:name="_Toc16096"/>
      <w:bookmarkStart w:id="65" w:name="_Toc28323"/>
      <w:bookmarkStart w:id="66" w:name="_Toc11985"/>
      <w:bookmarkStart w:id="67" w:name="_Toc13753233"/>
      <w:bookmarkStart w:id="68" w:name="_Toc795"/>
      <w:bookmarkStart w:id="69" w:name="_Toc24874"/>
      <w:bookmarkStart w:id="70" w:name="_Toc11065"/>
      <w:bookmarkStart w:id="71" w:name="_Toc22464"/>
      <w:bookmarkStart w:id="72" w:name="_Toc644"/>
      <w:bookmarkStart w:id="73" w:name="_Toc24436"/>
      <w:bookmarkStart w:id="74" w:name="_Toc26734"/>
      <w:bookmarkStart w:id="75" w:name="_Toc14329"/>
      <w:bookmarkStart w:id="76" w:name="_Toc32176"/>
      <w:bookmarkStart w:id="77" w:name="_Toc9237"/>
      <w:bookmarkStart w:id="78" w:name="_Toc16044"/>
      <w:bookmarkStart w:id="79" w:name="_Toc11001"/>
      <w:bookmarkStart w:id="80" w:name="_Toc515984550"/>
      <w:r>
        <w:rPr>
          <w:rFonts w:hAnsi="Times New Roman"/>
        </w:rPr>
        <w:t>1.2</w:t>
      </w:r>
      <w:r>
        <w:rPr>
          <w:rFonts w:hint="eastAsia" w:hAnsi="Times New Roman" w:cs="黑体"/>
        </w:rPr>
        <w:t>起草单位</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711EC4B">
      <w:pPr>
        <w:ind w:firstLine="480"/>
      </w:pPr>
      <w:r>
        <w:rPr>
          <w:rFonts w:hint="eastAsia" w:cs="宋体"/>
        </w:rPr>
        <w:t>北京市环境应急与事故调查中心、北京市环境保护科学研究院。</w:t>
      </w:r>
    </w:p>
    <w:p w14:paraId="4D8F5375">
      <w:pPr>
        <w:pStyle w:val="64"/>
        <w:outlineLvl w:val="1"/>
        <w:rPr>
          <w:rFonts w:hAnsi="Times New Roman"/>
        </w:rPr>
      </w:pPr>
      <w:bookmarkStart w:id="81" w:name="_Toc6414"/>
      <w:bookmarkStart w:id="82" w:name="_Toc21938"/>
      <w:bookmarkStart w:id="83" w:name="_Toc2593"/>
      <w:bookmarkStart w:id="84" w:name="_Toc6203"/>
      <w:bookmarkStart w:id="85" w:name="_Toc3057"/>
      <w:bookmarkStart w:id="86" w:name="_Toc6859"/>
      <w:bookmarkStart w:id="87" w:name="_Toc3126"/>
      <w:bookmarkStart w:id="88" w:name="_Toc17293"/>
      <w:bookmarkStart w:id="89" w:name="_Toc4601"/>
      <w:bookmarkStart w:id="90" w:name="_Toc515984551"/>
      <w:bookmarkStart w:id="91" w:name="_Toc17656"/>
      <w:bookmarkStart w:id="92" w:name="_Toc12833"/>
      <w:bookmarkStart w:id="93" w:name="_Toc13742"/>
      <w:bookmarkStart w:id="94" w:name="_Toc26571"/>
      <w:bookmarkStart w:id="95" w:name="_Toc227"/>
      <w:bookmarkStart w:id="96" w:name="_Toc19224"/>
      <w:bookmarkStart w:id="97" w:name="_Toc28936"/>
      <w:bookmarkStart w:id="98" w:name="_Toc22867"/>
      <w:bookmarkStart w:id="99" w:name="_Toc20236"/>
      <w:bookmarkStart w:id="100" w:name="_Toc29615"/>
      <w:bookmarkStart w:id="101" w:name="_Toc32734"/>
      <w:bookmarkStart w:id="102" w:name="_Toc15820"/>
      <w:bookmarkStart w:id="103" w:name="_Toc15536"/>
      <w:bookmarkStart w:id="104" w:name="_Toc13753234"/>
      <w:r>
        <w:rPr>
          <w:rFonts w:hAnsi="Times New Roman"/>
        </w:rPr>
        <w:t>1.3</w:t>
      </w:r>
      <w:r>
        <w:rPr>
          <w:rFonts w:hint="eastAsia" w:hAnsi="Times New Roman" w:cs="黑体"/>
        </w:rPr>
        <w:t>起草人员</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889179B">
      <w:pPr>
        <w:pStyle w:val="60"/>
        <w:spacing w:before="312" w:after="312"/>
        <w:rPr>
          <w:rFonts w:ascii="Times New Roman" w:hAnsi="Times New Roman" w:cs="Times New Roman"/>
        </w:rPr>
      </w:pPr>
      <w:bookmarkStart w:id="105" w:name="_Toc2737"/>
      <w:bookmarkStart w:id="106" w:name="_Toc7749"/>
      <w:bookmarkStart w:id="107" w:name="_Toc27386"/>
      <w:bookmarkStart w:id="108" w:name="_Toc18735"/>
      <w:bookmarkStart w:id="109" w:name="_Toc32472"/>
      <w:bookmarkStart w:id="110" w:name="_Toc7791"/>
      <w:bookmarkStart w:id="111" w:name="_Toc11320"/>
      <w:bookmarkStart w:id="112" w:name="_Toc19187"/>
      <w:bookmarkStart w:id="113" w:name="_Toc12472"/>
      <w:bookmarkStart w:id="114" w:name="_Toc26297"/>
      <w:bookmarkStart w:id="115" w:name="_Toc19874"/>
      <w:bookmarkStart w:id="116" w:name="_Toc1920"/>
      <w:bookmarkStart w:id="117" w:name="_Toc12917"/>
      <w:bookmarkStart w:id="118" w:name="_Toc14841"/>
      <w:bookmarkStart w:id="119" w:name="_Toc14050"/>
      <w:bookmarkStart w:id="120" w:name="_Toc26679"/>
      <w:bookmarkStart w:id="121" w:name="_Toc14164"/>
      <w:bookmarkStart w:id="122" w:name="_Toc9263"/>
      <w:bookmarkStart w:id="123" w:name="_Toc21269"/>
      <w:bookmarkStart w:id="124" w:name="_Toc29851"/>
      <w:bookmarkStart w:id="125" w:name="_Toc27840"/>
      <w:bookmarkStart w:id="126" w:name="_Toc13753235"/>
      <w:bookmarkStart w:id="127" w:name="_Toc21200"/>
      <w:bookmarkStart w:id="128" w:name="_Toc515984552"/>
      <w:r>
        <w:rPr>
          <w:rFonts w:hint="eastAsia" w:ascii="Times New Roman" w:hAnsi="Times New Roman" w:cs="黑体"/>
        </w:rPr>
        <w:t>二、工作过程</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01B3441">
      <w:pPr>
        <w:ind w:firstLine="480"/>
      </w:pPr>
      <w:r>
        <w:rPr>
          <w:rFonts w:hint="eastAsia" w:cs="宋体"/>
        </w:rPr>
        <w:t>标准编制组于</w:t>
      </w:r>
      <w:r>
        <w:t>2017</w:t>
      </w:r>
      <w:r>
        <w:rPr>
          <w:rFonts w:hint="eastAsia" w:cs="宋体"/>
        </w:rPr>
        <w:t>年</w:t>
      </w:r>
      <w:r>
        <w:t>6</w:t>
      </w:r>
      <w:r>
        <w:rPr>
          <w:rFonts w:hint="eastAsia" w:cs="宋体"/>
        </w:rPr>
        <w:t>月启动标准编制工作，梳理和分析了现有突发事件应对的相关法律法规、环境风险评估及应急处置相关规范性文件，对比分析了北京市对液氨贮存使用单位管理现状及要求。开展了液氨</w:t>
      </w:r>
      <w:bookmarkStart w:id="129" w:name="OLE_LINK7"/>
      <w:r>
        <w:rPr>
          <w:rFonts w:hint="eastAsia" w:cs="宋体"/>
        </w:rPr>
        <w:t>贮存</w:t>
      </w:r>
      <w:bookmarkEnd w:id="129"/>
      <w:r>
        <w:rPr>
          <w:rFonts w:hint="eastAsia" w:cs="宋体"/>
        </w:rPr>
        <w:t>使用单位现场调研，查看了其突发环境事件应急预案情况，安全及风险防控的落实情况，对液氨贮存使用单位环境风险环节、风险防控设备和技术进行了分析评估，对国内外相关法规标准和北京市相关政策要求开展了调研，在此基础上形成了《技术规范》（工作组讨论稿）。</w:t>
      </w:r>
    </w:p>
    <w:p w14:paraId="1C294EEF">
      <w:pPr>
        <w:ind w:firstLine="480"/>
      </w:pPr>
      <w:r>
        <w:rPr>
          <w:rFonts w:hint="eastAsia" w:cs="宋体"/>
        </w:rPr>
        <w:t>具体工作过程包括：</w:t>
      </w:r>
    </w:p>
    <w:p w14:paraId="0C90DE94">
      <w:pPr>
        <w:ind w:firstLine="480"/>
      </w:pPr>
      <w:r>
        <w:rPr>
          <w:rFonts w:hint="eastAsia" w:cs="宋体"/>
        </w:rPr>
        <w:t>（</w:t>
      </w:r>
      <w:r>
        <w:t>1</w:t>
      </w:r>
      <w:r>
        <w:rPr>
          <w:rFonts w:hint="eastAsia" w:cs="宋体"/>
        </w:rPr>
        <w:t>）</w:t>
      </w:r>
      <w:r>
        <w:t>2017</w:t>
      </w:r>
      <w:r>
        <w:rPr>
          <w:rFonts w:hint="eastAsia" w:cs="宋体"/>
        </w:rPr>
        <w:t>年</w:t>
      </w:r>
      <w:r>
        <w:t>6</w:t>
      </w:r>
      <w:r>
        <w:rPr>
          <w:rFonts w:hint="eastAsia" w:cs="宋体"/>
        </w:rPr>
        <w:t>月，成立本标准的项目编制组。</w:t>
      </w:r>
    </w:p>
    <w:p w14:paraId="255C78C1">
      <w:pPr>
        <w:ind w:firstLine="480"/>
      </w:pPr>
      <w:r>
        <w:rPr>
          <w:rFonts w:hint="eastAsia" w:cs="宋体"/>
        </w:rPr>
        <w:t>（</w:t>
      </w:r>
      <w:r>
        <w:t>2</w:t>
      </w:r>
      <w:r>
        <w:rPr>
          <w:rFonts w:hint="eastAsia" w:cs="宋体"/>
        </w:rPr>
        <w:t>）</w:t>
      </w:r>
      <w:r>
        <w:t>2017</w:t>
      </w:r>
      <w:r>
        <w:rPr>
          <w:rFonts w:hint="eastAsia" w:cs="宋体"/>
        </w:rPr>
        <w:t>年</w:t>
      </w:r>
      <w:r>
        <w:t>7</w:t>
      </w:r>
      <w:r>
        <w:rPr>
          <w:rFonts w:hint="eastAsia" w:cs="宋体"/>
        </w:rPr>
        <w:t>月</w:t>
      </w:r>
      <w:r>
        <w:t>~11</w:t>
      </w:r>
      <w:r>
        <w:rPr>
          <w:rFonts w:hint="eastAsia" w:cs="宋体"/>
        </w:rPr>
        <w:t>月，标准编制组开展资料调研，收集国内、国外（欧盟、美国、香港及台湾地区）液氨贮存使用单位环境风险相关政策、法律及法规等情况。梳理和分析了现有突发事件应对的相关法律法规、环境风险评估及应急处置相关规范性文件，对比分析了北京市对液氨贮存使用单位管理现状及要求。</w:t>
      </w:r>
    </w:p>
    <w:p w14:paraId="5CEAA888">
      <w:pPr>
        <w:ind w:firstLine="480"/>
      </w:pPr>
      <w:r>
        <w:rPr>
          <w:rFonts w:hint="eastAsia" w:cs="宋体"/>
        </w:rPr>
        <w:t>（</w:t>
      </w:r>
      <w:r>
        <w:t>3</w:t>
      </w:r>
      <w:r>
        <w:rPr>
          <w:rFonts w:hint="eastAsia" w:cs="宋体"/>
        </w:rPr>
        <w:t>）</w:t>
      </w:r>
      <w:r>
        <w:t>2017</w:t>
      </w:r>
      <w:r>
        <w:rPr>
          <w:rFonts w:hint="eastAsia" w:cs="宋体"/>
        </w:rPr>
        <w:t>年</w:t>
      </w:r>
      <w:r>
        <w:t>12</w:t>
      </w:r>
      <w:r>
        <w:rPr>
          <w:rFonts w:hint="eastAsia" w:cs="宋体"/>
        </w:rPr>
        <w:t>月</w:t>
      </w:r>
      <w:r>
        <w:t>~2018</w:t>
      </w:r>
      <w:r>
        <w:rPr>
          <w:rFonts w:hint="eastAsia" w:cs="宋体"/>
        </w:rPr>
        <w:t>年</w:t>
      </w:r>
      <w:r>
        <w:t>2</w:t>
      </w:r>
      <w:r>
        <w:rPr>
          <w:rFonts w:hint="eastAsia" w:cs="宋体"/>
        </w:rPr>
        <w:t>月，对北京市液氨贮存使用单位开展现场调研，了解其应急预案、风险防控、消防及安全设施、应急处置和预防等现状，对液氨贮存使用单位环境风险环节、风险防控设备和技术进行了分析评估。对国内外相关法规标准和北京市相关政策要求开展了调研，在此基础上形成了《技术规范》（工作组讨论稿）。</w:t>
      </w:r>
    </w:p>
    <w:p w14:paraId="069689B1">
      <w:pPr>
        <w:ind w:firstLine="480"/>
      </w:pPr>
      <w:r>
        <w:rPr>
          <w:rFonts w:hint="eastAsia" w:cs="宋体"/>
        </w:rPr>
        <w:t>（</w:t>
      </w:r>
      <w:r>
        <w:t>4</w:t>
      </w:r>
      <w:r>
        <w:rPr>
          <w:rFonts w:hint="eastAsia" w:cs="宋体"/>
        </w:rPr>
        <w:t>）</w:t>
      </w:r>
      <w:r>
        <w:t>2018</w:t>
      </w:r>
      <w:r>
        <w:rPr>
          <w:rFonts w:hint="eastAsia" w:cs="宋体"/>
        </w:rPr>
        <w:t>年</w:t>
      </w:r>
      <w:r>
        <w:t>4</w:t>
      </w:r>
      <w:r>
        <w:rPr>
          <w:rFonts w:hint="eastAsia" w:cs="宋体"/>
        </w:rPr>
        <w:t>月</w:t>
      </w:r>
      <w:r>
        <w:t>28</w:t>
      </w:r>
      <w:r>
        <w:rPr>
          <w:rFonts w:hint="eastAsia" w:cs="宋体"/>
        </w:rPr>
        <w:t>日，组织召开专家咨询会，邀请北京市标准化研究所、国家城市环境污染控制工程技术研究中心等单位专家从标准编制原则及具体条款研提意见和建议。</w:t>
      </w:r>
    </w:p>
    <w:p w14:paraId="1FAC1020">
      <w:pPr>
        <w:ind w:firstLine="480"/>
      </w:pPr>
      <w:r>
        <w:rPr>
          <w:rFonts w:hint="eastAsia" w:cs="宋体"/>
        </w:rPr>
        <w:t>（</w:t>
      </w:r>
      <w:r>
        <w:t>5</w:t>
      </w:r>
      <w:r>
        <w:rPr>
          <w:rFonts w:hint="eastAsia" w:cs="宋体"/>
        </w:rPr>
        <w:t>）</w:t>
      </w:r>
      <w:r>
        <w:t>2018</w:t>
      </w:r>
      <w:r>
        <w:rPr>
          <w:rFonts w:hint="eastAsia" w:cs="宋体"/>
        </w:rPr>
        <w:t>年</w:t>
      </w:r>
      <w:r>
        <w:t>5</w:t>
      </w:r>
      <w:r>
        <w:rPr>
          <w:rFonts w:hint="eastAsia" w:cs="宋体"/>
        </w:rPr>
        <w:t>月，根据专家意见对标准进行修改，调整了与北京市现有地方标准重复的条款，增加了环境风险及应急处置的技术条款，提高了技术规范的可操作性。与北京市安监局相关处室进行座谈调研，就标准的偏重点和关键因素进行深入的交谈并取得共识，标准的制订对于北京市风险源的环境管理和安全管理具有重要的作用。</w:t>
      </w:r>
    </w:p>
    <w:p w14:paraId="21F5B1FF">
      <w:pPr>
        <w:pStyle w:val="60"/>
        <w:spacing w:before="312" w:after="312"/>
        <w:rPr>
          <w:rFonts w:ascii="Times New Roman" w:hAnsi="Times New Roman" w:cs="Times New Roman"/>
        </w:rPr>
      </w:pPr>
      <w:bookmarkStart w:id="130" w:name="_Toc13753236"/>
      <w:bookmarkStart w:id="131" w:name="_Toc12288"/>
      <w:bookmarkStart w:id="132" w:name="_Toc25937"/>
      <w:bookmarkStart w:id="133" w:name="_Toc32299"/>
      <w:bookmarkStart w:id="134" w:name="_Toc26590"/>
      <w:bookmarkStart w:id="135" w:name="_Toc3399"/>
      <w:bookmarkStart w:id="136" w:name="_Toc27810"/>
      <w:bookmarkStart w:id="137" w:name="_Toc19984"/>
      <w:bookmarkStart w:id="138" w:name="_Toc186"/>
      <w:bookmarkStart w:id="139" w:name="_Toc6189"/>
      <w:bookmarkStart w:id="140" w:name="_Toc15353"/>
      <w:bookmarkStart w:id="141" w:name="_Toc1989"/>
      <w:bookmarkStart w:id="142" w:name="_Toc17349"/>
      <w:bookmarkStart w:id="143" w:name="_Toc13753"/>
      <w:bookmarkStart w:id="144" w:name="_Toc32015"/>
      <w:bookmarkStart w:id="145" w:name="_Toc4645"/>
      <w:bookmarkStart w:id="146" w:name="_Toc515984553"/>
      <w:bookmarkStart w:id="147" w:name="_Toc9872"/>
      <w:bookmarkStart w:id="148" w:name="_Toc21155"/>
      <w:bookmarkStart w:id="149" w:name="_Toc15906"/>
      <w:bookmarkStart w:id="150" w:name="_Toc28326"/>
      <w:bookmarkStart w:id="151" w:name="_Toc6439"/>
      <w:bookmarkStart w:id="152" w:name="_Toc15298"/>
      <w:bookmarkStart w:id="153" w:name="_Toc23153"/>
      <w:r>
        <w:rPr>
          <w:rFonts w:hint="eastAsia" w:ascii="Times New Roman" w:hAnsi="Times New Roman" w:cs="黑体"/>
        </w:rPr>
        <w:t>三、标准的必要性分析</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1DD1B8D">
      <w:pPr>
        <w:ind w:firstLine="480"/>
      </w:pPr>
      <w:r>
        <w:rPr>
          <w:rFonts w:hint="eastAsia" w:cs="宋体"/>
        </w:rPr>
        <w:t>（</w:t>
      </w:r>
      <w:r>
        <w:t>1</w:t>
      </w:r>
      <w:r>
        <w:rPr>
          <w:rFonts w:hint="eastAsia" w:cs="宋体"/>
        </w:rPr>
        <w:t>）液氨贮存使用单位存在安全生产及环境高风险</w:t>
      </w:r>
    </w:p>
    <w:p w14:paraId="10247981">
      <w:pPr>
        <w:ind w:firstLine="480"/>
      </w:pPr>
      <w:r>
        <w:rPr>
          <w:rFonts w:hint="eastAsia" w:cs="宋体"/>
        </w:rPr>
        <w:t>氨具有价格低廉、效能高、传热性能好等优点，是当今世界上较为环保、理想的制冷剂。但是，氨具有毒性，人体吸入会引起中毒，直接接触液氨会引起冻伤。氨气泄漏（浓度</w:t>
      </w:r>
      <w:r>
        <w:t>11</w:t>
      </w:r>
      <w:r>
        <w:rPr>
          <w:rFonts w:hint="eastAsia" w:cs="宋体"/>
        </w:rPr>
        <w:t>％～</w:t>
      </w:r>
      <w:r>
        <w:t>14%</w:t>
      </w:r>
      <w:r>
        <w:rPr>
          <w:rFonts w:hint="eastAsia" w:cs="宋体"/>
        </w:rPr>
        <w:t>）会遇火燃烧，浓度升高（容积百分比达到</w:t>
      </w:r>
      <w:r>
        <w:t>16</w:t>
      </w:r>
      <w:r>
        <w:rPr>
          <w:rFonts w:hint="eastAsia" w:cs="宋体"/>
        </w:rPr>
        <w:t>％～</w:t>
      </w:r>
      <w:r>
        <w:t>25%</w:t>
      </w:r>
      <w:r>
        <w:rPr>
          <w:rFonts w:hint="eastAsia" w:cs="宋体"/>
        </w:rPr>
        <w:t>）遇明火可爆炸。因此，应用氨制冷技术具有一定的危险性。</w:t>
      </w:r>
    </w:p>
    <w:p w14:paraId="7682FFF3">
      <w:pPr>
        <w:ind w:firstLine="480"/>
      </w:pPr>
      <w:r>
        <w:rPr>
          <w:rFonts w:hint="eastAsia" w:cs="宋体"/>
        </w:rPr>
        <w:t>由于氨的特性和涉氨制冷企业在生产工艺、安全防护、安全管理、法律法规落实等方面存在的问题，导致涉氨制冷企业安全隐患较多，并由此带来高环境风险。随着涉氨制冷技术普遍推广应用，涉氨企业数量大幅增长，处于安全生产及环境高风险状态。近年来，全国涉氨企业液氨泄漏事故多发，给人民的生命财产带来了极大威胁。</w:t>
      </w:r>
      <w:r>
        <w:t>2013</w:t>
      </w:r>
      <w:r>
        <w:rPr>
          <w:rFonts w:hint="eastAsia" w:cs="宋体"/>
        </w:rPr>
        <w:t>年吉林长春市宝源丰禽业有限公司</w:t>
      </w:r>
      <w:r>
        <w:t>“6•3”</w:t>
      </w:r>
      <w:r>
        <w:rPr>
          <w:rFonts w:hint="eastAsia" w:cs="宋体"/>
        </w:rPr>
        <w:t>特别重大火灾爆炸事故和上海翁牌冷藏实业有限公司</w:t>
      </w:r>
      <w:r>
        <w:t>“8•31”</w:t>
      </w:r>
      <w:r>
        <w:rPr>
          <w:rFonts w:hint="eastAsia" w:cs="宋体"/>
        </w:rPr>
        <w:t>重大氨泄漏事故造成了巨大人员伤亡和财产损失。据不完全统计，近几年北京市至少发生过十余起液氨泄漏事故，这些事故曾导致</w:t>
      </w:r>
      <w:r>
        <w:t>1</w:t>
      </w:r>
      <w:r>
        <w:rPr>
          <w:rFonts w:hint="eastAsia" w:cs="宋体"/>
        </w:rPr>
        <w:t>人死亡，</w:t>
      </w:r>
      <w:r>
        <w:t>2</w:t>
      </w:r>
      <w:r>
        <w:rPr>
          <w:rFonts w:hint="eastAsia" w:cs="宋体"/>
        </w:rPr>
        <w:t>人受伤，</w:t>
      </w:r>
      <w:r>
        <w:t>7</w:t>
      </w:r>
      <w:r>
        <w:rPr>
          <w:rFonts w:hint="eastAsia" w:cs="宋体"/>
        </w:rPr>
        <w:t>人中毒，其中一次事故还导致周边疏散一个村庄的人口，一次事故造成事故周边环境氨气严重超标，涉氨的环境风险防控及应对需要引起足够的重视。</w:t>
      </w:r>
    </w:p>
    <w:p w14:paraId="03CCFA93">
      <w:pPr>
        <w:adjustRightInd w:val="0"/>
        <w:snapToGrid w:val="0"/>
        <w:ind w:firstLine="480"/>
      </w:pPr>
      <w:r>
        <w:t>2017</w:t>
      </w:r>
      <w:r>
        <w:rPr>
          <w:rFonts w:hint="eastAsia" w:cs="宋体"/>
        </w:rPr>
        <w:t>年组织涉氨行业调研结果显示，北京市众多涉氨企业周边</w:t>
      </w:r>
      <w:r>
        <w:t>5</w:t>
      </w:r>
      <w:r>
        <w:rPr>
          <w:rFonts w:hint="eastAsia" w:cs="宋体"/>
        </w:rPr>
        <w:t>公里范围内，人口数量超</w:t>
      </w:r>
      <w:r>
        <w:t>30</w:t>
      </w:r>
      <w:r>
        <w:rPr>
          <w:rFonts w:hint="eastAsia" w:cs="宋体"/>
        </w:rPr>
        <w:t>万人的有</w:t>
      </w:r>
      <w:r>
        <w:t>12</w:t>
      </w:r>
      <w:r>
        <w:rPr>
          <w:rFonts w:hint="eastAsia" w:cs="宋体"/>
        </w:rPr>
        <w:t>家企业，</w:t>
      </w:r>
      <w:r>
        <w:t>20</w:t>
      </w:r>
      <w:r>
        <w:rPr>
          <w:rFonts w:hint="eastAsia" w:cs="宋体"/>
        </w:rPr>
        <w:t>万</w:t>
      </w:r>
      <w:r>
        <w:t>~30</w:t>
      </w:r>
      <w:r>
        <w:rPr>
          <w:rFonts w:hint="eastAsia" w:cs="宋体"/>
        </w:rPr>
        <w:t>万人的有</w:t>
      </w:r>
      <w:r>
        <w:t>8</w:t>
      </w:r>
      <w:r>
        <w:rPr>
          <w:rFonts w:hint="eastAsia" w:cs="宋体"/>
        </w:rPr>
        <w:t>家，</w:t>
      </w:r>
      <w:r>
        <w:t>10</w:t>
      </w:r>
      <w:r>
        <w:rPr>
          <w:rFonts w:hint="eastAsia" w:cs="宋体"/>
        </w:rPr>
        <w:t>万</w:t>
      </w:r>
      <w:r>
        <w:t>~20</w:t>
      </w:r>
      <w:r>
        <w:rPr>
          <w:rFonts w:hint="eastAsia" w:cs="宋体"/>
        </w:rPr>
        <w:t>万人的有</w:t>
      </w:r>
      <w:r>
        <w:t>20</w:t>
      </w:r>
      <w:r>
        <w:rPr>
          <w:rFonts w:hint="eastAsia" w:cs="宋体"/>
        </w:rPr>
        <w:t>家，</w:t>
      </w:r>
      <w:r>
        <w:t xml:space="preserve"> 5</w:t>
      </w:r>
      <w:r>
        <w:rPr>
          <w:rFonts w:hint="eastAsia" w:cs="宋体"/>
        </w:rPr>
        <w:t>万</w:t>
      </w:r>
      <w:r>
        <w:t>~10</w:t>
      </w:r>
      <w:r>
        <w:rPr>
          <w:rFonts w:hint="eastAsia" w:cs="宋体"/>
        </w:rPr>
        <w:t>万人的有</w:t>
      </w:r>
      <w:r>
        <w:t>25</w:t>
      </w:r>
      <w:r>
        <w:rPr>
          <w:rFonts w:hint="eastAsia" w:cs="宋体"/>
        </w:rPr>
        <w:t>家。天津市有各类液氨贮存使用单位</w:t>
      </w:r>
      <w:r>
        <w:t>122</w:t>
      </w:r>
      <w:r>
        <w:rPr>
          <w:rFonts w:hint="eastAsia" w:cs="宋体"/>
        </w:rPr>
        <w:t>家，河北省更是有液氨企业</w:t>
      </w:r>
      <w:r>
        <w:t>2424</w:t>
      </w:r>
      <w:r>
        <w:rPr>
          <w:rFonts w:hint="eastAsia" w:cs="宋体"/>
        </w:rPr>
        <w:t>家。用于制冷的液氨在系统内的运行量大，并长期处于高压运行状态，系统的管线错综复杂，接口接点多，加上部分管线老化，易出现氨泄漏风险。氨是属于刺激性很强的有毒气体，一旦泄漏，易造成群众恐慌，引起社会的动荡，进而触发政治性事件。由此可见，加强该行业环境风险防控也十分的必要。</w:t>
      </w:r>
    </w:p>
    <w:p w14:paraId="7F526BB3">
      <w:pPr>
        <w:ind w:firstLine="480"/>
      </w:pPr>
      <w:r>
        <w:rPr>
          <w:rFonts w:hint="eastAsia" w:cs="宋体"/>
        </w:rPr>
        <w:t>（</w:t>
      </w:r>
      <w:r>
        <w:t>2</w:t>
      </w:r>
      <w:r>
        <w:rPr>
          <w:rFonts w:hint="eastAsia" w:cs="宋体"/>
        </w:rPr>
        <w:t>）环境风险防控技术规范是降低事故损失的重要保障</w:t>
      </w:r>
    </w:p>
    <w:p w14:paraId="0864330A">
      <w:pPr>
        <w:ind w:firstLine="480"/>
      </w:pPr>
      <w:r>
        <w:rPr>
          <w:rFonts w:hint="eastAsia" w:cs="宋体"/>
        </w:rPr>
        <w:t>面对液氨贮存使用单位存在的较高风险，国务院安委会于</w:t>
      </w:r>
      <w:r>
        <w:t>2013</w:t>
      </w:r>
      <w:r>
        <w:rPr>
          <w:rFonts w:hint="eastAsia" w:cs="宋体"/>
        </w:rPr>
        <w:t>年印发了《国务院安委会关于深入开展涉氨制冷企业液氨使用专项治理的通知》，对涉氨企业液氨使用专项治理工作重点做出了明确要求。各地区认真贯彻落实该文件精神，取得了一定成效，从源头上降低了液氨贮存使用单位事故风险，提升了液氨贮存使用单位的安全水平。但一旦事故发生，及时采取正确有效的措施，是将事故造成的人员伤害和财产损失降到最低的重要保障。技术规范对涉氨环境安全事故处理具有重要的指导作用，一方面能够保障救援人员与涉事人员的生命健康安全，另一方面能有效的防止事故发展，将直接经济损失和污染物对环境的损害降到最低。</w:t>
      </w:r>
    </w:p>
    <w:p w14:paraId="569741FC">
      <w:pPr>
        <w:ind w:firstLine="480"/>
      </w:pPr>
      <w:r>
        <w:rPr>
          <w:rFonts w:hint="eastAsia" w:cs="宋体"/>
        </w:rPr>
        <w:t>（</w:t>
      </w:r>
      <w:r>
        <w:t>3</w:t>
      </w:r>
      <w:r>
        <w:rPr>
          <w:rFonts w:hint="eastAsia" w:cs="宋体"/>
        </w:rPr>
        <w:t>）环境风险防控技术规范是完善突发环境事件应急管理体系的需要</w:t>
      </w:r>
    </w:p>
    <w:p w14:paraId="47ABF999">
      <w:pPr>
        <w:ind w:firstLine="480"/>
      </w:pPr>
      <w:r>
        <w:rPr>
          <w:rFonts w:hint="eastAsia" w:cs="宋体"/>
        </w:rPr>
        <w:t>突发性环境污染事件引起环境、经济、社会重大损失，造成恶劣的影响。为健全、完善突发环境事件应对体制、机制，规范各类突发环境事件处置，国家和北京市先后发布了《中华人民共和国突发事件应对法》、《中华人民共和国环境保护法》、《国家突发公共事件总体应急预案》、《国家突发环境事件应急预案》《北京市突发事件总体应急预案》和《北京市突发环境事件应急预案》等相关法律、法规及规定，但与其配套的可操作层面的标准规范等仍属空白。环境风险防控是环境应急过程中的重要环节，科学的环境风险防控是对应急预案的细化和落实，尤其在生产事故引发的环境事故中，环境风险防控技术规范将在常规生产事故救援之外突出环境风险的防控和环境应急处置，最大限度控制事故对环境的影响，对于突发环境事件应急管理体系的完善有重要意义。</w:t>
      </w:r>
    </w:p>
    <w:p w14:paraId="67164289">
      <w:pPr>
        <w:ind w:firstLine="480"/>
      </w:pPr>
      <w:r>
        <w:rPr>
          <w:rFonts w:hint="eastAsia" w:cs="宋体"/>
        </w:rPr>
        <w:t>综上所述，北京市液氨贮存使用单位环境风险防控技术规范的编制十分必要。该规范的制定可以完善液氨贮存使用单位突发环境事件应急管理体系，同时为其他应急处置规范编制提供参考，并在涉氨事故中为将损失和环境污染控制在最低范围内提供保障。</w:t>
      </w:r>
    </w:p>
    <w:p w14:paraId="24C5361D">
      <w:pPr>
        <w:pStyle w:val="60"/>
        <w:spacing w:before="312" w:after="312"/>
        <w:rPr>
          <w:rFonts w:ascii="Times New Roman" w:hAnsi="Times New Roman" w:cs="Times New Roman"/>
        </w:rPr>
      </w:pPr>
      <w:bookmarkStart w:id="154" w:name="_Toc7053"/>
      <w:bookmarkStart w:id="155" w:name="_Toc20582"/>
      <w:bookmarkStart w:id="156" w:name="_Toc27816"/>
      <w:bookmarkStart w:id="157" w:name="_Toc5432"/>
      <w:bookmarkStart w:id="158" w:name="_Toc7064"/>
      <w:bookmarkStart w:id="159" w:name="_Toc27491"/>
      <w:bookmarkStart w:id="160" w:name="_Toc19586"/>
      <w:bookmarkStart w:id="161" w:name="_Toc15012"/>
      <w:bookmarkStart w:id="162" w:name="_Toc14438"/>
      <w:bookmarkStart w:id="163" w:name="_Toc32505"/>
      <w:bookmarkStart w:id="164" w:name="_Toc15176"/>
      <w:bookmarkStart w:id="165" w:name="_Toc2037"/>
      <w:bookmarkStart w:id="166" w:name="_Toc12521"/>
      <w:bookmarkStart w:id="167" w:name="_Toc19421"/>
      <w:bookmarkStart w:id="168" w:name="_Toc16510"/>
      <w:bookmarkStart w:id="169" w:name="_Toc21812"/>
      <w:bookmarkStart w:id="170" w:name="_Toc515984554"/>
      <w:bookmarkStart w:id="171" w:name="_Toc19247"/>
      <w:bookmarkStart w:id="172" w:name="_Toc30192"/>
      <w:bookmarkStart w:id="173" w:name="_Toc28373"/>
      <w:bookmarkStart w:id="174" w:name="_Toc13753237"/>
      <w:bookmarkStart w:id="175" w:name="_Toc31635"/>
      <w:bookmarkStart w:id="176" w:name="_Toc30659"/>
      <w:bookmarkStart w:id="177" w:name="_Toc32065"/>
      <w:r>
        <w:rPr>
          <w:rFonts w:hint="eastAsia" w:ascii="Times New Roman" w:hAnsi="Times New Roman" w:cs="黑体"/>
        </w:rPr>
        <w:t>四、液氨贮存使用单位概况</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2248993B">
      <w:pPr>
        <w:pStyle w:val="64"/>
        <w:outlineLvl w:val="1"/>
        <w:rPr>
          <w:rFonts w:hAnsi="Times New Roman"/>
        </w:rPr>
      </w:pPr>
      <w:bookmarkStart w:id="178" w:name="_Toc13753238"/>
      <w:bookmarkStart w:id="179" w:name="_Toc28970"/>
      <w:bookmarkStart w:id="180" w:name="_Toc28217"/>
      <w:bookmarkStart w:id="181" w:name="_Toc500397181"/>
      <w:bookmarkStart w:id="182" w:name="_Toc14531"/>
      <w:bookmarkStart w:id="183" w:name="_Toc11347"/>
      <w:bookmarkStart w:id="184" w:name="_Toc27645"/>
      <w:bookmarkStart w:id="185" w:name="_Toc16766"/>
      <w:bookmarkStart w:id="186" w:name="_Toc15883"/>
      <w:bookmarkStart w:id="187" w:name="_Toc3577"/>
      <w:bookmarkStart w:id="188" w:name="_Toc3611"/>
      <w:bookmarkStart w:id="189" w:name="_Toc9088"/>
      <w:bookmarkStart w:id="190" w:name="_Toc5426"/>
      <w:bookmarkStart w:id="191" w:name="_Toc6709"/>
      <w:bookmarkStart w:id="192" w:name="_Toc8104"/>
      <w:bookmarkStart w:id="193" w:name="_Toc12896"/>
      <w:bookmarkStart w:id="194" w:name="_Toc13872"/>
      <w:bookmarkStart w:id="195" w:name="_Toc7123"/>
      <w:bookmarkStart w:id="196" w:name="_Toc20695"/>
      <w:bookmarkStart w:id="197" w:name="_Toc25028"/>
      <w:bookmarkStart w:id="198" w:name="_Toc190"/>
      <w:bookmarkStart w:id="199" w:name="_Toc13489"/>
      <w:bookmarkStart w:id="200" w:name="_Toc515984555"/>
      <w:bookmarkStart w:id="201" w:name="_Toc20345"/>
      <w:bookmarkStart w:id="202" w:name="_Toc24749"/>
      <w:bookmarkStart w:id="203" w:name="_Toc492458033"/>
      <w:r>
        <w:rPr>
          <w:rFonts w:hAnsi="Times New Roman"/>
        </w:rPr>
        <w:t>4.1</w:t>
      </w:r>
      <w:r>
        <w:rPr>
          <w:rFonts w:hint="eastAsia" w:hAnsi="Times New Roman" w:cs="黑体"/>
        </w:rPr>
        <w:t>天津市、河北省基本情况</w:t>
      </w:r>
      <w:bookmarkEnd w:id="178"/>
    </w:p>
    <w:p w14:paraId="27D151AF">
      <w:pPr>
        <w:ind w:firstLine="480"/>
        <w:rPr>
          <w:rFonts w:ascii="宋体"/>
        </w:rPr>
      </w:pPr>
      <w:bookmarkStart w:id="204" w:name="_Toc4503477"/>
      <w:r>
        <w:rPr>
          <w:rFonts w:hint="eastAsia" w:ascii="宋体" w:hAnsi="宋体" w:cs="宋体"/>
        </w:rPr>
        <w:t>天津市有各类液氨贮存使用单位</w:t>
      </w:r>
      <w:r>
        <w:rPr>
          <w:rFonts w:ascii="宋体" w:hAnsi="宋体" w:cs="宋体"/>
        </w:rPr>
        <w:t>122</w:t>
      </w:r>
      <w:r>
        <w:rPr>
          <w:rFonts w:hint="eastAsia" w:ascii="宋体" w:hAnsi="宋体" w:cs="宋体"/>
        </w:rPr>
        <w:t>家</w:t>
      </w:r>
      <w:bookmarkEnd w:id="204"/>
      <w:r>
        <w:rPr>
          <w:rFonts w:hint="eastAsia" w:ascii="宋体" w:hAnsi="宋体" w:cs="宋体"/>
        </w:rPr>
        <w:t>，涉及化工、医药、食品加工等行业。</w:t>
      </w:r>
      <w:bookmarkStart w:id="205" w:name="_Toc4503478"/>
      <w:r>
        <w:rPr>
          <w:rFonts w:hint="eastAsia" w:ascii="宋体" w:hAnsi="宋体" w:cs="宋体"/>
        </w:rPr>
        <w:t>河北省有液氨企业</w:t>
      </w:r>
      <w:r>
        <w:rPr>
          <w:rFonts w:ascii="宋体" w:hAnsi="宋体" w:cs="宋体"/>
        </w:rPr>
        <w:t>2424</w:t>
      </w:r>
      <w:r>
        <w:rPr>
          <w:rFonts w:hint="eastAsia" w:ascii="宋体" w:hAnsi="宋体" w:cs="宋体"/>
        </w:rPr>
        <w:t>家。从地域分布来讲，石家庄市</w:t>
      </w:r>
      <w:r>
        <w:rPr>
          <w:rFonts w:ascii="宋体" w:hAnsi="宋体" w:cs="宋体"/>
        </w:rPr>
        <w:t>1568</w:t>
      </w:r>
      <w:r>
        <w:rPr>
          <w:rFonts w:hint="eastAsia" w:ascii="宋体" w:hAnsi="宋体" w:cs="宋体"/>
        </w:rPr>
        <w:t>家，承德市</w:t>
      </w:r>
      <w:r>
        <w:rPr>
          <w:rFonts w:ascii="宋体" w:hAnsi="宋体" w:cs="宋体"/>
        </w:rPr>
        <w:t>17</w:t>
      </w:r>
      <w:r>
        <w:rPr>
          <w:rFonts w:hint="eastAsia" w:ascii="宋体" w:hAnsi="宋体" w:cs="宋体"/>
        </w:rPr>
        <w:t>家，张家口市</w:t>
      </w:r>
      <w:r>
        <w:rPr>
          <w:rFonts w:ascii="宋体" w:hAnsi="宋体" w:cs="宋体"/>
        </w:rPr>
        <w:t>113</w:t>
      </w:r>
      <w:r>
        <w:rPr>
          <w:rFonts w:hint="eastAsia" w:ascii="宋体" w:hAnsi="宋体" w:cs="宋体"/>
        </w:rPr>
        <w:t>家，秦皇岛市</w:t>
      </w:r>
      <w:r>
        <w:rPr>
          <w:rFonts w:ascii="宋体" w:hAnsi="宋体" w:cs="宋体"/>
        </w:rPr>
        <w:t>159</w:t>
      </w:r>
      <w:r>
        <w:rPr>
          <w:rFonts w:hint="eastAsia" w:ascii="宋体" w:hAnsi="宋体" w:cs="宋体"/>
        </w:rPr>
        <w:t>家，唐山市</w:t>
      </w:r>
      <w:r>
        <w:rPr>
          <w:rFonts w:ascii="宋体" w:hAnsi="宋体" w:cs="宋体"/>
        </w:rPr>
        <w:t>169</w:t>
      </w:r>
      <w:r>
        <w:rPr>
          <w:rFonts w:hint="eastAsia" w:ascii="宋体" w:hAnsi="宋体" w:cs="宋体"/>
        </w:rPr>
        <w:t>家，廊坊市</w:t>
      </w:r>
      <w:r>
        <w:rPr>
          <w:rFonts w:ascii="宋体" w:hAnsi="宋体" w:cs="宋体"/>
        </w:rPr>
        <w:t>36</w:t>
      </w:r>
      <w:r>
        <w:rPr>
          <w:rFonts w:hint="eastAsia" w:ascii="宋体" w:hAnsi="宋体" w:cs="宋体"/>
        </w:rPr>
        <w:t>家，保定市</w:t>
      </w:r>
      <w:r>
        <w:rPr>
          <w:rFonts w:ascii="宋体" w:hAnsi="宋体" w:cs="宋体"/>
        </w:rPr>
        <w:t>54</w:t>
      </w:r>
      <w:r>
        <w:rPr>
          <w:rFonts w:hint="eastAsia" w:ascii="宋体" w:hAnsi="宋体" w:cs="宋体"/>
        </w:rPr>
        <w:t>家，沧州市</w:t>
      </w:r>
      <w:r>
        <w:rPr>
          <w:rFonts w:ascii="宋体" w:hAnsi="宋体" w:cs="宋体"/>
        </w:rPr>
        <w:t>142</w:t>
      </w:r>
      <w:r>
        <w:rPr>
          <w:rFonts w:hint="eastAsia" w:ascii="宋体" w:hAnsi="宋体" w:cs="宋体"/>
        </w:rPr>
        <w:t>家，衡水市</w:t>
      </w:r>
      <w:r>
        <w:rPr>
          <w:rFonts w:ascii="宋体" w:hAnsi="宋体" w:cs="宋体"/>
        </w:rPr>
        <w:t>30</w:t>
      </w:r>
      <w:r>
        <w:rPr>
          <w:rFonts w:hint="eastAsia" w:ascii="宋体" w:hAnsi="宋体" w:cs="宋体"/>
        </w:rPr>
        <w:t>家，邢台</w:t>
      </w:r>
      <w:r>
        <w:rPr>
          <w:rFonts w:ascii="宋体" w:hAnsi="宋体" w:cs="宋体"/>
        </w:rPr>
        <w:t>18</w:t>
      </w:r>
      <w:r>
        <w:rPr>
          <w:rFonts w:hint="eastAsia" w:ascii="宋体" w:hAnsi="宋体" w:cs="宋体"/>
        </w:rPr>
        <w:t>家，邯郸市</w:t>
      </w:r>
      <w:r>
        <w:rPr>
          <w:rFonts w:ascii="宋体" w:hAnsi="宋体" w:cs="宋体"/>
        </w:rPr>
        <w:t>71</w:t>
      </w:r>
      <w:r>
        <w:rPr>
          <w:rFonts w:hint="eastAsia" w:ascii="宋体" w:hAnsi="宋体" w:cs="宋体"/>
        </w:rPr>
        <w:t>家，定州市</w:t>
      </w:r>
      <w:r>
        <w:rPr>
          <w:rFonts w:ascii="宋体" w:hAnsi="宋体" w:cs="宋体"/>
        </w:rPr>
        <w:t>2</w:t>
      </w:r>
      <w:r>
        <w:rPr>
          <w:rFonts w:hint="eastAsia" w:ascii="宋体" w:hAnsi="宋体" w:cs="宋体"/>
        </w:rPr>
        <w:t>家，辛集市</w:t>
      </w:r>
      <w:r>
        <w:rPr>
          <w:rFonts w:ascii="宋体" w:hAnsi="宋体" w:cs="宋体"/>
        </w:rPr>
        <w:t>45</w:t>
      </w:r>
      <w:r>
        <w:rPr>
          <w:rFonts w:hint="eastAsia" w:ascii="宋体" w:hAnsi="宋体" w:cs="宋体"/>
        </w:rPr>
        <w:t>家。</w:t>
      </w:r>
      <w:bookmarkEnd w:id="205"/>
    </w:p>
    <w:p w14:paraId="77F17C9F">
      <w:pPr>
        <w:pStyle w:val="64"/>
        <w:outlineLvl w:val="1"/>
        <w:rPr>
          <w:rFonts w:hAnsi="Times New Roman"/>
        </w:rPr>
      </w:pPr>
      <w:bookmarkStart w:id="206" w:name="_Toc13753239"/>
      <w:r>
        <w:rPr>
          <w:rFonts w:hAnsi="Times New Roman"/>
        </w:rPr>
        <w:t>4.2</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hAnsi="Times New Roman" w:cs="黑体"/>
        </w:rPr>
        <w:t>北京市基本情况</w:t>
      </w:r>
      <w:bookmarkEnd w:id="206"/>
    </w:p>
    <w:p w14:paraId="7071EA47">
      <w:pPr>
        <w:ind w:firstLine="480"/>
      </w:pPr>
      <w:r>
        <w:rPr>
          <w:rFonts w:hint="eastAsia" w:cs="宋体"/>
        </w:rPr>
        <w:t>截至</w:t>
      </w:r>
      <w:r>
        <w:t>2017</w:t>
      </w:r>
      <w:r>
        <w:rPr>
          <w:rFonts w:hint="eastAsia" w:cs="宋体"/>
        </w:rPr>
        <w:t>年</w:t>
      </w:r>
      <w:r>
        <w:t>10</w:t>
      </w:r>
      <w:r>
        <w:rPr>
          <w:rFonts w:hint="eastAsia" w:cs="宋体"/>
        </w:rPr>
        <w:t>月，北京市仍使用液氨的企业有</w:t>
      </w:r>
      <w:r>
        <w:t>82</w:t>
      </w:r>
      <w:r>
        <w:rPr>
          <w:rFonts w:hint="eastAsia" w:cs="宋体"/>
        </w:rPr>
        <w:t>家，分布在朝阳、海淀、丰台等</w:t>
      </w:r>
      <w:r>
        <w:t>13</w:t>
      </w:r>
      <w:r>
        <w:rPr>
          <w:rFonts w:hint="eastAsia" w:cs="宋体"/>
        </w:rPr>
        <w:t>个区和经济技术开发区。这些企业中液氨的用途有制冷、热处理、用作原辅料和水处理。液氨年使用总量为</w:t>
      </w:r>
      <w:r>
        <w:t>1230</w:t>
      </w:r>
      <w:r>
        <w:rPr>
          <w:rFonts w:hint="eastAsia" w:cs="宋体"/>
        </w:rPr>
        <w:t>吨。</w:t>
      </w:r>
    </w:p>
    <w:p w14:paraId="5B30ABE3">
      <w:pPr>
        <w:pStyle w:val="47"/>
        <w:ind w:left="0" w:leftChars="0"/>
        <w:outlineLvl w:val="2"/>
      </w:pPr>
      <w:bookmarkStart w:id="207" w:name="_Toc25064"/>
      <w:bookmarkStart w:id="208" w:name="_Toc23778"/>
      <w:bookmarkStart w:id="209" w:name="_Toc12224"/>
      <w:bookmarkStart w:id="210" w:name="_Toc18035"/>
      <w:bookmarkStart w:id="211" w:name="_Toc5562"/>
      <w:bookmarkStart w:id="212" w:name="_Toc515984556"/>
      <w:bookmarkStart w:id="213" w:name="_Toc500397182"/>
      <w:bookmarkStart w:id="214" w:name="_Toc16951"/>
      <w:bookmarkStart w:id="215" w:name="_Toc19064"/>
      <w:bookmarkStart w:id="216" w:name="_Toc18089"/>
      <w:bookmarkStart w:id="217" w:name="_Toc9209"/>
      <w:bookmarkStart w:id="218" w:name="_Toc3775"/>
      <w:bookmarkStart w:id="219" w:name="_Toc9071"/>
      <w:bookmarkStart w:id="220" w:name="_Toc10637"/>
      <w:bookmarkStart w:id="221" w:name="_Toc9339"/>
      <w:bookmarkStart w:id="222" w:name="_Toc24208"/>
      <w:bookmarkStart w:id="223" w:name="_Toc9289"/>
      <w:bookmarkStart w:id="224" w:name="_Toc9622"/>
      <w:bookmarkStart w:id="225" w:name="_Toc11486"/>
      <w:bookmarkStart w:id="226" w:name="_Toc2345"/>
      <w:bookmarkStart w:id="227" w:name="_Toc13625"/>
      <w:bookmarkStart w:id="228" w:name="_Toc23795"/>
      <w:bookmarkStart w:id="229" w:name="_Toc10471"/>
      <w:bookmarkStart w:id="230" w:name="_Toc20836"/>
      <w:r>
        <w:t>4.2.1</w:t>
      </w:r>
      <w:r>
        <w:rPr>
          <w:rFonts w:hint="eastAsia" w:cs="黑体"/>
        </w:rPr>
        <w:t>涉氨企业分布</w:t>
      </w:r>
      <w:bookmarkEnd w:id="203"/>
      <w:r>
        <w:rPr>
          <w:rFonts w:hint="eastAsia" w:cs="黑体"/>
        </w:rPr>
        <w:t>情况</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3DD2A59">
      <w:pPr>
        <w:pStyle w:val="47"/>
        <w:ind w:left="0" w:leftChars="0"/>
        <w:outlineLvl w:val="2"/>
      </w:pPr>
      <w:r>
        <w:t>4.2.1.1</w:t>
      </w:r>
      <w:r>
        <w:rPr>
          <w:rFonts w:hint="eastAsia" w:cs="黑体"/>
        </w:rPr>
        <w:t>区域分布</w:t>
      </w:r>
    </w:p>
    <w:p w14:paraId="25135119">
      <w:pPr>
        <w:ind w:firstLine="480"/>
        <w:rPr>
          <w:sz w:val="28"/>
          <w:szCs w:val="28"/>
        </w:rPr>
      </w:pPr>
      <w:bookmarkStart w:id="231" w:name="_Hlk497483151"/>
      <w:r>
        <w:rPr>
          <w:rFonts w:hint="eastAsia" w:cs="宋体"/>
        </w:rPr>
        <w:t>按照所在区域，涉氨企业数量分布如图</w:t>
      </w:r>
      <w:r>
        <w:t>4-1</w:t>
      </w:r>
      <w:r>
        <w:rPr>
          <w:rFonts w:hint="eastAsia" w:cs="宋体"/>
        </w:rPr>
        <w:t>所示</w:t>
      </w:r>
      <w:bookmarkEnd w:id="231"/>
      <w:r>
        <w:rPr>
          <w:rFonts w:hint="eastAsia" w:cs="宋体"/>
        </w:rPr>
        <w:t>。</w:t>
      </w:r>
    </w:p>
    <w:p w14:paraId="56175102">
      <w:pPr>
        <w:ind w:firstLine="0" w:firstLineChars="0"/>
        <w:jc w:val="center"/>
      </w:pPr>
      <w:r>
        <w:object>
          <v:shape id="_x0000_i1025" o:spt="75" type="#_x0000_t75" style="height:168pt;width:335.25pt;" o:ole="t" filled="f" o:preferrelative="t" stroked="f" coordsize="21600,21600">
            <v:path/>
            <v:fill on="f" focussize="0,0"/>
            <v:stroke on="f" joinstyle="miter"/>
            <v:imagedata r:id="rId13" o:title=""/>
            <o:lock v:ext="edit" aspectratio="f"/>
            <w10:wrap type="none"/>
            <w10:anchorlock/>
          </v:shape>
          <o:OLEObject Type="Embed" ProgID="Excel.Sheet.8" ShapeID="_x0000_i1025" DrawAspect="Content" ObjectID="_1468075725" r:id="rId12">
            <o:LockedField>false</o:LockedField>
          </o:OLEObject>
        </w:object>
      </w:r>
    </w:p>
    <w:p w14:paraId="46DED055">
      <w:pPr>
        <w:ind w:firstLine="0" w:firstLineChars="0"/>
        <w:jc w:val="center"/>
        <w:rPr>
          <w:b/>
          <w:bCs/>
          <w:sz w:val="21"/>
          <w:szCs w:val="21"/>
        </w:rPr>
      </w:pPr>
      <w:r>
        <w:rPr>
          <w:rFonts w:hint="eastAsia" w:cs="宋体"/>
          <w:b/>
          <w:bCs/>
          <w:sz w:val="21"/>
          <w:szCs w:val="21"/>
        </w:rPr>
        <w:t>图</w:t>
      </w:r>
      <w:r>
        <w:rPr>
          <w:b/>
          <w:bCs/>
          <w:sz w:val="21"/>
          <w:szCs w:val="21"/>
        </w:rPr>
        <w:t xml:space="preserve">4-1  </w:t>
      </w:r>
      <w:r>
        <w:rPr>
          <w:rFonts w:hint="eastAsia" w:cs="宋体"/>
          <w:b/>
          <w:bCs/>
          <w:sz w:val="21"/>
          <w:szCs w:val="21"/>
        </w:rPr>
        <w:t>涉氨企业按行政区划的分布图</w:t>
      </w:r>
    </w:p>
    <w:p w14:paraId="58753EEF">
      <w:pPr>
        <w:ind w:firstLine="480"/>
      </w:pPr>
      <w:r>
        <w:rPr>
          <w:rFonts w:hint="eastAsia" w:cs="宋体"/>
        </w:rPr>
        <w:t>经统计，首都功能核心区内没有涉氨企业，城市功能拓展区内有涉氨企业</w:t>
      </w:r>
      <w:r>
        <w:t>15</w:t>
      </w:r>
      <w:r>
        <w:rPr>
          <w:rFonts w:hint="eastAsia" w:cs="宋体"/>
        </w:rPr>
        <w:t>家，城市发展新区内有涉氨企业</w:t>
      </w:r>
      <w:r>
        <w:t>50</w:t>
      </w:r>
      <w:r>
        <w:rPr>
          <w:rFonts w:hint="eastAsia" w:cs="宋体"/>
        </w:rPr>
        <w:t>家，生态涵养发展区内有涉氨企业</w:t>
      </w:r>
      <w:r>
        <w:t>17</w:t>
      </w:r>
      <w:r>
        <w:rPr>
          <w:rFonts w:hint="eastAsia" w:cs="宋体"/>
        </w:rPr>
        <w:t>家。</w:t>
      </w:r>
    </w:p>
    <w:p w14:paraId="06BFA6CE">
      <w:pPr>
        <w:ind w:firstLine="0" w:firstLineChars="0"/>
      </w:pPr>
      <w:r>
        <w:rPr>
          <w:rFonts w:hint="eastAsia" w:cs="宋体"/>
        </w:rPr>
        <w:t>从液氨储存量看，顺义、丰台和大兴区储量最多，分别占全市液氨储量的</w:t>
      </w:r>
      <w:r>
        <w:t>26%</w:t>
      </w:r>
      <w:r>
        <w:rPr>
          <w:rFonts w:hint="eastAsia" w:cs="宋体"/>
        </w:rPr>
        <w:t>、</w:t>
      </w:r>
      <w:r>
        <w:t>13%</w:t>
      </w:r>
      <w:r>
        <w:rPr>
          <w:rFonts w:hint="eastAsia" w:cs="宋体"/>
        </w:rPr>
        <w:t>和</w:t>
      </w:r>
      <w:r>
        <w:t>13%</w:t>
      </w:r>
      <w:r>
        <w:rPr>
          <w:rFonts w:hint="eastAsia" w:cs="宋体"/>
        </w:rPr>
        <w:t>。各区具体分布参见图</w:t>
      </w:r>
      <w:r>
        <w:t>4-2</w:t>
      </w:r>
      <w:r>
        <w:rPr>
          <w:rFonts w:hint="eastAsia" w:cs="宋体"/>
        </w:rPr>
        <w:t>。</w:t>
      </w:r>
    </w:p>
    <w:p w14:paraId="6B9B2613">
      <w:pPr>
        <w:ind w:firstLine="0" w:firstLineChars="0"/>
        <w:jc w:val="center"/>
        <w:rPr>
          <w:sz w:val="28"/>
          <w:szCs w:val="28"/>
        </w:rPr>
      </w:pPr>
      <w:r>
        <w:object>
          <v:shape id="_x0000_i1026" o:spt="75" type="#_x0000_t75" style="height:169.5pt;width:317.25pt;" o:ole="t" filled="f" o:preferrelative="t" stroked="f" coordsize="21600,21600">
            <v:path/>
            <v:fill on="f" focussize="0,0"/>
            <v:stroke on="f" joinstyle="miter"/>
            <v:imagedata r:id="rId15" o:title=""/>
            <o:lock v:ext="edit" aspectratio="f"/>
            <w10:wrap type="none"/>
            <w10:anchorlock/>
          </v:shape>
          <o:OLEObject Type="Embed" ProgID="Excel.Sheet.8" ShapeID="_x0000_i1026" DrawAspect="Content" ObjectID="_1468075726" r:id="rId14">
            <o:LockedField>false</o:LockedField>
          </o:OLEObject>
        </w:object>
      </w:r>
    </w:p>
    <w:p w14:paraId="752D4F75">
      <w:pPr>
        <w:ind w:firstLine="0" w:firstLineChars="0"/>
        <w:jc w:val="center"/>
        <w:rPr>
          <w:b/>
          <w:bCs/>
          <w:sz w:val="21"/>
          <w:szCs w:val="21"/>
        </w:rPr>
      </w:pPr>
      <w:r>
        <w:rPr>
          <w:rFonts w:hint="eastAsia" w:cs="宋体"/>
          <w:b/>
          <w:bCs/>
          <w:sz w:val="21"/>
          <w:szCs w:val="21"/>
        </w:rPr>
        <w:t>图</w:t>
      </w:r>
      <w:r>
        <w:rPr>
          <w:b/>
          <w:bCs/>
          <w:sz w:val="21"/>
          <w:szCs w:val="21"/>
        </w:rPr>
        <w:t>4-2</w:t>
      </w:r>
      <w:r>
        <w:rPr>
          <w:rFonts w:hint="eastAsia" w:cs="宋体"/>
          <w:b/>
          <w:bCs/>
          <w:sz w:val="21"/>
          <w:szCs w:val="21"/>
        </w:rPr>
        <w:t>液氨储存量按行政区划的分布图</w:t>
      </w:r>
    </w:p>
    <w:p w14:paraId="18B7AB4F">
      <w:pPr>
        <w:pStyle w:val="47"/>
        <w:ind w:leftChars="0"/>
        <w:outlineLvl w:val="2"/>
      </w:pPr>
      <w:bookmarkStart w:id="232" w:name="_Toc2607"/>
      <w:bookmarkStart w:id="233" w:name="_Toc18102"/>
      <w:bookmarkStart w:id="234" w:name="_Toc26479"/>
      <w:bookmarkStart w:id="235" w:name="_Toc7470"/>
      <w:bookmarkStart w:id="236" w:name="_Toc18195"/>
      <w:bookmarkStart w:id="237" w:name="_Toc4344"/>
      <w:bookmarkStart w:id="238" w:name="_Toc23832"/>
      <w:bookmarkStart w:id="239" w:name="_Toc19479"/>
      <w:bookmarkStart w:id="240" w:name="_Toc2916"/>
      <w:bookmarkStart w:id="241" w:name="_Toc500397184"/>
      <w:bookmarkStart w:id="242" w:name="_Toc25364"/>
      <w:bookmarkStart w:id="243" w:name="_Toc20925"/>
      <w:bookmarkStart w:id="244" w:name="_Toc1636"/>
      <w:bookmarkStart w:id="245" w:name="_Toc8954"/>
      <w:bookmarkStart w:id="246" w:name="_Toc8684"/>
      <w:r>
        <w:t xml:space="preserve">4.2.1.2 </w:t>
      </w:r>
      <w:r>
        <w:rPr>
          <w:rFonts w:hint="eastAsia" w:cs="黑体"/>
        </w:rPr>
        <w:t>行业分布</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842BFF8">
      <w:pPr>
        <w:ind w:firstLine="480"/>
      </w:pPr>
      <w:r>
        <w:pict>
          <v:shape id="文本框 2" o:spid="_x0000_s1029" o:spt="202" type="#_x0000_t202" style="position:absolute;left:0pt;margin-left:27pt;margin-top:45.05pt;height:139.55pt;width:73.65pt;z-index:251665408;mso-width-relative:page;mso-height-relative:page;" filled="f" stroked="f" coordsize="21600,21600">
            <v:path/>
            <v:fill on="f" focussize="0,0"/>
            <v:stroke on="f" joinstyle="miter"/>
            <v:imagedata o:title=""/>
            <o:lock v:ext="edit"/>
            <v:textbox style="mso-fit-shape-to-text:t;">
              <w:txbxContent>
                <w:p w14:paraId="709484F5">
                  <w:pPr>
                    <w:ind w:firstLine="360"/>
                    <w:rPr>
                      <w:sz w:val="18"/>
                      <w:szCs w:val="18"/>
                    </w:rPr>
                  </w:pPr>
                  <w:r>
                    <w:rPr>
                      <w:rFonts w:hint="eastAsia" w:cs="宋体"/>
                      <w:sz w:val="18"/>
                      <w:szCs w:val="18"/>
                    </w:rPr>
                    <w:t>单位</w:t>
                  </w:r>
                  <w:r>
                    <w:rPr>
                      <w:sz w:val="18"/>
                      <w:szCs w:val="18"/>
                    </w:rPr>
                    <w:t>:</w:t>
                  </w:r>
                  <w:r>
                    <w:rPr>
                      <w:rFonts w:hint="eastAsia" w:cs="宋体"/>
                      <w:sz w:val="18"/>
                      <w:szCs w:val="18"/>
                    </w:rPr>
                    <w:t>家</w:t>
                  </w:r>
                </w:p>
              </w:txbxContent>
            </v:textbox>
          </v:shape>
        </w:pict>
      </w:r>
      <w:r>
        <w:rPr>
          <w:rFonts w:hint="eastAsia" w:cs="宋体"/>
        </w:rPr>
        <w:t>按用途划分，用于制冷的企业</w:t>
      </w:r>
      <w:r>
        <w:t>58</w:t>
      </w:r>
      <w:r>
        <w:rPr>
          <w:rFonts w:hint="eastAsia" w:cs="宋体"/>
        </w:rPr>
        <w:t>家，用于热处理的企业</w:t>
      </w:r>
      <w:r>
        <w:t>13</w:t>
      </w:r>
      <w:r>
        <w:rPr>
          <w:rFonts w:hint="eastAsia" w:cs="宋体"/>
        </w:rPr>
        <w:t>家，用作原辅料的企业</w:t>
      </w:r>
      <w:r>
        <w:t>9</w:t>
      </w:r>
      <w:r>
        <w:rPr>
          <w:rFonts w:hint="eastAsia" w:cs="宋体"/>
        </w:rPr>
        <w:t>家，用于水处理的企业</w:t>
      </w:r>
      <w:r>
        <w:t>2</w:t>
      </w:r>
      <w:r>
        <w:rPr>
          <w:rFonts w:hint="eastAsia" w:cs="宋体"/>
        </w:rPr>
        <w:t>家。详见表</w:t>
      </w:r>
      <w:r>
        <w:t>4-3</w:t>
      </w:r>
      <w:r>
        <w:rPr>
          <w:rFonts w:hint="eastAsia" w:cs="宋体"/>
        </w:rPr>
        <w:t>按用途分布表。</w:t>
      </w:r>
    </w:p>
    <w:bookmarkEnd w:id="3"/>
    <w:p w14:paraId="6F17B72D">
      <w:pPr>
        <w:ind w:firstLine="0" w:firstLineChars="0"/>
        <w:jc w:val="center"/>
        <w:rPr>
          <w:b/>
          <w:bCs/>
        </w:rPr>
      </w:pPr>
      <w:r>
        <w:object>
          <v:shape id="_x0000_i1027" o:spt="75" type="#_x0000_t75" style="height:138.75pt;width:315.75pt;" o:ole="t" filled="f" o:preferrelative="t" stroked="f" coordsize="21600,21600">
            <v:path/>
            <v:fill on="f" focussize="0,0"/>
            <v:stroke on="f" joinstyle="miter"/>
            <v:imagedata r:id="rId17" o:title=""/>
            <o:lock v:ext="edit" aspectratio="f"/>
            <w10:wrap type="none"/>
            <w10:anchorlock/>
          </v:shape>
          <o:OLEObject Type="Embed" ProgID="Excel.Sheet.8" ShapeID="_x0000_i1027" DrawAspect="Content" ObjectID="_1468075727" r:id="rId16">
            <o:LockedField>false</o:LockedField>
          </o:OLEObject>
        </w:object>
      </w:r>
    </w:p>
    <w:p w14:paraId="55FA0E29">
      <w:pPr>
        <w:ind w:firstLine="0" w:firstLineChars="0"/>
        <w:jc w:val="center"/>
        <w:rPr>
          <w:b/>
          <w:bCs/>
          <w:sz w:val="21"/>
          <w:szCs w:val="21"/>
        </w:rPr>
      </w:pPr>
      <w:r>
        <w:rPr>
          <w:rFonts w:hint="eastAsia" w:cs="宋体"/>
          <w:b/>
          <w:bCs/>
          <w:sz w:val="21"/>
          <w:szCs w:val="21"/>
        </w:rPr>
        <w:t>图</w:t>
      </w:r>
      <w:r>
        <w:rPr>
          <w:b/>
          <w:bCs/>
          <w:sz w:val="21"/>
          <w:szCs w:val="21"/>
        </w:rPr>
        <w:t>4-3</w:t>
      </w:r>
      <w:r>
        <w:rPr>
          <w:rFonts w:hint="eastAsia" w:cs="宋体"/>
          <w:b/>
          <w:bCs/>
          <w:sz w:val="21"/>
          <w:szCs w:val="21"/>
        </w:rPr>
        <w:t>按用途分布图</w:t>
      </w:r>
    </w:p>
    <w:p w14:paraId="66A3FFAB">
      <w:pPr>
        <w:ind w:firstLine="480"/>
      </w:pPr>
      <w:r>
        <w:rPr>
          <w:rFonts w:hint="eastAsia" w:cs="宋体"/>
        </w:rPr>
        <w:t>其中，</w:t>
      </w:r>
      <w:r>
        <w:t>58</w:t>
      </w:r>
      <w:r>
        <w:rPr>
          <w:rFonts w:hint="eastAsia" w:cs="宋体"/>
        </w:rPr>
        <w:t>家涉氨制冷企业在各区的分布详见图</w:t>
      </w:r>
      <w:r>
        <w:t>4-4</w:t>
      </w:r>
      <w:r>
        <w:rPr>
          <w:rFonts w:hint="eastAsia" w:cs="宋体"/>
        </w:rPr>
        <w:t>。</w:t>
      </w:r>
    </w:p>
    <w:p w14:paraId="56AC76D4">
      <w:pPr>
        <w:ind w:firstLine="0" w:firstLineChars="0"/>
        <w:jc w:val="center"/>
        <w:rPr>
          <w:sz w:val="28"/>
          <w:szCs w:val="28"/>
        </w:rPr>
      </w:pPr>
      <w:r>
        <w:rPr>
          <w:sz w:val="28"/>
          <w:szCs w:val="28"/>
        </w:rPr>
        <w:object>
          <v:shape id="_x0000_i1028" o:spt="75" type="#_x0000_t75" style="height:167.25pt;width:328.5pt;" o:ole="t" filled="f" o:preferrelative="t" stroked="f" coordsize="21600,21600">
            <v:path/>
            <v:fill on="f" focussize="0,0"/>
            <v:stroke on="f" joinstyle="miter"/>
            <v:imagedata r:id="rId19" o:title=""/>
            <o:lock v:ext="edit" aspectratio="f"/>
            <w10:wrap type="none"/>
            <w10:anchorlock/>
          </v:shape>
          <o:OLEObject Type="Embed" ProgID="Excel.Sheet.8" ShapeID="_x0000_i1028" DrawAspect="Content" ObjectID="_1468075728" r:id="rId18">
            <o:LockedField>false</o:LockedField>
          </o:OLEObject>
        </w:object>
      </w:r>
    </w:p>
    <w:p w14:paraId="12572B87">
      <w:pPr>
        <w:ind w:firstLine="0" w:firstLineChars="0"/>
        <w:jc w:val="center"/>
        <w:rPr>
          <w:b/>
          <w:bCs/>
        </w:rPr>
      </w:pPr>
      <w:r>
        <w:rPr>
          <w:rFonts w:hint="eastAsia" w:cs="宋体"/>
          <w:b/>
          <w:bCs/>
        </w:rPr>
        <w:t>图</w:t>
      </w:r>
      <w:r>
        <w:rPr>
          <w:b/>
          <w:bCs/>
        </w:rPr>
        <w:t>4-4</w:t>
      </w:r>
      <w:r>
        <w:rPr>
          <w:rFonts w:hint="eastAsia" w:cs="宋体"/>
          <w:b/>
          <w:bCs/>
        </w:rPr>
        <w:t>涉氨制冷企业按行政区划的分布图</w:t>
      </w:r>
    </w:p>
    <w:p w14:paraId="14BE798B">
      <w:pPr>
        <w:ind w:firstLine="480"/>
      </w:pPr>
      <w:r>
        <w:rPr>
          <w:rFonts w:hint="eastAsia" w:cs="宋体"/>
        </w:rPr>
        <w:t>从储存量来看，用于制冷、原辅料、热处理和水处理的数量详见表</w:t>
      </w:r>
      <w:r>
        <w:t>4-1</w:t>
      </w:r>
      <w:r>
        <w:rPr>
          <w:rFonts w:hint="eastAsia" w:cs="宋体"/>
        </w:rPr>
        <w:t>。</w:t>
      </w:r>
    </w:p>
    <w:p w14:paraId="58E0FF9C">
      <w:pPr>
        <w:ind w:firstLine="0" w:firstLineChars="0"/>
        <w:jc w:val="center"/>
        <w:rPr>
          <w:b/>
          <w:bCs/>
        </w:rPr>
      </w:pPr>
      <w:r>
        <w:rPr>
          <w:rFonts w:hint="eastAsia" w:cs="宋体"/>
          <w:b/>
          <w:bCs/>
        </w:rPr>
        <w:t>表</w:t>
      </w:r>
      <w:r>
        <w:rPr>
          <w:b/>
          <w:bCs/>
        </w:rPr>
        <w:t>4-1</w:t>
      </w:r>
      <w:r>
        <w:rPr>
          <w:rFonts w:hint="eastAsia" w:cs="宋体"/>
          <w:b/>
          <w:bCs/>
        </w:rPr>
        <w:t>液氨储存量按用途的分布表</w:t>
      </w:r>
    </w:p>
    <w:tbl>
      <w:tblPr>
        <w:tblStyle w:val="2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1793"/>
        <w:gridCol w:w="2332"/>
        <w:gridCol w:w="2332"/>
      </w:tblGrid>
      <w:tr w14:paraId="1C0F9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5" w:type="dxa"/>
            <w:tcBorders>
              <w:top w:val="single" w:color="auto" w:sz="12" w:space="0"/>
            </w:tcBorders>
          </w:tcPr>
          <w:p w14:paraId="5610AA68">
            <w:pPr>
              <w:ind w:firstLine="0" w:firstLineChars="0"/>
              <w:jc w:val="center"/>
              <w:rPr>
                <w:b/>
                <w:bCs/>
                <w:kern w:val="0"/>
                <w:sz w:val="21"/>
                <w:szCs w:val="21"/>
              </w:rPr>
            </w:pPr>
            <w:r>
              <w:rPr>
                <w:rFonts w:hint="eastAsia" w:cs="宋体"/>
                <w:b/>
                <w:bCs/>
                <w:kern w:val="0"/>
                <w:sz w:val="21"/>
                <w:szCs w:val="21"/>
              </w:rPr>
              <w:t>序号</w:t>
            </w:r>
          </w:p>
        </w:tc>
        <w:tc>
          <w:tcPr>
            <w:tcW w:w="1793" w:type="dxa"/>
            <w:tcBorders>
              <w:top w:val="single" w:color="auto" w:sz="12" w:space="0"/>
            </w:tcBorders>
          </w:tcPr>
          <w:p w14:paraId="3CBA86C3">
            <w:pPr>
              <w:ind w:firstLine="0" w:firstLineChars="0"/>
              <w:jc w:val="center"/>
              <w:rPr>
                <w:b/>
                <w:bCs/>
                <w:kern w:val="0"/>
                <w:sz w:val="21"/>
                <w:szCs w:val="21"/>
              </w:rPr>
            </w:pPr>
            <w:r>
              <w:rPr>
                <w:rFonts w:hint="eastAsia" w:cs="宋体"/>
                <w:b/>
                <w:bCs/>
                <w:kern w:val="0"/>
                <w:sz w:val="21"/>
                <w:szCs w:val="21"/>
              </w:rPr>
              <w:t>用途</w:t>
            </w:r>
          </w:p>
        </w:tc>
        <w:tc>
          <w:tcPr>
            <w:tcW w:w="2332" w:type="dxa"/>
            <w:tcBorders>
              <w:top w:val="single" w:color="auto" w:sz="12" w:space="0"/>
            </w:tcBorders>
          </w:tcPr>
          <w:p w14:paraId="4D726786">
            <w:pPr>
              <w:ind w:firstLine="0" w:firstLineChars="0"/>
              <w:jc w:val="center"/>
              <w:rPr>
                <w:b/>
                <w:bCs/>
                <w:kern w:val="0"/>
                <w:sz w:val="21"/>
                <w:szCs w:val="21"/>
              </w:rPr>
            </w:pPr>
            <w:r>
              <w:rPr>
                <w:rFonts w:hint="eastAsia" w:cs="宋体"/>
                <w:b/>
                <w:bCs/>
                <w:kern w:val="0"/>
                <w:sz w:val="21"/>
                <w:szCs w:val="21"/>
              </w:rPr>
              <w:t>氨储存量（吨）</w:t>
            </w:r>
          </w:p>
        </w:tc>
        <w:tc>
          <w:tcPr>
            <w:tcW w:w="2332" w:type="dxa"/>
            <w:tcBorders>
              <w:top w:val="single" w:color="auto" w:sz="12" w:space="0"/>
            </w:tcBorders>
            <w:vAlign w:val="center"/>
          </w:tcPr>
          <w:p w14:paraId="0DD2DEB0">
            <w:pPr>
              <w:ind w:firstLine="0" w:firstLineChars="0"/>
              <w:jc w:val="center"/>
              <w:rPr>
                <w:b/>
                <w:bCs/>
                <w:kern w:val="0"/>
                <w:sz w:val="21"/>
                <w:szCs w:val="21"/>
              </w:rPr>
            </w:pPr>
            <w:r>
              <w:rPr>
                <w:rFonts w:hint="eastAsia" w:cs="宋体"/>
                <w:b/>
                <w:bCs/>
                <w:kern w:val="0"/>
                <w:sz w:val="21"/>
                <w:szCs w:val="21"/>
              </w:rPr>
              <w:t>占比（</w:t>
            </w:r>
            <w:r>
              <w:rPr>
                <w:b/>
                <w:bCs/>
                <w:kern w:val="0"/>
                <w:sz w:val="21"/>
                <w:szCs w:val="21"/>
              </w:rPr>
              <w:t>%</w:t>
            </w:r>
            <w:r>
              <w:rPr>
                <w:rFonts w:hint="eastAsia" w:cs="宋体"/>
                <w:b/>
                <w:bCs/>
                <w:kern w:val="0"/>
                <w:sz w:val="21"/>
                <w:szCs w:val="21"/>
              </w:rPr>
              <w:t>）</w:t>
            </w:r>
          </w:p>
        </w:tc>
      </w:tr>
      <w:tr w14:paraId="26146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5" w:type="dxa"/>
          </w:tcPr>
          <w:p w14:paraId="072C47ED">
            <w:pPr>
              <w:ind w:firstLine="0" w:firstLineChars="0"/>
              <w:jc w:val="center"/>
              <w:rPr>
                <w:kern w:val="0"/>
                <w:sz w:val="21"/>
                <w:szCs w:val="21"/>
              </w:rPr>
            </w:pPr>
            <w:r>
              <w:rPr>
                <w:kern w:val="0"/>
                <w:sz w:val="21"/>
                <w:szCs w:val="21"/>
              </w:rPr>
              <w:t>1</w:t>
            </w:r>
          </w:p>
        </w:tc>
        <w:tc>
          <w:tcPr>
            <w:tcW w:w="1793" w:type="dxa"/>
          </w:tcPr>
          <w:p w14:paraId="11665B6C">
            <w:pPr>
              <w:ind w:firstLine="0" w:firstLineChars="0"/>
              <w:jc w:val="center"/>
              <w:rPr>
                <w:kern w:val="0"/>
                <w:sz w:val="21"/>
                <w:szCs w:val="21"/>
              </w:rPr>
            </w:pPr>
            <w:r>
              <w:rPr>
                <w:rFonts w:hint="eastAsia" w:cs="宋体"/>
                <w:kern w:val="0"/>
                <w:sz w:val="21"/>
                <w:szCs w:val="21"/>
              </w:rPr>
              <w:t>制冷</w:t>
            </w:r>
          </w:p>
        </w:tc>
        <w:tc>
          <w:tcPr>
            <w:tcW w:w="2332" w:type="dxa"/>
          </w:tcPr>
          <w:p w14:paraId="5AC5AE75">
            <w:pPr>
              <w:ind w:firstLine="0" w:firstLineChars="0"/>
              <w:jc w:val="center"/>
              <w:rPr>
                <w:kern w:val="0"/>
                <w:sz w:val="21"/>
                <w:szCs w:val="21"/>
              </w:rPr>
            </w:pPr>
            <w:r>
              <w:rPr>
                <w:kern w:val="0"/>
                <w:sz w:val="21"/>
                <w:szCs w:val="21"/>
              </w:rPr>
              <w:t>803</w:t>
            </w:r>
          </w:p>
        </w:tc>
        <w:tc>
          <w:tcPr>
            <w:tcW w:w="2332" w:type="dxa"/>
            <w:vAlign w:val="center"/>
          </w:tcPr>
          <w:p w14:paraId="54ADA386">
            <w:pPr>
              <w:ind w:firstLine="0" w:firstLineChars="0"/>
              <w:jc w:val="center"/>
              <w:rPr>
                <w:kern w:val="0"/>
                <w:sz w:val="21"/>
                <w:szCs w:val="21"/>
              </w:rPr>
            </w:pPr>
            <w:r>
              <w:rPr>
                <w:kern w:val="0"/>
                <w:sz w:val="21"/>
                <w:szCs w:val="21"/>
              </w:rPr>
              <w:t>90</w:t>
            </w:r>
          </w:p>
        </w:tc>
      </w:tr>
      <w:tr w14:paraId="576C0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5" w:type="dxa"/>
          </w:tcPr>
          <w:p w14:paraId="4AE6B8D7">
            <w:pPr>
              <w:ind w:firstLine="0" w:firstLineChars="0"/>
              <w:jc w:val="center"/>
              <w:rPr>
                <w:kern w:val="0"/>
                <w:sz w:val="21"/>
                <w:szCs w:val="21"/>
              </w:rPr>
            </w:pPr>
            <w:r>
              <w:rPr>
                <w:kern w:val="0"/>
                <w:sz w:val="21"/>
                <w:szCs w:val="21"/>
              </w:rPr>
              <w:t>2</w:t>
            </w:r>
          </w:p>
        </w:tc>
        <w:tc>
          <w:tcPr>
            <w:tcW w:w="1793" w:type="dxa"/>
          </w:tcPr>
          <w:p w14:paraId="09BCBEAA">
            <w:pPr>
              <w:ind w:firstLine="0" w:firstLineChars="0"/>
              <w:jc w:val="center"/>
              <w:rPr>
                <w:kern w:val="0"/>
                <w:sz w:val="21"/>
                <w:szCs w:val="21"/>
              </w:rPr>
            </w:pPr>
            <w:r>
              <w:rPr>
                <w:rFonts w:hint="eastAsia" w:cs="宋体"/>
                <w:kern w:val="0"/>
                <w:sz w:val="21"/>
                <w:szCs w:val="21"/>
              </w:rPr>
              <w:t>用作原辅料</w:t>
            </w:r>
          </w:p>
        </w:tc>
        <w:tc>
          <w:tcPr>
            <w:tcW w:w="2332" w:type="dxa"/>
          </w:tcPr>
          <w:p w14:paraId="6DA78BD6">
            <w:pPr>
              <w:ind w:firstLine="0" w:firstLineChars="0"/>
              <w:jc w:val="center"/>
              <w:rPr>
                <w:kern w:val="0"/>
                <w:sz w:val="21"/>
                <w:szCs w:val="21"/>
              </w:rPr>
            </w:pPr>
            <w:r>
              <w:rPr>
                <w:kern w:val="0"/>
                <w:sz w:val="21"/>
                <w:szCs w:val="21"/>
              </w:rPr>
              <w:t>48</w:t>
            </w:r>
          </w:p>
        </w:tc>
        <w:tc>
          <w:tcPr>
            <w:tcW w:w="2332" w:type="dxa"/>
            <w:vAlign w:val="center"/>
          </w:tcPr>
          <w:p w14:paraId="6AD0CE27">
            <w:pPr>
              <w:ind w:firstLine="0" w:firstLineChars="0"/>
              <w:jc w:val="center"/>
              <w:rPr>
                <w:kern w:val="0"/>
                <w:sz w:val="21"/>
                <w:szCs w:val="21"/>
              </w:rPr>
            </w:pPr>
            <w:r>
              <w:rPr>
                <w:kern w:val="0"/>
                <w:sz w:val="21"/>
                <w:szCs w:val="21"/>
              </w:rPr>
              <w:t>5</w:t>
            </w:r>
          </w:p>
        </w:tc>
      </w:tr>
      <w:tr w14:paraId="7439A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5" w:type="dxa"/>
          </w:tcPr>
          <w:p w14:paraId="178E73C9">
            <w:pPr>
              <w:ind w:firstLine="0" w:firstLineChars="0"/>
              <w:jc w:val="center"/>
              <w:rPr>
                <w:kern w:val="0"/>
                <w:sz w:val="21"/>
                <w:szCs w:val="21"/>
              </w:rPr>
            </w:pPr>
            <w:r>
              <w:rPr>
                <w:kern w:val="0"/>
                <w:sz w:val="21"/>
                <w:szCs w:val="21"/>
              </w:rPr>
              <w:t>3</w:t>
            </w:r>
          </w:p>
        </w:tc>
        <w:tc>
          <w:tcPr>
            <w:tcW w:w="1793" w:type="dxa"/>
          </w:tcPr>
          <w:p w14:paraId="48ABDC8E">
            <w:pPr>
              <w:ind w:firstLine="0" w:firstLineChars="0"/>
              <w:jc w:val="center"/>
              <w:rPr>
                <w:kern w:val="0"/>
                <w:sz w:val="21"/>
                <w:szCs w:val="21"/>
              </w:rPr>
            </w:pPr>
            <w:r>
              <w:rPr>
                <w:rFonts w:hint="eastAsia" w:cs="宋体"/>
                <w:kern w:val="0"/>
                <w:sz w:val="21"/>
                <w:szCs w:val="21"/>
              </w:rPr>
              <w:t>热处理</w:t>
            </w:r>
          </w:p>
        </w:tc>
        <w:tc>
          <w:tcPr>
            <w:tcW w:w="2332" w:type="dxa"/>
          </w:tcPr>
          <w:p w14:paraId="38F8F303">
            <w:pPr>
              <w:ind w:firstLine="0" w:firstLineChars="0"/>
              <w:jc w:val="center"/>
              <w:rPr>
                <w:kern w:val="0"/>
                <w:sz w:val="21"/>
                <w:szCs w:val="21"/>
              </w:rPr>
            </w:pPr>
            <w:r>
              <w:rPr>
                <w:kern w:val="0"/>
                <w:sz w:val="21"/>
                <w:szCs w:val="21"/>
              </w:rPr>
              <w:t>35</w:t>
            </w:r>
          </w:p>
        </w:tc>
        <w:tc>
          <w:tcPr>
            <w:tcW w:w="2332" w:type="dxa"/>
            <w:vAlign w:val="center"/>
          </w:tcPr>
          <w:p w14:paraId="599A58E4">
            <w:pPr>
              <w:ind w:firstLine="0" w:firstLineChars="0"/>
              <w:jc w:val="center"/>
              <w:rPr>
                <w:kern w:val="0"/>
                <w:sz w:val="21"/>
                <w:szCs w:val="21"/>
              </w:rPr>
            </w:pPr>
            <w:r>
              <w:rPr>
                <w:kern w:val="0"/>
                <w:sz w:val="21"/>
                <w:szCs w:val="21"/>
              </w:rPr>
              <w:t>4</w:t>
            </w:r>
          </w:p>
        </w:tc>
      </w:tr>
      <w:tr w14:paraId="29933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5" w:type="dxa"/>
          </w:tcPr>
          <w:p w14:paraId="11D94878">
            <w:pPr>
              <w:tabs>
                <w:tab w:val="center" w:pos="811"/>
                <w:tab w:val="left" w:pos="1417"/>
              </w:tabs>
              <w:ind w:firstLine="0" w:firstLineChars="0"/>
              <w:jc w:val="center"/>
              <w:rPr>
                <w:kern w:val="0"/>
                <w:sz w:val="21"/>
                <w:szCs w:val="21"/>
              </w:rPr>
            </w:pPr>
            <w:r>
              <w:rPr>
                <w:kern w:val="0"/>
                <w:sz w:val="21"/>
                <w:szCs w:val="21"/>
              </w:rPr>
              <w:t>4</w:t>
            </w:r>
          </w:p>
        </w:tc>
        <w:tc>
          <w:tcPr>
            <w:tcW w:w="1793" w:type="dxa"/>
          </w:tcPr>
          <w:p w14:paraId="53D00F55">
            <w:pPr>
              <w:ind w:firstLine="0" w:firstLineChars="0"/>
              <w:jc w:val="center"/>
              <w:rPr>
                <w:kern w:val="0"/>
                <w:sz w:val="21"/>
                <w:szCs w:val="21"/>
              </w:rPr>
            </w:pPr>
            <w:r>
              <w:rPr>
                <w:rFonts w:hint="eastAsia" w:cs="宋体"/>
                <w:kern w:val="0"/>
                <w:sz w:val="21"/>
                <w:szCs w:val="21"/>
              </w:rPr>
              <w:t>水处理</w:t>
            </w:r>
          </w:p>
        </w:tc>
        <w:tc>
          <w:tcPr>
            <w:tcW w:w="2332" w:type="dxa"/>
          </w:tcPr>
          <w:p w14:paraId="0E75D63A">
            <w:pPr>
              <w:ind w:firstLine="0" w:firstLineChars="0"/>
              <w:jc w:val="center"/>
              <w:rPr>
                <w:kern w:val="0"/>
                <w:sz w:val="21"/>
                <w:szCs w:val="21"/>
              </w:rPr>
            </w:pPr>
            <w:r>
              <w:rPr>
                <w:kern w:val="0"/>
                <w:sz w:val="21"/>
                <w:szCs w:val="21"/>
              </w:rPr>
              <w:t>9</w:t>
            </w:r>
          </w:p>
        </w:tc>
        <w:tc>
          <w:tcPr>
            <w:tcW w:w="2332" w:type="dxa"/>
            <w:vAlign w:val="center"/>
          </w:tcPr>
          <w:p w14:paraId="6D723748">
            <w:pPr>
              <w:ind w:firstLine="0" w:firstLineChars="0"/>
              <w:jc w:val="center"/>
              <w:rPr>
                <w:kern w:val="0"/>
                <w:sz w:val="21"/>
                <w:szCs w:val="21"/>
              </w:rPr>
            </w:pPr>
            <w:r>
              <w:rPr>
                <w:kern w:val="0"/>
                <w:sz w:val="21"/>
                <w:szCs w:val="21"/>
              </w:rPr>
              <w:t>1</w:t>
            </w:r>
          </w:p>
        </w:tc>
      </w:tr>
      <w:tr w14:paraId="2A5AB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065" w:type="dxa"/>
            <w:tcBorders>
              <w:bottom w:val="single" w:color="auto" w:sz="12" w:space="0"/>
            </w:tcBorders>
          </w:tcPr>
          <w:p w14:paraId="5D09BB23">
            <w:pPr>
              <w:ind w:firstLine="0" w:firstLineChars="0"/>
              <w:jc w:val="center"/>
              <w:rPr>
                <w:kern w:val="0"/>
                <w:sz w:val="21"/>
                <w:szCs w:val="21"/>
              </w:rPr>
            </w:pPr>
            <w:r>
              <w:rPr>
                <w:kern w:val="0"/>
                <w:sz w:val="21"/>
                <w:szCs w:val="21"/>
              </w:rPr>
              <w:t>5</w:t>
            </w:r>
          </w:p>
        </w:tc>
        <w:tc>
          <w:tcPr>
            <w:tcW w:w="1793" w:type="dxa"/>
            <w:tcBorders>
              <w:bottom w:val="single" w:color="auto" w:sz="12" w:space="0"/>
            </w:tcBorders>
          </w:tcPr>
          <w:p w14:paraId="02A11316">
            <w:pPr>
              <w:ind w:firstLine="0" w:firstLineChars="0"/>
              <w:jc w:val="center"/>
              <w:rPr>
                <w:kern w:val="0"/>
                <w:sz w:val="21"/>
                <w:szCs w:val="21"/>
              </w:rPr>
            </w:pPr>
            <w:r>
              <w:rPr>
                <w:rFonts w:hint="eastAsia" w:cs="宋体"/>
                <w:kern w:val="0"/>
                <w:sz w:val="21"/>
                <w:szCs w:val="21"/>
              </w:rPr>
              <w:t>合计</w:t>
            </w:r>
          </w:p>
        </w:tc>
        <w:tc>
          <w:tcPr>
            <w:tcW w:w="2332" w:type="dxa"/>
            <w:tcBorders>
              <w:bottom w:val="single" w:color="auto" w:sz="12" w:space="0"/>
            </w:tcBorders>
          </w:tcPr>
          <w:p w14:paraId="70F26E5B">
            <w:pPr>
              <w:ind w:firstLine="0" w:firstLineChars="0"/>
              <w:jc w:val="center"/>
              <w:rPr>
                <w:kern w:val="0"/>
                <w:sz w:val="21"/>
                <w:szCs w:val="21"/>
              </w:rPr>
            </w:pPr>
            <w:r>
              <w:rPr>
                <w:kern w:val="0"/>
                <w:sz w:val="21"/>
                <w:szCs w:val="21"/>
              </w:rPr>
              <w:t>895.61</w:t>
            </w:r>
          </w:p>
        </w:tc>
        <w:tc>
          <w:tcPr>
            <w:tcW w:w="2332" w:type="dxa"/>
            <w:tcBorders>
              <w:bottom w:val="single" w:color="auto" w:sz="12" w:space="0"/>
            </w:tcBorders>
            <w:vAlign w:val="center"/>
          </w:tcPr>
          <w:p w14:paraId="4A95D554">
            <w:pPr>
              <w:ind w:firstLine="0" w:firstLineChars="0"/>
              <w:jc w:val="center"/>
              <w:rPr>
                <w:kern w:val="0"/>
                <w:sz w:val="21"/>
                <w:szCs w:val="21"/>
              </w:rPr>
            </w:pPr>
            <w:r>
              <w:rPr>
                <w:kern w:val="0"/>
                <w:sz w:val="21"/>
                <w:szCs w:val="21"/>
              </w:rPr>
              <w:fldChar w:fldCharType="begin"/>
            </w:r>
            <w:r>
              <w:rPr>
                <w:kern w:val="0"/>
                <w:sz w:val="21"/>
                <w:szCs w:val="21"/>
              </w:rPr>
              <w:instrText xml:space="preserve"> =SUM(ABOVE) \# "0.00"</w:instrText>
            </w:r>
            <w:r>
              <w:rPr>
                <w:kern w:val="0"/>
                <w:sz w:val="21"/>
                <w:szCs w:val="21"/>
              </w:rPr>
              <w:fldChar w:fldCharType="separate"/>
            </w:r>
            <w:r>
              <w:rPr>
                <w:kern w:val="0"/>
                <w:sz w:val="21"/>
                <w:szCs w:val="21"/>
              </w:rPr>
              <w:t>100.00</w:t>
            </w:r>
            <w:r>
              <w:rPr>
                <w:kern w:val="0"/>
                <w:sz w:val="21"/>
                <w:szCs w:val="21"/>
              </w:rPr>
              <w:fldChar w:fldCharType="end"/>
            </w:r>
          </w:p>
        </w:tc>
      </w:tr>
    </w:tbl>
    <w:p w14:paraId="7B4BC2ED">
      <w:pPr>
        <w:ind w:firstLine="480"/>
      </w:pPr>
      <w:r>
        <w:rPr>
          <w:rFonts w:hint="eastAsia" w:cs="宋体"/>
        </w:rPr>
        <w:t>用于制冷的液氨储存量为</w:t>
      </w:r>
      <w:r>
        <w:t>803</w:t>
      </w:r>
      <w:r>
        <w:rPr>
          <w:rFonts w:hint="eastAsia" w:cs="宋体"/>
        </w:rPr>
        <w:t>吨，占全市液氨总体储存量的</w:t>
      </w:r>
      <w:r>
        <w:t>90%</w:t>
      </w:r>
      <w:r>
        <w:rPr>
          <w:rFonts w:hint="eastAsia" w:cs="宋体"/>
        </w:rPr>
        <w:t>。用于热处理的液氨储存量为</w:t>
      </w:r>
      <w:r>
        <w:t>35</w:t>
      </w:r>
      <w:r>
        <w:rPr>
          <w:rFonts w:hint="eastAsia" w:cs="宋体"/>
        </w:rPr>
        <w:t>吨，占全市液氨总体储存量的</w:t>
      </w:r>
      <w:r>
        <w:t>4%</w:t>
      </w:r>
      <w:r>
        <w:rPr>
          <w:rFonts w:hint="eastAsia" w:cs="宋体"/>
        </w:rPr>
        <w:t>。用作原辅料的液氨储存量为</w:t>
      </w:r>
      <w:r>
        <w:t>48</w:t>
      </w:r>
      <w:r>
        <w:rPr>
          <w:rFonts w:hint="eastAsia" w:cs="宋体"/>
        </w:rPr>
        <w:t>吨，占全市液氨总体储存量的</w:t>
      </w:r>
      <w:r>
        <w:t>5%</w:t>
      </w:r>
      <w:r>
        <w:rPr>
          <w:rFonts w:hint="eastAsia" w:cs="宋体"/>
        </w:rPr>
        <w:t>。用于水处理的液氨储存量为</w:t>
      </w:r>
      <w:r>
        <w:t>9</w:t>
      </w:r>
      <w:r>
        <w:rPr>
          <w:rFonts w:hint="eastAsia" w:cs="宋体"/>
        </w:rPr>
        <w:t>吨，占全市液氨总体储存量的</w:t>
      </w:r>
      <w:r>
        <w:t>1%</w:t>
      </w:r>
      <w:r>
        <w:rPr>
          <w:rFonts w:hint="eastAsia" w:cs="宋体"/>
        </w:rPr>
        <w:t>。</w:t>
      </w:r>
    </w:p>
    <w:p w14:paraId="46CBA086">
      <w:pPr>
        <w:pStyle w:val="47"/>
        <w:ind w:left="0" w:leftChars="0"/>
        <w:outlineLvl w:val="2"/>
      </w:pPr>
      <w:r>
        <w:t>4.2.2</w:t>
      </w:r>
      <w:r>
        <w:rPr>
          <w:rFonts w:hint="eastAsia" w:cs="黑体"/>
        </w:rPr>
        <w:t>企业环境管理状况</w:t>
      </w:r>
    </w:p>
    <w:p w14:paraId="084FF5A0">
      <w:pPr>
        <w:pStyle w:val="47"/>
        <w:ind w:left="0" w:leftChars="0"/>
        <w:outlineLvl w:val="2"/>
      </w:pPr>
      <w:r>
        <w:t>4.2.2.1</w:t>
      </w:r>
      <w:r>
        <w:rPr>
          <w:rFonts w:hint="eastAsia" w:cs="黑体"/>
        </w:rPr>
        <w:t>应急预案编制备案情况</w:t>
      </w:r>
    </w:p>
    <w:p w14:paraId="660F6662">
      <w:pPr>
        <w:ind w:firstLine="480"/>
      </w:pPr>
      <w:r>
        <w:rPr>
          <w:rFonts w:hint="eastAsia" w:cs="宋体"/>
        </w:rPr>
        <w:t>截至目前，</w:t>
      </w:r>
      <w:r>
        <w:t>82</w:t>
      </w:r>
      <w:r>
        <w:rPr>
          <w:rFonts w:hint="eastAsia" w:cs="宋体"/>
        </w:rPr>
        <w:t>家涉氨企业中均完成了突发环境事件应急预案编制并备案。</w:t>
      </w:r>
    </w:p>
    <w:p w14:paraId="14F901A0">
      <w:pPr>
        <w:pStyle w:val="47"/>
        <w:ind w:left="0" w:leftChars="0"/>
        <w:outlineLvl w:val="2"/>
      </w:pPr>
      <w:r>
        <w:t>4.2.2.2</w:t>
      </w:r>
      <w:r>
        <w:rPr>
          <w:rFonts w:hint="eastAsia" w:cs="黑体"/>
        </w:rPr>
        <w:t>风险防控措施</w:t>
      </w:r>
    </w:p>
    <w:p w14:paraId="0F9F4AF2">
      <w:pPr>
        <w:ind w:firstLine="0" w:firstLineChars="0"/>
      </w:pPr>
      <w:r>
        <w:rPr>
          <w:rFonts w:hint="eastAsia" w:cs="宋体"/>
        </w:rPr>
        <w:t>（</w:t>
      </w:r>
      <w:r>
        <w:t>1</w:t>
      </w:r>
      <w:r>
        <w:rPr>
          <w:rFonts w:hint="eastAsia" w:cs="宋体"/>
        </w:rPr>
        <w:t>）检测报警系统</w:t>
      </w:r>
    </w:p>
    <w:p w14:paraId="765C5111">
      <w:pPr>
        <w:ind w:firstLine="480"/>
      </w:pPr>
      <w:r>
        <w:rPr>
          <w:rFonts w:hint="eastAsia" w:cs="宋体"/>
        </w:rPr>
        <w:t>在调研的涉氨企业中，液氨储罐区、压缩机房、液氨使用区等风险单元均安装有氨气泄漏检测探头，并连接至报警器。</w:t>
      </w:r>
    </w:p>
    <w:tbl>
      <w:tblPr>
        <w:tblStyle w:val="21"/>
        <w:tblW w:w="8271" w:type="dxa"/>
        <w:jc w:val="center"/>
        <w:tblLayout w:type="fixed"/>
        <w:tblCellMar>
          <w:top w:w="0" w:type="dxa"/>
          <w:left w:w="108" w:type="dxa"/>
          <w:bottom w:w="0" w:type="dxa"/>
          <w:right w:w="108" w:type="dxa"/>
        </w:tblCellMar>
      </w:tblPr>
      <w:tblGrid>
        <w:gridCol w:w="4008"/>
        <w:gridCol w:w="4263"/>
      </w:tblGrid>
      <w:tr w14:paraId="46114D1A">
        <w:tblPrEx>
          <w:tblCellMar>
            <w:top w:w="0" w:type="dxa"/>
            <w:left w:w="108" w:type="dxa"/>
            <w:bottom w:w="0" w:type="dxa"/>
            <w:right w:w="108" w:type="dxa"/>
          </w:tblCellMar>
        </w:tblPrEx>
        <w:trPr>
          <w:trHeight w:val="3300" w:hRule="atLeast"/>
          <w:jc w:val="center"/>
        </w:trPr>
        <w:tc>
          <w:tcPr>
            <w:tcW w:w="4008" w:type="dxa"/>
            <w:vAlign w:val="center"/>
          </w:tcPr>
          <w:p w14:paraId="669EEB5A">
            <w:pPr>
              <w:ind w:firstLine="0" w:firstLineChars="0"/>
              <w:jc w:val="center"/>
              <w:rPr>
                <w:kern w:val="0"/>
                <w:sz w:val="28"/>
                <w:szCs w:val="28"/>
              </w:rPr>
            </w:pPr>
            <w:r>
              <w:pict>
                <v:group id="组合 49" o:spid="_x0000_s1030" o:spt="203" style="position:absolute;left:0pt;margin-left:1.55pt;margin-top:0pt;height:154pt;width:199.7pt;z-index:251666432;mso-width-relative:page;mso-height-relative:page;" coordsize="22899,18765">
                  <o:lock v:ext="edit"/>
                  <v:shape id="图片 28" o:spid="_x0000_s1031" o:spt="75" alt="报警器" type="#_x0000_t75" style="position:absolute;left:0;top:0;height:18765;width:22899;" filled="f" o:preferrelative="t" stroked="t" coordsize="21600,21600">
                    <v:path/>
                    <v:fill on="f" focussize="0,0"/>
                    <v:stroke joinstyle="miter"/>
                    <v:imagedata r:id="rId20" o:title=""/>
                    <o:lock v:ext="edit" aspectratio="t"/>
                  </v:shape>
                  <v:shape id="矩形标注 30" o:spid="_x0000_s1032" o:spt="61" type="#_x0000_t61" style="position:absolute;left:5406;top:874;height:3480;width:6598;v-text-anchor:middle;" fillcolor="#FFFF00" filled="t" coordsize="21600,21600" adj="33459,20256">
                    <v:path/>
                    <v:fill on="t" focussize="0,0"/>
                    <v:stroke weight="2pt" joinstyle="miter"/>
                    <v:imagedata o:title=""/>
                    <o:lock v:ext="edit"/>
                    <v:textbox>
                      <w:txbxContent>
                        <w:p w14:paraId="6551E830">
                          <w:pPr>
                            <w:ind w:firstLine="0" w:firstLineChars="0"/>
                            <w:rPr>
                              <w:color w:val="000000"/>
                            </w:rPr>
                          </w:pPr>
                          <w:r>
                            <w:rPr>
                              <w:rFonts w:hint="eastAsia" w:cs="宋体"/>
                              <w:color w:val="000000"/>
                            </w:rPr>
                            <w:t>探头</w:t>
                          </w:r>
                        </w:p>
                      </w:txbxContent>
                    </v:textbox>
                  </v:shape>
                </v:group>
              </w:pict>
            </w:r>
          </w:p>
          <w:p w14:paraId="4F3341CD">
            <w:pPr>
              <w:ind w:firstLine="0" w:firstLineChars="0"/>
              <w:jc w:val="center"/>
              <w:rPr>
                <w:kern w:val="0"/>
                <w:sz w:val="28"/>
                <w:szCs w:val="28"/>
              </w:rPr>
            </w:pPr>
          </w:p>
          <w:p w14:paraId="6599E0AC">
            <w:pPr>
              <w:ind w:firstLine="0" w:firstLineChars="0"/>
              <w:jc w:val="center"/>
              <w:rPr>
                <w:kern w:val="0"/>
                <w:sz w:val="28"/>
                <w:szCs w:val="28"/>
              </w:rPr>
            </w:pPr>
          </w:p>
          <w:p w14:paraId="39C48E3E">
            <w:pPr>
              <w:ind w:firstLine="0" w:firstLineChars="0"/>
              <w:jc w:val="center"/>
              <w:rPr>
                <w:kern w:val="0"/>
                <w:sz w:val="28"/>
                <w:szCs w:val="28"/>
              </w:rPr>
            </w:pPr>
          </w:p>
          <w:p w14:paraId="5A6998F4">
            <w:pPr>
              <w:ind w:firstLine="0" w:firstLineChars="0"/>
              <w:jc w:val="center"/>
              <w:rPr>
                <w:kern w:val="0"/>
                <w:sz w:val="28"/>
                <w:szCs w:val="28"/>
              </w:rPr>
            </w:pPr>
          </w:p>
        </w:tc>
        <w:tc>
          <w:tcPr>
            <w:tcW w:w="4263" w:type="dxa"/>
            <w:vAlign w:val="center"/>
          </w:tcPr>
          <w:p w14:paraId="255425EB">
            <w:pPr>
              <w:ind w:firstLine="0" w:firstLineChars="0"/>
              <w:jc w:val="center"/>
              <w:rPr>
                <w:kern w:val="0"/>
                <w:sz w:val="28"/>
                <w:szCs w:val="28"/>
              </w:rPr>
            </w:pPr>
            <w:r>
              <w:pict>
                <v:group id="组合 50" o:spid="_x0000_s1033" o:spt="203" style="position:absolute;left:0pt;margin-left:5.15pt;margin-top:1.35pt;height:155.2pt;width:189.7pt;z-index:251675648;mso-width-relative:page;mso-height-relative:page;" coordsize="24092,18765">
                  <o:lock v:ext="edit"/>
                  <v:shape id="图片 8" o:spid="_x0000_s1034" o:spt="75" alt="报警器" type="#_x0000_t75" style="position:absolute;left:0;top:0;height:18765;width:24092;" filled="f" o:preferrelative="t" stroked="t" coordsize="21600,21600">
                    <v:path/>
                    <v:fill on="f" focussize="0,0"/>
                    <v:stroke joinstyle="miter"/>
                    <v:imagedata r:id="rId21" o:title=""/>
                    <o:lock v:ext="edit" aspectratio="t"/>
                  </v:shape>
                  <v:shape id="矩形标注 29" o:spid="_x0000_s1035" o:spt="61" type="#_x0000_t61" style="position:absolute;left:16061;top:2226;height:3480;width:6598;v-text-anchor:middle;" fillcolor="#FFFF00" filled="t" coordsize="21600,21600" adj="-12526,28448">
                    <v:path/>
                    <v:fill on="t" focussize="0,0"/>
                    <v:stroke weight="2pt" joinstyle="miter"/>
                    <v:imagedata o:title=""/>
                    <o:lock v:ext="edit"/>
                    <v:textbox>
                      <w:txbxContent>
                        <w:p w14:paraId="6B6028A5">
                          <w:pPr>
                            <w:ind w:firstLine="0" w:firstLineChars="0"/>
                            <w:rPr>
                              <w:color w:val="000000"/>
                            </w:rPr>
                          </w:pPr>
                          <w:r>
                            <w:rPr>
                              <w:rFonts w:hint="eastAsia" w:cs="宋体"/>
                              <w:color w:val="000000"/>
                            </w:rPr>
                            <w:t>报警器</w:t>
                          </w:r>
                        </w:p>
                      </w:txbxContent>
                    </v:textbox>
                  </v:shape>
                </v:group>
              </w:pict>
            </w:r>
          </w:p>
        </w:tc>
      </w:tr>
      <w:tr w14:paraId="28090A58">
        <w:tblPrEx>
          <w:tblCellMar>
            <w:top w:w="0" w:type="dxa"/>
            <w:left w:w="108" w:type="dxa"/>
            <w:bottom w:w="0" w:type="dxa"/>
            <w:right w:w="108" w:type="dxa"/>
          </w:tblCellMar>
        </w:tblPrEx>
        <w:trPr>
          <w:jc w:val="center"/>
        </w:trPr>
        <w:tc>
          <w:tcPr>
            <w:tcW w:w="4008" w:type="dxa"/>
            <w:vAlign w:val="center"/>
          </w:tcPr>
          <w:p w14:paraId="146232D8">
            <w:pPr>
              <w:ind w:firstLine="0" w:firstLineChars="0"/>
              <w:jc w:val="center"/>
              <w:rPr>
                <w:kern w:val="0"/>
              </w:rPr>
            </w:pPr>
            <w:r>
              <w:rPr>
                <w:rFonts w:hint="eastAsia" w:cs="宋体"/>
                <w:kern w:val="0"/>
              </w:rPr>
              <w:t>检测探头</w:t>
            </w:r>
          </w:p>
        </w:tc>
        <w:tc>
          <w:tcPr>
            <w:tcW w:w="4263" w:type="dxa"/>
            <w:vAlign w:val="center"/>
          </w:tcPr>
          <w:p w14:paraId="2CC02095">
            <w:pPr>
              <w:ind w:firstLine="0" w:firstLineChars="0"/>
              <w:jc w:val="center"/>
              <w:rPr>
                <w:kern w:val="0"/>
              </w:rPr>
            </w:pPr>
            <w:r>
              <w:rPr>
                <w:rFonts w:hint="eastAsia" w:cs="宋体"/>
                <w:kern w:val="0"/>
              </w:rPr>
              <w:t>报警器</w:t>
            </w:r>
          </w:p>
        </w:tc>
      </w:tr>
    </w:tbl>
    <w:p w14:paraId="661AA1E1">
      <w:pPr>
        <w:ind w:firstLine="0" w:firstLineChars="0"/>
        <w:jc w:val="center"/>
      </w:pPr>
      <w:r>
        <w:rPr>
          <w:rFonts w:hint="eastAsia" w:cs="宋体"/>
          <w:b/>
          <w:bCs/>
        </w:rPr>
        <w:t>图</w:t>
      </w:r>
      <w:r>
        <w:rPr>
          <w:b/>
          <w:bCs/>
        </w:rPr>
        <w:t xml:space="preserve">4-5  </w:t>
      </w:r>
      <w:r>
        <w:rPr>
          <w:rFonts w:hint="eastAsia" w:cs="宋体"/>
          <w:b/>
          <w:bCs/>
        </w:rPr>
        <w:t>检测报警系统示例</w:t>
      </w:r>
    </w:p>
    <w:p w14:paraId="76085C3E">
      <w:pPr>
        <w:ind w:firstLine="0" w:firstLineChars="0"/>
      </w:pPr>
      <w:r>
        <w:rPr>
          <w:rFonts w:hint="eastAsia" w:cs="宋体"/>
        </w:rPr>
        <w:t>（</w:t>
      </w:r>
      <w:r>
        <w:t>2</w:t>
      </w:r>
      <w:r>
        <w:rPr>
          <w:rFonts w:hint="eastAsia" w:cs="宋体"/>
        </w:rPr>
        <w:t>）事故水排放和收集系统</w:t>
      </w:r>
    </w:p>
    <w:p w14:paraId="185F101B">
      <w:pPr>
        <w:ind w:firstLine="480"/>
      </w:pPr>
      <w:r>
        <w:rPr>
          <w:rFonts w:hint="eastAsia" w:cs="宋体"/>
        </w:rPr>
        <w:t>①雨污分流</w:t>
      </w:r>
    </w:p>
    <w:p w14:paraId="44400B37">
      <w:pPr>
        <w:ind w:firstLine="480"/>
      </w:pPr>
      <w:r>
        <w:rPr>
          <w:rFonts w:hint="eastAsia" w:cs="宋体"/>
        </w:rPr>
        <w:t>调研企业中，</w:t>
      </w:r>
      <w:r>
        <w:t>76</w:t>
      </w:r>
      <w:r>
        <w:rPr>
          <w:rFonts w:hint="eastAsia" w:cs="宋体"/>
        </w:rPr>
        <w:t>家企业排水采取雨污分流制，</w:t>
      </w:r>
      <w:r>
        <w:t>6</w:t>
      </w:r>
      <w:r>
        <w:rPr>
          <w:rFonts w:hint="eastAsia" w:cs="宋体"/>
        </w:rPr>
        <w:t>家企业没有单独的雨水排放系统。</w:t>
      </w:r>
    </w:p>
    <w:p w14:paraId="04780467">
      <w:pPr>
        <w:ind w:firstLine="480"/>
      </w:pPr>
      <w:r>
        <w:rPr>
          <w:rFonts w:hint="eastAsia" w:cs="宋体"/>
        </w:rPr>
        <w:t>②事故水排放与收集系统</w:t>
      </w:r>
    </w:p>
    <w:p w14:paraId="4AB4A46B">
      <w:pPr>
        <w:ind w:firstLine="480"/>
      </w:pPr>
      <w:r>
        <w:rPr>
          <w:rFonts w:hint="eastAsia" w:cs="宋体"/>
        </w:rPr>
        <w:t>涉氨企业在事故状态下，通常采用</w:t>
      </w:r>
      <w:r>
        <w:t>“</w:t>
      </w:r>
      <w:r>
        <w:rPr>
          <w:rFonts w:hint="eastAsia" w:cs="宋体"/>
        </w:rPr>
        <w:t>围堰</w:t>
      </w:r>
      <w:r>
        <w:t>+</w:t>
      </w:r>
      <w:r>
        <w:rPr>
          <w:rFonts w:hint="eastAsia" w:cs="宋体"/>
        </w:rPr>
        <w:t>事故应急池</w:t>
      </w:r>
      <w:r>
        <w:t>”</w:t>
      </w:r>
      <w:r>
        <w:rPr>
          <w:rFonts w:hint="eastAsia" w:cs="宋体"/>
        </w:rPr>
        <w:t>的方式对事故水进行收集。</w:t>
      </w:r>
    </w:p>
    <w:tbl>
      <w:tblPr>
        <w:tblStyle w:val="21"/>
        <w:tblW w:w="8271" w:type="dxa"/>
        <w:jc w:val="center"/>
        <w:tblLayout w:type="fixed"/>
        <w:tblCellMar>
          <w:top w:w="0" w:type="dxa"/>
          <w:left w:w="108" w:type="dxa"/>
          <w:bottom w:w="0" w:type="dxa"/>
          <w:right w:w="108" w:type="dxa"/>
        </w:tblCellMar>
      </w:tblPr>
      <w:tblGrid>
        <w:gridCol w:w="4008"/>
        <w:gridCol w:w="4263"/>
      </w:tblGrid>
      <w:tr w14:paraId="2A9ABDE6">
        <w:tblPrEx>
          <w:tblCellMar>
            <w:top w:w="0" w:type="dxa"/>
            <w:left w:w="108" w:type="dxa"/>
            <w:bottom w:w="0" w:type="dxa"/>
            <w:right w:w="108" w:type="dxa"/>
          </w:tblCellMar>
        </w:tblPrEx>
        <w:trPr>
          <w:trHeight w:val="3300" w:hRule="atLeast"/>
          <w:jc w:val="center"/>
        </w:trPr>
        <w:tc>
          <w:tcPr>
            <w:tcW w:w="4008" w:type="dxa"/>
            <w:vAlign w:val="center"/>
          </w:tcPr>
          <w:p w14:paraId="30F73AB9">
            <w:pPr>
              <w:ind w:firstLine="0" w:firstLineChars="0"/>
              <w:jc w:val="center"/>
              <w:rPr>
                <w:kern w:val="0"/>
                <w:sz w:val="28"/>
                <w:szCs w:val="28"/>
              </w:rPr>
            </w:pPr>
            <w:r>
              <w:pict>
                <v:group id="组合 63" o:spid="_x0000_s1036" o:spt="203" style="position:absolute;left:0pt;margin-left:1.75pt;margin-top:1.45pt;height:156.5pt;width:188.45pt;z-index:251672576;mso-width-relative:page;mso-height-relative:page;" coordsize="20434,19162">
                  <o:lock v:ext="edit"/>
                  <v:shape id="_x0000_s1037" o:spid="_x0000_s1037" o:spt="75" alt="围堰、防渗、泄漏物通向应急池" type="#_x0000_t75" style="position:absolute;left:0;top:0;height:19162;width:20434;" filled="f" o:preferrelative="t" stroked="t" coordsize="21600,21600">
                    <v:path/>
                    <v:fill on="f" focussize="0,0"/>
                    <v:stroke joinstyle="miter"/>
                    <v:imagedata r:id="rId22" o:title=""/>
                    <o:lock v:ext="edit" aspectratio="t"/>
                  </v:shape>
                  <v:shape id="矩形标注 31" o:spid="_x0000_s1038" o:spt="61" type="#_x0000_t61" style="position:absolute;left:13119;top:636;height:3479;width:6598;v-text-anchor:middle;" fillcolor="#FFFF00" filled="t" stroked="t" coordsize="21600,21600" adj="4931,42456">
                    <v:path/>
                    <v:fill on="t" focussize="0,0"/>
                    <v:stroke weight="2pt" color="#254061" joinstyle="miter"/>
                    <v:imagedata o:title=""/>
                    <o:lock v:ext="edit"/>
                    <v:textbox>
                      <w:txbxContent>
                        <w:p w14:paraId="1F25B9A9">
                          <w:pPr>
                            <w:ind w:firstLine="240" w:firstLineChars="100"/>
                            <w:rPr>
                              <w:color w:val="000000"/>
                            </w:rPr>
                          </w:pPr>
                          <w:r>
                            <w:rPr>
                              <w:rFonts w:hint="eastAsia" w:cs="宋体"/>
                              <w:color w:val="000000"/>
                            </w:rPr>
                            <w:t>围堰</w:t>
                          </w:r>
                        </w:p>
                      </w:txbxContent>
                    </v:textbox>
                  </v:shape>
                </v:group>
              </w:pict>
            </w:r>
          </w:p>
          <w:p w14:paraId="571F2CC3">
            <w:pPr>
              <w:ind w:firstLine="0" w:firstLineChars="0"/>
              <w:jc w:val="center"/>
              <w:rPr>
                <w:kern w:val="0"/>
                <w:sz w:val="28"/>
                <w:szCs w:val="28"/>
              </w:rPr>
            </w:pPr>
          </w:p>
          <w:p w14:paraId="46944165">
            <w:pPr>
              <w:ind w:firstLine="0" w:firstLineChars="0"/>
              <w:jc w:val="center"/>
              <w:rPr>
                <w:kern w:val="0"/>
                <w:sz w:val="28"/>
                <w:szCs w:val="28"/>
              </w:rPr>
            </w:pPr>
          </w:p>
          <w:p w14:paraId="6AC33C44">
            <w:pPr>
              <w:ind w:firstLine="0" w:firstLineChars="0"/>
              <w:jc w:val="center"/>
              <w:rPr>
                <w:kern w:val="0"/>
                <w:sz w:val="28"/>
                <w:szCs w:val="28"/>
              </w:rPr>
            </w:pPr>
          </w:p>
          <w:p w14:paraId="0FD24EF7">
            <w:pPr>
              <w:ind w:firstLine="0" w:firstLineChars="0"/>
              <w:jc w:val="center"/>
              <w:rPr>
                <w:kern w:val="0"/>
                <w:sz w:val="28"/>
                <w:szCs w:val="28"/>
              </w:rPr>
            </w:pPr>
          </w:p>
        </w:tc>
        <w:tc>
          <w:tcPr>
            <w:tcW w:w="4263" w:type="dxa"/>
            <w:vAlign w:val="center"/>
          </w:tcPr>
          <w:p w14:paraId="32EFF40A">
            <w:pPr>
              <w:ind w:firstLine="0" w:firstLineChars="0"/>
              <w:jc w:val="center"/>
              <w:rPr>
                <w:kern w:val="0"/>
                <w:sz w:val="28"/>
                <w:szCs w:val="28"/>
              </w:rPr>
            </w:pPr>
            <w:r>
              <w:pict>
                <v:group id="组合 64" o:spid="_x0000_s1039" o:spt="203" style="position:absolute;left:0pt;margin-left:2.6pt;margin-top:-0.5pt;height:155.85pt;width:201.6pt;z-index:251667456;mso-width-relative:page;mso-height-relative:page;" coordsize="23853,19162">
                  <o:lock v:ext="edit"/>
                  <v:shape id="图片 11" o:spid="_x0000_s1040" o:spt="75" alt="应急池位置" type="#_x0000_t75" style="position:absolute;left:0;top:0;height:19162;width:23853;" filled="f" o:preferrelative="t" stroked="t" coordsize="21600,21600">
                    <v:path/>
                    <v:fill on="f" focussize="0,0"/>
                    <v:stroke joinstyle="miter"/>
                    <v:imagedata r:id="rId23" o:title=""/>
                    <o:lock v:ext="edit" aspectratio="t"/>
                  </v:shape>
                  <v:shape id="矩形标注 32" o:spid="_x0000_s1041" o:spt="61" type="#_x0000_t61" style="position:absolute;left:238;top:79;height:3480;width:6598;v-text-anchor:middle;" fillcolor="#FFFF00" filled="t" stroked="t" coordsize="21600,21600" adj="24818,52439">
                    <v:path/>
                    <v:fill on="t" focussize="0,0"/>
                    <v:stroke weight="2pt" color="#254061" joinstyle="miter"/>
                    <v:imagedata o:title=""/>
                    <o:lock v:ext="edit"/>
                    <v:textbox>
                      <w:txbxContent>
                        <w:p w14:paraId="30828EF7">
                          <w:pPr>
                            <w:ind w:firstLine="0" w:firstLineChars="0"/>
                            <w:rPr>
                              <w:color w:val="000000"/>
                            </w:rPr>
                          </w:pPr>
                          <w:r>
                            <w:rPr>
                              <w:rFonts w:hint="eastAsia" w:cs="宋体"/>
                              <w:color w:val="000000"/>
                            </w:rPr>
                            <w:t>应急池</w:t>
                          </w:r>
                        </w:p>
                      </w:txbxContent>
                    </v:textbox>
                  </v:shape>
                </v:group>
              </w:pict>
            </w:r>
          </w:p>
        </w:tc>
      </w:tr>
      <w:tr w14:paraId="42CEA3D3">
        <w:tblPrEx>
          <w:tblCellMar>
            <w:top w:w="0" w:type="dxa"/>
            <w:left w:w="108" w:type="dxa"/>
            <w:bottom w:w="0" w:type="dxa"/>
            <w:right w:w="108" w:type="dxa"/>
          </w:tblCellMar>
        </w:tblPrEx>
        <w:trPr>
          <w:jc w:val="center"/>
        </w:trPr>
        <w:tc>
          <w:tcPr>
            <w:tcW w:w="4008" w:type="dxa"/>
            <w:vAlign w:val="center"/>
          </w:tcPr>
          <w:p w14:paraId="244E9E7E">
            <w:pPr>
              <w:ind w:firstLine="0" w:firstLineChars="0"/>
              <w:jc w:val="center"/>
              <w:rPr>
                <w:kern w:val="0"/>
              </w:rPr>
            </w:pPr>
            <w:r>
              <w:rPr>
                <w:rFonts w:hint="eastAsia" w:cs="宋体"/>
                <w:kern w:val="0"/>
              </w:rPr>
              <w:t>围堰</w:t>
            </w:r>
          </w:p>
        </w:tc>
        <w:tc>
          <w:tcPr>
            <w:tcW w:w="4263" w:type="dxa"/>
            <w:vAlign w:val="center"/>
          </w:tcPr>
          <w:p w14:paraId="000A9F91">
            <w:pPr>
              <w:ind w:firstLine="0" w:firstLineChars="0"/>
              <w:jc w:val="center"/>
              <w:rPr>
                <w:kern w:val="0"/>
              </w:rPr>
            </w:pPr>
            <w:r>
              <w:rPr>
                <w:rFonts w:hint="eastAsia" w:cs="宋体"/>
                <w:kern w:val="0"/>
              </w:rPr>
              <w:t>应急池</w:t>
            </w:r>
          </w:p>
        </w:tc>
      </w:tr>
    </w:tbl>
    <w:p w14:paraId="1292E9FA">
      <w:pPr>
        <w:ind w:firstLine="0" w:firstLineChars="0"/>
        <w:jc w:val="center"/>
        <w:rPr>
          <w:b/>
          <w:bCs/>
        </w:rPr>
      </w:pPr>
      <w:r>
        <w:rPr>
          <w:rFonts w:hint="eastAsia" w:cs="宋体"/>
          <w:b/>
          <w:bCs/>
        </w:rPr>
        <w:t>图</w:t>
      </w:r>
      <w:r>
        <w:rPr>
          <w:b/>
          <w:bCs/>
        </w:rPr>
        <w:t xml:space="preserve">4-6  </w:t>
      </w:r>
      <w:r>
        <w:rPr>
          <w:rFonts w:hint="eastAsia" w:cs="宋体"/>
          <w:b/>
          <w:bCs/>
        </w:rPr>
        <w:t>事故水排放和收集系统示例</w:t>
      </w:r>
    </w:p>
    <w:p w14:paraId="64576C91">
      <w:pPr>
        <w:ind w:firstLine="480"/>
      </w:pPr>
      <w:r>
        <w:rPr>
          <w:rFonts w:hint="eastAsia" w:cs="宋体"/>
        </w:rPr>
        <w:t>通过现场调研，有</w:t>
      </w:r>
      <w:r>
        <w:t>12</w:t>
      </w:r>
      <w:r>
        <w:rPr>
          <w:rFonts w:hint="eastAsia" w:cs="宋体"/>
        </w:rPr>
        <w:t>家企业液氨储存区未设置围堰，</w:t>
      </w:r>
      <w:r>
        <w:t>3</w:t>
      </w:r>
      <w:r>
        <w:rPr>
          <w:rFonts w:hint="eastAsia" w:cs="宋体"/>
        </w:rPr>
        <w:t>家企业未设置事故应急池。</w:t>
      </w:r>
    </w:p>
    <w:p w14:paraId="64CBBDBB">
      <w:pPr>
        <w:pStyle w:val="47"/>
        <w:ind w:left="0" w:leftChars="0"/>
        <w:outlineLvl w:val="2"/>
      </w:pPr>
      <w:r>
        <w:t>4.2.2.3</w:t>
      </w:r>
      <w:r>
        <w:rPr>
          <w:rFonts w:hint="eastAsia" w:cs="黑体"/>
        </w:rPr>
        <w:t>应急处置措施</w:t>
      </w:r>
    </w:p>
    <w:p w14:paraId="787FA96E">
      <w:pPr>
        <w:ind w:firstLine="480"/>
      </w:pPr>
      <w:r>
        <w:rPr>
          <w:rFonts w:hint="eastAsia" w:cs="宋体"/>
        </w:rPr>
        <w:t>（</w:t>
      </w:r>
      <w:r>
        <w:t>1</w:t>
      </w:r>
      <w:r>
        <w:rPr>
          <w:rFonts w:hint="eastAsia" w:cs="宋体"/>
        </w:rPr>
        <w:t>）事故喷淋装置</w:t>
      </w:r>
    </w:p>
    <w:p w14:paraId="790FEC7B">
      <w:pPr>
        <w:ind w:firstLine="480"/>
      </w:pPr>
      <w:r>
        <w:rPr>
          <w:rFonts w:hint="eastAsia" w:cs="宋体"/>
        </w:rPr>
        <w:t>企业液氨储罐区均安装有事故喷淋装置，同时液氨储罐区和使用单元附近设置消火栓。</w:t>
      </w:r>
    </w:p>
    <w:p w14:paraId="00BD9A44">
      <w:pPr>
        <w:ind w:firstLine="480"/>
      </w:pPr>
      <w:r>
        <w:rPr>
          <w:rFonts w:hint="eastAsia" w:cs="宋体"/>
        </w:rPr>
        <w:t>（</w:t>
      </w:r>
      <w:r>
        <w:t>2</w:t>
      </w:r>
      <w:r>
        <w:rPr>
          <w:rFonts w:hint="eastAsia" w:cs="宋体"/>
        </w:rPr>
        <w:t>）事故排风装置</w:t>
      </w:r>
    </w:p>
    <w:p w14:paraId="44D9D847">
      <w:pPr>
        <w:ind w:firstLine="480"/>
      </w:pPr>
      <w:r>
        <w:rPr>
          <w:rFonts w:hint="eastAsia" w:cs="宋体"/>
        </w:rPr>
        <w:t>企业液氨储罐区、压缩机房均安装有防爆排风扇，并与氨气泄漏检测报警系统连接，当报警器报警时，排风扇自动开启。</w:t>
      </w:r>
    </w:p>
    <w:tbl>
      <w:tblPr>
        <w:tblStyle w:val="21"/>
        <w:tblW w:w="8271" w:type="dxa"/>
        <w:jc w:val="center"/>
        <w:tblLayout w:type="fixed"/>
        <w:tblCellMar>
          <w:top w:w="0" w:type="dxa"/>
          <w:left w:w="108" w:type="dxa"/>
          <w:bottom w:w="0" w:type="dxa"/>
          <w:right w:w="108" w:type="dxa"/>
        </w:tblCellMar>
      </w:tblPr>
      <w:tblGrid>
        <w:gridCol w:w="4008"/>
        <w:gridCol w:w="4263"/>
      </w:tblGrid>
      <w:tr w14:paraId="2543A93C">
        <w:tblPrEx>
          <w:tblCellMar>
            <w:top w:w="0" w:type="dxa"/>
            <w:left w:w="108" w:type="dxa"/>
            <w:bottom w:w="0" w:type="dxa"/>
            <w:right w:w="108" w:type="dxa"/>
          </w:tblCellMar>
        </w:tblPrEx>
        <w:trPr>
          <w:trHeight w:val="3300" w:hRule="atLeast"/>
          <w:jc w:val="center"/>
        </w:trPr>
        <w:tc>
          <w:tcPr>
            <w:tcW w:w="4008" w:type="dxa"/>
            <w:vAlign w:val="center"/>
          </w:tcPr>
          <w:p w14:paraId="506D8E0D">
            <w:pPr>
              <w:ind w:firstLine="0" w:firstLineChars="0"/>
              <w:jc w:val="center"/>
              <w:rPr>
                <w:kern w:val="0"/>
                <w:sz w:val="28"/>
                <w:szCs w:val="28"/>
              </w:rPr>
            </w:pPr>
            <w:r>
              <w:pict>
                <v:group id="组合 71" o:spid="_x0000_s1042" o:spt="203" style="position:absolute;left:0pt;margin-left:-0.15pt;margin-top:-0.45pt;height:155.2pt;width:187.15pt;z-index:251673600;mso-width-relative:page;mso-height-relative:page;" coordsize="17572,17810">
                  <o:lock v:ext="edit"/>
                  <v:shape id="图片 2" o:spid="_x0000_s1043" o:spt="75" alt="水喷淋" type="#_x0000_t75" style="position:absolute;left:0;top:0;height:17810;width:17572;" filled="f" o:preferrelative="t" stroked="t" coordsize="21600,21600">
                    <v:path/>
                    <v:fill on="f" focussize="0,0"/>
                    <v:stroke joinstyle="miter"/>
                    <v:imagedata r:id="rId24" o:title=""/>
                    <o:lock v:ext="edit" aspectratio="t"/>
                  </v:shape>
                  <v:shape id="矩形标注 33" o:spid="_x0000_s1044" o:spt="61" type="#_x0000_t61" style="position:absolute;left:9859;top:954;height:3479;width:6598;v-text-anchor:middle;" fillcolor="#FFFF00" filled="t" coordsize="21600,21600" adj="-11291,14990">
                    <v:path/>
                    <v:fill on="t" focussize="0,0"/>
                    <v:stroke weight="2pt" joinstyle="miter"/>
                    <v:imagedata o:title=""/>
                    <o:lock v:ext="edit"/>
                    <v:textbox>
                      <w:txbxContent>
                        <w:p w14:paraId="73CE6FD7">
                          <w:pPr>
                            <w:ind w:firstLine="0" w:firstLineChars="0"/>
                            <w:rPr>
                              <w:color w:val="000000"/>
                            </w:rPr>
                          </w:pPr>
                          <w:r>
                            <w:rPr>
                              <w:rFonts w:hint="eastAsia" w:cs="宋体"/>
                              <w:color w:val="000000"/>
                            </w:rPr>
                            <w:t>水喷淋</w:t>
                          </w:r>
                        </w:p>
                      </w:txbxContent>
                    </v:textbox>
                  </v:shape>
                </v:group>
              </w:pict>
            </w:r>
          </w:p>
          <w:p w14:paraId="59EEA67B">
            <w:pPr>
              <w:ind w:firstLine="0" w:firstLineChars="0"/>
              <w:jc w:val="center"/>
              <w:rPr>
                <w:kern w:val="0"/>
                <w:sz w:val="28"/>
                <w:szCs w:val="28"/>
              </w:rPr>
            </w:pPr>
          </w:p>
          <w:p w14:paraId="7D2CD438">
            <w:pPr>
              <w:ind w:firstLine="0" w:firstLineChars="0"/>
              <w:jc w:val="center"/>
              <w:rPr>
                <w:kern w:val="0"/>
                <w:sz w:val="28"/>
                <w:szCs w:val="28"/>
              </w:rPr>
            </w:pPr>
          </w:p>
          <w:p w14:paraId="5DDDBAC1">
            <w:pPr>
              <w:ind w:firstLine="0" w:firstLineChars="0"/>
              <w:jc w:val="center"/>
              <w:rPr>
                <w:kern w:val="0"/>
                <w:sz w:val="28"/>
                <w:szCs w:val="28"/>
              </w:rPr>
            </w:pPr>
          </w:p>
          <w:p w14:paraId="2FFBF486">
            <w:pPr>
              <w:ind w:firstLine="0" w:firstLineChars="0"/>
              <w:jc w:val="center"/>
              <w:rPr>
                <w:kern w:val="0"/>
                <w:sz w:val="28"/>
                <w:szCs w:val="28"/>
              </w:rPr>
            </w:pPr>
          </w:p>
        </w:tc>
        <w:tc>
          <w:tcPr>
            <w:tcW w:w="4263" w:type="dxa"/>
            <w:vAlign w:val="center"/>
          </w:tcPr>
          <w:p w14:paraId="7241A607">
            <w:pPr>
              <w:ind w:firstLine="0" w:firstLineChars="0"/>
              <w:jc w:val="center"/>
              <w:rPr>
                <w:kern w:val="0"/>
                <w:sz w:val="28"/>
                <w:szCs w:val="28"/>
              </w:rPr>
            </w:pPr>
            <w:r>
              <w:pict>
                <v:group id="组合 72" o:spid="_x0000_s1045" o:spt="203" style="position:absolute;left:0pt;margin-left:2pt;margin-top:-1.05pt;height:155.25pt;width:200.95pt;z-index:251674624;mso-width-relative:page;mso-height-relative:page;" coordsize="17651,17651">
                  <o:lock v:ext="edit"/>
                  <v:shape id="图片 5" o:spid="_x0000_s1046" o:spt="75" alt="排风扇" type="#_x0000_t75" style="position:absolute;left:0;top:0;height:17651;width:17651;" filled="f" o:preferrelative="t" stroked="t" coordsize="21600,21600">
                    <v:path/>
                    <v:fill on="f" focussize="0,0"/>
                    <v:stroke joinstyle="miter"/>
                    <v:imagedata r:id="rId25" o:title=""/>
                    <o:lock v:ext="edit" aspectratio="t"/>
                  </v:shape>
                  <v:shape id="矩形标注 34" o:spid="_x0000_s1047" o:spt="61" type="#_x0000_t61" style="position:absolute;left:1590;top:954;height:3479;width:6597;v-text-anchor:middle;" fillcolor="#FFFF00" filled="t" coordsize="21600,21600" adj="8461,40151">
                    <v:path/>
                    <v:fill on="t" focussize="0,0"/>
                    <v:stroke weight="2pt" joinstyle="miter"/>
                    <v:imagedata o:title=""/>
                    <o:lock v:ext="edit"/>
                    <v:textbox>
                      <w:txbxContent>
                        <w:p w14:paraId="117D5C43">
                          <w:pPr>
                            <w:ind w:firstLine="0" w:firstLineChars="0"/>
                            <w:rPr>
                              <w:color w:val="000000"/>
                            </w:rPr>
                          </w:pPr>
                          <w:r>
                            <w:rPr>
                              <w:rFonts w:hint="eastAsia" w:cs="宋体"/>
                              <w:color w:val="000000"/>
                            </w:rPr>
                            <w:t>排风扇</w:t>
                          </w:r>
                        </w:p>
                      </w:txbxContent>
                    </v:textbox>
                  </v:shape>
                </v:group>
              </w:pict>
            </w:r>
          </w:p>
        </w:tc>
      </w:tr>
      <w:tr w14:paraId="42711095">
        <w:tblPrEx>
          <w:tblCellMar>
            <w:top w:w="0" w:type="dxa"/>
            <w:left w:w="108" w:type="dxa"/>
            <w:bottom w:w="0" w:type="dxa"/>
            <w:right w:w="108" w:type="dxa"/>
          </w:tblCellMar>
        </w:tblPrEx>
        <w:trPr>
          <w:jc w:val="center"/>
        </w:trPr>
        <w:tc>
          <w:tcPr>
            <w:tcW w:w="4008" w:type="dxa"/>
            <w:vAlign w:val="center"/>
          </w:tcPr>
          <w:p w14:paraId="318BF2B1">
            <w:pPr>
              <w:ind w:firstLine="0" w:firstLineChars="0"/>
              <w:jc w:val="center"/>
              <w:rPr>
                <w:kern w:val="0"/>
              </w:rPr>
            </w:pPr>
            <w:r>
              <w:rPr>
                <w:rFonts w:hint="eastAsia" w:cs="宋体"/>
                <w:kern w:val="0"/>
              </w:rPr>
              <w:t>水喷淋</w:t>
            </w:r>
          </w:p>
        </w:tc>
        <w:tc>
          <w:tcPr>
            <w:tcW w:w="4263" w:type="dxa"/>
            <w:vAlign w:val="center"/>
          </w:tcPr>
          <w:p w14:paraId="3BEA5136">
            <w:pPr>
              <w:ind w:firstLine="0" w:firstLineChars="0"/>
              <w:jc w:val="center"/>
              <w:rPr>
                <w:kern w:val="0"/>
              </w:rPr>
            </w:pPr>
            <w:r>
              <w:rPr>
                <w:rFonts w:hint="eastAsia" w:cs="宋体"/>
                <w:kern w:val="0"/>
              </w:rPr>
              <w:t>事故排风系统</w:t>
            </w:r>
          </w:p>
        </w:tc>
      </w:tr>
    </w:tbl>
    <w:p w14:paraId="10183BBE">
      <w:pPr>
        <w:ind w:firstLine="0" w:firstLineChars="0"/>
        <w:jc w:val="center"/>
        <w:rPr>
          <w:b/>
          <w:bCs/>
        </w:rPr>
      </w:pPr>
      <w:r>
        <w:rPr>
          <w:rFonts w:hint="eastAsia" w:cs="宋体"/>
          <w:b/>
          <w:bCs/>
        </w:rPr>
        <w:t>图</w:t>
      </w:r>
      <w:r>
        <w:rPr>
          <w:b/>
          <w:bCs/>
        </w:rPr>
        <w:t xml:space="preserve">4-7  </w:t>
      </w:r>
      <w:r>
        <w:rPr>
          <w:rFonts w:hint="eastAsia" w:cs="宋体"/>
          <w:b/>
          <w:bCs/>
        </w:rPr>
        <w:t>应急处置措施示例</w:t>
      </w:r>
    </w:p>
    <w:p w14:paraId="30B4C83E">
      <w:pPr>
        <w:ind w:firstLine="480"/>
      </w:pPr>
      <w:r>
        <w:rPr>
          <w:rFonts w:hint="eastAsia" w:cs="宋体"/>
        </w:rPr>
        <w:t>（</w:t>
      </w:r>
      <w:r>
        <w:t>3</w:t>
      </w:r>
      <w:r>
        <w:rPr>
          <w:rFonts w:hint="eastAsia" w:cs="宋体"/>
        </w:rPr>
        <w:t>）其他应急措施</w:t>
      </w:r>
    </w:p>
    <w:p w14:paraId="7DD590A8">
      <w:pPr>
        <w:ind w:firstLine="480"/>
      </w:pPr>
      <w:r>
        <w:rPr>
          <w:rFonts w:hint="eastAsia" w:cs="宋体"/>
        </w:rPr>
        <w:t>在设置水喷淋和应急排风装置的基础上，将液氨储罐放在注满水的罐池中，在液氨泄漏时，可以加大氨的吸收量，减少氨的排放，如北京北方车辆集团有限公司、北京华德液压工业集团有限责任公司液压泵分公司。</w:t>
      </w:r>
    </w:p>
    <w:p w14:paraId="0DDE6366">
      <w:pPr>
        <w:pStyle w:val="47"/>
        <w:ind w:left="0" w:leftChars="0"/>
        <w:outlineLvl w:val="2"/>
      </w:pPr>
      <w:r>
        <w:t>4.2.2.4</w:t>
      </w:r>
      <w:r>
        <w:rPr>
          <w:rFonts w:hint="eastAsia" w:cs="黑体"/>
        </w:rPr>
        <w:t>突发环境事件应急物资和装备</w:t>
      </w:r>
    </w:p>
    <w:p w14:paraId="08275FC2">
      <w:pPr>
        <w:ind w:firstLine="480"/>
      </w:pPr>
      <w:r>
        <w:rPr>
          <w:rFonts w:hint="eastAsia" w:cs="宋体"/>
        </w:rPr>
        <w:t>涉氨企业常用的应急物资和装备应有：</w:t>
      </w:r>
    </w:p>
    <w:p w14:paraId="0CED4DA0">
      <w:pPr>
        <w:ind w:firstLine="480"/>
      </w:pPr>
      <w:r>
        <w:rPr>
          <w:rFonts w:hint="eastAsia" w:cs="宋体"/>
        </w:rPr>
        <w:t>人员防护类：过滤式防毒面具、氨气专用滤毒罐、正压式空气呼吸器、化学安全防护眼镜、防毒衣、橡胶手套、胶靴、紧急冲淋、洗眼设施等；</w:t>
      </w:r>
    </w:p>
    <w:p w14:paraId="3E9A4163">
      <w:pPr>
        <w:ind w:firstLine="480"/>
      </w:pPr>
      <w:r>
        <w:rPr>
          <w:rFonts w:hint="eastAsia" w:cs="宋体"/>
        </w:rPr>
        <w:t>检测器材类：氨气体泄漏检测报警仪等；</w:t>
      </w:r>
    </w:p>
    <w:p w14:paraId="68210655">
      <w:pPr>
        <w:ind w:firstLine="480"/>
      </w:pPr>
      <w:r>
        <w:rPr>
          <w:rFonts w:hint="eastAsia" w:cs="宋体"/>
        </w:rPr>
        <w:t>应急物资类：救援绳索（用于救援中毒伤员和拖曳气瓶）、堵漏器材和工具、沙袋（用于围堵）、酸性饮料等；</w:t>
      </w:r>
    </w:p>
    <w:p w14:paraId="24691EE5">
      <w:pPr>
        <w:ind w:firstLine="480"/>
      </w:pPr>
      <w:r>
        <w:rPr>
          <w:rFonts w:hint="eastAsia" w:cs="宋体"/>
        </w:rPr>
        <w:t>辅助器材类：监控装置、警戒线、风向标等；</w:t>
      </w:r>
    </w:p>
    <w:p w14:paraId="13954FFA">
      <w:pPr>
        <w:ind w:firstLine="480"/>
      </w:pPr>
      <w:r>
        <w:rPr>
          <w:rFonts w:hint="eastAsia" w:cs="宋体"/>
        </w:rPr>
        <w:t>通信照明类：对讲机、手机、防爆手电等。</w:t>
      </w:r>
    </w:p>
    <w:p w14:paraId="3D1694B4">
      <w:pPr>
        <w:ind w:firstLine="480"/>
      </w:pPr>
      <w:r>
        <w:rPr>
          <w:rFonts w:hint="eastAsia" w:cs="宋体"/>
        </w:rPr>
        <w:t>调研企业均配备有：正压式空气呼吸器、洗眼器等人员防护类物资，对讲机、手机、防爆手电等通信照明物资，氨气泄漏检测报警仪，堵漏器材和工具，风向标等。应急物资实行统一管理，定点、定位放置。</w:t>
      </w:r>
    </w:p>
    <w:tbl>
      <w:tblPr>
        <w:tblStyle w:val="21"/>
        <w:tblW w:w="8271" w:type="dxa"/>
        <w:jc w:val="center"/>
        <w:tblLayout w:type="fixed"/>
        <w:tblCellMar>
          <w:top w:w="0" w:type="dxa"/>
          <w:left w:w="108" w:type="dxa"/>
          <w:bottom w:w="0" w:type="dxa"/>
          <w:right w:w="108" w:type="dxa"/>
        </w:tblCellMar>
      </w:tblPr>
      <w:tblGrid>
        <w:gridCol w:w="4008"/>
        <w:gridCol w:w="4263"/>
      </w:tblGrid>
      <w:tr w14:paraId="06E25045">
        <w:tblPrEx>
          <w:tblCellMar>
            <w:top w:w="0" w:type="dxa"/>
            <w:left w:w="108" w:type="dxa"/>
            <w:bottom w:w="0" w:type="dxa"/>
            <w:right w:w="108" w:type="dxa"/>
          </w:tblCellMar>
        </w:tblPrEx>
        <w:trPr>
          <w:trHeight w:val="3300" w:hRule="atLeast"/>
          <w:jc w:val="center"/>
        </w:trPr>
        <w:tc>
          <w:tcPr>
            <w:tcW w:w="4008" w:type="dxa"/>
            <w:vAlign w:val="center"/>
          </w:tcPr>
          <w:p w14:paraId="1A389341">
            <w:pPr>
              <w:ind w:firstLine="0" w:firstLineChars="0"/>
              <w:jc w:val="center"/>
              <w:rPr>
                <w:kern w:val="0"/>
                <w:sz w:val="28"/>
                <w:szCs w:val="28"/>
              </w:rPr>
            </w:pPr>
            <w:r>
              <w:pict>
                <v:group id="组合 80" o:spid="_x0000_s1048" o:spt="203" style="position:absolute;left:0pt;margin-left:-0.65pt;margin-top:0.4pt;height:155.8pt;width:190pt;z-index:251668480;mso-width-relative:page;mso-height-relative:page;" coordsize="19719,19321">
                  <o:lock v:ext="edit"/>
                  <v:shape id="图片 12" o:spid="_x0000_s1049" o:spt="75" alt="正压呼吸" type="#_x0000_t75" style="position:absolute;left:0;top:0;height:19321;width:19719;" filled="f" o:preferrelative="t" stroked="t" coordsize="21600,21600">
                    <v:path/>
                    <v:fill on="f" focussize="0,0"/>
                    <v:stroke joinstyle="miter"/>
                    <v:imagedata r:id="rId26" o:title=""/>
                    <o:lock v:ext="edit" aspectratio="t"/>
                  </v:shape>
                  <v:shape id="矩形标注 36" o:spid="_x0000_s1050" o:spt="61" type="#_x0000_t61" style="position:absolute;left:1590;top:6281;height:5550;width:6597;v-text-anchor:middle;" fillcolor="#FFFF00" filled="t" coordsize="21600,21600" adj="25744,38981">
                    <v:path/>
                    <v:fill on="t" focussize="0,0"/>
                    <v:stroke weight="2pt" joinstyle="miter"/>
                    <v:imagedata o:title=""/>
                    <o:lock v:ext="edit"/>
                    <v:textbox>
                      <w:txbxContent>
                        <w:p w14:paraId="49B48331">
                          <w:pPr>
                            <w:spacing w:line="240" w:lineRule="auto"/>
                            <w:ind w:firstLine="0" w:firstLineChars="0"/>
                            <w:rPr>
                              <w:color w:val="000000"/>
                              <w:sz w:val="18"/>
                              <w:szCs w:val="18"/>
                            </w:rPr>
                          </w:pPr>
                          <w:r>
                            <w:rPr>
                              <w:rFonts w:hint="eastAsia" w:cs="宋体"/>
                              <w:color w:val="000000"/>
                              <w:sz w:val="18"/>
                              <w:szCs w:val="18"/>
                            </w:rPr>
                            <w:t>正压式空气呼吸器</w:t>
                          </w:r>
                        </w:p>
                      </w:txbxContent>
                    </v:textbox>
                  </v:shape>
                </v:group>
              </w:pict>
            </w:r>
          </w:p>
          <w:p w14:paraId="5878B04E">
            <w:pPr>
              <w:ind w:firstLine="0" w:firstLineChars="0"/>
              <w:jc w:val="center"/>
              <w:rPr>
                <w:kern w:val="0"/>
                <w:sz w:val="28"/>
                <w:szCs w:val="28"/>
              </w:rPr>
            </w:pPr>
          </w:p>
          <w:p w14:paraId="3E2BA274">
            <w:pPr>
              <w:ind w:firstLine="0" w:firstLineChars="0"/>
              <w:jc w:val="center"/>
              <w:rPr>
                <w:kern w:val="0"/>
                <w:sz w:val="28"/>
                <w:szCs w:val="28"/>
              </w:rPr>
            </w:pPr>
          </w:p>
          <w:p w14:paraId="6FF81F26">
            <w:pPr>
              <w:ind w:firstLine="0" w:firstLineChars="0"/>
              <w:jc w:val="center"/>
              <w:rPr>
                <w:kern w:val="0"/>
                <w:sz w:val="28"/>
                <w:szCs w:val="28"/>
              </w:rPr>
            </w:pPr>
          </w:p>
          <w:p w14:paraId="22DE31BC">
            <w:pPr>
              <w:ind w:firstLine="0" w:firstLineChars="0"/>
              <w:jc w:val="center"/>
              <w:rPr>
                <w:kern w:val="0"/>
                <w:sz w:val="28"/>
                <w:szCs w:val="28"/>
              </w:rPr>
            </w:pPr>
          </w:p>
        </w:tc>
        <w:tc>
          <w:tcPr>
            <w:tcW w:w="4263" w:type="dxa"/>
            <w:vAlign w:val="center"/>
          </w:tcPr>
          <w:p w14:paraId="455340D6">
            <w:pPr>
              <w:ind w:firstLine="0" w:firstLineChars="0"/>
              <w:jc w:val="center"/>
              <w:rPr>
                <w:kern w:val="0"/>
                <w:sz w:val="28"/>
                <w:szCs w:val="28"/>
              </w:rPr>
            </w:pPr>
            <w:r>
              <w:pict>
                <v:group id="组合 81" o:spid="_x0000_s1051" o:spt="203" style="position:absolute;left:0pt;margin-left:0pt;margin-top:0.15pt;height:156.2pt;width:206.75pt;z-index:251669504;mso-width-relative:page;mso-height-relative:page;" coordsize="24012,19321">
                  <o:lock v:ext="edit"/>
                  <v:shape id="图片 13" o:spid="_x0000_s1052" o:spt="75" alt="监控屏幕1" type="#_x0000_t75" style="position:absolute;left:0;top:0;height:19321;width:24012;" filled="f" o:preferrelative="t" stroked="t" coordsize="21600,21600">
                    <v:path/>
                    <v:fill on="f" focussize="0,0"/>
                    <v:stroke joinstyle="miter"/>
                    <v:imagedata r:id="rId27" o:title=""/>
                    <o:lock v:ext="edit" aspectratio="t"/>
                  </v:shape>
                  <v:shape id="矩形标注 37" o:spid="_x0000_s1053" o:spt="61" type="#_x0000_t61" style="position:absolute;left:5017;top:795;height:3110;width:8223;v-text-anchor:middle;" fillcolor="#FFFF00" filled="t" coordsize="21600,21600" adj="25744,38981">
                    <v:path/>
                    <v:fill on="t" focussize="0,0"/>
                    <v:stroke weight="2pt" joinstyle="miter"/>
                    <v:imagedata o:title=""/>
                    <o:lock v:ext="edit"/>
                    <v:textbox>
                      <w:txbxContent>
                        <w:p w14:paraId="06471B1C">
                          <w:pPr>
                            <w:ind w:firstLine="0" w:firstLineChars="0"/>
                            <w:rPr>
                              <w:color w:val="000000"/>
                              <w:sz w:val="18"/>
                              <w:szCs w:val="18"/>
                            </w:rPr>
                          </w:pPr>
                          <w:r>
                            <w:rPr>
                              <w:rFonts w:hint="eastAsia" w:cs="宋体"/>
                              <w:color w:val="000000"/>
                              <w:sz w:val="18"/>
                              <w:szCs w:val="18"/>
                            </w:rPr>
                            <w:t>监控系统</w:t>
                          </w:r>
                        </w:p>
                      </w:txbxContent>
                    </v:textbox>
                  </v:shape>
                </v:group>
              </w:pict>
            </w:r>
          </w:p>
        </w:tc>
      </w:tr>
      <w:tr w14:paraId="6E84EE60">
        <w:tblPrEx>
          <w:tblCellMar>
            <w:top w:w="0" w:type="dxa"/>
            <w:left w:w="108" w:type="dxa"/>
            <w:bottom w:w="0" w:type="dxa"/>
            <w:right w:w="108" w:type="dxa"/>
          </w:tblCellMar>
        </w:tblPrEx>
        <w:trPr>
          <w:jc w:val="center"/>
        </w:trPr>
        <w:tc>
          <w:tcPr>
            <w:tcW w:w="4008" w:type="dxa"/>
            <w:vAlign w:val="center"/>
          </w:tcPr>
          <w:p w14:paraId="384D476D">
            <w:pPr>
              <w:ind w:firstLine="0" w:firstLineChars="0"/>
              <w:jc w:val="center"/>
              <w:rPr>
                <w:kern w:val="0"/>
              </w:rPr>
            </w:pPr>
            <w:r>
              <w:rPr>
                <w:rFonts w:hint="eastAsia" w:cs="宋体"/>
                <w:kern w:val="0"/>
              </w:rPr>
              <w:t>正压式空气呼吸器</w:t>
            </w:r>
          </w:p>
        </w:tc>
        <w:tc>
          <w:tcPr>
            <w:tcW w:w="4263" w:type="dxa"/>
            <w:vAlign w:val="center"/>
          </w:tcPr>
          <w:p w14:paraId="6AE99A65">
            <w:pPr>
              <w:ind w:firstLine="0" w:firstLineChars="0"/>
              <w:jc w:val="center"/>
              <w:rPr>
                <w:kern w:val="0"/>
              </w:rPr>
            </w:pPr>
            <w:r>
              <w:rPr>
                <w:rFonts w:hint="eastAsia" w:cs="宋体"/>
                <w:kern w:val="0"/>
              </w:rPr>
              <w:t>监控系统</w:t>
            </w:r>
          </w:p>
        </w:tc>
      </w:tr>
      <w:tr w14:paraId="46C7D342">
        <w:tblPrEx>
          <w:tblCellMar>
            <w:top w:w="0" w:type="dxa"/>
            <w:left w:w="108" w:type="dxa"/>
            <w:bottom w:w="0" w:type="dxa"/>
            <w:right w:w="108" w:type="dxa"/>
          </w:tblCellMar>
        </w:tblPrEx>
        <w:trPr>
          <w:trHeight w:val="3198" w:hRule="atLeast"/>
          <w:jc w:val="center"/>
        </w:trPr>
        <w:tc>
          <w:tcPr>
            <w:tcW w:w="4008" w:type="dxa"/>
            <w:vAlign w:val="center"/>
          </w:tcPr>
          <w:p w14:paraId="32F13E37">
            <w:pPr>
              <w:ind w:firstLine="0" w:firstLineChars="0"/>
              <w:jc w:val="center"/>
              <w:rPr>
                <w:kern w:val="0"/>
                <w:sz w:val="28"/>
                <w:szCs w:val="28"/>
              </w:rPr>
            </w:pPr>
            <w:r>
              <w:pict>
                <v:group id="组合 82" o:spid="_x0000_s1054" o:spt="203" style="position:absolute;left:0pt;margin-left:4.95pt;margin-top:6.8pt;height:145.65pt;width:180.8pt;z-index:251669504;mso-width-relative:page;mso-height-relative:page;" coordsize="20673,16459">
                  <o:lock v:ext="edit"/>
                  <v:shape id="图片 14" o:spid="_x0000_s1055" o:spt="75" alt="洗眼器" type="#_x0000_t75" style="position:absolute;left:0;top:0;height:16459;width:20673;" filled="f" o:preferrelative="t" stroked="t" coordsize="21600,21600">
                    <v:path/>
                    <v:fill on="f" focussize="0,0"/>
                    <v:stroke joinstyle="miter"/>
                    <v:imagedata r:id="rId28" o:title=""/>
                    <o:lock v:ext="edit" aspectratio="t"/>
                  </v:shape>
                  <v:shape id="矩形标注 39" o:spid="_x0000_s1056" o:spt="61" type="#_x0000_t61" style="position:absolute;left:12085;top:556;height:3105;width:8103;v-text-anchor:middle;" fillcolor="#FFFF00" filled="t" coordsize="21600,21600" adj="292,40538">
                    <v:path/>
                    <v:fill on="t" focussize="0,0"/>
                    <v:stroke weight="2pt" joinstyle="miter"/>
                    <v:imagedata o:title=""/>
                    <o:lock v:ext="edit"/>
                    <v:textbox>
                      <w:txbxContent>
                        <w:p w14:paraId="28F5FC28">
                          <w:pPr>
                            <w:ind w:firstLine="0" w:firstLineChars="0"/>
                            <w:rPr>
                              <w:color w:val="000000"/>
                            </w:rPr>
                          </w:pPr>
                          <w:r>
                            <w:rPr>
                              <w:rFonts w:hint="eastAsia" w:cs="宋体"/>
                              <w:color w:val="000000"/>
                            </w:rPr>
                            <w:t>洗眼器</w:t>
                          </w:r>
                        </w:p>
                      </w:txbxContent>
                    </v:textbox>
                  </v:shape>
                </v:group>
              </w:pict>
            </w:r>
          </w:p>
          <w:p w14:paraId="718601BB">
            <w:pPr>
              <w:ind w:firstLine="0" w:firstLineChars="0"/>
              <w:jc w:val="center"/>
              <w:rPr>
                <w:kern w:val="0"/>
                <w:sz w:val="28"/>
                <w:szCs w:val="28"/>
              </w:rPr>
            </w:pPr>
          </w:p>
          <w:p w14:paraId="034220C8">
            <w:pPr>
              <w:ind w:firstLine="0" w:firstLineChars="0"/>
              <w:jc w:val="center"/>
              <w:rPr>
                <w:kern w:val="0"/>
                <w:sz w:val="28"/>
                <w:szCs w:val="28"/>
              </w:rPr>
            </w:pPr>
          </w:p>
          <w:p w14:paraId="0C8FBBF4">
            <w:pPr>
              <w:ind w:firstLine="0" w:firstLineChars="0"/>
              <w:jc w:val="center"/>
              <w:rPr>
                <w:kern w:val="0"/>
                <w:sz w:val="28"/>
                <w:szCs w:val="28"/>
              </w:rPr>
            </w:pPr>
          </w:p>
          <w:p w14:paraId="0748CBC8">
            <w:pPr>
              <w:ind w:firstLine="0" w:firstLineChars="0"/>
              <w:jc w:val="center"/>
              <w:rPr>
                <w:kern w:val="0"/>
                <w:sz w:val="28"/>
                <w:szCs w:val="28"/>
              </w:rPr>
            </w:pPr>
          </w:p>
        </w:tc>
        <w:tc>
          <w:tcPr>
            <w:tcW w:w="4263" w:type="dxa"/>
            <w:vAlign w:val="center"/>
          </w:tcPr>
          <w:p w14:paraId="6C5B5E45">
            <w:pPr>
              <w:ind w:firstLine="0" w:firstLineChars="0"/>
              <w:jc w:val="center"/>
              <w:rPr>
                <w:kern w:val="0"/>
                <w:sz w:val="28"/>
                <w:szCs w:val="28"/>
              </w:rPr>
            </w:pPr>
            <w:r>
              <w:pict>
                <v:group id="组合 83" o:spid="_x0000_s1057" o:spt="203" style="position:absolute;left:0pt;margin-left:2.25pt;margin-top:2.9pt;height:145.65pt;width:198.4pt;z-index:251670528;mso-width-relative:page;mso-height-relative:page;" coordsize="23297,15982">
                  <o:lock v:ext="edit"/>
                  <v:shape id="图片 16" o:spid="_x0000_s1058" o:spt="75" alt="风向标" type="#_x0000_t75" style="position:absolute;left:0;top:0;height:15982;width:23297;" filled="f" o:preferrelative="t" stroked="t" coordsize="21600,21600">
                    <v:path/>
                    <v:fill on="f" focussize="0,0"/>
                    <v:stroke joinstyle="miter"/>
                    <v:imagedata r:id="rId29" o:title=""/>
                    <o:lock v:ext="edit" aspectratio="t"/>
                  </v:shape>
                  <v:shape id="矩形标注 40" o:spid="_x0000_s1059" o:spt="61" type="#_x0000_t61" style="position:absolute;left:556;top:556;height:3105;width:8103;v-text-anchor:middle;" fillcolor="#FFFF00" filled="t" coordsize="21600,21600" adj="30267,23243">
                    <v:path/>
                    <v:fill on="t" focussize="0,0"/>
                    <v:stroke weight="2pt" joinstyle="miter"/>
                    <v:imagedata o:title=""/>
                    <o:lock v:ext="edit"/>
                    <v:textbox>
                      <w:txbxContent>
                        <w:p w14:paraId="71888CE0">
                          <w:pPr>
                            <w:ind w:firstLine="0" w:firstLineChars="0"/>
                            <w:rPr>
                              <w:color w:val="000000"/>
                            </w:rPr>
                          </w:pPr>
                          <w:r>
                            <w:rPr>
                              <w:rFonts w:hint="eastAsia" w:cs="宋体"/>
                              <w:color w:val="000000"/>
                            </w:rPr>
                            <w:t>风向标</w:t>
                          </w:r>
                        </w:p>
                      </w:txbxContent>
                    </v:textbox>
                  </v:shape>
                </v:group>
              </w:pict>
            </w:r>
          </w:p>
        </w:tc>
      </w:tr>
      <w:tr w14:paraId="65BD166C">
        <w:tblPrEx>
          <w:tblCellMar>
            <w:top w:w="0" w:type="dxa"/>
            <w:left w:w="108" w:type="dxa"/>
            <w:bottom w:w="0" w:type="dxa"/>
            <w:right w:w="108" w:type="dxa"/>
          </w:tblCellMar>
        </w:tblPrEx>
        <w:trPr>
          <w:jc w:val="center"/>
        </w:trPr>
        <w:tc>
          <w:tcPr>
            <w:tcW w:w="4008" w:type="dxa"/>
            <w:vAlign w:val="center"/>
          </w:tcPr>
          <w:p w14:paraId="7A9052CF">
            <w:pPr>
              <w:ind w:firstLine="0" w:firstLineChars="0"/>
              <w:jc w:val="center"/>
              <w:rPr>
                <w:kern w:val="0"/>
              </w:rPr>
            </w:pPr>
            <w:r>
              <w:rPr>
                <w:rFonts w:hint="eastAsia" w:cs="宋体"/>
                <w:kern w:val="0"/>
              </w:rPr>
              <w:t>洗眼器</w:t>
            </w:r>
          </w:p>
        </w:tc>
        <w:tc>
          <w:tcPr>
            <w:tcW w:w="4263" w:type="dxa"/>
            <w:vAlign w:val="center"/>
          </w:tcPr>
          <w:p w14:paraId="6266841C">
            <w:pPr>
              <w:ind w:firstLine="0" w:firstLineChars="0"/>
              <w:jc w:val="center"/>
              <w:rPr>
                <w:kern w:val="0"/>
              </w:rPr>
            </w:pPr>
            <w:r>
              <w:rPr>
                <w:rFonts w:hint="eastAsia" w:cs="宋体"/>
                <w:kern w:val="0"/>
              </w:rPr>
              <w:t>风向标</w:t>
            </w:r>
          </w:p>
        </w:tc>
      </w:tr>
      <w:tr w14:paraId="6F539331">
        <w:tblPrEx>
          <w:tblCellMar>
            <w:top w:w="0" w:type="dxa"/>
            <w:left w:w="108" w:type="dxa"/>
            <w:bottom w:w="0" w:type="dxa"/>
            <w:right w:w="108" w:type="dxa"/>
          </w:tblCellMar>
        </w:tblPrEx>
        <w:trPr>
          <w:jc w:val="center"/>
        </w:trPr>
        <w:tc>
          <w:tcPr>
            <w:tcW w:w="8271" w:type="dxa"/>
            <w:gridSpan w:val="2"/>
            <w:vAlign w:val="center"/>
          </w:tcPr>
          <w:p w14:paraId="1945887C">
            <w:pPr>
              <w:ind w:firstLine="0" w:firstLineChars="0"/>
              <w:jc w:val="center"/>
              <w:rPr>
                <w:kern w:val="0"/>
              </w:rPr>
            </w:pPr>
            <w:r>
              <w:pict>
                <v:group id="组合 96" o:spid="_x0000_s1060" o:spt="203" style="position:absolute;left:0pt;margin-left:-4.4pt;margin-top:1.7pt;height:188.35pt;width:409.05pt;z-index:251671552;mso-width-relative:page;mso-height-relative:page;" coordsize="51279,20116">
                  <o:lock v:ext="edit"/>
                  <v:shape id="图片 15" o:spid="_x0000_s1061" o:spt="75" alt="应急物资" type="#_x0000_t75" style="position:absolute;left:0;top:0;height:20116;width:51279;" filled="f" o:preferrelative="t" stroked="t" coordsize="21600,21600">
                    <v:path/>
                    <v:fill on="f" focussize="0,0"/>
                    <v:stroke joinstyle="miter"/>
                    <v:imagedata r:id="rId30" o:title=""/>
                    <o:lock v:ext="edit" aspectratio="t"/>
                  </v:shape>
                  <v:shape id="矩形标注 42" o:spid="_x0000_s1062" o:spt="61" type="#_x0000_t61" style="position:absolute;left:33284;top:10387;height:3105;width:8102;v-text-anchor:middle;" fillcolor="#FFFF00" filled="t" stroked="t" coordsize="21600,21600" adj="20466,43571">
                    <v:path/>
                    <v:fill on="t" focussize="0,0"/>
                    <v:stroke weight="2pt" color="#254061" joinstyle="miter"/>
                    <v:imagedata o:title=""/>
                    <o:lock v:ext="edit"/>
                    <v:textbox>
                      <w:txbxContent>
                        <w:p w14:paraId="6B0E3B4C">
                          <w:pPr>
                            <w:ind w:firstLine="0" w:firstLineChars="0"/>
                            <w:rPr>
                              <w:color w:val="000000"/>
                            </w:rPr>
                          </w:pPr>
                          <w:r>
                            <w:rPr>
                              <w:rFonts w:hint="eastAsia" w:cs="宋体"/>
                              <w:color w:val="000000"/>
                            </w:rPr>
                            <w:t>拖绳</w:t>
                          </w:r>
                        </w:p>
                      </w:txbxContent>
                    </v:textbox>
                  </v:shape>
                  <v:shape id="矩形标注 43" o:spid="_x0000_s1063" o:spt="61" type="#_x0000_t61" style="position:absolute;left:1609;top:10899;height:3105;width:8102;v-text-anchor:middle;" fillcolor="#FFFF00" filled="t" stroked="t" coordsize="21600,21600" adj="23482,33735">
                    <v:path/>
                    <v:fill on="t" focussize="0,0"/>
                    <v:stroke weight="2pt" color="#254061" joinstyle="miter"/>
                    <v:imagedata o:title=""/>
                    <o:lock v:ext="edit"/>
                    <v:textbox>
                      <w:txbxContent>
                        <w:p w14:paraId="0E9A81C9">
                          <w:pPr>
                            <w:ind w:firstLine="0" w:firstLineChars="0"/>
                            <w:rPr>
                              <w:color w:val="000000"/>
                            </w:rPr>
                          </w:pPr>
                          <w:r>
                            <w:rPr>
                              <w:rFonts w:hint="eastAsia" w:cs="宋体"/>
                              <w:color w:val="000000"/>
                            </w:rPr>
                            <w:t>胶靴</w:t>
                          </w:r>
                        </w:p>
                      </w:txbxContent>
                    </v:textbox>
                  </v:shape>
                  <v:shape id="矩形标注 44" o:spid="_x0000_s1064" o:spt="61" type="#_x0000_t61" style="position:absolute;left:16166;top:10899;height:3105;width:8103;v-text-anchor:middle;" fillcolor="#FFFF00" filled="t" stroked="t" coordsize="21600,21600" adj="31272,43571">
                    <v:path/>
                    <v:fill on="t" focussize="0,0"/>
                    <v:stroke weight="2pt" color="#254061" joinstyle="miter"/>
                    <v:imagedata o:title=""/>
                    <o:lock v:ext="edit"/>
                    <v:textbox>
                      <w:txbxContent>
                        <w:p w14:paraId="707A938E">
                          <w:pPr>
                            <w:ind w:firstLine="0" w:firstLineChars="0"/>
                            <w:rPr>
                              <w:color w:val="000000"/>
                            </w:rPr>
                          </w:pPr>
                          <w:r>
                            <w:rPr>
                              <w:rFonts w:hint="eastAsia" w:cs="宋体"/>
                              <w:color w:val="000000"/>
                            </w:rPr>
                            <w:t>堵漏工具</w:t>
                          </w:r>
                        </w:p>
                      </w:txbxContent>
                    </v:textbox>
                  </v:shape>
                  <v:shape id="矩形标注 41" o:spid="_x0000_s1065" o:spt="61" type="#_x0000_t61" style="position:absolute;left:4828;top:2926;height:3105;width:8102;v-text-anchor:middle;" fillcolor="#FFFF00" filled="t" stroked="t" coordsize="21600,21600" adj="15691,52752">
                    <v:path/>
                    <v:fill on="t" focussize="0,0"/>
                    <v:stroke weight="2pt" color="#254061" joinstyle="miter"/>
                    <v:imagedata o:title=""/>
                    <o:lock v:ext="edit"/>
                    <v:textbox>
                      <w:txbxContent>
                        <w:p w14:paraId="13B737A6">
                          <w:pPr>
                            <w:ind w:firstLine="0" w:firstLineChars="0"/>
                            <w:rPr>
                              <w:color w:val="000000"/>
                            </w:rPr>
                          </w:pPr>
                          <w:r>
                            <w:rPr>
                              <w:rFonts w:hint="eastAsia" w:cs="宋体"/>
                              <w:color w:val="000000"/>
                            </w:rPr>
                            <w:t>滤毒罐</w:t>
                          </w:r>
                        </w:p>
                      </w:txbxContent>
                    </v:textbox>
                  </v:shape>
                </v:group>
              </w:pict>
            </w:r>
          </w:p>
          <w:p w14:paraId="0C9B3421">
            <w:pPr>
              <w:ind w:firstLine="0" w:firstLineChars="0"/>
              <w:jc w:val="center"/>
              <w:rPr>
                <w:kern w:val="0"/>
              </w:rPr>
            </w:pPr>
          </w:p>
          <w:p w14:paraId="72C86B43">
            <w:pPr>
              <w:ind w:firstLine="0" w:firstLineChars="0"/>
              <w:jc w:val="center"/>
              <w:rPr>
                <w:kern w:val="0"/>
              </w:rPr>
            </w:pPr>
          </w:p>
        </w:tc>
      </w:tr>
      <w:tr w14:paraId="125A0780">
        <w:tblPrEx>
          <w:tblCellMar>
            <w:top w:w="0" w:type="dxa"/>
            <w:left w:w="108" w:type="dxa"/>
            <w:bottom w:w="0" w:type="dxa"/>
            <w:right w:w="108" w:type="dxa"/>
          </w:tblCellMar>
        </w:tblPrEx>
        <w:trPr>
          <w:trHeight w:val="238" w:hRule="atLeast"/>
          <w:jc w:val="center"/>
        </w:trPr>
        <w:tc>
          <w:tcPr>
            <w:tcW w:w="8271" w:type="dxa"/>
            <w:gridSpan w:val="2"/>
            <w:vAlign w:val="center"/>
          </w:tcPr>
          <w:p w14:paraId="080F7BC8">
            <w:pPr>
              <w:ind w:firstLine="0" w:firstLineChars="0"/>
              <w:jc w:val="center"/>
              <w:rPr>
                <w:kern w:val="0"/>
              </w:rPr>
            </w:pPr>
            <w:r>
              <w:rPr>
                <w:rFonts w:hint="eastAsia" w:cs="宋体"/>
                <w:kern w:val="0"/>
              </w:rPr>
              <w:t>滤毒罐、胶靴、堵漏工具、拖绳</w:t>
            </w:r>
          </w:p>
        </w:tc>
      </w:tr>
    </w:tbl>
    <w:p w14:paraId="6F019F83">
      <w:pPr>
        <w:ind w:firstLine="0" w:firstLineChars="0"/>
        <w:jc w:val="center"/>
        <w:rPr>
          <w:b/>
          <w:bCs/>
        </w:rPr>
      </w:pPr>
      <w:r>
        <w:rPr>
          <w:rFonts w:hint="eastAsia" w:cs="宋体"/>
          <w:b/>
          <w:bCs/>
        </w:rPr>
        <w:t>图</w:t>
      </w:r>
      <w:r>
        <w:rPr>
          <w:b/>
          <w:bCs/>
        </w:rPr>
        <w:t xml:space="preserve">5-9  </w:t>
      </w:r>
      <w:r>
        <w:rPr>
          <w:rFonts w:hint="eastAsia" w:cs="宋体"/>
          <w:b/>
          <w:bCs/>
        </w:rPr>
        <w:t>应急物资示例</w:t>
      </w:r>
    </w:p>
    <w:p w14:paraId="29A31B89">
      <w:pPr>
        <w:pStyle w:val="47"/>
        <w:ind w:left="0" w:leftChars="0"/>
      </w:pPr>
    </w:p>
    <w:p w14:paraId="6F25705E">
      <w:pPr>
        <w:ind w:firstLine="0" w:firstLineChars="0"/>
        <w:jc w:val="center"/>
        <w:rPr>
          <w:b/>
          <w:bCs/>
        </w:rPr>
      </w:pPr>
    </w:p>
    <w:p w14:paraId="2ED8ADD3">
      <w:pPr>
        <w:ind w:firstLine="0" w:firstLineChars="0"/>
        <w:jc w:val="center"/>
        <w:rPr>
          <w:b/>
          <w:bCs/>
        </w:rPr>
      </w:pPr>
      <w:r>
        <w:rPr>
          <w:rFonts w:hint="eastAsia" w:cs="宋体"/>
          <w:b/>
          <w:bCs/>
        </w:rPr>
        <w:t>图</w:t>
      </w:r>
      <w:r>
        <w:rPr>
          <w:b/>
          <w:bCs/>
        </w:rPr>
        <w:t xml:space="preserve">4-8  </w:t>
      </w:r>
      <w:r>
        <w:rPr>
          <w:rFonts w:hint="eastAsia" w:cs="宋体"/>
          <w:b/>
          <w:bCs/>
        </w:rPr>
        <w:t>应急物资和装备</w:t>
      </w:r>
    </w:p>
    <w:p w14:paraId="17BD4E75">
      <w:pPr>
        <w:pStyle w:val="47"/>
        <w:ind w:left="0" w:leftChars="0"/>
        <w:outlineLvl w:val="2"/>
      </w:pPr>
      <w:r>
        <w:t>4.2.2.5</w:t>
      </w:r>
      <w:r>
        <w:rPr>
          <w:rFonts w:hint="eastAsia" w:cs="黑体"/>
        </w:rPr>
        <w:t>应急演练与培训</w:t>
      </w:r>
    </w:p>
    <w:tbl>
      <w:tblPr>
        <w:tblStyle w:val="21"/>
        <w:tblW w:w="7601" w:type="dxa"/>
        <w:jc w:val="center"/>
        <w:tblLayout w:type="fixed"/>
        <w:tblCellMar>
          <w:top w:w="0" w:type="dxa"/>
          <w:left w:w="108" w:type="dxa"/>
          <w:bottom w:w="0" w:type="dxa"/>
          <w:right w:w="108" w:type="dxa"/>
        </w:tblCellMar>
      </w:tblPr>
      <w:tblGrid>
        <w:gridCol w:w="7601"/>
      </w:tblGrid>
      <w:tr w14:paraId="7239614F">
        <w:tblPrEx>
          <w:tblCellMar>
            <w:top w:w="0" w:type="dxa"/>
            <w:left w:w="108" w:type="dxa"/>
            <w:bottom w:w="0" w:type="dxa"/>
            <w:right w:w="108" w:type="dxa"/>
          </w:tblCellMar>
        </w:tblPrEx>
        <w:trPr>
          <w:trHeight w:val="1648" w:hRule="atLeast"/>
          <w:jc w:val="center"/>
        </w:trPr>
        <w:tc>
          <w:tcPr>
            <w:tcW w:w="7601" w:type="dxa"/>
            <w:vAlign w:val="center"/>
          </w:tcPr>
          <w:p w14:paraId="7DF5CB72">
            <w:pPr>
              <w:ind w:firstLine="532" w:firstLineChars="222"/>
            </w:pPr>
            <w:r>
              <w:rPr>
                <w:rFonts w:hint="eastAsia" w:cs="宋体"/>
              </w:rPr>
              <w:t>企业开展涉氨应急相关知识的培训均不少于每年一次，大多数企业开展过综合性演练且保存演练记录，演练频次在一年左右，演练内容主要包括：防护用具的穿戴，氨泄漏设备的现场抢修，消防器材的使用，人员救护，人员疏散等。</w:t>
            </w:r>
          </w:p>
          <w:p w14:paraId="142099B2">
            <w:pPr>
              <w:ind w:firstLine="0" w:firstLineChars="0"/>
              <w:jc w:val="center"/>
            </w:pPr>
            <w:r>
              <w:pict>
                <v:shape id="_x0000_i1029" o:spt="75" type="#_x0000_t75" style="height:139.5pt;width:280.5pt;" filled="f" o:preferrelative="t" stroked="f" coordsize="21600,21600">
                  <v:path/>
                  <v:fill on="f" focussize="0,0"/>
                  <v:stroke on="f" joinstyle="miter"/>
                  <v:imagedata r:id="rId31" o:title=""/>
                  <o:lock v:ext="edit" aspectratio="t"/>
                  <w10:wrap type="none"/>
                  <w10:anchorlock/>
                </v:shape>
              </w:pict>
            </w:r>
          </w:p>
          <w:p w14:paraId="28839A9C">
            <w:pPr>
              <w:ind w:firstLine="0" w:firstLineChars="0"/>
              <w:jc w:val="center"/>
              <w:rPr>
                <w:kern w:val="0"/>
                <w:sz w:val="28"/>
                <w:szCs w:val="28"/>
              </w:rPr>
            </w:pPr>
            <w:r>
              <w:rPr>
                <w:rFonts w:hint="eastAsia" w:cs="宋体"/>
              </w:rPr>
              <w:t>抢险抢修</w:t>
            </w:r>
          </w:p>
        </w:tc>
      </w:tr>
      <w:tr w14:paraId="5F937295">
        <w:tblPrEx>
          <w:tblCellMar>
            <w:top w:w="0" w:type="dxa"/>
            <w:left w:w="108" w:type="dxa"/>
            <w:bottom w:w="0" w:type="dxa"/>
            <w:right w:w="108" w:type="dxa"/>
          </w:tblCellMar>
        </w:tblPrEx>
        <w:trPr>
          <w:trHeight w:val="165" w:hRule="atLeast"/>
          <w:jc w:val="center"/>
        </w:trPr>
        <w:tc>
          <w:tcPr>
            <w:tcW w:w="7601" w:type="dxa"/>
            <w:vAlign w:val="center"/>
          </w:tcPr>
          <w:p w14:paraId="0EA4C6A9">
            <w:pPr>
              <w:ind w:firstLine="0" w:firstLineChars="0"/>
              <w:jc w:val="center"/>
              <w:rPr>
                <w:kern w:val="0"/>
              </w:rPr>
            </w:pPr>
            <w:r>
              <w:pict>
                <v:shape id="_x0000_i1030" o:spt="75" type="#_x0000_t75" style="height:142.5pt;width:274.5pt;" filled="f" o:preferrelative="t" stroked="f" coordsize="21600,21600">
                  <v:path/>
                  <v:fill on="f" focussize="0,0"/>
                  <v:stroke on="f" joinstyle="miter"/>
                  <v:imagedata r:id="rId32" o:title=""/>
                  <o:lock v:ext="edit" aspectratio="t"/>
                  <w10:wrap type="none"/>
                  <w10:anchorlock/>
                </v:shape>
              </w:pict>
            </w:r>
          </w:p>
        </w:tc>
      </w:tr>
    </w:tbl>
    <w:p w14:paraId="37127FAE">
      <w:pPr>
        <w:ind w:firstLine="0" w:firstLineChars="0"/>
        <w:jc w:val="center"/>
        <w:rPr>
          <w:kern w:val="0"/>
        </w:rPr>
      </w:pPr>
      <w:r>
        <w:rPr>
          <w:rFonts w:hint="eastAsia" w:cs="宋体"/>
          <w:kern w:val="0"/>
        </w:rPr>
        <w:t>人员疏散</w:t>
      </w:r>
    </w:p>
    <w:p w14:paraId="51CD0320">
      <w:pPr>
        <w:ind w:firstLine="0" w:firstLineChars="0"/>
        <w:jc w:val="center"/>
      </w:pPr>
      <w:r>
        <w:pict>
          <v:shape id="_x0000_i1031" o:spt="75" type="#_x0000_t75" style="height:146.25pt;width:285pt;" filled="f" o:preferrelative="t" stroked="f" coordsize="21600,21600">
            <v:path/>
            <v:fill on="f" focussize="0,0"/>
            <v:stroke on="f" joinstyle="miter"/>
            <v:imagedata r:id="rId33" o:title=""/>
            <o:lock v:ext="edit" aspectratio="t"/>
            <w10:wrap type="none"/>
            <w10:anchorlock/>
          </v:shape>
        </w:pict>
      </w:r>
    </w:p>
    <w:p w14:paraId="056C726D">
      <w:pPr>
        <w:ind w:firstLine="0" w:firstLineChars="0"/>
        <w:jc w:val="center"/>
        <w:rPr>
          <w:kern w:val="0"/>
        </w:rPr>
      </w:pPr>
      <w:r>
        <w:rPr>
          <w:rFonts w:hint="eastAsia" w:cs="宋体"/>
          <w:kern w:val="0"/>
        </w:rPr>
        <w:t>事故喷淋</w:t>
      </w:r>
    </w:p>
    <w:p w14:paraId="4124EE9F">
      <w:pPr>
        <w:pStyle w:val="47"/>
        <w:ind w:left="0" w:leftChars="0"/>
        <w:outlineLvl w:val="2"/>
      </w:pPr>
      <w:r>
        <w:t>4.3</w:t>
      </w:r>
      <w:r>
        <w:rPr>
          <w:rFonts w:hint="eastAsia" w:cs="黑体"/>
        </w:rPr>
        <w:t>涉氨企业周边环境风险受体</w:t>
      </w:r>
    </w:p>
    <w:p w14:paraId="0AC060D9">
      <w:pPr>
        <w:ind w:firstLine="480"/>
      </w:pPr>
      <w:r>
        <w:rPr>
          <w:rFonts w:hint="eastAsia" w:cs="宋体"/>
        </w:rPr>
        <w:t>在调研的涉氨企业中，周边</w:t>
      </w:r>
      <w:r>
        <w:t>5</w:t>
      </w:r>
      <w:r>
        <w:rPr>
          <w:rFonts w:hint="eastAsia" w:cs="宋体"/>
        </w:rPr>
        <w:t>公里范围内人口少于</w:t>
      </w:r>
      <w:r>
        <w:t>1</w:t>
      </w:r>
      <w:r>
        <w:rPr>
          <w:rFonts w:hint="eastAsia" w:cs="宋体"/>
        </w:rPr>
        <w:t>万人的有</w:t>
      </w:r>
      <w:r>
        <w:t>1</w:t>
      </w:r>
      <w:r>
        <w:rPr>
          <w:rFonts w:hint="eastAsia" w:cs="宋体"/>
        </w:rPr>
        <w:t>家，</w:t>
      </w:r>
      <w:r>
        <w:t>1</w:t>
      </w:r>
      <w:r>
        <w:rPr>
          <w:rFonts w:hint="eastAsia" w:cs="宋体"/>
        </w:rPr>
        <w:t>万</w:t>
      </w:r>
      <w:r>
        <w:t>~5</w:t>
      </w:r>
      <w:r>
        <w:rPr>
          <w:rFonts w:hint="eastAsia" w:cs="宋体"/>
        </w:rPr>
        <w:t>万人有</w:t>
      </w:r>
      <w:r>
        <w:t>16</w:t>
      </w:r>
      <w:r>
        <w:rPr>
          <w:rFonts w:hint="eastAsia" w:cs="宋体"/>
        </w:rPr>
        <w:t>家，</w:t>
      </w:r>
      <w:r>
        <w:t>5</w:t>
      </w:r>
      <w:r>
        <w:rPr>
          <w:rFonts w:hint="eastAsia" w:cs="宋体"/>
        </w:rPr>
        <w:t>万</w:t>
      </w:r>
      <w:r>
        <w:t>~10</w:t>
      </w:r>
      <w:r>
        <w:rPr>
          <w:rFonts w:hint="eastAsia" w:cs="宋体"/>
        </w:rPr>
        <w:t>万人有</w:t>
      </w:r>
      <w:r>
        <w:t>25</w:t>
      </w:r>
      <w:r>
        <w:rPr>
          <w:rFonts w:hint="eastAsia" w:cs="宋体"/>
        </w:rPr>
        <w:t>家，</w:t>
      </w:r>
      <w:r>
        <w:t>10</w:t>
      </w:r>
      <w:r>
        <w:rPr>
          <w:rFonts w:hint="eastAsia" w:cs="宋体"/>
        </w:rPr>
        <w:t>万</w:t>
      </w:r>
      <w:r>
        <w:t>~20</w:t>
      </w:r>
      <w:r>
        <w:rPr>
          <w:rFonts w:hint="eastAsia" w:cs="宋体"/>
        </w:rPr>
        <w:t>万人有</w:t>
      </w:r>
      <w:r>
        <w:t>20</w:t>
      </w:r>
      <w:r>
        <w:rPr>
          <w:rFonts w:hint="eastAsia" w:cs="宋体"/>
        </w:rPr>
        <w:t>家，</w:t>
      </w:r>
      <w:r>
        <w:t>20</w:t>
      </w:r>
      <w:r>
        <w:rPr>
          <w:rFonts w:hint="eastAsia" w:cs="宋体"/>
        </w:rPr>
        <w:t>万</w:t>
      </w:r>
      <w:r>
        <w:t>~30</w:t>
      </w:r>
      <w:r>
        <w:rPr>
          <w:rFonts w:hint="eastAsia" w:cs="宋体"/>
        </w:rPr>
        <w:t>万人有</w:t>
      </w:r>
      <w:r>
        <w:t>8</w:t>
      </w:r>
      <w:r>
        <w:rPr>
          <w:rFonts w:hint="eastAsia" w:cs="宋体"/>
        </w:rPr>
        <w:t>家，</w:t>
      </w:r>
      <w:r>
        <w:t>30</w:t>
      </w:r>
      <w:r>
        <w:rPr>
          <w:rFonts w:hint="eastAsia" w:cs="宋体"/>
        </w:rPr>
        <w:t>万人以上有</w:t>
      </w:r>
      <w:r>
        <w:t>12</w:t>
      </w:r>
      <w:r>
        <w:rPr>
          <w:rFonts w:hint="eastAsia" w:cs="宋体"/>
        </w:rPr>
        <w:t>家。</w:t>
      </w:r>
    </w:p>
    <w:p w14:paraId="2F31228A">
      <w:pPr>
        <w:ind w:firstLine="480"/>
      </w:pPr>
      <w:r>
        <w:rPr>
          <w:rFonts w:hint="eastAsia" w:cs="宋体"/>
        </w:rPr>
        <w:t>调研的</w:t>
      </w:r>
      <w:r>
        <w:t>82</w:t>
      </w:r>
      <w:r>
        <w:rPr>
          <w:rFonts w:hint="eastAsia" w:cs="宋体"/>
        </w:rPr>
        <w:t>家涉氨企业均不在饮用水水源地一级保护区、风景名胜区和自然保护区核心区等特殊敏感区内。</w:t>
      </w:r>
    </w:p>
    <w:p w14:paraId="4328C698">
      <w:pPr>
        <w:pStyle w:val="47"/>
        <w:ind w:left="0" w:leftChars="0"/>
        <w:outlineLvl w:val="2"/>
      </w:pPr>
      <w:r>
        <w:t>4.4</w:t>
      </w:r>
      <w:r>
        <w:rPr>
          <w:rFonts w:hint="eastAsia" w:cs="黑体"/>
        </w:rPr>
        <w:t>北京市曾经发生的氨泄漏事故</w:t>
      </w:r>
    </w:p>
    <w:p w14:paraId="410D2967">
      <w:pPr>
        <w:ind w:firstLine="480"/>
      </w:pPr>
      <w:r>
        <w:rPr>
          <w:rFonts w:hint="eastAsia" w:cs="宋体"/>
        </w:rPr>
        <w:t>近十年，北京市发生十余起液氨泄漏事故，按照事故造成后果的严重程度，密云某乳制品厂由于液氨泄漏导致</w:t>
      </w:r>
      <w:r>
        <w:t>1</w:t>
      </w:r>
      <w:r>
        <w:rPr>
          <w:rFonts w:hint="eastAsia" w:cs="宋体"/>
        </w:rPr>
        <w:t>人死亡，石景山区某公司曾发生三次液氨泄漏事故，其中有一次泄漏事故导致周边一座村庄疏散，密云区某公司液氨泄漏事故造成</w:t>
      </w:r>
      <w:r>
        <w:t>9</w:t>
      </w:r>
      <w:r>
        <w:rPr>
          <w:rFonts w:hint="eastAsia" w:cs="宋体"/>
        </w:rPr>
        <w:t>人受伤，其中</w:t>
      </w:r>
      <w:r>
        <w:t>7</w:t>
      </w:r>
      <w:r>
        <w:rPr>
          <w:rFonts w:hint="eastAsia" w:cs="宋体"/>
        </w:rPr>
        <w:t>人中毒。大兴某批发市场液氨泄漏事故造成了局部范围内氨气超标。其他液氨泄漏事故未对周围环境造成污染。液氨泄漏事故有以下特点：</w:t>
      </w:r>
    </w:p>
    <w:p w14:paraId="26C15020">
      <w:pPr>
        <w:ind w:firstLine="480"/>
      </w:pPr>
      <w:r>
        <w:rPr>
          <w:rFonts w:hint="eastAsia" w:cs="宋体"/>
        </w:rPr>
        <w:t>（</w:t>
      </w:r>
      <w:r>
        <w:t>1</w:t>
      </w:r>
      <w:r>
        <w:rPr>
          <w:rFonts w:hint="eastAsia" w:cs="宋体"/>
        </w:rPr>
        <w:t>）</w:t>
      </w:r>
      <w:r>
        <w:t>70%</w:t>
      </w:r>
      <w:r>
        <w:rPr>
          <w:rFonts w:hint="eastAsia" w:cs="宋体"/>
        </w:rPr>
        <w:t>的氨泄漏事件发生在</w:t>
      </w:r>
      <w:r>
        <w:t>2006</w:t>
      </w:r>
      <w:r>
        <w:rPr>
          <w:rFonts w:hint="eastAsia" w:cs="宋体"/>
        </w:rPr>
        <w:t>年</w:t>
      </w:r>
      <w:r>
        <w:t>-2009</w:t>
      </w:r>
      <w:r>
        <w:rPr>
          <w:rFonts w:hint="eastAsia" w:cs="宋体"/>
        </w:rPr>
        <w:t>年；</w:t>
      </w:r>
    </w:p>
    <w:p w14:paraId="31C84BF8">
      <w:pPr>
        <w:ind w:firstLine="480"/>
      </w:pPr>
      <w:r>
        <w:rPr>
          <w:rFonts w:hint="eastAsia" w:cs="宋体"/>
        </w:rPr>
        <w:t>（</w:t>
      </w:r>
      <w:r>
        <w:t>2</w:t>
      </w:r>
      <w:r>
        <w:rPr>
          <w:rFonts w:hint="eastAsia" w:cs="宋体"/>
        </w:rPr>
        <w:t>）液氨用途多为制冷，事故类型均为氨泄漏或由氨泄漏引发；</w:t>
      </w:r>
    </w:p>
    <w:p w14:paraId="529A103C">
      <w:pPr>
        <w:ind w:firstLine="480"/>
      </w:pPr>
      <w:r>
        <w:rPr>
          <w:rFonts w:hint="eastAsia" w:cs="宋体"/>
        </w:rPr>
        <w:t>（</w:t>
      </w:r>
      <w:r>
        <w:t>3</w:t>
      </w:r>
      <w:r>
        <w:rPr>
          <w:rFonts w:hint="eastAsia" w:cs="宋体"/>
        </w:rPr>
        <w:t>）氨泄漏事故源起企业生产安全事故；</w:t>
      </w:r>
    </w:p>
    <w:p w14:paraId="328AE6F3">
      <w:pPr>
        <w:ind w:firstLine="480"/>
      </w:pPr>
      <w:r>
        <w:rPr>
          <w:rFonts w:hint="eastAsia" w:cs="宋体"/>
        </w:rPr>
        <w:t>（</w:t>
      </w:r>
      <w:r>
        <w:t>4</w:t>
      </w:r>
      <w:r>
        <w:rPr>
          <w:rFonts w:hint="eastAsia" w:cs="宋体"/>
        </w:rPr>
        <w:t>）十起事故中有八起未对周边环境造成影响。</w:t>
      </w:r>
    </w:p>
    <w:p w14:paraId="71E4228C">
      <w:pPr>
        <w:ind w:firstLine="480"/>
      </w:pPr>
      <w:r>
        <w:rPr>
          <w:rFonts w:hint="eastAsia" w:cs="宋体"/>
        </w:rPr>
        <w:t>上述发生过氨泄漏事故的企业中，目前仍有三家单位仍在使用氨。</w:t>
      </w:r>
    </w:p>
    <w:p w14:paraId="2A5AAD62">
      <w:pPr>
        <w:pStyle w:val="60"/>
        <w:spacing w:before="312" w:after="312"/>
        <w:rPr>
          <w:rFonts w:ascii="Times New Roman" w:hAnsi="Times New Roman" w:cs="Times New Roman"/>
        </w:rPr>
      </w:pPr>
      <w:bookmarkStart w:id="247" w:name="_Toc3518"/>
      <w:bookmarkStart w:id="248" w:name="_Toc9513"/>
      <w:bookmarkStart w:id="249" w:name="_Toc25736"/>
      <w:bookmarkStart w:id="250" w:name="_Toc24911"/>
      <w:bookmarkStart w:id="251" w:name="_Toc21933"/>
      <w:bookmarkStart w:id="252" w:name="_Toc18001"/>
      <w:bookmarkStart w:id="253" w:name="_Toc31963"/>
      <w:bookmarkStart w:id="254" w:name="_Toc2914"/>
      <w:bookmarkStart w:id="255" w:name="_Toc31418"/>
      <w:bookmarkStart w:id="256" w:name="_Toc13902"/>
      <w:bookmarkStart w:id="257" w:name="_Toc19294"/>
      <w:bookmarkStart w:id="258" w:name="_Toc9401"/>
      <w:bookmarkStart w:id="259" w:name="_Toc27421"/>
      <w:bookmarkStart w:id="260" w:name="_Toc3719"/>
      <w:bookmarkStart w:id="261" w:name="_Toc13753240"/>
      <w:bookmarkStart w:id="262" w:name="_Toc24182"/>
      <w:bookmarkStart w:id="263" w:name="_Toc1505"/>
      <w:bookmarkStart w:id="264" w:name="_Toc515984560"/>
      <w:bookmarkStart w:id="265" w:name="_Toc7311"/>
      <w:bookmarkStart w:id="266" w:name="_Toc7222"/>
      <w:bookmarkStart w:id="267" w:name="_Toc17065"/>
      <w:bookmarkStart w:id="268" w:name="_Toc4137"/>
      <w:bookmarkStart w:id="269" w:name="_Toc27715"/>
      <w:bookmarkStart w:id="270" w:name="_Toc2838"/>
      <w:bookmarkStart w:id="271" w:name="_Toc500397193"/>
      <w:r>
        <w:rPr>
          <w:rFonts w:hint="eastAsia" w:ascii="Times New Roman" w:hAnsi="Times New Roman" w:cs="黑体"/>
        </w:rPr>
        <w:t>五、北京市涉氨行业风险评估</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C0DC77A">
      <w:pPr>
        <w:pStyle w:val="64"/>
        <w:outlineLvl w:val="1"/>
        <w:rPr>
          <w:rFonts w:hAnsi="Times New Roman"/>
        </w:rPr>
      </w:pPr>
      <w:bookmarkStart w:id="272" w:name="_Toc15741"/>
      <w:bookmarkStart w:id="273" w:name="_Toc11750"/>
      <w:bookmarkStart w:id="274" w:name="_Toc31646"/>
      <w:bookmarkStart w:id="275" w:name="_Toc340"/>
      <w:bookmarkStart w:id="276" w:name="_Toc1925"/>
      <w:bookmarkStart w:id="277" w:name="_Toc500397194"/>
      <w:bookmarkStart w:id="278" w:name="_Toc4535"/>
      <w:bookmarkStart w:id="279" w:name="_Toc7969"/>
      <w:bookmarkStart w:id="280" w:name="_Toc515984561"/>
      <w:bookmarkStart w:id="281" w:name="_Toc6997"/>
      <w:bookmarkStart w:id="282" w:name="_Toc28013"/>
      <w:bookmarkStart w:id="283" w:name="_Toc29252"/>
      <w:bookmarkStart w:id="284" w:name="_Toc17169"/>
      <w:bookmarkStart w:id="285" w:name="_Toc11400"/>
      <w:bookmarkStart w:id="286" w:name="_Toc13566"/>
      <w:bookmarkStart w:id="287" w:name="_Toc220"/>
      <w:bookmarkStart w:id="288" w:name="_Toc13753241"/>
      <w:bookmarkStart w:id="289" w:name="_Toc6124"/>
      <w:bookmarkStart w:id="290" w:name="_Toc25316"/>
      <w:bookmarkStart w:id="291" w:name="_Toc20053"/>
      <w:bookmarkStart w:id="292" w:name="_Toc24567"/>
      <w:bookmarkStart w:id="293" w:name="_Toc14599"/>
      <w:bookmarkStart w:id="294" w:name="_Toc16856"/>
      <w:bookmarkStart w:id="295" w:name="_Toc9478"/>
      <w:bookmarkStart w:id="296" w:name="_Toc14702"/>
      <w:r>
        <w:rPr>
          <w:rFonts w:hAnsi="Times New Roman"/>
        </w:rPr>
        <w:t>5.1</w:t>
      </w:r>
      <w:r>
        <w:rPr>
          <w:rFonts w:hint="eastAsia" w:hAnsi="Times New Roman" w:cs="黑体"/>
        </w:rPr>
        <w:t>主要风险单元</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75831E6B">
      <w:pPr>
        <w:ind w:firstLine="480"/>
      </w:pPr>
      <w:r>
        <w:rPr>
          <w:rFonts w:hint="eastAsia" w:cs="宋体"/>
        </w:rPr>
        <w:t>对于氨制冷企业，环境风险单元主要有液氨储存区、压缩机房、制冷区和液氨的输送管道。</w:t>
      </w:r>
    </w:p>
    <w:p w14:paraId="1467A7AC">
      <w:pPr>
        <w:ind w:firstLine="480"/>
      </w:pPr>
      <w:r>
        <w:rPr>
          <w:rFonts w:hint="eastAsia" w:cs="宋体"/>
        </w:rPr>
        <w:t>对于液氨用于热处理的企业，</w:t>
      </w:r>
      <w:bookmarkStart w:id="297" w:name="_Hlk497232261"/>
      <w:r>
        <w:rPr>
          <w:rFonts w:hint="eastAsia" w:cs="宋体"/>
        </w:rPr>
        <w:t>环境</w:t>
      </w:r>
      <w:bookmarkEnd w:id="297"/>
      <w:r>
        <w:rPr>
          <w:rFonts w:hint="eastAsia" w:cs="宋体"/>
        </w:rPr>
        <w:t>风险单元主要有液氨储存区、氨分解区和氨的输送管道。</w:t>
      </w:r>
    </w:p>
    <w:p w14:paraId="78BDD613">
      <w:pPr>
        <w:ind w:firstLine="480"/>
      </w:pPr>
      <w:r>
        <w:rPr>
          <w:rFonts w:hint="eastAsia" w:cs="宋体"/>
        </w:rPr>
        <w:t>其他涉氨企业中，环境风险单元主要是液氨储存区、液氨使用区和液氨的输送管道。</w:t>
      </w:r>
    </w:p>
    <w:p w14:paraId="2D1E54A4">
      <w:pPr>
        <w:ind w:firstLine="480"/>
      </w:pPr>
      <w:r>
        <w:rPr>
          <w:rFonts w:hint="eastAsia" w:cs="宋体"/>
        </w:rPr>
        <w:t>氨泄漏点主要是阀门、法兰、接口等连接部位。</w:t>
      </w:r>
    </w:p>
    <w:tbl>
      <w:tblPr>
        <w:tblStyle w:val="21"/>
        <w:tblW w:w="8271" w:type="dxa"/>
        <w:jc w:val="center"/>
        <w:tblLayout w:type="fixed"/>
        <w:tblCellMar>
          <w:top w:w="0" w:type="dxa"/>
          <w:left w:w="108" w:type="dxa"/>
          <w:bottom w:w="0" w:type="dxa"/>
          <w:right w:w="108" w:type="dxa"/>
        </w:tblCellMar>
      </w:tblPr>
      <w:tblGrid>
        <w:gridCol w:w="4008"/>
        <w:gridCol w:w="4263"/>
      </w:tblGrid>
      <w:tr w14:paraId="33987365">
        <w:tblPrEx>
          <w:tblCellMar>
            <w:top w:w="0" w:type="dxa"/>
            <w:left w:w="108" w:type="dxa"/>
            <w:bottom w:w="0" w:type="dxa"/>
            <w:right w:w="108" w:type="dxa"/>
          </w:tblCellMar>
        </w:tblPrEx>
        <w:trPr>
          <w:trHeight w:val="3300" w:hRule="atLeast"/>
          <w:jc w:val="center"/>
        </w:trPr>
        <w:tc>
          <w:tcPr>
            <w:tcW w:w="4008" w:type="dxa"/>
            <w:vAlign w:val="center"/>
          </w:tcPr>
          <w:p w14:paraId="18DFD52B">
            <w:pPr>
              <w:ind w:firstLine="0" w:firstLineChars="0"/>
              <w:rPr>
                <w:kern w:val="0"/>
                <w:sz w:val="28"/>
                <w:szCs w:val="28"/>
              </w:rPr>
            </w:pPr>
            <w:r>
              <w:pict>
                <v:group id="_x0000_s1066" o:spid="_x0000_s1066" o:spt="203" style="position:absolute;left:0pt;margin-left:0.3pt;margin-top:3.35pt;height:151.5pt;width:189.1pt;z-index:251677696;mso-width-relative:page;mso-height-relative:page;" coordsize="24020,19243">
                  <o:lock v:ext="edit"/>
                  <v:shape id="图片 23" o:spid="_x0000_s1067" o:spt="75" alt="液氨罐1" type="#_x0000_t75" style="position:absolute;left:0;top:0;height:19243;width:24020;" filled="f" o:preferrelative="t" stroked="t" coordsize="21600,21600">
                    <v:path/>
                    <v:fill on="f" focussize="0,0"/>
                    <v:stroke joinstyle="miter"/>
                    <v:imagedata r:id="rId34" o:title=""/>
                    <o:lock v:ext="edit" aspectratio="t"/>
                  </v:shape>
                  <v:shape id="矩形标注 17" o:spid="_x0000_s1068" o:spt="61" type="#_x0000_t61" style="position:absolute;left:16513;top:614;height:3483;width:6598;v-text-anchor:middle;" fillcolor="#FFFF00" filled="t" coordsize="21600,21600" adj="-3576,38981">
                    <v:path/>
                    <v:fill on="t" focussize="0,0"/>
                    <v:stroke weight="2pt" joinstyle="miter"/>
                    <v:imagedata o:title=""/>
                    <o:lock v:ext="edit"/>
                    <v:textbox>
                      <w:txbxContent>
                        <w:p w14:paraId="344C5D8E">
                          <w:pPr>
                            <w:ind w:firstLine="0" w:firstLineChars="0"/>
                            <w:rPr>
                              <w:color w:val="000000"/>
                            </w:rPr>
                          </w:pPr>
                          <w:r>
                            <w:rPr>
                              <w:rFonts w:hint="eastAsia" w:cs="宋体"/>
                              <w:color w:val="000000"/>
                            </w:rPr>
                            <w:t>储罐</w:t>
                          </w:r>
                        </w:p>
                      </w:txbxContent>
                    </v:textbox>
                  </v:shape>
                </v:group>
              </w:pict>
            </w:r>
            <w:r>
              <w:pict>
                <v:group id="_x0000_s1069" o:spid="_x0000_s1069" o:spt="203" style="position:absolute;left:0pt;margin-left:205.25pt;margin-top:2.3pt;height:151.5pt;width:189.1pt;z-index:251676672;mso-width-relative:page;mso-height-relative:page;" coordsize="24020,19243">
                  <o:lock v:ext="edit"/>
                  <v:shape id="图片 25" o:spid="_x0000_s1070" o:spt="75" type="#_x0000_t75" style="position:absolute;left:0;top:0;height:19243;width:24020;" filled="f" o:preferrelative="t" stroked="t" coordsize="21600,21600">
                    <v:path/>
                    <v:fill on="f" focussize="0,0"/>
                    <v:stroke joinstyle="miter"/>
                    <v:imagedata r:id="rId35" o:title=""/>
                    <o:lock v:ext="edit" aspectratio="t"/>
                  </v:shape>
                  <v:shape id="矩形标注 18" o:spid="_x0000_s1071" o:spt="61" type="#_x0000_t61" style="position:absolute;left:341;top:545;height:3480;width:6597;v-text-anchor:middle;" fillcolor="#FFFF00" filled="t" coordsize="21600,21600" adj="36854,46003">
                    <v:path/>
                    <v:fill on="t" focussize="0,0"/>
                    <v:stroke weight="2pt" joinstyle="miter"/>
                    <v:imagedata o:title=""/>
                    <o:lock v:ext="edit"/>
                    <v:textbox>
                      <w:txbxContent>
                        <w:p w14:paraId="10C7D56C">
                          <w:pPr>
                            <w:ind w:firstLine="0" w:firstLineChars="0"/>
                            <w:rPr>
                              <w:color w:val="000000"/>
                            </w:rPr>
                          </w:pPr>
                          <w:r>
                            <w:rPr>
                              <w:rFonts w:hint="eastAsia" w:cs="宋体"/>
                              <w:color w:val="000000"/>
                            </w:rPr>
                            <w:t>钢瓶</w:t>
                          </w:r>
                        </w:p>
                      </w:txbxContent>
                    </v:textbox>
                  </v:shape>
                </v:group>
              </w:pict>
            </w:r>
            <w:r>
              <w:pict>
                <v:group id="组合 38" o:spid="_x0000_s1072" o:spt="203" style="position:absolute;left:0pt;margin-left:0.3pt;margin-top:3.35pt;height:151.5pt;width:189.1pt;z-index:251662336;mso-width-relative:page;mso-height-relative:page;" coordsize="24020,19243">
                  <o:lock v:ext="edit"/>
                  <v:shape id="图片 23" o:spid="_x0000_s1073" o:spt="75" alt="液氨罐1" type="#_x0000_t75" style="position:absolute;left:0;top:0;height:19243;width:24020;" filled="f" o:preferrelative="t" stroked="t" coordsize="21600,21600">
                    <v:path/>
                    <v:fill on="f" focussize="0,0"/>
                    <v:stroke joinstyle="miter"/>
                    <v:imagedata r:id="rId34" o:title=""/>
                    <o:lock v:ext="edit" aspectratio="t"/>
                  </v:shape>
                  <v:shape id="矩形标注 17" o:spid="_x0000_s1074" o:spt="61" type="#_x0000_t61" style="position:absolute;left:16513;top:614;height:3483;width:6598;v-text-anchor:middle;" fillcolor="#FFFF00" filled="t" coordsize="21600,21600" adj="-3576,38981">
                    <v:path/>
                    <v:fill on="t" focussize="0,0"/>
                    <v:stroke weight="2pt" joinstyle="miter"/>
                    <v:imagedata o:title=""/>
                    <o:lock v:ext="edit"/>
                    <v:textbox>
                      <w:txbxContent>
                        <w:p w14:paraId="7612D7F7">
                          <w:pPr>
                            <w:ind w:firstLine="0" w:firstLineChars="0"/>
                            <w:rPr>
                              <w:color w:val="000000"/>
                            </w:rPr>
                          </w:pPr>
                          <w:r>
                            <w:rPr>
                              <w:rFonts w:hint="eastAsia" w:cs="宋体"/>
                              <w:color w:val="000000"/>
                            </w:rPr>
                            <w:t>储罐</w:t>
                          </w:r>
                        </w:p>
                      </w:txbxContent>
                    </v:textbox>
                  </v:shape>
                </v:group>
              </w:pict>
            </w:r>
          </w:p>
        </w:tc>
        <w:tc>
          <w:tcPr>
            <w:tcW w:w="4263" w:type="dxa"/>
            <w:vAlign w:val="center"/>
          </w:tcPr>
          <w:p w14:paraId="6C7793F0">
            <w:pPr>
              <w:ind w:firstLine="0" w:firstLineChars="0"/>
              <w:jc w:val="center"/>
              <w:rPr>
                <w:kern w:val="0"/>
                <w:sz w:val="28"/>
                <w:szCs w:val="28"/>
              </w:rPr>
            </w:pPr>
            <w:r>
              <w:pict>
                <v:group id="组合 45" o:spid="_x0000_s1075" o:spt="203" style="position:absolute;left:0pt;margin-left:4.85pt;margin-top:2.3pt;height:151.5pt;width:189.1pt;z-index:251659264;mso-width-relative:page;mso-height-relative:page;" coordsize="24020,19243">
                  <o:lock v:ext="edit"/>
                  <v:shape id="图片 25" o:spid="_x0000_s1076" o:spt="75" type="#_x0000_t75" style="position:absolute;left:0;top:0;height:19243;width:24020;" filled="f" o:preferrelative="t" stroked="t" coordsize="21600,21600">
                    <v:path/>
                    <v:fill on="f" focussize="0,0"/>
                    <v:stroke joinstyle="miter"/>
                    <v:imagedata r:id="rId35" o:title=""/>
                    <o:lock v:ext="edit" aspectratio="t"/>
                  </v:shape>
                  <v:shape id="矩形标注 18" o:spid="_x0000_s1077" o:spt="61" type="#_x0000_t61" style="position:absolute;left:341;top:545;height:3480;width:6597;v-text-anchor:middle;" fillcolor="#FFFF00" filled="t" coordsize="21600,21600" adj="36854,46003">
                    <v:path/>
                    <v:fill on="t" focussize="0,0"/>
                    <v:stroke weight="2pt" joinstyle="miter"/>
                    <v:imagedata o:title=""/>
                    <o:lock v:ext="edit"/>
                    <v:textbox>
                      <w:txbxContent>
                        <w:p w14:paraId="571A7C3B">
                          <w:pPr>
                            <w:ind w:firstLine="0" w:firstLineChars="0"/>
                            <w:rPr>
                              <w:color w:val="000000"/>
                            </w:rPr>
                          </w:pPr>
                          <w:r>
                            <w:rPr>
                              <w:rFonts w:hint="eastAsia" w:cs="宋体"/>
                              <w:color w:val="000000"/>
                            </w:rPr>
                            <w:t>钢瓶</w:t>
                          </w:r>
                        </w:p>
                      </w:txbxContent>
                    </v:textbox>
                  </v:shape>
                </v:group>
              </w:pict>
            </w:r>
          </w:p>
        </w:tc>
      </w:tr>
      <w:tr w14:paraId="157D4C1F">
        <w:tblPrEx>
          <w:tblCellMar>
            <w:top w:w="0" w:type="dxa"/>
            <w:left w:w="108" w:type="dxa"/>
            <w:bottom w:w="0" w:type="dxa"/>
            <w:right w:w="108" w:type="dxa"/>
          </w:tblCellMar>
        </w:tblPrEx>
        <w:trPr>
          <w:jc w:val="center"/>
        </w:trPr>
        <w:tc>
          <w:tcPr>
            <w:tcW w:w="4008" w:type="dxa"/>
            <w:vAlign w:val="center"/>
          </w:tcPr>
          <w:p w14:paraId="38B2B31E">
            <w:pPr>
              <w:ind w:firstLine="0" w:firstLineChars="0"/>
              <w:jc w:val="center"/>
              <w:rPr>
                <w:kern w:val="0"/>
              </w:rPr>
            </w:pPr>
            <w:r>
              <w:rPr>
                <w:rFonts w:hint="eastAsia" w:cs="宋体"/>
                <w:kern w:val="0"/>
              </w:rPr>
              <w:t>储罐</w:t>
            </w:r>
          </w:p>
        </w:tc>
        <w:tc>
          <w:tcPr>
            <w:tcW w:w="4263" w:type="dxa"/>
            <w:vAlign w:val="center"/>
          </w:tcPr>
          <w:p w14:paraId="5CE96DF9">
            <w:pPr>
              <w:ind w:firstLine="0" w:firstLineChars="0"/>
              <w:jc w:val="center"/>
              <w:rPr>
                <w:kern w:val="0"/>
              </w:rPr>
            </w:pPr>
            <w:r>
              <w:rPr>
                <w:rFonts w:hint="eastAsia" w:cs="宋体"/>
                <w:kern w:val="0"/>
              </w:rPr>
              <w:t>钢瓶</w:t>
            </w:r>
          </w:p>
        </w:tc>
      </w:tr>
      <w:tr w14:paraId="3D5F4788">
        <w:tblPrEx>
          <w:tblCellMar>
            <w:top w:w="0" w:type="dxa"/>
            <w:left w:w="108" w:type="dxa"/>
            <w:bottom w:w="0" w:type="dxa"/>
            <w:right w:w="108" w:type="dxa"/>
          </w:tblCellMar>
        </w:tblPrEx>
        <w:trPr>
          <w:trHeight w:val="3198" w:hRule="atLeast"/>
          <w:jc w:val="center"/>
        </w:trPr>
        <w:tc>
          <w:tcPr>
            <w:tcW w:w="4008" w:type="dxa"/>
            <w:vAlign w:val="center"/>
          </w:tcPr>
          <w:p w14:paraId="64B90C59">
            <w:pPr>
              <w:ind w:firstLine="0" w:firstLineChars="0"/>
              <w:jc w:val="center"/>
              <w:rPr>
                <w:kern w:val="0"/>
                <w:sz w:val="28"/>
                <w:szCs w:val="28"/>
              </w:rPr>
            </w:pPr>
            <w:r>
              <w:pict>
                <v:group id="组合 48" o:spid="_x0000_s1078" o:spt="203" style="position:absolute;left:0pt;margin-left:-1.4pt;margin-top:4.4pt;height:150.4pt;width:191.25pt;z-index:251660288;mso-width-relative:page;mso-height-relative:page;" coordsize="24293,19106">
                  <o:lock v:ext="edit"/>
                  <v:shape id="图片 9" o:spid="_x0000_s1079" o:spt="75" alt="储罐 (1)" type="#_x0000_t75" style="position:absolute;left:0;top:0;height:19106;width:24293;" filled="f" o:preferrelative="t" stroked="t" coordsize="21600,21600">
                    <v:path/>
                    <v:fill on="f" focussize="0,0"/>
                    <v:stroke joinstyle="miter"/>
                    <v:imagedata r:id="rId36" o:title=""/>
                    <o:lock v:ext="edit" aspectratio="t"/>
                  </v:shape>
                  <v:shape id="矩形标注 19" o:spid="_x0000_s1080" o:spt="61" type="#_x0000_t61" style="position:absolute;left:17264;top:682;height:3480;width:6598;v-text-anchor:middle;" fillcolor="#FFFF00" filled="t" coordsize="21600,21600" adj="-16847,52439">
                    <v:path/>
                    <v:fill on="t" focussize="0,0"/>
                    <v:stroke weight="2pt" joinstyle="miter"/>
                    <v:imagedata o:title=""/>
                    <o:lock v:ext="edit"/>
                    <v:textbox>
                      <w:txbxContent>
                        <w:p w14:paraId="6FA916C6">
                          <w:pPr>
                            <w:ind w:firstLine="0" w:firstLineChars="0"/>
                            <w:rPr>
                              <w:color w:val="000000"/>
                            </w:rPr>
                          </w:pPr>
                          <w:r>
                            <w:rPr>
                              <w:rFonts w:hint="eastAsia" w:cs="宋体"/>
                              <w:color w:val="000000"/>
                            </w:rPr>
                            <w:t>压缩机</w:t>
                          </w:r>
                        </w:p>
                      </w:txbxContent>
                    </v:textbox>
                  </v:shape>
                </v:group>
              </w:pict>
            </w:r>
          </w:p>
          <w:p w14:paraId="0C2AC609">
            <w:pPr>
              <w:ind w:firstLine="0" w:firstLineChars="0"/>
              <w:jc w:val="center"/>
              <w:rPr>
                <w:kern w:val="0"/>
                <w:sz w:val="28"/>
                <w:szCs w:val="28"/>
              </w:rPr>
            </w:pPr>
          </w:p>
          <w:p w14:paraId="5E15E582">
            <w:pPr>
              <w:ind w:firstLine="0" w:firstLineChars="0"/>
              <w:jc w:val="center"/>
              <w:rPr>
                <w:kern w:val="0"/>
                <w:sz w:val="28"/>
                <w:szCs w:val="28"/>
              </w:rPr>
            </w:pPr>
          </w:p>
          <w:p w14:paraId="3D667CF0">
            <w:pPr>
              <w:ind w:firstLine="0" w:firstLineChars="0"/>
              <w:jc w:val="center"/>
              <w:rPr>
                <w:kern w:val="0"/>
                <w:sz w:val="28"/>
                <w:szCs w:val="28"/>
              </w:rPr>
            </w:pPr>
          </w:p>
          <w:p w14:paraId="5D51B92C">
            <w:pPr>
              <w:ind w:firstLine="0" w:firstLineChars="0"/>
              <w:jc w:val="center"/>
              <w:rPr>
                <w:kern w:val="0"/>
                <w:sz w:val="28"/>
                <w:szCs w:val="28"/>
              </w:rPr>
            </w:pPr>
          </w:p>
        </w:tc>
        <w:tc>
          <w:tcPr>
            <w:tcW w:w="4263" w:type="dxa"/>
            <w:vAlign w:val="center"/>
          </w:tcPr>
          <w:p w14:paraId="4F59015E">
            <w:pPr>
              <w:ind w:firstLine="0" w:firstLineChars="0"/>
              <w:jc w:val="center"/>
              <w:rPr>
                <w:kern w:val="0"/>
                <w:sz w:val="28"/>
                <w:szCs w:val="28"/>
              </w:rPr>
            </w:pPr>
            <w:r>
              <w:rPr>
                <w:kern w:val="0"/>
                <w:sz w:val="28"/>
                <w:szCs w:val="28"/>
              </w:rPr>
              <w:pict>
                <v:shape id="_x0000_i1032" o:spt="75" type="#_x0000_t75" style="height:149.25pt;width:198pt;" filled="f" o:preferrelative="t" stroked="f" coordsize="21600,21600">
                  <v:path/>
                  <v:fill on="f" focussize="0,0"/>
                  <v:stroke on="f" joinstyle="miter"/>
                  <v:imagedata r:id="rId37" o:title=""/>
                  <o:lock v:ext="edit" aspectratio="t"/>
                  <w10:wrap type="none"/>
                  <w10:anchorlock/>
                </v:shape>
              </w:pict>
            </w:r>
            <w:r>
              <w:pict>
                <v:shape id="矩形标注 26" o:spid="_x0000_s1081" o:spt="61" type="#_x0000_t61" style="position:absolute;left:0pt;margin-left:8.9pt;margin-top:8.35pt;height:27.4pt;width:51.95pt;z-index:251661312;v-text-anchor:middle;mso-width-relative:page;mso-height-relative:page;" fillcolor="#FFFF00" filled="t" coordsize="21600,21600" adj="21731,50099">
                  <v:path/>
                  <v:fill on="t" focussize="0,0"/>
                  <v:stroke weight="2pt" joinstyle="miter"/>
                  <v:imagedata o:title=""/>
                  <o:lock v:ext="edit"/>
                  <v:textbox>
                    <w:txbxContent>
                      <w:p w14:paraId="1F8A3F4F">
                        <w:pPr>
                          <w:ind w:firstLine="0" w:firstLineChars="0"/>
                          <w:rPr>
                            <w:color w:val="000000"/>
                          </w:rPr>
                        </w:pPr>
                        <w:r>
                          <w:rPr>
                            <w:rFonts w:hint="eastAsia" w:cs="宋体"/>
                            <w:color w:val="000000"/>
                          </w:rPr>
                          <w:t>管线</w:t>
                        </w:r>
                      </w:p>
                    </w:txbxContent>
                  </v:textbox>
                </v:shape>
              </w:pict>
            </w:r>
          </w:p>
        </w:tc>
      </w:tr>
      <w:tr w14:paraId="5B7B3AE0">
        <w:tblPrEx>
          <w:tblCellMar>
            <w:top w:w="0" w:type="dxa"/>
            <w:left w:w="108" w:type="dxa"/>
            <w:bottom w:w="0" w:type="dxa"/>
            <w:right w:w="108" w:type="dxa"/>
          </w:tblCellMar>
        </w:tblPrEx>
        <w:trPr>
          <w:jc w:val="center"/>
        </w:trPr>
        <w:tc>
          <w:tcPr>
            <w:tcW w:w="4008" w:type="dxa"/>
            <w:vAlign w:val="center"/>
          </w:tcPr>
          <w:p w14:paraId="29FAF1E0">
            <w:pPr>
              <w:ind w:firstLine="0" w:firstLineChars="0"/>
              <w:jc w:val="center"/>
              <w:rPr>
                <w:kern w:val="0"/>
              </w:rPr>
            </w:pPr>
            <w:r>
              <w:rPr>
                <w:rFonts w:hint="eastAsia" w:cs="宋体"/>
                <w:kern w:val="0"/>
              </w:rPr>
              <w:t>压缩机</w:t>
            </w:r>
          </w:p>
        </w:tc>
        <w:tc>
          <w:tcPr>
            <w:tcW w:w="4263" w:type="dxa"/>
            <w:vAlign w:val="center"/>
          </w:tcPr>
          <w:p w14:paraId="077E1342">
            <w:pPr>
              <w:ind w:firstLine="0" w:firstLineChars="0"/>
              <w:jc w:val="center"/>
              <w:rPr>
                <w:kern w:val="0"/>
              </w:rPr>
            </w:pPr>
            <w:r>
              <w:rPr>
                <w:rFonts w:hint="eastAsia" w:cs="宋体"/>
                <w:kern w:val="0"/>
              </w:rPr>
              <w:t>管道</w:t>
            </w:r>
          </w:p>
        </w:tc>
      </w:tr>
    </w:tbl>
    <w:p w14:paraId="59E79C26">
      <w:pPr>
        <w:ind w:firstLine="0" w:firstLineChars="0"/>
        <w:jc w:val="center"/>
        <w:rPr>
          <w:b/>
          <w:bCs/>
        </w:rPr>
      </w:pPr>
      <w:r>
        <w:rPr>
          <w:rFonts w:hint="eastAsia" w:cs="宋体"/>
          <w:b/>
          <w:bCs/>
        </w:rPr>
        <w:t>图</w:t>
      </w:r>
      <w:r>
        <w:rPr>
          <w:b/>
          <w:bCs/>
        </w:rPr>
        <w:t>5-1</w:t>
      </w:r>
      <w:r>
        <w:rPr>
          <w:rFonts w:hint="eastAsia" w:cs="宋体"/>
          <w:b/>
          <w:bCs/>
        </w:rPr>
        <w:t>主要风险单元示例</w:t>
      </w:r>
    </w:p>
    <w:p w14:paraId="25E4681F">
      <w:pPr>
        <w:pStyle w:val="64"/>
        <w:outlineLvl w:val="1"/>
        <w:rPr>
          <w:rFonts w:hAnsi="Times New Roman"/>
          <w:sz w:val="28"/>
          <w:szCs w:val="28"/>
        </w:rPr>
      </w:pPr>
      <w:bookmarkStart w:id="298" w:name="_Toc26563"/>
      <w:bookmarkStart w:id="299" w:name="_Toc15028"/>
      <w:bookmarkStart w:id="300" w:name="_Toc11094"/>
      <w:bookmarkStart w:id="301" w:name="_Toc27577"/>
      <w:bookmarkStart w:id="302" w:name="_Toc16253"/>
      <w:bookmarkStart w:id="303" w:name="_Toc26388"/>
      <w:bookmarkStart w:id="304" w:name="_Toc5410"/>
      <w:bookmarkStart w:id="305" w:name="_Toc515984562"/>
      <w:bookmarkStart w:id="306" w:name="_Toc28816"/>
      <w:bookmarkStart w:id="307" w:name="_Toc500397195"/>
      <w:bookmarkStart w:id="308" w:name="_Toc23475"/>
      <w:bookmarkStart w:id="309" w:name="_Toc27134"/>
      <w:bookmarkStart w:id="310" w:name="_Toc13753242"/>
      <w:bookmarkStart w:id="311" w:name="_Toc5138"/>
      <w:bookmarkStart w:id="312" w:name="_Toc28892"/>
      <w:bookmarkStart w:id="313" w:name="_Toc9975"/>
      <w:bookmarkStart w:id="314" w:name="_Toc8312"/>
      <w:bookmarkStart w:id="315" w:name="_Toc26794"/>
      <w:bookmarkStart w:id="316" w:name="_Toc28534"/>
      <w:bookmarkStart w:id="317" w:name="_Toc30948"/>
      <w:bookmarkStart w:id="318" w:name="_Toc24761"/>
      <w:bookmarkStart w:id="319" w:name="_Toc20660"/>
      <w:bookmarkStart w:id="320" w:name="_Toc8021"/>
      <w:bookmarkStart w:id="321" w:name="_Toc4197"/>
      <w:bookmarkStart w:id="322" w:name="_Toc5347"/>
      <w:r>
        <w:rPr>
          <w:rFonts w:hAnsi="Times New Roman"/>
          <w:sz w:val="28"/>
          <w:szCs w:val="28"/>
        </w:rPr>
        <w:t>5.2</w:t>
      </w:r>
      <w:r>
        <w:rPr>
          <w:rFonts w:hint="eastAsia" w:hAnsi="Times New Roman" w:cs="黑体"/>
          <w:sz w:val="28"/>
          <w:szCs w:val="28"/>
        </w:rPr>
        <w:t>环境风险评估</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D572A4C">
      <w:pPr>
        <w:pStyle w:val="47"/>
        <w:ind w:left="0" w:leftChars="0"/>
        <w:outlineLvl w:val="2"/>
      </w:pPr>
      <w:bookmarkStart w:id="323" w:name="_Toc6900"/>
      <w:bookmarkStart w:id="324" w:name="_Toc22977"/>
      <w:bookmarkStart w:id="325" w:name="_Toc5769"/>
      <w:bookmarkStart w:id="326" w:name="_Toc13457"/>
      <w:bookmarkStart w:id="327" w:name="_Toc1653"/>
      <w:bookmarkStart w:id="328" w:name="_Toc8083"/>
      <w:bookmarkStart w:id="329" w:name="_Toc17788"/>
      <w:bookmarkStart w:id="330" w:name="_Toc11638"/>
      <w:bookmarkStart w:id="331" w:name="_Toc9363"/>
      <w:bookmarkStart w:id="332" w:name="_Toc32115"/>
      <w:bookmarkStart w:id="333" w:name="_Toc12375"/>
      <w:bookmarkStart w:id="334" w:name="_Toc4611"/>
      <w:bookmarkStart w:id="335" w:name="_Toc21749"/>
      <w:bookmarkStart w:id="336" w:name="_Toc500397196"/>
      <w:bookmarkStart w:id="337" w:name="_Toc19260"/>
      <w:r>
        <w:t>5.2.1</w:t>
      </w:r>
      <w:r>
        <w:rPr>
          <w:rFonts w:hint="eastAsia" w:cs="黑体"/>
        </w:rPr>
        <w:t>评估方法</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1228D62">
      <w:pPr>
        <w:ind w:firstLine="480"/>
      </w:pPr>
      <w:r>
        <w:rPr>
          <w:rFonts w:hint="eastAsia" w:cs="宋体"/>
        </w:rPr>
        <w:t>参考《企业突发环境事件风险评估指南（试行）》，通过定量分析液氨数量与其临界量的比值（</w:t>
      </w:r>
      <w:r>
        <w:t>Q</w:t>
      </w:r>
      <w:r>
        <w:rPr>
          <w:rFonts w:hint="eastAsia" w:cs="宋体"/>
        </w:rPr>
        <w:t>），评估工艺过程与环境风险控制水平（</w:t>
      </w:r>
      <w:r>
        <w:t>M</w:t>
      </w:r>
      <w:r>
        <w:rPr>
          <w:rFonts w:hint="eastAsia" w:cs="宋体"/>
        </w:rPr>
        <w:t>）以及环境风险受体敏感性（</w:t>
      </w:r>
      <w:r>
        <w:t>E</w:t>
      </w:r>
      <w:r>
        <w:rPr>
          <w:rFonts w:hint="eastAsia" w:cs="宋体"/>
        </w:rPr>
        <w:t>），按照矩阵法企业环境风险等级进行划分。</w:t>
      </w:r>
    </w:p>
    <w:p w14:paraId="5AB553CA">
      <w:pPr>
        <w:ind w:firstLine="480"/>
      </w:pPr>
      <w:r>
        <w:rPr>
          <w:rFonts w:hint="eastAsia" w:cs="宋体"/>
        </w:rPr>
        <w:t>由于北京是全国的政治中心、文化中心和国际交流中心。涉氨企业一旦发生氨泄漏，将影响社会稳定，造成不良的政治影响。因此，具有以下两个及以上条件的，风险等级上调一级：</w:t>
      </w:r>
    </w:p>
    <w:p w14:paraId="05C65C60">
      <w:pPr>
        <w:pStyle w:val="82"/>
        <w:numPr>
          <w:ilvl w:val="0"/>
          <w:numId w:val="6"/>
        </w:numPr>
        <w:ind w:left="0" w:firstLine="480"/>
      </w:pPr>
      <w:r>
        <w:rPr>
          <w:rFonts w:hint="eastAsia" w:cs="宋体"/>
        </w:rPr>
        <w:t>将周边</w:t>
      </w:r>
      <w:r>
        <w:t>5</w:t>
      </w:r>
      <w:r>
        <w:rPr>
          <w:rFonts w:hint="eastAsia" w:cs="宋体"/>
        </w:rPr>
        <w:t>公里范围人口密集（超过</w:t>
      </w:r>
      <w:r>
        <w:t>20</w:t>
      </w:r>
      <w:r>
        <w:rPr>
          <w:rFonts w:hint="eastAsia" w:cs="宋体"/>
        </w:rPr>
        <w:t>万人）；</w:t>
      </w:r>
    </w:p>
    <w:p w14:paraId="674C72FF">
      <w:pPr>
        <w:ind w:firstLine="480"/>
      </w:pPr>
      <w:r>
        <w:rPr>
          <w:rFonts w:hint="eastAsia" w:cs="宋体"/>
        </w:rPr>
        <w:t>②周边疏散条件差；</w:t>
      </w:r>
    </w:p>
    <w:p w14:paraId="7E0B93FD">
      <w:pPr>
        <w:ind w:firstLine="480"/>
      </w:pPr>
      <w:r>
        <w:rPr>
          <w:rFonts w:hint="eastAsia" w:cs="宋体"/>
        </w:rPr>
        <w:t>③周边涉及政治敏感区；</w:t>
      </w:r>
    </w:p>
    <w:p w14:paraId="2D654DAE">
      <w:pPr>
        <w:ind w:firstLine="480"/>
      </w:pPr>
      <w:r>
        <w:rPr>
          <w:rFonts w:hint="eastAsia" w:cs="宋体"/>
        </w:rPr>
        <w:t>④氨泄漏可能导致大量人员疏散的企业（</w:t>
      </w:r>
      <w:r>
        <w:t>10</w:t>
      </w:r>
      <w:r>
        <w:rPr>
          <w:rFonts w:hint="eastAsia" w:cs="宋体"/>
        </w:rPr>
        <w:t>万人及以上）。</w:t>
      </w:r>
    </w:p>
    <w:p w14:paraId="7B532B7E">
      <w:pPr>
        <w:ind w:firstLine="480"/>
      </w:pPr>
      <w:r>
        <w:rPr>
          <w:rFonts w:hint="eastAsia" w:cs="宋体"/>
        </w:rPr>
        <w:t>此外，当判定等级低于企业自评等级时，按自评等级。</w:t>
      </w:r>
    </w:p>
    <w:p w14:paraId="56908396">
      <w:pPr>
        <w:ind w:firstLine="480"/>
      </w:pPr>
      <w:r>
        <w:rPr>
          <w:rFonts w:hint="eastAsia" w:cs="宋体"/>
        </w:rPr>
        <w:t>评估程序见下图。</w:t>
      </w:r>
    </w:p>
    <w:p w14:paraId="51111DEF">
      <w:pPr>
        <w:ind w:firstLine="0" w:firstLineChars="0"/>
      </w:pPr>
    </w:p>
    <w:p w14:paraId="15DF519F">
      <w:pPr>
        <w:ind w:firstLine="0" w:firstLineChars="0"/>
        <w:rPr>
          <w:color w:val="000000"/>
        </w:rPr>
      </w:pPr>
      <w:r>
        <w:pict>
          <v:shape id="AutoShape 410" o:spid="_x0000_s1082" o:spt="32" type="#_x0000_t32" style="position:absolute;left:0pt;margin-left:158.25pt;margin-top:346.4pt;height:26.75pt;width:0pt;z-index:251664384;mso-width-relative:page;mso-height-relative:page;" filled="f" coordsize="21600,21600">
            <v:path arrowok="t"/>
            <v:fill on="f" focussize="0,0"/>
            <v:stroke endarrow="block"/>
            <v:imagedata o:title=""/>
            <o:lock v:ext="edit"/>
          </v:shape>
        </w:pict>
      </w:r>
      <w:r>
        <w:pict>
          <v:shape id="Text Box 409" o:spid="_x0000_s1083" o:spt="202" type="#_x0000_t202" style="position:absolute;left:0pt;margin-left:44.65pt;margin-top:294.75pt;height:51.1pt;width:203.45pt;z-index:251663360;v-text-anchor:middle;mso-width-relative:page;mso-height-relative:page;" coordsize="21600,21600">
            <v:path/>
            <v:fill focussize="0,0"/>
            <v:stroke joinstyle="miter"/>
            <v:imagedata o:title=""/>
            <o:lock v:ext="edit"/>
            <v:textbox inset="2.54mm,0mm,2.54mm,0mm">
              <w:txbxContent>
                <w:p w14:paraId="08CB7903">
                  <w:pPr>
                    <w:spacing w:beforeLines="50"/>
                    <w:ind w:firstLine="0" w:firstLineChars="0"/>
                    <w:rPr>
                      <w:sz w:val="22"/>
                      <w:szCs w:val="22"/>
                    </w:rPr>
                  </w:pPr>
                  <w:r>
                    <w:rPr>
                      <w:rFonts w:hint="eastAsia" w:cs="宋体"/>
                    </w:rPr>
                    <w:t>周边人口规模、疏散条件、涉及政治敏感区、影响人口规模、自评等级</w:t>
                  </w:r>
                </w:p>
              </w:txbxContent>
            </v:textbox>
          </v:shape>
        </w:pict>
      </w:r>
      <w:r>
        <w:pict>
          <v:group id="组合 3" o:spid="_x0000_s1084" o:spt="203" style="height:435.65pt;width:376.9pt;" coordorigin="2607,7912" coordsize="6516,4799">
            <o:lock v:ext="edit"/>
            <v:shape id="AutoShape 397" o:spid="_x0000_s1085" o:spt="32" type="#_x0000_t32" style="position:absolute;left:5923;top:8262;height:387;width:0;" filled="f" coordsize="21600,21600">
              <v:path arrowok="t"/>
              <v:fill on="f" focussize="0,0"/>
              <v:stroke endarrow="block"/>
              <v:imagedata o:title=""/>
              <o:lock v:ext="edit"/>
            </v:shape>
            <v:shape id="Text Box 398" o:spid="_x0000_s1086" o:spt="202" type="#_x0000_t202" style="position:absolute;left:5808;top:9402;height:516;width:1440;v-text-anchor:middle;" stroked="t" coordsize="21600,21600">
              <v:path/>
              <v:fill focussize="0,0"/>
              <v:stroke color="#FFFFFF" joinstyle="miter"/>
              <v:imagedata o:title=""/>
              <o:lock v:ext="edit"/>
              <v:textbox>
                <w:txbxContent>
                  <w:p w14:paraId="0292EC2D">
                    <w:pPr>
                      <w:ind w:firstLine="480"/>
                    </w:pPr>
                    <w:r>
                      <w:t>Q</w:t>
                    </w:r>
                    <w:r>
                      <w:rPr>
                        <w:rFonts w:hint="eastAsia" w:ascii="宋体" w:hAnsi="宋体" w:cs="宋体"/>
                      </w:rPr>
                      <w:t>≥</w:t>
                    </w:r>
                    <w:r>
                      <w:t>1</w:t>
                    </w:r>
                  </w:p>
                </w:txbxContent>
              </v:textbox>
            </v:shape>
            <v:shape id="_x0000_s1087" o:spid="_x0000_s1087" o:spt="202" type="#_x0000_t202" style="position:absolute;left:4464;top:7912;height:410;width:3153;v-text-anchor:middle;" coordsize="21600,21600">
              <v:path/>
              <v:fill focussize="0,0"/>
              <v:stroke joinstyle="miter"/>
              <v:imagedata o:title=""/>
              <o:lock v:ext="edit"/>
              <v:textbox inset="2.54mm,0mm,2.54mm,0mm">
                <w:txbxContent>
                  <w:p w14:paraId="34CD079F">
                    <w:pPr>
                      <w:spacing w:beforeLines="50"/>
                      <w:ind w:firstLine="480"/>
                      <w:jc w:val="center"/>
                    </w:pPr>
                    <w:r>
                      <w:rPr>
                        <w:rFonts w:hint="eastAsia" w:cs="宋体"/>
                      </w:rPr>
                      <w:t>企业基本情况调查与分析</w:t>
                    </w:r>
                  </w:p>
                </w:txbxContent>
              </v:textbox>
            </v:shape>
            <v:shape id="AutoShape 400" o:spid="_x0000_s1088" o:spt="110" type="#_x0000_t110" style="position:absolute;left:3015;top:8649;height:858;width:5784;v-text-anchor:middle;" coordsize="21600,21600">
              <v:path/>
              <v:fill focussize="0,0"/>
              <v:stroke joinstyle="miter"/>
              <v:imagedata o:title=""/>
              <o:lock v:ext="edit"/>
              <v:textbox inset="2.54mm,0mm,2.54mm,0mm">
                <w:txbxContent>
                  <w:p w14:paraId="2659A5CE">
                    <w:pPr>
                      <w:ind w:firstLine="480"/>
                      <w:jc w:val="center"/>
                    </w:pPr>
                    <w:r>
                      <w:rPr>
                        <w:rFonts w:hint="eastAsia" w:cs="宋体"/>
                      </w:rPr>
                      <w:t>环境风险物质数量与其临界量比值（</w:t>
                    </w:r>
                    <w:r>
                      <w:t>Q</w:t>
                    </w:r>
                    <w:r>
                      <w:rPr>
                        <w:rFonts w:hint="eastAsia" w:cs="宋体"/>
                      </w:rPr>
                      <w:t>）</w:t>
                    </w:r>
                  </w:p>
                </w:txbxContent>
              </v:textbox>
            </v:shape>
            <v:shape id="AutoShape 401" o:spid="_x0000_s1089" o:spt="32" type="#_x0000_t32" style="position:absolute;left:5895;top:9516;height:387;width:0;" filled="f" coordsize="21600,21600">
              <v:path arrowok="t"/>
              <v:fill on="f" focussize="0,0"/>
              <v:stroke endarrow="block"/>
              <v:imagedata o:title=""/>
              <o:lock v:ext="edit"/>
            </v:shape>
            <v:shape id="AutoShape 402" o:spid="_x0000_s1090" o:spt="32" type="#_x0000_t32" style="position:absolute;left:2621;top:9081;flip:x;height:0;width:408;" filled="f" coordsize="21600,21600">
              <v:path arrowok="t"/>
              <v:fill on="f" focussize="0,0"/>
              <v:stroke/>
              <v:imagedata o:title=""/>
              <o:lock v:ext="edit"/>
            </v:shape>
            <v:shape id="Text Box 403" o:spid="_x0000_s1091" o:spt="202" type="#_x0000_t202" style="position:absolute;left:2853;top:9918;height:426;width:1947;v-text-anchor:middle;" coordsize="21600,21600">
              <v:path/>
              <v:fill focussize="0,0"/>
              <v:stroke joinstyle="miter"/>
              <v:imagedata o:title=""/>
              <o:lock v:ext="edit"/>
              <v:textbox inset="2.54mm,0mm,2.54mm,0mm">
                <w:txbxContent>
                  <w:p w14:paraId="50351AA9">
                    <w:pPr>
                      <w:spacing w:beforeLines="50" w:line="240" w:lineRule="exact"/>
                      <w:ind w:firstLine="480"/>
                      <w:jc w:val="center"/>
                    </w:pPr>
                    <w:r>
                      <w:rPr>
                        <w:rFonts w:hint="eastAsia" w:cs="宋体"/>
                      </w:rPr>
                      <w:t>生产工艺与风险控制水平</w:t>
                    </w:r>
                    <w:r>
                      <w:t>(M)</w:t>
                    </w:r>
                  </w:p>
                </w:txbxContent>
              </v:textbox>
            </v:shape>
            <v:shape id="Text Box 404" o:spid="_x0000_s1092" o:spt="202" type="#_x0000_t202" style="position:absolute;left:4929;top:9918;height:426;width:2127;v-text-anchor:middle;" coordsize="21600,21600">
              <v:path/>
              <v:fill focussize="0,0"/>
              <v:stroke joinstyle="miter"/>
              <v:imagedata o:title=""/>
              <o:lock v:ext="edit"/>
              <v:textbox inset="2.54mm,0mm,2.54mm,0mm">
                <w:txbxContent>
                  <w:p w14:paraId="45FEE9B0">
                    <w:pPr>
                      <w:spacing w:beforeLines="50"/>
                      <w:ind w:firstLine="420" w:firstLineChars="0"/>
                      <w:jc w:val="center"/>
                    </w:pPr>
                    <w:r>
                      <w:rPr>
                        <w:rFonts w:hint="eastAsia" w:cs="宋体"/>
                        <w:sz w:val="21"/>
                        <w:szCs w:val="21"/>
                      </w:rPr>
                      <w:t>环境风险物质数量与临界量比值</w:t>
                    </w:r>
                    <w:r>
                      <w:t>(Q)</w:t>
                    </w:r>
                  </w:p>
                </w:txbxContent>
              </v:textbox>
            </v:shape>
            <v:shape id="Text Box 405" o:spid="_x0000_s1093" o:spt="202" type="#_x0000_t202" style="position:absolute;left:7185;top:9918;height:426;width:1635;v-text-anchor:middle;" coordsize="21600,21600">
              <v:path/>
              <v:fill focussize="0,0"/>
              <v:stroke joinstyle="miter"/>
              <v:imagedata o:title=""/>
              <o:lock v:ext="edit"/>
              <v:textbox inset="2.54mm,0mm,2.54mm,0mm">
                <w:txbxContent>
                  <w:p w14:paraId="7BB44004">
                    <w:pPr>
                      <w:spacing w:beforeLines="50"/>
                      <w:ind w:firstLine="480"/>
                      <w:jc w:val="center"/>
                    </w:pPr>
                    <w:r>
                      <w:rPr>
                        <w:rFonts w:hint="eastAsia" w:cs="宋体"/>
                      </w:rPr>
                      <w:t>环境风险受体敏感性</w:t>
                    </w:r>
                    <w:r>
                      <w:t>(E)</w:t>
                    </w:r>
                  </w:p>
                </w:txbxContent>
              </v:textbox>
            </v:shape>
            <v:shape id="AutoShape 406" o:spid="_x0000_s1094" o:spt="32" type="#_x0000_t32" style="position:absolute;left:5992;top:10344;flip:x;height:414;width:0;" filled="f" coordsize="21600,21600">
              <v:path arrowok="t"/>
              <v:fill on="f" focussize="0,0"/>
              <v:stroke endarrow="block"/>
              <v:imagedata o:title=""/>
              <o:lock v:ext="edit"/>
            </v:shape>
            <v:shape id="AutoShape 407" o:spid="_x0000_s1095" o:spt="32" type="#_x0000_t32" style="position:absolute;left:8002;top:10344;flip:x;height:414;width:0;" filled="f" coordsize="21600,21600">
              <v:path arrowok="t"/>
              <v:fill on="f" focussize="0,0"/>
              <v:stroke endarrow="block"/>
              <v:imagedata o:title=""/>
              <o:lock v:ext="edit"/>
            </v:shape>
            <v:shape id="AutoShape 408" o:spid="_x0000_s1096" o:spt="32" type="#_x0000_t32" style="position:absolute;left:3827;top:10344;height:414;width:0;" filled="f" coordsize="21600,21600">
              <v:path arrowok="t"/>
              <v:fill on="f" focussize="0,0"/>
              <v:stroke endarrow="block"/>
              <v:imagedata o:title=""/>
              <o:lock v:ext="edit"/>
            </v:shape>
            <v:shape id="_x0000_s1097" o:spid="_x0000_s1097" o:spt="202" type="#_x0000_t202" style="position:absolute;left:3473;top:10758;height:327;width:4983;v-text-anchor:middle;" coordsize="21600,21600">
              <v:path/>
              <v:fill focussize="0,0"/>
              <v:stroke joinstyle="miter"/>
              <v:imagedata o:title=""/>
              <o:lock v:ext="edit"/>
              <v:textbox inset="2.54mm,0mm,2.54mm,0mm">
                <w:txbxContent>
                  <w:p w14:paraId="2D00220A">
                    <w:pPr>
                      <w:spacing w:beforeLines="50"/>
                      <w:ind w:firstLine="480"/>
                      <w:jc w:val="center"/>
                    </w:pPr>
                    <w:r>
                      <w:rPr>
                        <w:rFonts w:hint="eastAsia" w:cs="宋体"/>
                      </w:rPr>
                      <w:t>企业突发环境事件风险等级评估矩阵</w:t>
                    </w:r>
                  </w:p>
                </w:txbxContent>
              </v:textbox>
            </v:shape>
            <v:shape id="_x0000_s1098" o:spid="_x0000_s1098" o:spt="32" type="#_x0000_t32" style="position:absolute;left:6885;top:11085;height:846;width:0;" filled="f" coordsize="21600,21600">
              <v:path arrowok="t"/>
              <v:fill on="f" focussize="0,0"/>
              <v:stroke endarrow="block"/>
              <v:imagedata o:title=""/>
              <o:lock v:ext="edit"/>
            </v:shape>
            <v:group id="Group 411" o:spid="_x0000_s1099" o:spt="203" style="position:absolute;left:2871;top:11931;height:780;width:6252;" coordorigin="2856,8964" coordsize="6252,780">
              <o:lock v:ext="edit"/>
              <v:rect id="Rectangle 412" o:spid="_x0000_s1100" o:spt="1" style="position:absolute;left:2856;top:8964;height:780;width:6252;v-text-anchor:middle;" coordsize="21600,21600">
                <v:path/>
                <v:fill focussize="0,0"/>
                <v:stroke weight="0.5pt" dashstyle="longDashDot"/>
                <v:imagedata o:title=""/>
                <o:lock v:ext="edit"/>
              </v:rect>
              <v:shape id="Text Box 413" o:spid="_x0000_s1101" o:spt="202" type="#_x0000_t202" style="position:absolute;left:3021;top:9099;height:489;width:1947;v-text-anchor:middle;" coordsize="21600,21600">
                <v:path/>
                <v:fill focussize="0,0"/>
                <v:stroke joinstyle="miter"/>
                <v:imagedata o:title=""/>
                <o:lock v:ext="edit"/>
                <v:textbox inset="2.54mm,0mm,2.54mm,0mm">
                  <w:txbxContent>
                    <w:p w14:paraId="29FD71BA">
                      <w:pPr>
                        <w:spacing w:beforeLines="50"/>
                        <w:ind w:firstLine="480"/>
                        <w:jc w:val="center"/>
                      </w:pPr>
                      <w:r>
                        <w:rPr>
                          <w:rFonts w:hint="eastAsia" w:cs="宋体"/>
                        </w:rPr>
                        <w:t>一般环境风险</w:t>
                      </w:r>
                    </w:p>
                  </w:txbxContent>
                </v:textbox>
              </v:shape>
              <v:shape id="Text Box 414" o:spid="_x0000_s1102" o:spt="202" type="#_x0000_t202" style="position:absolute;left:5097;top:9099;height:489;width:2127;v-text-anchor:middle;" coordsize="21600,21600">
                <v:path/>
                <v:fill focussize="0,0"/>
                <v:stroke joinstyle="miter"/>
                <v:imagedata o:title=""/>
                <o:lock v:ext="edit"/>
                <v:textbox inset="2.54mm,0mm,2.54mm,0mm">
                  <w:txbxContent>
                    <w:p w14:paraId="4C1F7391">
                      <w:pPr>
                        <w:spacing w:line="480" w:lineRule="exact"/>
                        <w:ind w:firstLine="480"/>
                        <w:jc w:val="center"/>
                      </w:pPr>
                      <w:r>
                        <w:rPr>
                          <w:rFonts w:hint="eastAsia" w:cs="宋体"/>
                        </w:rPr>
                        <w:t>较大环境风险</w:t>
                      </w:r>
                    </w:p>
                  </w:txbxContent>
                </v:textbox>
              </v:shape>
              <v:shape id="Text Box 415" o:spid="_x0000_s1103" o:spt="202" type="#_x0000_t202" style="position:absolute;left:7353;top:9099;height:489;width:1635;v-text-anchor:middle;" coordsize="21600,21600">
                <v:path/>
                <v:fill focussize="0,0"/>
                <v:stroke joinstyle="miter"/>
                <v:imagedata o:title=""/>
                <o:lock v:ext="edit"/>
                <v:textbox inset="2.54mm,0mm,2.54mm,0mm">
                  <w:txbxContent>
                    <w:p w14:paraId="29B31EB6">
                      <w:pPr>
                        <w:spacing w:line="480" w:lineRule="exact"/>
                        <w:ind w:firstLine="480"/>
                        <w:jc w:val="center"/>
                      </w:pPr>
                      <w:r>
                        <w:rPr>
                          <w:rFonts w:hint="eastAsia" w:cs="宋体"/>
                        </w:rPr>
                        <w:t>重大环境风险</w:t>
                      </w:r>
                    </w:p>
                  </w:txbxContent>
                </v:textbox>
              </v:shape>
            </v:group>
            <v:shape id="AutoShape 416" o:spid="_x0000_s1104" o:spt="32" type="#_x0000_t32" style="position:absolute;left:2607;top:9081;height:3222;width:0;" filled="f" coordsize="21600,21600">
              <v:path arrowok="t"/>
              <v:fill on="f" focussize="0,0"/>
              <v:stroke/>
              <v:imagedata o:title=""/>
              <o:lock v:ext="edit"/>
            </v:shape>
            <v:shape id="AutoShape 417" o:spid="_x0000_s1105" o:spt="32" type="#_x0000_t32" style="position:absolute;left:2607;top:12300;height:10;width:429;" filled="f" coordsize="21600,21600">
              <v:path arrowok="t"/>
              <v:fill on="f" focussize="0,0"/>
              <v:stroke endarrow="block"/>
              <v:imagedata o:title=""/>
              <o:lock v:ext="edit"/>
            </v:shape>
            <v:shape id="Text Box 418" o:spid="_x0000_s1106" o:spt="202" type="#_x0000_t202" style="position:absolute;left:3036;top:8183;height:516;width:1276;v-text-anchor:middle;" stroked="t" coordsize="21600,21600">
              <v:path/>
              <v:fill focussize="0,0"/>
              <v:stroke color="#FFFFFF" joinstyle="miter"/>
              <v:imagedata o:title=""/>
              <o:lock v:ext="edit"/>
              <v:textbox inset="2.54mm,0mm,2.54mm,0mm">
                <w:txbxContent>
                  <w:p w14:paraId="400A8A0E">
                    <w:pPr>
                      <w:ind w:firstLine="480"/>
                    </w:pPr>
                    <w:r>
                      <w:t>Q</w:t>
                    </w:r>
                    <w:r>
                      <w:rPr>
                        <w:rFonts w:hint="eastAsia" w:ascii="宋体" w:hAnsi="宋体" w:cs="宋体"/>
                      </w:rPr>
                      <w:t>＜</w:t>
                    </w:r>
                    <w:r>
                      <w:t>1</w:t>
                    </w:r>
                  </w:p>
                </w:txbxContent>
              </v:textbox>
            </v:shape>
            <w10:wrap type="none"/>
            <w10:anchorlock/>
          </v:group>
        </w:pict>
      </w:r>
    </w:p>
    <w:p w14:paraId="13DE16AB">
      <w:pPr>
        <w:ind w:firstLine="0" w:firstLineChars="0"/>
        <w:jc w:val="center"/>
        <w:rPr>
          <w:sz w:val="28"/>
          <w:szCs w:val="28"/>
        </w:rPr>
      </w:pPr>
      <w:r>
        <w:rPr>
          <w:rFonts w:hint="eastAsia" w:cs="宋体"/>
          <w:b/>
          <w:bCs/>
        </w:rPr>
        <w:t>图</w:t>
      </w:r>
      <w:r>
        <w:rPr>
          <w:b/>
          <w:bCs/>
        </w:rPr>
        <w:t xml:space="preserve">5-2 </w:t>
      </w:r>
      <w:r>
        <w:rPr>
          <w:rFonts w:hint="eastAsia" w:cs="宋体"/>
          <w:b/>
          <w:bCs/>
        </w:rPr>
        <w:t>企业突发环境事件风险等级划分流程示意图</w:t>
      </w:r>
    </w:p>
    <w:p w14:paraId="45B3FCDB">
      <w:pPr>
        <w:pStyle w:val="47"/>
        <w:ind w:left="0" w:leftChars="0"/>
        <w:outlineLvl w:val="2"/>
      </w:pPr>
      <w:bookmarkStart w:id="338" w:name="_Toc20238"/>
      <w:bookmarkStart w:id="339" w:name="_Toc17096"/>
      <w:bookmarkStart w:id="340" w:name="_Toc19371"/>
      <w:bookmarkStart w:id="341" w:name="_Toc28378"/>
      <w:bookmarkStart w:id="342" w:name="_Toc14226"/>
      <w:bookmarkStart w:id="343" w:name="_Toc500397197"/>
      <w:bookmarkStart w:id="344" w:name="_Toc25792"/>
      <w:bookmarkStart w:id="345" w:name="_Toc23107"/>
      <w:bookmarkStart w:id="346" w:name="_Toc16494"/>
      <w:bookmarkStart w:id="347" w:name="_Toc4292"/>
      <w:bookmarkStart w:id="348" w:name="_Toc25413"/>
      <w:bookmarkStart w:id="349" w:name="_Toc27131"/>
      <w:bookmarkStart w:id="350" w:name="_Toc12927"/>
      <w:bookmarkStart w:id="351" w:name="_Toc10401"/>
      <w:bookmarkStart w:id="352" w:name="_Toc3618"/>
      <w:r>
        <w:t>5.2.2</w:t>
      </w:r>
      <w:r>
        <w:rPr>
          <w:rFonts w:hint="eastAsia" w:cs="黑体"/>
        </w:rPr>
        <w:t>氨储存量</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7C1E9CD">
      <w:pPr>
        <w:ind w:firstLine="480"/>
      </w:pPr>
      <w:r>
        <w:rPr>
          <w:rFonts w:hint="eastAsia" w:cs="宋体"/>
        </w:rPr>
        <w:t>根据《企业突发环境事件风险评估指南（试行）》附录</w:t>
      </w:r>
      <w:r>
        <w:t>B</w:t>
      </w:r>
      <w:r>
        <w:rPr>
          <w:rFonts w:hint="eastAsia" w:cs="宋体"/>
        </w:rPr>
        <w:t>，氨临界量为</w:t>
      </w:r>
      <w:r>
        <w:t>7.5</w:t>
      </w:r>
      <w:r>
        <w:rPr>
          <w:rFonts w:hint="eastAsia" w:cs="宋体"/>
        </w:rPr>
        <w:t>吨。氨储存量小于</w:t>
      </w:r>
      <w:r>
        <w:t>7.5</w:t>
      </w:r>
      <w:r>
        <w:rPr>
          <w:rFonts w:hint="eastAsia" w:cs="宋体"/>
        </w:rPr>
        <w:t>吨的企业有</w:t>
      </w:r>
      <w:r>
        <w:t>48</w:t>
      </w:r>
      <w:r>
        <w:rPr>
          <w:rFonts w:hint="eastAsia" w:cs="宋体"/>
        </w:rPr>
        <w:t>家，其中制冷企业</w:t>
      </w:r>
      <w:r>
        <w:t>28</w:t>
      </w:r>
      <w:r>
        <w:rPr>
          <w:rFonts w:hint="eastAsia" w:cs="宋体"/>
        </w:rPr>
        <w:t>家；储存量在</w:t>
      </w:r>
      <w:r>
        <w:t>7.5</w:t>
      </w:r>
      <w:r>
        <w:rPr>
          <w:rFonts w:hint="eastAsia" w:cs="宋体"/>
        </w:rPr>
        <w:t>吨及以上的企业有</w:t>
      </w:r>
      <w:r>
        <w:t>34</w:t>
      </w:r>
      <w:r>
        <w:rPr>
          <w:rFonts w:hint="eastAsia" w:cs="宋体"/>
        </w:rPr>
        <w:t>家，其中制冷企业</w:t>
      </w:r>
      <w:r>
        <w:t>30</w:t>
      </w:r>
      <w:r>
        <w:rPr>
          <w:rFonts w:hint="eastAsia" w:cs="宋体"/>
        </w:rPr>
        <w:t>家。</w:t>
      </w:r>
    </w:p>
    <w:p w14:paraId="0D2A92A5">
      <w:pPr>
        <w:pStyle w:val="47"/>
        <w:ind w:left="0" w:leftChars="0"/>
        <w:outlineLvl w:val="2"/>
      </w:pPr>
      <w:bookmarkStart w:id="353" w:name="_Toc3814"/>
      <w:bookmarkStart w:id="354" w:name="_Toc14032"/>
      <w:bookmarkStart w:id="355" w:name="_Toc26229"/>
      <w:bookmarkStart w:id="356" w:name="_Toc18141"/>
      <w:bookmarkStart w:id="357" w:name="_Toc18726"/>
      <w:bookmarkStart w:id="358" w:name="_Toc500397198"/>
      <w:bookmarkStart w:id="359" w:name="_Toc18653"/>
      <w:bookmarkStart w:id="360" w:name="_Toc14022"/>
      <w:bookmarkStart w:id="361" w:name="_Toc16936"/>
      <w:bookmarkStart w:id="362" w:name="_Toc28208"/>
      <w:bookmarkStart w:id="363" w:name="_Toc9738"/>
      <w:bookmarkStart w:id="364" w:name="_Toc685"/>
      <w:bookmarkStart w:id="365" w:name="_Toc24988"/>
      <w:bookmarkStart w:id="366" w:name="_Toc28961"/>
      <w:bookmarkStart w:id="367" w:name="_Toc13420"/>
      <w:r>
        <w:t>5.2.3</w:t>
      </w:r>
      <w:r>
        <w:rPr>
          <w:rFonts w:hint="eastAsia" w:cs="黑体"/>
        </w:rPr>
        <w:t>环境风险受体敏感性</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6E83F2E">
      <w:pPr>
        <w:ind w:firstLine="480"/>
        <w:rPr>
          <w:sz w:val="28"/>
          <w:szCs w:val="28"/>
        </w:rPr>
      </w:pPr>
      <w:r>
        <w:rPr>
          <w:rFonts w:hint="eastAsia" w:cs="宋体"/>
        </w:rPr>
        <w:t>根据《企业突发环境事件风险评估指南（试行）》附录</w:t>
      </w:r>
      <w:r>
        <w:t>B</w:t>
      </w:r>
      <w:r>
        <w:rPr>
          <w:rFonts w:hint="eastAsia" w:cs="宋体"/>
        </w:rPr>
        <w:t>，根据环境风险受体的重要性和敏感程度，将企业环境风险受体敏感性由高到低分为类型</w:t>
      </w:r>
      <w:r>
        <w:t>1</w:t>
      </w:r>
      <w:r>
        <w:rPr>
          <w:rFonts w:hint="eastAsia" w:cs="宋体"/>
        </w:rPr>
        <w:t>、类型</w:t>
      </w:r>
      <w:r>
        <w:t>2</w:t>
      </w:r>
      <w:r>
        <w:rPr>
          <w:rFonts w:hint="eastAsia" w:cs="宋体"/>
        </w:rPr>
        <w:t>和类型</w:t>
      </w:r>
      <w:r>
        <w:t>3</w:t>
      </w:r>
      <w:r>
        <w:rPr>
          <w:rFonts w:hint="eastAsia" w:cs="宋体"/>
        </w:rPr>
        <w:t>，分别以</w:t>
      </w:r>
      <w:r>
        <w:t>E1</w:t>
      </w:r>
      <w:r>
        <w:rPr>
          <w:rFonts w:hint="eastAsia" w:cs="宋体"/>
        </w:rPr>
        <w:t>、</w:t>
      </w:r>
      <w:r>
        <w:t>E2</w:t>
      </w:r>
      <w:r>
        <w:rPr>
          <w:rFonts w:hint="eastAsia" w:cs="宋体"/>
        </w:rPr>
        <w:t>和</w:t>
      </w:r>
      <w:r>
        <w:t>E3</w:t>
      </w:r>
      <w:r>
        <w:rPr>
          <w:rFonts w:hint="eastAsia" w:cs="宋体"/>
        </w:rPr>
        <w:t>表示。在调研的涉氨企业中，环境风险受体敏感程度为</w:t>
      </w:r>
      <w:r>
        <w:t>E1</w:t>
      </w:r>
      <w:r>
        <w:rPr>
          <w:rFonts w:hint="eastAsia" w:cs="宋体"/>
        </w:rPr>
        <w:t>的有</w:t>
      </w:r>
      <w:r>
        <w:t>65</w:t>
      </w:r>
      <w:r>
        <w:rPr>
          <w:rFonts w:hint="eastAsia" w:cs="宋体"/>
        </w:rPr>
        <w:t>家，</w:t>
      </w:r>
      <w:r>
        <w:t>E2</w:t>
      </w:r>
      <w:r>
        <w:rPr>
          <w:rFonts w:hint="eastAsia" w:cs="宋体"/>
        </w:rPr>
        <w:t>的有</w:t>
      </w:r>
      <w:r>
        <w:t>16</w:t>
      </w:r>
      <w:r>
        <w:rPr>
          <w:rFonts w:hint="eastAsia" w:cs="宋体"/>
        </w:rPr>
        <w:t>家，</w:t>
      </w:r>
      <w:r>
        <w:t>E3</w:t>
      </w:r>
      <w:r>
        <w:rPr>
          <w:rFonts w:hint="eastAsia" w:cs="宋体"/>
        </w:rPr>
        <w:t>的有</w:t>
      </w:r>
      <w:r>
        <w:t>1</w:t>
      </w:r>
      <w:r>
        <w:rPr>
          <w:rFonts w:hint="eastAsia" w:cs="宋体"/>
        </w:rPr>
        <w:t>家。</w:t>
      </w:r>
    </w:p>
    <w:p w14:paraId="7550A13D">
      <w:pPr>
        <w:pStyle w:val="47"/>
        <w:ind w:left="0" w:leftChars="0"/>
        <w:outlineLvl w:val="2"/>
      </w:pPr>
      <w:bookmarkStart w:id="368" w:name="_Toc19557"/>
      <w:bookmarkStart w:id="369" w:name="_Toc23964"/>
      <w:bookmarkStart w:id="370" w:name="_Toc1471"/>
      <w:bookmarkStart w:id="371" w:name="_Toc500397199"/>
      <w:bookmarkStart w:id="372" w:name="_Toc8557"/>
      <w:bookmarkStart w:id="373" w:name="_Toc19826"/>
      <w:bookmarkStart w:id="374" w:name="_Toc17670"/>
      <w:bookmarkStart w:id="375" w:name="_Toc5056"/>
      <w:bookmarkStart w:id="376" w:name="_Toc23601"/>
      <w:bookmarkStart w:id="377" w:name="_Toc9030"/>
      <w:bookmarkStart w:id="378" w:name="_Toc16034"/>
      <w:bookmarkStart w:id="379" w:name="_Toc26027"/>
      <w:bookmarkStart w:id="380" w:name="_Toc14261"/>
      <w:bookmarkStart w:id="381" w:name="_Toc27842"/>
      <w:bookmarkStart w:id="382" w:name="_Toc20517"/>
      <w:r>
        <w:t>5.2.4</w:t>
      </w:r>
      <w:r>
        <w:rPr>
          <w:rFonts w:hint="eastAsia" w:cs="黑体"/>
        </w:rPr>
        <w:t>环境风险等级</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D9D09BF">
      <w:pPr>
        <w:ind w:firstLine="480"/>
      </w:pPr>
      <w:r>
        <w:rPr>
          <w:rFonts w:hint="eastAsia" w:cs="宋体"/>
        </w:rPr>
        <w:t>参照《企业突发环境事件风险评估指南（试行）》，结合涉氨企业液氨储存量与临界量比值（</w:t>
      </w:r>
      <w:r>
        <w:t>Q</w:t>
      </w:r>
      <w:r>
        <w:rPr>
          <w:rFonts w:hint="eastAsia" w:cs="宋体"/>
        </w:rPr>
        <w:t>值）、涉及氨的生产工艺与风险防控措施（</w:t>
      </w:r>
      <w:r>
        <w:t>M</w:t>
      </w:r>
      <w:r>
        <w:rPr>
          <w:rFonts w:hint="eastAsia" w:cs="宋体"/>
        </w:rPr>
        <w:t>值）、企业周边环境风险受体情况（</w:t>
      </w:r>
      <w:r>
        <w:t>E</w:t>
      </w:r>
      <w:r>
        <w:rPr>
          <w:rFonts w:hint="eastAsia" w:cs="宋体"/>
        </w:rPr>
        <w:t>值），同时考虑各企业的实际情况，对涉氨企业在储存、使用液氨过程的环境风险等级进行判定，分别确定了</w:t>
      </w:r>
      <w:r>
        <w:t>82</w:t>
      </w:r>
      <w:r>
        <w:rPr>
          <w:rFonts w:hint="eastAsia" w:cs="宋体"/>
        </w:rPr>
        <w:t>家涉氨企业的风险等级。</w:t>
      </w:r>
    </w:p>
    <w:p w14:paraId="5472D6F8">
      <w:pPr>
        <w:pStyle w:val="64"/>
        <w:outlineLvl w:val="1"/>
        <w:rPr>
          <w:rFonts w:hAnsi="Times New Roman"/>
          <w:sz w:val="28"/>
          <w:szCs w:val="28"/>
        </w:rPr>
      </w:pPr>
      <w:bookmarkStart w:id="383" w:name="_Toc28309"/>
      <w:bookmarkStart w:id="384" w:name="_Toc14094"/>
      <w:bookmarkStart w:id="385" w:name="_Toc11082"/>
      <w:bookmarkStart w:id="386" w:name="_Toc20847"/>
      <w:bookmarkStart w:id="387" w:name="_Toc11679"/>
      <w:bookmarkStart w:id="388" w:name="_Toc6653"/>
      <w:bookmarkStart w:id="389" w:name="_Toc515984563"/>
      <w:bookmarkStart w:id="390" w:name="_Toc512"/>
      <w:bookmarkStart w:id="391" w:name="_Toc8102"/>
      <w:bookmarkStart w:id="392" w:name="_Toc13726"/>
      <w:bookmarkStart w:id="393" w:name="_Toc31597"/>
      <w:bookmarkStart w:id="394" w:name="_Toc6856"/>
      <w:bookmarkStart w:id="395" w:name="_Toc6645"/>
      <w:bookmarkStart w:id="396" w:name="_Toc31398"/>
      <w:bookmarkStart w:id="397" w:name="_Toc500397200"/>
      <w:bookmarkStart w:id="398" w:name="_Toc7750"/>
      <w:bookmarkStart w:id="399" w:name="_Toc2614"/>
      <w:bookmarkStart w:id="400" w:name="_Toc29448"/>
      <w:bookmarkStart w:id="401" w:name="_Toc13753243"/>
      <w:bookmarkStart w:id="402" w:name="_Toc13884"/>
      <w:bookmarkStart w:id="403" w:name="_Toc32382"/>
      <w:bookmarkStart w:id="404" w:name="_Toc12848"/>
      <w:bookmarkStart w:id="405" w:name="_Toc24475"/>
      <w:bookmarkStart w:id="406" w:name="_Toc11838"/>
      <w:bookmarkStart w:id="407" w:name="_Toc19190"/>
      <w:r>
        <w:rPr>
          <w:rFonts w:hAnsi="Times New Roman"/>
          <w:sz w:val="28"/>
          <w:szCs w:val="28"/>
        </w:rPr>
        <w:t>5.3</w:t>
      </w:r>
      <w:r>
        <w:rPr>
          <w:rFonts w:hint="eastAsia" w:hAnsi="Times New Roman" w:cs="黑体"/>
          <w:sz w:val="28"/>
          <w:szCs w:val="28"/>
        </w:rPr>
        <w:t>氨泄漏事故风险预测</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27D34B05">
      <w:pPr>
        <w:ind w:firstLine="480"/>
      </w:pPr>
      <w:r>
        <w:rPr>
          <w:rFonts w:hint="eastAsia" w:cs="宋体"/>
        </w:rPr>
        <w:t>使用</w:t>
      </w:r>
      <w:r>
        <w:t>RiskSystem</w:t>
      </w:r>
      <w:r>
        <w:rPr>
          <w:rFonts w:hint="eastAsia" w:cs="宋体"/>
        </w:rPr>
        <w:t>软件对涉氨企业液氨泄漏事故风险预测突发液氨泄漏事件时，半致死浓度范围、短时间容许接触浓度范围及受影响人口数量。</w:t>
      </w:r>
    </w:p>
    <w:p w14:paraId="0A70B2EC">
      <w:pPr>
        <w:pStyle w:val="47"/>
        <w:ind w:left="0" w:leftChars="0"/>
        <w:outlineLvl w:val="2"/>
      </w:pPr>
      <w:bookmarkStart w:id="408" w:name="_Toc1115"/>
      <w:bookmarkStart w:id="409" w:name="_Toc31186"/>
      <w:bookmarkStart w:id="410" w:name="_Toc4312"/>
      <w:bookmarkStart w:id="411" w:name="_Toc21025"/>
      <w:bookmarkStart w:id="412" w:name="_Toc25417"/>
      <w:bookmarkStart w:id="413" w:name="_Toc17380"/>
      <w:bookmarkStart w:id="414" w:name="_Toc11964"/>
      <w:bookmarkStart w:id="415" w:name="_Toc26325"/>
      <w:bookmarkStart w:id="416" w:name="_Toc5530"/>
      <w:bookmarkStart w:id="417" w:name="_Toc15651"/>
      <w:bookmarkStart w:id="418" w:name="_Toc500397201"/>
      <w:bookmarkStart w:id="419" w:name="_Toc1945"/>
      <w:bookmarkStart w:id="420" w:name="_Toc17886"/>
      <w:bookmarkStart w:id="421" w:name="_Toc873"/>
      <w:bookmarkStart w:id="422" w:name="_Toc898"/>
      <w:r>
        <w:t>5.3.1</w:t>
      </w:r>
      <w:r>
        <w:rPr>
          <w:rFonts w:hint="eastAsia" w:cs="黑体"/>
        </w:rPr>
        <w:t>预测模型选择</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D739CF2">
      <w:pPr>
        <w:ind w:firstLine="480"/>
      </w:pPr>
      <w:r>
        <w:rPr>
          <w:rFonts w:hint="eastAsia" w:cs="宋体"/>
        </w:rPr>
        <w:t>采用《建设项目环境风险评价技术导则》（</w:t>
      </w:r>
      <w:r>
        <w:t>HJ/T169-2004)</w:t>
      </w:r>
      <w:r>
        <w:rPr>
          <w:rFonts w:hint="eastAsia" w:cs="宋体"/>
        </w:rPr>
        <w:t>中</w:t>
      </w:r>
      <w:r>
        <w:t>7.1.2</w:t>
      </w:r>
      <w:r>
        <w:rPr>
          <w:rFonts w:hint="eastAsia" w:cs="宋体"/>
        </w:rPr>
        <w:t>多烟团模式，考虑的泄漏事故是假定在不变天的气象条件下进行预测。</w:t>
      </w:r>
    </w:p>
    <w:p w14:paraId="2206FB9C">
      <w:pPr>
        <w:pStyle w:val="47"/>
        <w:ind w:left="0" w:leftChars="0"/>
        <w:outlineLvl w:val="2"/>
      </w:pPr>
      <w:bookmarkStart w:id="423" w:name="_Toc22870"/>
      <w:bookmarkStart w:id="424" w:name="_Toc17310"/>
      <w:bookmarkStart w:id="425" w:name="_Toc18496"/>
      <w:bookmarkStart w:id="426" w:name="_Toc9406"/>
      <w:bookmarkStart w:id="427" w:name="_Toc14534"/>
      <w:bookmarkStart w:id="428" w:name="_Toc14196"/>
      <w:bookmarkStart w:id="429" w:name="_Toc6245"/>
      <w:bookmarkStart w:id="430" w:name="_Toc12655"/>
      <w:bookmarkStart w:id="431" w:name="_Toc2441"/>
      <w:bookmarkStart w:id="432" w:name="_Toc500397202"/>
      <w:bookmarkStart w:id="433" w:name="_Toc25397"/>
      <w:bookmarkStart w:id="434" w:name="_Toc8870"/>
      <w:bookmarkStart w:id="435" w:name="_Toc20620"/>
      <w:bookmarkStart w:id="436" w:name="_Toc25955"/>
      <w:bookmarkStart w:id="437" w:name="_Toc28708"/>
      <w:r>
        <w:t>5.3.2</w:t>
      </w:r>
      <w:r>
        <w:rPr>
          <w:rFonts w:hint="eastAsia" w:cs="黑体"/>
        </w:rPr>
        <w:t>主要应用模块及参数选取</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B7133A1">
      <w:pPr>
        <w:ind w:firstLine="480"/>
      </w:pPr>
      <w:r>
        <w:rPr>
          <w:rFonts w:hint="eastAsia" w:cs="宋体"/>
        </w:rPr>
        <w:t>在预测过程中主要包括</w:t>
      </w:r>
      <w:r>
        <w:t>“</w:t>
      </w:r>
      <w:r>
        <w:rPr>
          <w:rFonts w:hint="eastAsia" w:cs="宋体"/>
        </w:rPr>
        <w:t>气体泄漏量计算</w:t>
      </w:r>
      <w:r>
        <w:t>”</w:t>
      </w:r>
      <w:r>
        <w:rPr>
          <w:rFonts w:hint="eastAsia" w:cs="宋体"/>
        </w:rPr>
        <w:t>和</w:t>
      </w:r>
      <w:r>
        <w:t>“</w:t>
      </w:r>
      <w:r>
        <w:rPr>
          <w:rFonts w:hint="eastAsia" w:cs="宋体"/>
        </w:rPr>
        <w:t>有毒有害气体在大气中的扩散模型</w:t>
      </w:r>
      <w:r>
        <w:t>”</w:t>
      </w:r>
      <w:r>
        <w:rPr>
          <w:rFonts w:hint="eastAsia" w:cs="宋体"/>
        </w:rPr>
        <w:t>两部分。</w:t>
      </w:r>
    </w:p>
    <w:p w14:paraId="2BE0BBC3">
      <w:pPr>
        <w:ind w:firstLine="480"/>
      </w:pPr>
      <w:r>
        <w:t>1</w:t>
      </w:r>
      <w:r>
        <w:rPr>
          <w:rFonts w:hint="eastAsia" w:cs="宋体"/>
        </w:rPr>
        <w:t>、气体泄漏量计算</w:t>
      </w:r>
    </w:p>
    <w:p w14:paraId="0903306B">
      <w:pPr>
        <w:ind w:firstLine="480"/>
      </w:pPr>
      <w:r>
        <w:rPr>
          <w:rFonts w:hint="eastAsia" w:cs="宋体"/>
        </w:rPr>
        <w:t>气体泄漏量计算默认物质为液氨，计算需要的主要参数如下：</w:t>
      </w:r>
    </w:p>
    <w:p w14:paraId="7ADD98E6">
      <w:pPr>
        <w:ind w:firstLine="0" w:firstLineChars="0"/>
        <w:jc w:val="center"/>
        <w:rPr>
          <w:b/>
          <w:bCs/>
        </w:rPr>
      </w:pPr>
      <w:r>
        <w:rPr>
          <w:rFonts w:hint="eastAsia" w:cs="宋体"/>
          <w:b/>
          <w:bCs/>
        </w:rPr>
        <w:t>表</w:t>
      </w:r>
      <w:r>
        <w:rPr>
          <w:b/>
          <w:bCs/>
        </w:rPr>
        <w:t>5-2</w:t>
      </w:r>
      <w:r>
        <w:rPr>
          <w:rFonts w:hint="eastAsia" w:cs="宋体"/>
          <w:b/>
          <w:bCs/>
        </w:rPr>
        <w:t>气体泄漏量计算参数</w:t>
      </w:r>
    </w:p>
    <w:tbl>
      <w:tblPr>
        <w:tblStyle w:val="21"/>
        <w:tblW w:w="84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8"/>
        <w:gridCol w:w="1190"/>
        <w:gridCol w:w="1032"/>
        <w:gridCol w:w="767"/>
        <w:gridCol w:w="1065"/>
        <w:gridCol w:w="1406"/>
        <w:gridCol w:w="1387"/>
        <w:gridCol w:w="994"/>
      </w:tblGrid>
      <w:tr w14:paraId="3C9FF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08" w:type="dxa"/>
            <w:tcBorders>
              <w:top w:val="single" w:color="auto" w:sz="12" w:space="0"/>
            </w:tcBorders>
            <w:vAlign w:val="center"/>
          </w:tcPr>
          <w:p w14:paraId="17747464">
            <w:pPr>
              <w:ind w:firstLine="0" w:firstLineChars="0"/>
              <w:jc w:val="center"/>
              <w:rPr>
                <w:b/>
                <w:bCs/>
                <w:kern w:val="0"/>
              </w:rPr>
            </w:pPr>
            <w:r>
              <w:rPr>
                <w:rFonts w:hint="eastAsia" w:cs="宋体"/>
                <w:b/>
                <w:bCs/>
                <w:kern w:val="0"/>
              </w:rPr>
              <w:t>物质</w:t>
            </w:r>
          </w:p>
        </w:tc>
        <w:tc>
          <w:tcPr>
            <w:tcW w:w="1190" w:type="dxa"/>
            <w:tcBorders>
              <w:top w:val="single" w:color="auto" w:sz="12" w:space="0"/>
            </w:tcBorders>
            <w:vAlign w:val="center"/>
          </w:tcPr>
          <w:p w14:paraId="29A48501">
            <w:pPr>
              <w:ind w:firstLine="0" w:firstLineChars="0"/>
              <w:jc w:val="center"/>
              <w:rPr>
                <w:b/>
                <w:bCs/>
                <w:kern w:val="0"/>
              </w:rPr>
            </w:pPr>
            <w:r>
              <w:rPr>
                <w:rFonts w:hint="eastAsia" w:cs="宋体"/>
                <w:b/>
                <w:bCs/>
                <w:kern w:val="0"/>
              </w:rPr>
              <w:t>容器压力（</w:t>
            </w:r>
            <w:r>
              <w:rPr>
                <w:b/>
                <w:bCs/>
                <w:kern w:val="0"/>
              </w:rPr>
              <w:t>Pa</w:t>
            </w:r>
            <w:r>
              <w:rPr>
                <w:rFonts w:hint="eastAsia" w:cs="宋体"/>
                <w:b/>
                <w:bCs/>
                <w:kern w:val="0"/>
              </w:rPr>
              <w:t>）</w:t>
            </w:r>
          </w:p>
        </w:tc>
        <w:tc>
          <w:tcPr>
            <w:tcW w:w="1032" w:type="dxa"/>
            <w:tcBorders>
              <w:top w:val="single" w:color="auto" w:sz="12" w:space="0"/>
            </w:tcBorders>
            <w:vAlign w:val="center"/>
          </w:tcPr>
          <w:p w14:paraId="76081E22">
            <w:pPr>
              <w:ind w:firstLine="0" w:firstLineChars="0"/>
              <w:jc w:val="center"/>
              <w:rPr>
                <w:b/>
                <w:bCs/>
                <w:kern w:val="0"/>
              </w:rPr>
            </w:pPr>
            <w:r>
              <w:rPr>
                <w:rFonts w:hint="eastAsia" w:cs="宋体"/>
                <w:b/>
                <w:bCs/>
                <w:kern w:val="0"/>
              </w:rPr>
              <w:t>环境压力（</w:t>
            </w:r>
            <w:r>
              <w:rPr>
                <w:b/>
                <w:bCs/>
                <w:kern w:val="0"/>
              </w:rPr>
              <w:t>Pa</w:t>
            </w:r>
            <w:r>
              <w:rPr>
                <w:rFonts w:hint="eastAsia" w:cs="宋体"/>
                <w:b/>
                <w:bCs/>
                <w:kern w:val="0"/>
              </w:rPr>
              <w:t>）</w:t>
            </w:r>
          </w:p>
        </w:tc>
        <w:tc>
          <w:tcPr>
            <w:tcW w:w="767" w:type="dxa"/>
            <w:tcBorders>
              <w:top w:val="single" w:color="auto" w:sz="12" w:space="0"/>
            </w:tcBorders>
            <w:vAlign w:val="center"/>
          </w:tcPr>
          <w:p w14:paraId="4572B73C">
            <w:pPr>
              <w:ind w:firstLine="0" w:firstLineChars="0"/>
              <w:jc w:val="center"/>
              <w:rPr>
                <w:b/>
                <w:bCs/>
                <w:kern w:val="0"/>
              </w:rPr>
            </w:pPr>
            <w:r>
              <w:rPr>
                <w:rFonts w:hint="eastAsia" w:cs="宋体"/>
                <w:b/>
                <w:bCs/>
                <w:kern w:val="0"/>
              </w:rPr>
              <w:t>裂口形状</w:t>
            </w:r>
          </w:p>
        </w:tc>
        <w:tc>
          <w:tcPr>
            <w:tcW w:w="1065" w:type="dxa"/>
            <w:tcBorders>
              <w:top w:val="single" w:color="auto" w:sz="12" w:space="0"/>
            </w:tcBorders>
            <w:vAlign w:val="center"/>
          </w:tcPr>
          <w:p w14:paraId="55381846">
            <w:pPr>
              <w:ind w:firstLine="0" w:firstLineChars="0"/>
              <w:jc w:val="center"/>
              <w:rPr>
                <w:b/>
                <w:bCs/>
                <w:kern w:val="0"/>
              </w:rPr>
            </w:pPr>
            <w:r>
              <w:rPr>
                <w:rFonts w:hint="eastAsia" w:cs="宋体"/>
                <w:b/>
                <w:bCs/>
                <w:kern w:val="0"/>
              </w:rPr>
              <w:t>裂口面积（</w:t>
            </w:r>
            <w:r>
              <w:rPr>
                <w:b/>
                <w:bCs/>
                <w:kern w:val="0"/>
              </w:rPr>
              <w:t>m</w:t>
            </w:r>
            <w:r>
              <w:rPr>
                <w:b/>
                <w:bCs/>
                <w:kern w:val="0"/>
                <w:vertAlign w:val="superscript"/>
              </w:rPr>
              <w:t>2</w:t>
            </w:r>
            <w:r>
              <w:rPr>
                <w:rFonts w:hint="eastAsia" w:cs="宋体"/>
                <w:b/>
                <w:bCs/>
                <w:kern w:val="0"/>
              </w:rPr>
              <w:t>）</w:t>
            </w:r>
          </w:p>
        </w:tc>
        <w:tc>
          <w:tcPr>
            <w:tcW w:w="1406" w:type="dxa"/>
            <w:tcBorders>
              <w:top w:val="single" w:color="auto" w:sz="12" w:space="0"/>
            </w:tcBorders>
            <w:vAlign w:val="center"/>
          </w:tcPr>
          <w:p w14:paraId="00688141">
            <w:pPr>
              <w:ind w:firstLine="0" w:firstLineChars="0"/>
              <w:jc w:val="center"/>
              <w:rPr>
                <w:b/>
                <w:bCs/>
                <w:kern w:val="0"/>
              </w:rPr>
            </w:pPr>
            <w:r>
              <w:rPr>
                <w:rFonts w:hint="eastAsia" w:cs="宋体"/>
                <w:b/>
                <w:bCs/>
                <w:kern w:val="0"/>
              </w:rPr>
              <w:t>分子量（</w:t>
            </w:r>
            <w:r>
              <w:rPr>
                <w:b/>
                <w:bCs/>
                <w:kern w:val="0"/>
              </w:rPr>
              <w:t>kg/mol</w:t>
            </w:r>
            <w:r>
              <w:rPr>
                <w:rFonts w:hint="eastAsia" w:cs="宋体"/>
                <w:b/>
                <w:bCs/>
                <w:kern w:val="0"/>
              </w:rPr>
              <w:t>）</w:t>
            </w:r>
          </w:p>
        </w:tc>
        <w:tc>
          <w:tcPr>
            <w:tcW w:w="1387" w:type="dxa"/>
            <w:tcBorders>
              <w:top w:val="single" w:color="auto" w:sz="12" w:space="0"/>
            </w:tcBorders>
            <w:vAlign w:val="center"/>
          </w:tcPr>
          <w:p w14:paraId="04573671">
            <w:pPr>
              <w:ind w:firstLine="0" w:firstLineChars="0"/>
              <w:jc w:val="center"/>
              <w:rPr>
                <w:b/>
                <w:bCs/>
                <w:kern w:val="0"/>
              </w:rPr>
            </w:pPr>
            <w:r>
              <w:rPr>
                <w:rFonts w:hint="eastAsia" w:cs="宋体"/>
                <w:b/>
                <w:bCs/>
                <w:kern w:val="0"/>
              </w:rPr>
              <w:t>气体的温度</w:t>
            </w:r>
            <w:r>
              <w:rPr>
                <w:b/>
                <w:bCs/>
                <w:kern w:val="0"/>
              </w:rPr>
              <w:t>TG</w:t>
            </w:r>
            <w:r>
              <w:rPr>
                <w:rFonts w:hint="eastAsia" w:cs="宋体"/>
                <w:b/>
                <w:bCs/>
                <w:kern w:val="0"/>
              </w:rPr>
              <w:t>（</w:t>
            </w:r>
            <w:r>
              <w:rPr>
                <w:rFonts w:hint="eastAsia" w:ascii="宋体" w:hAnsi="宋体" w:cs="宋体"/>
                <w:b/>
                <w:bCs/>
                <w:kern w:val="0"/>
              </w:rPr>
              <w:t>℃</w:t>
            </w:r>
            <w:r>
              <w:rPr>
                <w:rFonts w:hint="eastAsia" w:cs="宋体"/>
                <w:b/>
                <w:bCs/>
                <w:kern w:val="0"/>
              </w:rPr>
              <w:t>）</w:t>
            </w:r>
          </w:p>
        </w:tc>
        <w:tc>
          <w:tcPr>
            <w:tcW w:w="994" w:type="dxa"/>
            <w:tcBorders>
              <w:top w:val="single" w:color="auto" w:sz="12" w:space="0"/>
            </w:tcBorders>
            <w:vAlign w:val="center"/>
          </w:tcPr>
          <w:p w14:paraId="1D3120EE">
            <w:pPr>
              <w:ind w:firstLine="0" w:firstLineChars="0"/>
              <w:jc w:val="center"/>
              <w:rPr>
                <w:b/>
                <w:bCs/>
                <w:kern w:val="0"/>
              </w:rPr>
            </w:pPr>
            <w:r>
              <w:rPr>
                <w:rFonts w:hint="eastAsia" w:cs="宋体"/>
                <w:b/>
                <w:bCs/>
                <w:kern w:val="0"/>
              </w:rPr>
              <w:t>气体绝热指数</w:t>
            </w:r>
          </w:p>
        </w:tc>
      </w:tr>
      <w:tr w14:paraId="14CC3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08" w:type="dxa"/>
            <w:tcBorders>
              <w:bottom w:val="single" w:color="auto" w:sz="12" w:space="0"/>
            </w:tcBorders>
            <w:vAlign w:val="center"/>
          </w:tcPr>
          <w:p w14:paraId="737BC4C8">
            <w:pPr>
              <w:ind w:firstLine="0" w:firstLineChars="0"/>
              <w:jc w:val="center"/>
              <w:rPr>
                <w:kern w:val="0"/>
              </w:rPr>
            </w:pPr>
            <w:r>
              <w:rPr>
                <w:rFonts w:hint="eastAsia" w:cs="宋体"/>
                <w:kern w:val="0"/>
              </w:rPr>
              <w:t>液氨</w:t>
            </w:r>
          </w:p>
        </w:tc>
        <w:tc>
          <w:tcPr>
            <w:tcW w:w="1190" w:type="dxa"/>
            <w:tcBorders>
              <w:bottom w:val="single" w:color="auto" w:sz="12" w:space="0"/>
            </w:tcBorders>
            <w:vAlign w:val="center"/>
          </w:tcPr>
          <w:p w14:paraId="6EE36EEF">
            <w:pPr>
              <w:ind w:firstLine="0" w:firstLineChars="0"/>
              <w:jc w:val="center"/>
              <w:rPr>
                <w:kern w:val="0"/>
              </w:rPr>
            </w:pPr>
            <w:r>
              <w:rPr>
                <w:kern w:val="0"/>
              </w:rPr>
              <w:t>—</w:t>
            </w:r>
          </w:p>
        </w:tc>
        <w:tc>
          <w:tcPr>
            <w:tcW w:w="1032" w:type="dxa"/>
            <w:tcBorders>
              <w:bottom w:val="single" w:color="auto" w:sz="12" w:space="0"/>
            </w:tcBorders>
            <w:vAlign w:val="center"/>
          </w:tcPr>
          <w:p w14:paraId="34BA18AE">
            <w:pPr>
              <w:ind w:firstLine="0" w:firstLineChars="0"/>
              <w:jc w:val="center"/>
              <w:rPr>
                <w:kern w:val="0"/>
              </w:rPr>
            </w:pPr>
            <w:r>
              <w:rPr>
                <w:kern w:val="0"/>
              </w:rPr>
              <w:t>101325</w:t>
            </w:r>
          </w:p>
        </w:tc>
        <w:tc>
          <w:tcPr>
            <w:tcW w:w="767" w:type="dxa"/>
            <w:tcBorders>
              <w:bottom w:val="single" w:color="auto" w:sz="12" w:space="0"/>
            </w:tcBorders>
            <w:vAlign w:val="center"/>
          </w:tcPr>
          <w:p w14:paraId="3D036C8C">
            <w:pPr>
              <w:ind w:firstLine="0" w:firstLineChars="0"/>
              <w:jc w:val="center"/>
              <w:rPr>
                <w:kern w:val="0"/>
              </w:rPr>
            </w:pPr>
            <w:r>
              <w:rPr>
                <w:rFonts w:hint="eastAsia" w:cs="宋体"/>
                <w:kern w:val="0"/>
              </w:rPr>
              <w:t>圆形</w:t>
            </w:r>
          </w:p>
        </w:tc>
        <w:tc>
          <w:tcPr>
            <w:tcW w:w="1065" w:type="dxa"/>
            <w:tcBorders>
              <w:bottom w:val="single" w:color="auto" w:sz="12" w:space="0"/>
            </w:tcBorders>
            <w:vAlign w:val="center"/>
          </w:tcPr>
          <w:p w14:paraId="5A6C7A51">
            <w:pPr>
              <w:ind w:firstLine="0" w:firstLineChars="0"/>
              <w:jc w:val="center"/>
              <w:rPr>
                <w:kern w:val="0"/>
              </w:rPr>
            </w:pPr>
            <w:r>
              <w:rPr>
                <w:kern w:val="0"/>
              </w:rPr>
              <w:t>—</w:t>
            </w:r>
          </w:p>
        </w:tc>
        <w:tc>
          <w:tcPr>
            <w:tcW w:w="1406" w:type="dxa"/>
            <w:tcBorders>
              <w:bottom w:val="single" w:color="auto" w:sz="12" w:space="0"/>
            </w:tcBorders>
            <w:vAlign w:val="center"/>
          </w:tcPr>
          <w:p w14:paraId="34B6B165">
            <w:pPr>
              <w:ind w:firstLine="0" w:firstLineChars="0"/>
              <w:jc w:val="center"/>
              <w:rPr>
                <w:kern w:val="0"/>
              </w:rPr>
            </w:pPr>
            <w:r>
              <w:rPr>
                <w:kern w:val="0"/>
              </w:rPr>
              <w:t>0.017</w:t>
            </w:r>
          </w:p>
        </w:tc>
        <w:tc>
          <w:tcPr>
            <w:tcW w:w="1387" w:type="dxa"/>
            <w:tcBorders>
              <w:bottom w:val="single" w:color="auto" w:sz="12" w:space="0"/>
            </w:tcBorders>
            <w:vAlign w:val="center"/>
          </w:tcPr>
          <w:p w14:paraId="0D7272CF">
            <w:pPr>
              <w:ind w:firstLine="0" w:firstLineChars="0"/>
              <w:jc w:val="center"/>
              <w:rPr>
                <w:kern w:val="0"/>
              </w:rPr>
            </w:pPr>
            <w:r>
              <w:rPr>
                <w:kern w:val="0"/>
              </w:rPr>
              <w:t>30</w:t>
            </w:r>
          </w:p>
        </w:tc>
        <w:tc>
          <w:tcPr>
            <w:tcW w:w="994" w:type="dxa"/>
            <w:tcBorders>
              <w:bottom w:val="single" w:color="auto" w:sz="12" w:space="0"/>
            </w:tcBorders>
            <w:vAlign w:val="center"/>
          </w:tcPr>
          <w:p w14:paraId="3D25C01A">
            <w:pPr>
              <w:ind w:firstLine="0" w:firstLineChars="0"/>
              <w:jc w:val="center"/>
              <w:rPr>
                <w:kern w:val="0"/>
              </w:rPr>
            </w:pPr>
            <w:r>
              <w:rPr>
                <w:kern w:val="0"/>
              </w:rPr>
              <w:t>1.310</w:t>
            </w:r>
          </w:p>
        </w:tc>
      </w:tr>
    </w:tbl>
    <w:p w14:paraId="79DCBD84">
      <w:pPr>
        <w:ind w:firstLine="0" w:firstLineChars="0"/>
      </w:pPr>
      <w:r>
        <w:rPr>
          <w:rFonts w:hint="eastAsia" w:cs="宋体"/>
        </w:rPr>
        <w:t>注：</w:t>
      </w:r>
      <w:r>
        <w:t>“—”</w:t>
      </w:r>
      <w:r>
        <w:rPr>
          <w:rFonts w:hint="eastAsia" w:cs="宋体"/>
        </w:rPr>
        <w:t>需要根据实际情况填写。</w:t>
      </w:r>
    </w:p>
    <w:p w14:paraId="3800B6F0">
      <w:pPr>
        <w:ind w:firstLine="480"/>
      </w:pPr>
      <w:r>
        <w:t>2</w:t>
      </w:r>
      <w:r>
        <w:rPr>
          <w:rFonts w:hint="eastAsia" w:cs="宋体"/>
        </w:rPr>
        <w:t>、有毒有害气体在大气中的扩散模型</w:t>
      </w:r>
    </w:p>
    <w:p w14:paraId="14CA05EE">
      <w:pPr>
        <w:ind w:firstLine="480"/>
      </w:pPr>
      <w:r>
        <w:rPr>
          <w:rFonts w:hint="eastAsia" w:cs="宋体"/>
        </w:rPr>
        <w:t>该软件</w:t>
      </w:r>
      <w:r>
        <w:t>“</w:t>
      </w:r>
      <w:r>
        <w:rPr>
          <w:rFonts w:hint="eastAsia" w:cs="宋体"/>
        </w:rPr>
        <w:t>有毒有害气体在大气中的扩散模型</w:t>
      </w:r>
      <w:r>
        <w:t>”</w:t>
      </w:r>
      <w:r>
        <w:rPr>
          <w:rFonts w:hint="eastAsia" w:cs="宋体"/>
        </w:rPr>
        <w:t>部分的主要参数如下：</w:t>
      </w:r>
    </w:p>
    <w:p w14:paraId="062D751E">
      <w:pPr>
        <w:ind w:firstLine="0" w:firstLineChars="0"/>
        <w:jc w:val="center"/>
        <w:rPr>
          <w:b/>
          <w:bCs/>
        </w:rPr>
      </w:pPr>
      <w:r>
        <w:rPr>
          <w:rFonts w:hint="eastAsia" w:cs="宋体"/>
          <w:b/>
          <w:bCs/>
        </w:rPr>
        <w:t>表</w:t>
      </w:r>
      <w:r>
        <w:rPr>
          <w:b/>
          <w:bCs/>
        </w:rPr>
        <w:t>5-3</w:t>
      </w:r>
      <w:r>
        <w:rPr>
          <w:rFonts w:hint="eastAsia" w:cs="宋体"/>
          <w:b/>
          <w:bCs/>
        </w:rPr>
        <w:t>模型预测主要参数</w:t>
      </w:r>
    </w:p>
    <w:tbl>
      <w:tblPr>
        <w:tblStyle w:val="2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14:paraId="2D606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tcBorders>
              <w:top w:val="single" w:color="auto" w:sz="12" w:space="0"/>
            </w:tcBorders>
            <w:vAlign w:val="center"/>
          </w:tcPr>
          <w:p w14:paraId="37D72C3C">
            <w:pPr>
              <w:ind w:firstLine="0" w:firstLineChars="0"/>
              <w:jc w:val="center"/>
              <w:rPr>
                <w:b/>
                <w:bCs/>
                <w:kern w:val="0"/>
              </w:rPr>
            </w:pPr>
            <w:r>
              <w:rPr>
                <w:rFonts w:hint="eastAsia" w:cs="宋体"/>
                <w:b/>
                <w:bCs/>
                <w:kern w:val="0"/>
              </w:rPr>
              <w:t>参数</w:t>
            </w:r>
          </w:p>
        </w:tc>
        <w:tc>
          <w:tcPr>
            <w:tcW w:w="4261" w:type="dxa"/>
            <w:tcBorders>
              <w:top w:val="single" w:color="auto" w:sz="12" w:space="0"/>
            </w:tcBorders>
            <w:vAlign w:val="center"/>
          </w:tcPr>
          <w:p w14:paraId="46E787C7">
            <w:pPr>
              <w:ind w:firstLine="0" w:firstLineChars="0"/>
              <w:jc w:val="center"/>
              <w:rPr>
                <w:b/>
                <w:bCs/>
                <w:kern w:val="0"/>
              </w:rPr>
            </w:pPr>
            <w:r>
              <w:rPr>
                <w:rFonts w:hint="eastAsia" w:cs="宋体"/>
                <w:b/>
                <w:bCs/>
                <w:kern w:val="0"/>
              </w:rPr>
              <w:t>数值</w:t>
            </w:r>
          </w:p>
        </w:tc>
      </w:tr>
      <w:tr w14:paraId="6964F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397751B9">
            <w:pPr>
              <w:ind w:firstLine="0" w:firstLineChars="0"/>
              <w:jc w:val="center"/>
              <w:rPr>
                <w:kern w:val="0"/>
              </w:rPr>
            </w:pPr>
            <w:r>
              <w:rPr>
                <w:rFonts w:hint="eastAsia" w:cs="宋体"/>
                <w:kern w:val="0"/>
              </w:rPr>
              <w:t>物质</w:t>
            </w:r>
          </w:p>
        </w:tc>
        <w:tc>
          <w:tcPr>
            <w:tcW w:w="4261" w:type="dxa"/>
            <w:vAlign w:val="center"/>
          </w:tcPr>
          <w:p w14:paraId="1C7B3789">
            <w:pPr>
              <w:ind w:firstLine="0" w:firstLineChars="0"/>
              <w:jc w:val="center"/>
              <w:rPr>
                <w:kern w:val="0"/>
              </w:rPr>
            </w:pPr>
            <w:r>
              <w:rPr>
                <w:rFonts w:hint="eastAsia" w:cs="宋体"/>
                <w:kern w:val="0"/>
              </w:rPr>
              <w:t>液氨</w:t>
            </w:r>
          </w:p>
        </w:tc>
      </w:tr>
      <w:tr w14:paraId="43CC7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786B84E3">
            <w:pPr>
              <w:ind w:firstLine="0" w:firstLineChars="0"/>
              <w:jc w:val="center"/>
              <w:rPr>
                <w:kern w:val="0"/>
              </w:rPr>
            </w:pPr>
            <w:r>
              <w:rPr>
                <w:rFonts w:hint="eastAsia" w:cs="宋体"/>
                <w:kern w:val="0"/>
              </w:rPr>
              <w:t>排放速率（</w:t>
            </w:r>
            <w:r>
              <w:rPr>
                <w:kern w:val="0"/>
              </w:rPr>
              <w:t>kg/s</w:t>
            </w:r>
            <w:r>
              <w:rPr>
                <w:rFonts w:hint="eastAsia" w:cs="宋体"/>
                <w:kern w:val="0"/>
              </w:rPr>
              <w:t>）</w:t>
            </w:r>
          </w:p>
        </w:tc>
        <w:tc>
          <w:tcPr>
            <w:tcW w:w="4261" w:type="dxa"/>
            <w:vAlign w:val="center"/>
          </w:tcPr>
          <w:p w14:paraId="3B70DA4D">
            <w:pPr>
              <w:ind w:firstLine="0" w:firstLineChars="0"/>
              <w:jc w:val="center"/>
              <w:rPr>
                <w:kern w:val="0"/>
              </w:rPr>
            </w:pPr>
            <w:r>
              <w:rPr>
                <w:kern w:val="0"/>
              </w:rPr>
              <w:t>—</w:t>
            </w:r>
          </w:p>
        </w:tc>
      </w:tr>
      <w:tr w14:paraId="3B9FE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175AAB62">
            <w:pPr>
              <w:ind w:firstLine="0" w:firstLineChars="0"/>
              <w:jc w:val="center"/>
              <w:rPr>
                <w:kern w:val="0"/>
              </w:rPr>
            </w:pPr>
            <w:r>
              <w:rPr>
                <w:rFonts w:hint="eastAsia" w:cs="宋体"/>
                <w:kern w:val="0"/>
              </w:rPr>
              <w:t>废气温度（</w:t>
            </w:r>
            <w:r>
              <w:rPr>
                <w:rFonts w:hint="eastAsia" w:ascii="宋体" w:hAnsi="宋体" w:cs="宋体"/>
                <w:kern w:val="0"/>
              </w:rPr>
              <w:t>℃</w:t>
            </w:r>
            <w:r>
              <w:rPr>
                <w:rFonts w:hint="eastAsia" w:cs="宋体"/>
                <w:kern w:val="0"/>
              </w:rPr>
              <w:t>）</w:t>
            </w:r>
          </w:p>
        </w:tc>
        <w:tc>
          <w:tcPr>
            <w:tcW w:w="4261" w:type="dxa"/>
            <w:vAlign w:val="center"/>
          </w:tcPr>
          <w:p w14:paraId="17E59278">
            <w:pPr>
              <w:ind w:firstLine="0" w:firstLineChars="0"/>
              <w:jc w:val="center"/>
              <w:rPr>
                <w:kern w:val="0"/>
              </w:rPr>
            </w:pPr>
            <w:r>
              <w:rPr>
                <w:kern w:val="0"/>
              </w:rPr>
              <w:t>25</w:t>
            </w:r>
          </w:p>
        </w:tc>
      </w:tr>
      <w:tr w14:paraId="6F3A5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284EAB31">
            <w:pPr>
              <w:ind w:firstLine="0" w:firstLineChars="0"/>
              <w:jc w:val="center"/>
              <w:rPr>
                <w:kern w:val="0"/>
              </w:rPr>
            </w:pPr>
            <w:r>
              <w:rPr>
                <w:rFonts w:hint="eastAsia" w:cs="宋体"/>
                <w:kern w:val="0"/>
              </w:rPr>
              <w:t>泄漏高度（</w:t>
            </w:r>
            <w:r>
              <w:rPr>
                <w:kern w:val="0"/>
              </w:rPr>
              <w:t>m</w:t>
            </w:r>
            <w:r>
              <w:rPr>
                <w:rFonts w:hint="eastAsia" w:cs="宋体"/>
                <w:kern w:val="0"/>
              </w:rPr>
              <w:t>）</w:t>
            </w:r>
          </w:p>
        </w:tc>
        <w:tc>
          <w:tcPr>
            <w:tcW w:w="4261" w:type="dxa"/>
            <w:vAlign w:val="center"/>
          </w:tcPr>
          <w:p w14:paraId="67FADB17">
            <w:pPr>
              <w:ind w:firstLine="0" w:firstLineChars="0"/>
              <w:jc w:val="center"/>
              <w:rPr>
                <w:kern w:val="0"/>
              </w:rPr>
            </w:pPr>
            <w:r>
              <w:rPr>
                <w:kern w:val="0"/>
              </w:rPr>
              <w:t>—</w:t>
            </w:r>
          </w:p>
        </w:tc>
      </w:tr>
      <w:tr w14:paraId="06945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38E56721">
            <w:pPr>
              <w:ind w:firstLine="0" w:firstLineChars="0"/>
              <w:jc w:val="center"/>
              <w:rPr>
                <w:kern w:val="0"/>
              </w:rPr>
            </w:pPr>
            <w:r>
              <w:rPr>
                <w:rFonts w:hint="eastAsia" w:cs="宋体"/>
                <w:kern w:val="0"/>
              </w:rPr>
              <w:t>地面特征</w:t>
            </w:r>
          </w:p>
        </w:tc>
        <w:tc>
          <w:tcPr>
            <w:tcW w:w="4261" w:type="dxa"/>
            <w:vAlign w:val="center"/>
          </w:tcPr>
          <w:p w14:paraId="267F798A">
            <w:pPr>
              <w:ind w:firstLine="0" w:firstLineChars="0"/>
              <w:jc w:val="center"/>
              <w:rPr>
                <w:kern w:val="0"/>
              </w:rPr>
            </w:pPr>
            <w:r>
              <w:rPr>
                <w:rFonts w:hint="eastAsia" w:cs="宋体"/>
                <w:kern w:val="0"/>
              </w:rPr>
              <w:t>平原地区</w:t>
            </w:r>
            <w:r>
              <w:rPr>
                <w:kern w:val="0"/>
              </w:rPr>
              <w:t>/</w:t>
            </w:r>
            <w:r>
              <w:rPr>
                <w:rFonts w:hint="eastAsia" w:cs="宋体"/>
                <w:kern w:val="0"/>
              </w:rPr>
              <w:t>农村地区</w:t>
            </w:r>
            <w:r>
              <w:rPr>
                <w:kern w:val="0"/>
              </w:rPr>
              <w:t>/</w:t>
            </w:r>
            <w:r>
              <w:rPr>
                <w:rFonts w:hint="eastAsia" w:cs="宋体"/>
                <w:kern w:val="0"/>
              </w:rPr>
              <w:t>工业区</w:t>
            </w:r>
            <w:r>
              <w:rPr>
                <w:kern w:val="0"/>
              </w:rPr>
              <w:t>/</w:t>
            </w:r>
            <w:r>
              <w:rPr>
                <w:rFonts w:hint="eastAsia" w:cs="宋体"/>
                <w:kern w:val="0"/>
              </w:rPr>
              <w:t>城区</w:t>
            </w:r>
          </w:p>
        </w:tc>
      </w:tr>
      <w:tr w14:paraId="0C4F4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1D0AF59F">
            <w:pPr>
              <w:ind w:firstLine="0" w:firstLineChars="0"/>
              <w:jc w:val="center"/>
              <w:rPr>
                <w:kern w:val="0"/>
              </w:rPr>
            </w:pPr>
            <w:r>
              <w:rPr>
                <w:rFonts w:hint="eastAsia" w:cs="宋体"/>
                <w:kern w:val="0"/>
              </w:rPr>
              <w:t>大气稳定度</w:t>
            </w:r>
          </w:p>
        </w:tc>
        <w:tc>
          <w:tcPr>
            <w:tcW w:w="4261" w:type="dxa"/>
            <w:vAlign w:val="center"/>
          </w:tcPr>
          <w:p w14:paraId="56ABFEE7">
            <w:pPr>
              <w:ind w:firstLine="0" w:firstLineChars="0"/>
              <w:jc w:val="center"/>
              <w:rPr>
                <w:kern w:val="0"/>
              </w:rPr>
            </w:pPr>
            <w:r>
              <w:rPr>
                <w:kern w:val="0"/>
              </w:rPr>
              <w:t>D</w:t>
            </w:r>
          </w:p>
        </w:tc>
      </w:tr>
      <w:tr w14:paraId="24F46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4172C7EA">
            <w:pPr>
              <w:ind w:firstLine="0" w:firstLineChars="0"/>
              <w:jc w:val="center"/>
              <w:rPr>
                <w:kern w:val="0"/>
              </w:rPr>
            </w:pPr>
            <w:r>
              <w:rPr>
                <w:rFonts w:hint="eastAsia" w:cs="宋体"/>
                <w:kern w:val="0"/>
              </w:rPr>
              <w:t>风速（</w:t>
            </w:r>
            <w:r>
              <w:rPr>
                <w:kern w:val="0"/>
              </w:rPr>
              <w:t>m/s</w:t>
            </w:r>
            <w:r>
              <w:rPr>
                <w:rFonts w:hint="eastAsia" w:cs="宋体"/>
                <w:kern w:val="0"/>
              </w:rPr>
              <w:t>）</w:t>
            </w:r>
          </w:p>
        </w:tc>
        <w:tc>
          <w:tcPr>
            <w:tcW w:w="4261" w:type="dxa"/>
            <w:vAlign w:val="center"/>
          </w:tcPr>
          <w:p w14:paraId="5D951455">
            <w:pPr>
              <w:ind w:firstLine="0" w:firstLineChars="0"/>
              <w:jc w:val="center"/>
              <w:rPr>
                <w:kern w:val="0"/>
              </w:rPr>
            </w:pPr>
            <w:r>
              <w:rPr>
                <w:kern w:val="0"/>
              </w:rPr>
              <w:t>—</w:t>
            </w:r>
          </w:p>
        </w:tc>
      </w:tr>
      <w:tr w14:paraId="71CC2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5B146956">
            <w:pPr>
              <w:ind w:firstLine="0" w:firstLineChars="0"/>
              <w:jc w:val="center"/>
              <w:rPr>
                <w:kern w:val="0"/>
              </w:rPr>
            </w:pPr>
            <w:r>
              <w:rPr>
                <w:rFonts w:hint="eastAsia" w:cs="宋体"/>
                <w:kern w:val="0"/>
              </w:rPr>
              <w:t>半致死浓度（</w:t>
            </w:r>
            <w:r>
              <w:rPr>
                <w:kern w:val="0"/>
              </w:rPr>
              <w:t>mg/m</w:t>
            </w:r>
            <w:r>
              <w:rPr>
                <w:kern w:val="0"/>
                <w:vertAlign w:val="superscript"/>
              </w:rPr>
              <w:t>3</w:t>
            </w:r>
            <w:r>
              <w:rPr>
                <w:rFonts w:hint="eastAsia" w:cs="宋体"/>
                <w:kern w:val="0"/>
              </w:rPr>
              <w:t>）</w:t>
            </w:r>
          </w:p>
        </w:tc>
        <w:tc>
          <w:tcPr>
            <w:tcW w:w="4261" w:type="dxa"/>
            <w:vAlign w:val="center"/>
          </w:tcPr>
          <w:p w14:paraId="3326C8BC">
            <w:pPr>
              <w:ind w:firstLine="0" w:firstLineChars="0"/>
              <w:jc w:val="center"/>
              <w:rPr>
                <w:kern w:val="0"/>
              </w:rPr>
            </w:pPr>
            <w:r>
              <w:rPr>
                <w:kern w:val="0"/>
              </w:rPr>
              <w:t>1390</w:t>
            </w:r>
          </w:p>
        </w:tc>
      </w:tr>
      <w:tr w14:paraId="0C47C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tcBorders>
              <w:bottom w:val="single" w:color="auto" w:sz="12" w:space="0"/>
            </w:tcBorders>
            <w:vAlign w:val="center"/>
          </w:tcPr>
          <w:p w14:paraId="4D7C19EC">
            <w:pPr>
              <w:ind w:firstLine="0" w:firstLineChars="0"/>
              <w:jc w:val="center"/>
              <w:rPr>
                <w:kern w:val="0"/>
              </w:rPr>
            </w:pPr>
            <w:r>
              <w:rPr>
                <w:rFonts w:hint="eastAsia" w:cs="宋体"/>
                <w:kern w:val="0"/>
              </w:rPr>
              <w:t>短时间接触容许浓度（</w:t>
            </w:r>
            <w:r>
              <w:rPr>
                <w:kern w:val="0"/>
              </w:rPr>
              <w:t>mg/m</w:t>
            </w:r>
            <w:r>
              <w:rPr>
                <w:kern w:val="0"/>
                <w:vertAlign w:val="superscript"/>
              </w:rPr>
              <w:t>3</w:t>
            </w:r>
            <w:r>
              <w:rPr>
                <w:rFonts w:hint="eastAsia" w:cs="宋体"/>
                <w:kern w:val="0"/>
              </w:rPr>
              <w:t>）</w:t>
            </w:r>
          </w:p>
        </w:tc>
        <w:tc>
          <w:tcPr>
            <w:tcW w:w="4261" w:type="dxa"/>
            <w:tcBorders>
              <w:bottom w:val="single" w:color="auto" w:sz="12" w:space="0"/>
            </w:tcBorders>
            <w:vAlign w:val="center"/>
          </w:tcPr>
          <w:p w14:paraId="10348964">
            <w:pPr>
              <w:ind w:firstLine="0" w:firstLineChars="0"/>
              <w:jc w:val="center"/>
              <w:rPr>
                <w:kern w:val="0"/>
              </w:rPr>
            </w:pPr>
            <w:r>
              <w:rPr>
                <w:kern w:val="0"/>
              </w:rPr>
              <w:t>30</w:t>
            </w:r>
          </w:p>
        </w:tc>
      </w:tr>
    </w:tbl>
    <w:p w14:paraId="690AABD8">
      <w:pPr>
        <w:ind w:firstLine="0" w:firstLineChars="0"/>
      </w:pPr>
      <w:r>
        <w:rPr>
          <w:rFonts w:hint="eastAsia" w:cs="宋体"/>
        </w:rPr>
        <w:t>注：</w:t>
      </w:r>
      <w:r>
        <w:t>“—”</w:t>
      </w:r>
      <w:r>
        <w:rPr>
          <w:rFonts w:hint="eastAsia" w:cs="宋体"/>
        </w:rPr>
        <w:t>需要根据实际情况填写；</w:t>
      </w:r>
      <w:r>
        <w:t>“</w:t>
      </w:r>
      <w:r>
        <w:rPr>
          <w:rFonts w:hint="eastAsia" w:cs="宋体"/>
        </w:rPr>
        <w:t>地面特征</w:t>
      </w:r>
      <w:r>
        <w:t>”</w:t>
      </w:r>
      <w:r>
        <w:rPr>
          <w:rFonts w:hint="eastAsia" w:cs="宋体"/>
        </w:rPr>
        <w:t>根据企业所处位置选取</w:t>
      </w:r>
      <w:r>
        <w:t>“</w:t>
      </w:r>
      <w:r>
        <w:rPr>
          <w:rFonts w:hint="eastAsia" w:cs="宋体"/>
        </w:rPr>
        <w:t>平原地区</w:t>
      </w:r>
      <w:r>
        <w:t>/</w:t>
      </w:r>
      <w:r>
        <w:rPr>
          <w:rFonts w:hint="eastAsia" w:cs="宋体"/>
        </w:rPr>
        <w:t>农村地区</w:t>
      </w:r>
      <w:r>
        <w:t>/</w:t>
      </w:r>
      <w:r>
        <w:rPr>
          <w:rFonts w:hint="eastAsia" w:cs="宋体"/>
        </w:rPr>
        <w:t>工业区</w:t>
      </w:r>
      <w:r>
        <w:t>/</w:t>
      </w:r>
      <w:r>
        <w:rPr>
          <w:rFonts w:hint="eastAsia" w:cs="宋体"/>
        </w:rPr>
        <w:t>城区</w:t>
      </w:r>
      <w:r>
        <w:t>”</w:t>
      </w:r>
      <w:r>
        <w:rPr>
          <w:rFonts w:hint="eastAsia" w:cs="宋体"/>
        </w:rPr>
        <w:t>；大气稳定度选</w:t>
      </w:r>
      <w:r>
        <w:t>D</w:t>
      </w:r>
      <w:r>
        <w:rPr>
          <w:rFonts w:hint="eastAsia" w:cs="宋体"/>
        </w:rPr>
        <w:t>。</w:t>
      </w:r>
    </w:p>
    <w:p w14:paraId="18B4589A">
      <w:pPr>
        <w:ind w:firstLine="480" w:firstLineChars="0"/>
      </w:pPr>
      <w:r>
        <w:rPr>
          <w:rFonts w:hint="eastAsia" w:cs="宋体"/>
        </w:rPr>
        <w:t>通过参照《企业突发环境事件风险评估指南（试行）》，对涉氨企业在储存、使用液氨过程的环境风险等级进行判定，确定了</w:t>
      </w:r>
      <w:r>
        <w:t>82</w:t>
      </w:r>
      <w:r>
        <w:rPr>
          <w:rFonts w:hint="eastAsia" w:cs="宋体"/>
        </w:rPr>
        <w:t>家涉氨企业的风险等级。</w:t>
      </w:r>
    </w:p>
    <w:p w14:paraId="693888CC">
      <w:pPr>
        <w:pStyle w:val="60"/>
        <w:spacing w:before="312" w:after="312"/>
        <w:rPr>
          <w:rFonts w:ascii="Times New Roman" w:hAnsi="Times New Roman" w:cs="Times New Roman"/>
        </w:rPr>
      </w:pPr>
      <w:bookmarkStart w:id="438" w:name="_Toc500397203"/>
      <w:bookmarkStart w:id="439" w:name="_Toc515984564"/>
      <w:bookmarkStart w:id="440" w:name="_Toc28442"/>
      <w:bookmarkStart w:id="441" w:name="_Toc31044"/>
      <w:bookmarkStart w:id="442" w:name="_Toc6917"/>
      <w:bookmarkStart w:id="443" w:name="_Toc14074"/>
      <w:bookmarkStart w:id="444" w:name="_Toc25079"/>
      <w:bookmarkStart w:id="445" w:name="_Toc24273"/>
      <w:bookmarkStart w:id="446" w:name="_Toc8924"/>
      <w:bookmarkStart w:id="447" w:name="_Toc11053"/>
      <w:bookmarkStart w:id="448" w:name="_Toc2308"/>
      <w:bookmarkStart w:id="449" w:name="_Toc27011"/>
      <w:bookmarkStart w:id="450" w:name="_Toc22728"/>
      <w:bookmarkStart w:id="451" w:name="_Toc31986"/>
      <w:bookmarkStart w:id="452" w:name="_Toc4310"/>
      <w:bookmarkStart w:id="453" w:name="_Toc13753244"/>
      <w:bookmarkStart w:id="454" w:name="_Toc17924"/>
      <w:bookmarkStart w:id="455" w:name="_Toc28394"/>
      <w:bookmarkStart w:id="456" w:name="_Toc14331"/>
      <w:bookmarkStart w:id="457" w:name="_Toc15326"/>
      <w:bookmarkStart w:id="458" w:name="_Toc19172"/>
      <w:bookmarkStart w:id="459" w:name="_Toc23785"/>
      <w:bookmarkStart w:id="460" w:name="_Toc3999"/>
      <w:bookmarkStart w:id="461" w:name="_Toc14866"/>
      <w:bookmarkStart w:id="462" w:name="_Toc24908"/>
      <w:r>
        <w:rPr>
          <w:rFonts w:hint="eastAsia" w:ascii="Times New Roman" w:hAnsi="Times New Roman" w:cs="黑体"/>
        </w:rPr>
        <w:t>六、存在问题与对策</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49F9CD5F">
      <w:pPr>
        <w:pStyle w:val="64"/>
        <w:outlineLvl w:val="1"/>
        <w:rPr>
          <w:rFonts w:hAnsi="Times New Roman"/>
        </w:rPr>
      </w:pPr>
      <w:bookmarkStart w:id="463" w:name="_Toc14068"/>
      <w:bookmarkStart w:id="464" w:name="_Toc4911"/>
      <w:bookmarkStart w:id="465" w:name="_Toc11662"/>
      <w:bookmarkStart w:id="466" w:name="_Toc12097"/>
      <w:bookmarkStart w:id="467" w:name="_Toc18009"/>
      <w:bookmarkStart w:id="468" w:name="_Toc14687"/>
      <w:bookmarkStart w:id="469" w:name="_Toc1509"/>
      <w:bookmarkStart w:id="470" w:name="_Toc23739"/>
      <w:bookmarkStart w:id="471" w:name="_Toc637"/>
      <w:bookmarkStart w:id="472" w:name="_Toc24502"/>
      <w:bookmarkStart w:id="473" w:name="_Toc23822"/>
      <w:bookmarkStart w:id="474" w:name="_Toc13753245"/>
      <w:bookmarkStart w:id="475" w:name="_Toc29238"/>
      <w:bookmarkStart w:id="476" w:name="_Toc5895"/>
      <w:bookmarkStart w:id="477" w:name="_Toc11977"/>
      <w:bookmarkStart w:id="478" w:name="_Toc7000"/>
      <w:bookmarkStart w:id="479" w:name="_Toc9901"/>
      <w:bookmarkStart w:id="480" w:name="_Toc7426"/>
      <w:bookmarkStart w:id="481" w:name="_Toc12167"/>
      <w:bookmarkStart w:id="482" w:name="_Toc8190"/>
      <w:bookmarkStart w:id="483" w:name="_Toc515984565"/>
      <w:bookmarkStart w:id="484" w:name="_Toc10160"/>
      <w:bookmarkStart w:id="485" w:name="_Toc7813"/>
      <w:bookmarkStart w:id="486" w:name="_Toc500397204"/>
      <w:bookmarkStart w:id="487" w:name="_Toc2388"/>
      <w:r>
        <w:rPr>
          <w:rFonts w:hAnsi="Times New Roman"/>
        </w:rPr>
        <w:t>6.1</w:t>
      </w:r>
      <w:r>
        <w:rPr>
          <w:rFonts w:hint="eastAsia" w:hAnsi="Times New Roman" w:cs="黑体"/>
        </w:rPr>
        <w:t>存在问题</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42509CC">
      <w:pPr>
        <w:ind w:firstLine="480"/>
      </w:pPr>
      <w:r>
        <w:rPr>
          <w:rFonts w:hint="eastAsia" w:cs="宋体"/>
        </w:rPr>
        <w:t>从调研结果来看，涉氨企业在环境风险防控方面主要存在以下问题：</w:t>
      </w:r>
    </w:p>
    <w:p w14:paraId="50C7C01F">
      <w:pPr>
        <w:pStyle w:val="47"/>
        <w:ind w:left="0" w:leftChars="0"/>
        <w:outlineLvl w:val="2"/>
      </w:pPr>
      <w:bookmarkStart w:id="488" w:name="_Toc23288"/>
      <w:bookmarkStart w:id="489" w:name="_Toc28033"/>
      <w:bookmarkStart w:id="490" w:name="_Toc31392"/>
      <w:bookmarkStart w:id="491" w:name="_Toc500397205"/>
      <w:bookmarkStart w:id="492" w:name="_Toc22654"/>
      <w:bookmarkStart w:id="493" w:name="_Toc4205"/>
      <w:bookmarkStart w:id="494" w:name="_Toc23639"/>
      <w:bookmarkStart w:id="495" w:name="_Toc4275"/>
      <w:bookmarkStart w:id="496" w:name="_Toc15803"/>
      <w:bookmarkStart w:id="497" w:name="_Toc27032"/>
      <w:bookmarkStart w:id="498" w:name="_Toc3470"/>
      <w:bookmarkStart w:id="499" w:name="_Toc8587"/>
      <w:bookmarkStart w:id="500" w:name="_Toc12818"/>
      <w:bookmarkStart w:id="501" w:name="_Toc13117"/>
      <w:bookmarkStart w:id="502" w:name="_Toc13318"/>
      <w:r>
        <w:t>6.1.1</w:t>
      </w:r>
      <w:r>
        <w:rPr>
          <w:rFonts w:hint="eastAsia" w:cs="黑体"/>
        </w:rPr>
        <w:t>应急管理方面</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16EE7F61">
      <w:pPr>
        <w:pStyle w:val="50"/>
        <w:outlineLvl w:val="3"/>
      </w:pPr>
      <w:r>
        <w:t>6.1.1.1</w:t>
      </w:r>
      <w:r>
        <w:rPr>
          <w:rFonts w:hint="eastAsia" w:cs="黑体"/>
        </w:rPr>
        <w:t>应急预案编制不规范</w:t>
      </w:r>
    </w:p>
    <w:p w14:paraId="566724DC">
      <w:pPr>
        <w:ind w:firstLine="480"/>
      </w:pPr>
      <w:r>
        <w:rPr>
          <w:rFonts w:hint="eastAsia" w:cs="宋体"/>
        </w:rPr>
        <w:t>企业突发环境事件应急预案内容不规范，在安全生产预案基础上修改，环境保护方面的内容不完善，缺乏突发环境事件现场处置的具体措施。如北京篮丰五色土农副产品批发市场中心突发环境事件应急预案直接套用安全生产预案。</w:t>
      </w:r>
    </w:p>
    <w:p w14:paraId="3070B327">
      <w:pPr>
        <w:ind w:firstLine="480"/>
      </w:pPr>
      <w:r>
        <w:rPr>
          <w:rFonts w:hint="eastAsia" w:cs="宋体"/>
        </w:rPr>
        <w:t>企业自评的环境风险等级判定存在误差，如某公司自评环境风险等级为一般，经现场调研，根据调研结果重新评估等级为较大。</w:t>
      </w:r>
    </w:p>
    <w:p w14:paraId="252F7D57">
      <w:pPr>
        <w:pStyle w:val="50"/>
        <w:outlineLvl w:val="3"/>
      </w:pPr>
      <w:r>
        <w:t>6.1.1.2</w:t>
      </w:r>
      <w:r>
        <w:rPr>
          <w:rFonts w:hint="eastAsia" w:cs="黑体"/>
        </w:rPr>
        <w:t>缺乏专项应急演练</w:t>
      </w:r>
    </w:p>
    <w:p w14:paraId="38E069A8">
      <w:pPr>
        <w:ind w:firstLine="480"/>
      </w:pPr>
      <w:r>
        <w:rPr>
          <w:rFonts w:hint="eastAsia" w:cs="宋体"/>
        </w:rPr>
        <w:t>调研中发现，某些食品冷冻企业环境风险等级较高，但没有应急演练记录。已开展演练的企业，应急演练基本上仅限于本厂范围的综合性演练，没有针对突发环境事件的专项应急演练，演练过程没有联系厂外风险受体，一旦发生氨泄漏突发环境事件，不能与外界有效沟通，不利于应急救援和厂外应急疏散工作的开展。</w:t>
      </w:r>
    </w:p>
    <w:p w14:paraId="46DD6602">
      <w:pPr>
        <w:pStyle w:val="50"/>
        <w:outlineLvl w:val="3"/>
      </w:pPr>
      <w:r>
        <w:t>6.1.1.3</w:t>
      </w:r>
      <w:r>
        <w:rPr>
          <w:rFonts w:hint="eastAsia" w:cs="黑体"/>
        </w:rPr>
        <w:t>应急培训情况较差</w:t>
      </w:r>
    </w:p>
    <w:p w14:paraId="7DC00F6E">
      <w:pPr>
        <w:ind w:firstLine="480"/>
      </w:pPr>
      <w:r>
        <w:rPr>
          <w:rFonts w:hint="eastAsia" w:cs="宋体"/>
        </w:rPr>
        <w:t>企业开展环境风险应急培训的情况普遍较差，除参加主管部门组织的专业知识培训以外，企业内部普遍缺乏突发环境事件应急处置和环境风险防控的专题培训和日常教育，没有建立企业的环境风险培训制度和制定培训计划。</w:t>
      </w:r>
    </w:p>
    <w:p w14:paraId="1A57AA4B">
      <w:pPr>
        <w:pStyle w:val="47"/>
        <w:ind w:left="0" w:leftChars="0"/>
        <w:outlineLvl w:val="2"/>
      </w:pPr>
      <w:bookmarkStart w:id="503" w:name="_Toc500397206"/>
      <w:bookmarkStart w:id="504" w:name="_Toc3059"/>
      <w:bookmarkStart w:id="505" w:name="_Toc29967"/>
      <w:bookmarkStart w:id="506" w:name="_Toc20938"/>
      <w:bookmarkStart w:id="507" w:name="_Toc21441"/>
      <w:bookmarkStart w:id="508" w:name="_Toc263"/>
      <w:bookmarkStart w:id="509" w:name="_Toc30"/>
      <w:bookmarkStart w:id="510" w:name="_Toc16142"/>
      <w:bookmarkStart w:id="511" w:name="_Toc8117"/>
      <w:bookmarkStart w:id="512" w:name="_Toc8843"/>
      <w:bookmarkStart w:id="513" w:name="_Toc23859"/>
      <w:bookmarkStart w:id="514" w:name="_Toc12686"/>
      <w:bookmarkStart w:id="515" w:name="_Toc31971"/>
      <w:bookmarkStart w:id="516" w:name="_Toc14035"/>
      <w:bookmarkStart w:id="517" w:name="_Toc27283"/>
      <w:r>
        <w:t>6.1.2</w:t>
      </w:r>
      <w:r>
        <w:rPr>
          <w:rFonts w:hint="eastAsia" w:cs="黑体"/>
        </w:rPr>
        <w:t>风险防控措施方面</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26459CC5">
      <w:pPr>
        <w:ind w:firstLine="480"/>
      </w:pPr>
      <w:r>
        <w:rPr>
          <w:rFonts w:hint="eastAsia" w:cs="宋体"/>
        </w:rPr>
        <w:t>（</w:t>
      </w:r>
      <w:r>
        <w:t>1</w:t>
      </w:r>
      <w:r>
        <w:rPr>
          <w:rFonts w:hint="eastAsia" w:cs="宋体"/>
        </w:rPr>
        <w:t>）企业现场管理人员存在风险意识差、不熟悉操作规程现象，如某批发市场因操作人员误将设备排污阀打开后未关紧导致氨泄漏事件。</w:t>
      </w:r>
    </w:p>
    <w:p w14:paraId="39373917">
      <w:pPr>
        <w:ind w:firstLine="480"/>
      </w:pPr>
      <w:r>
        <w:rPr>
          <w:rFonts w:hint="eastAsia" w:cs="宋体"/>
        </w:rPr>
        <w:t>（</w:t>
      </w:r>
      <w:r>
        <w:t>2</w:t>
      </w:r>
      <w:r>
        <w:rPr>
          <w:rFonts w:hint="eastAsia" w:cs="宋体"/>
        </w:rPr>
        <w:t>）涉氨企业都配备了应急物资，但应急物资的更新、补充和维护情况较差，如在某物业管理有限公司现场调研中发现，滤毒罐已过期两年，正压式空气呼吸器出气孔堵塞。涉氨企业厂内风向标形式不统一，设置位置不易被周边人群发现。</w:t>
      </w:r>
    </w:p>
    <w:p w14:paraId="6BC22CE6">
      <w:pPr>
        <w:ind w:firstLine="480"/>
      </w:pPr>
      <w:r>
        <w:rPr>
          <w:rFonts w:hint="eastAsia" w:cs="宋体"/>
        </w:rPr>
        <w:t>（</w:t>
      </w:r>
      <w:r>
        <w:t>3</w:t>
      </w:r>
      <w:r>
        <w:rPr>
          <w:rFonts w:hint="eastAsia" w:cs="宋体"/>
        </w:rPr>
        <w:t>）企业的环境风险防控设施建设不足。事故状态下防止突发环境事件扩大的围堰、事故应急池未建设或容积不足。或虽建有事故状态下液氨泄漏收集、处置设施，但普遍存在事故水收集设施用作污水池、冷却水池等其他用途的现象，导致其有效容积不能满足事故状态下的要求。</w:t>
      </w:r>
    </w:p>
    <w:p w14:paraId="4289CB43">
      <w:pPr>
        <w:pStyle w:val="47"/>
        <w:ind w:left="0" w:leftChars="0"/>
        <w:outlineLvl w:val="2"/>
      </w:pPr>
      <w:bookmarkStart w:id="518" w:name="_Toc28466"/>
      <w:bookmarkStart w:id="519" w:name="_Toc6268"/>
      <w:bookmarkStart w:id="520" w:name="_Toc9587"/>
      <w:bookmarkStart w:id="521" w:name="_Toc18244"/>
      <w:bookmarkStart w:id="522" w:name="_Toc10425"/>
      <w:bookmarkStart w:id="523" w:name="_Toc7290"/>
      <w:bookmarkStart w:id="524" w:name="_Toc26339"/>
      <w:bookmarkStart w:id="525" w:name="_Toc24930"/>
      <w:bookmarkStart w:id="526" w:name="_Toc23277"/>
      <w:bookmarkStart w:id="527" w:name="_Toc30248"/>
      <w:bookmarkStart w:id="528" w:name="_Toc598"/>
      <w:bookmarkStart w:id="529" w:name="_Toc25242"/>
      <w:bookmarkStart w:id="530" w:name="_Toc30359"/>
      <w:bookmarkStart w:id="531" w:name="_Toc500397207"/>
      <w:bookmarkStart w:id="532" w:name="_Toc26890"/>
      <w:r>
        <w:t>6.1.3</w:t>
      </w:r>
      <w:r>
        <w:rPr>
          <w:rFonts w:hint="eastAsia" w:cs="黑体"/>
        </w:rPr>
        <w:t>外部环境方面</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3AD49F05">
      <w:pPr>
        <w:ind w:firstLine="480"/>
      </w:pPr>
      <w:r>
        <w:rPr>
          <w:rFonts w:hint="eastAsia" w:cs="宋体"/>
        </w:rPr>
        <w:t>随着城市发展，制冷企业与居民区分区不明显。北京市上世纪</w:t>
      </w:r>
      <w:r>
        <w:t>50~80</w:t>
      </w:r>
      <w:r>
        <w:rPr>
          <w:rFonts w:hint="eastAsia" w:cs="宋体"/>
        </w:rPr>
        <w:t>年代建设的大中型冷冻加工企业和冷库，当时距市中心较远，且企业周边几乎没有人员密集场所。近年来，随着城市建设快速发展，制冷企业被居民区等人员密集场所包围，一旦发生液氨泄漏事故，面临人口密集、交通拥堵、疏散困难等问题，存在较大的环境风险隐患。</w:t>
      </w:r>
    </w:p>
    <w:p w14:paraId="302047C4">
      <w:pPr>
        <w:pStyle w:val="64"/>
        <w:outlineLvl w:val="1"/>
        <w:rPr>
          <w:rFonts w:hAnsi="Times New Roman"/>
        </w:rPr>
      </w:pPr>
      <w:bookmarkStart w:id="533" w:name="_Toc29528"/>
      <w:bookmarkStart w:id="534" w:name="_Toc19933"/>
      <w:bookmarkStart w:id="535" w:name="_Toc500397208"/>
      <w:bookmarkStart w:id="536" w:name="_Toc26182"/>
      <w:bookmarkStart w:id="537" w:name="_Toc4807"/>
      <w:bookmarkStart w:id="538" w:name="_Toc12252"/>
      <w:bookmarkStart w:id="539" w:name="_Toc30151"/>
      <w:bookmarkStart w:id="540" w:name="_Toc3819"/>
      <w:bookmarkStart w:id="541" w:name="_Toc15150"/>
      <w:bookmarkStart w:id="542" w:name="_Toc4166"/>
      <w:bookmarkStart w:id="543" w:name="_Toc11212"/>
      <w:bookmarkStart w:id="544" w:name="_Toc12086"/>
      <w:bookmarkStart w:id="545" w:name="_Toc26540"/>
      <w:bookmarkStart w:id="546" w:name="_Toc9512"/>
      <w:bookmarkStart w:id="547" w:name="_Toc11152"/>
      <w:bookmarkStart w:id="548" w:name="_Toc14730"/>
      <w:bookmarkStart w:id="549" w:name="_Toc20084"/>
      <w:bookmarkStart w:id="550" w:name="_Toc515984566"/>
      <w:bookmarkStart w:id="551" w:name="_Toc21920"/>
      <w:bookmarkStart w:id="552" w:name="_Toc18681"/>
      <w:bookmarkStart w:id="553" w:name="_Toc21448"/>
      <w:bookmarkStart w:id="554" w:name="_Toc31782"/>
      <w:bookmarkStart w:id="555" w:name="_Toc18600"/>
      <w:bookmarkStart w:id="556" w:name="_Toc13753246"/>
      <w:bookmarkStart w:id="557" w:name="_Toc19273"/>
      <w:r>
        <w:rPr>
          <w:rFonts w:hAnsi="Times New Roman"/>
        </w:rPr>
        <w:t>6.2</w:t>
      </w:r>
      <w:r>
        <w:rPr>
          <w:rFonts w:hint="eastAsia" w:hAnsi="Times New Roman" w:cs="黑体"/>
        </w:rPr>
        <w:t>对策</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60D2EBD5">
      <w:pPr>
        <w:pStyle w:val="47"/>
        <w:ind w:left="0" w:leftChars="0"/>
        <w:outlineLvl w:val="2"/>
      </w:pPr>
      <w:bookmarkStart w:id="558" w:name="_Toc6944"/>
      <w:bookmarkStart w:id="559" w:name="_Toc500397209"/>
      <w:bookmarkStart w:id="560" w:name="_Toc22898"/>
      <w:bookmarkStart w:id="561" w:name="_Toc24517"/>
      <w:bookmarkStart w:id="562" w:name="_Toc29849"/>
      <w:bookmarkStart w:id="563" w:name="_Toc4849"/>
      <w:bookmarkStart w:id="564" w:name="_Toc16536"/>
      <w:bookmarkStart w:id="565" w:name="_Toc12859"/>
      <w:bookmarkStart w:id="566" w:name="_Toc28505"/>
      <w:bookmarkStart w:id="567" w:name="_Toc3231"/>
      <w:bookmarkStart w:id="568" w:name="_Toc9167"/>
      <w:bookmarkStart w:id="569" w:name="_Toc25992"/>
      <w:bookmarkStart w:id="570" w:name="_Toc23987"/>
      <w:bookmarkStart w:id="571" w:name="_Toc26356"/>
      <w:bookmarkStart w:id="572" w:name="_Toc4168"/>
      <w:r>
        <w:t>6.2.1</w:t>
      </w:r>
      <w:r>
        <w:rPr>
          <w:rFonts w:hint="eastAsia" w:cs="黑体"/>
        </w:rPr>
        <w:t>强化风险防控措施</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56C3F334">
      <w:pPr>
        <w:ind w:firstLine="480"/>
      </w:pPr>
      <w:r>
        <w:rPr>
          <w:rFonts w:hint="eastAsia" w:cs="宋体"/>
        </w:rPr>
        <w:t>（</w:t>
      </w:r>
      <w:r>
        <w:t>1</w:t>
      </w:r>
      <w:r>
        <w:rPr>
          <w:rFonts w:hint="eastAsia" w:cs="宋体"/>
        </w:rPr>
        <w:t>）涉氨企业落实环境安全主体责任，加强制度建设和风险防控措施的落实。按规范制定突发环境事件应急预案并备案，制定并落实应急培训、演练制度及突发环境事件隐患排查和治理制度。同时，建议距离周边敏感区较近的企业开展设置氨回收装置可行性研究。</w:t>
      </w:r>
    </w:p>
    <w:p w14:paraId="64925612">
      <w:pPr>
        <w:ind w:firstLine="480"/>
      </w:pPr>
      <w:r>
        <w:rPr>
          <w:rFonts w:hint="eastAsia" w:cs="宋体"/>
        </w:rPr>
        <w:t>（</w:t>
      </w:r>
      <w:r>
        <w:t>2</w:t>
      </w:r>
      <w:r>
        <w:rPr>
          <w:rFonts w:hint="eastAsia" w:cs="宋体"/>
        </w:rPr>
        <w:t>）完善信息公开，加大宣传力度。属于重点排污企业的应按照本市企业事业单位信息公开的相关规定，公开本企业关于液氨的基本信息，如液氨储存量、风险防控措施、周边（</w:t>
      </w:r>
      <w:r>
        <w:t>5</w:t>
      </w:r>
      <w:r>
        <w:rPr>
          <w:rFonts w:hint="eastAsia" w:cs="宋体"/>
        </w:rPr>
        <w:t>公里）主要环境风险受体名称和联系电话等。涉氨企业应确保</w:t>
      </w:r>
      <w:r>
        <w:t>24</w:t>
      </w:r>
      <w:r>
        <w:rPr>
          <w:rFonts w:hint="eastAsia" w:cs="宋体"/>
        </w:rPr>
        <w:t>小时通讯畅通。同时鼓励其他非重点排污企业主动公开本企业关于氨的基本信息。加大氨危害与突发环境事件应对知识的宣传，特别是对涉氨企业周边人群，主要告知氨事故的征兆，紧急避险和人员自救的常识等。</w:t>
      </w:r>
    </w:p>
    <w:p w14:paraId="431A616C">
      <w:pPr>
        <w:ind w:firstLine="480"/>
      </w:pPr>
      <w:r>
        <w:rPr>
          <w:rFonts w:hint="eastAsia" w:cs="宋体"/>
        </w:rPr>
        <w:t>（</w:t>
      </w:r>
      <w:r>
        <w:t>3</w:t>
      </w:r>
      <w:r>
        <w:rPr>
          <w:rFonts w:hint="eastAsia" w:cs="宋体"/>
        </w:rPr>
        <w:t>）目前对于制冷行业，液氨是物美价廉的制冷剂，效果好、成本低，但环境风险较大。鉴于此，政府可以利用减税、专项经费、资金补贴等方式，鼓励和支持相关研究院所或企业开展液氨替代物的研发和试用，以期尽早在全行业替代液氨制冷。</w:t>
      </w:r>
    </w:p>
    <w:p w14:paraId="20726163">
      <w:pPr>
        <w:pStyle w:val="47"/>
        <w:ind w:left="0" w:leftChars="0"/>
        <w:outlineLvl w:val="2"/>
      </w:pPr>
      <w:bookmarkStart w:id="573" w:name="_Toc20592"/>
      <w:bookmarkStart w:id="574" w:name="_Toc13640"/>
      <w:bookmarkStart w:id="575" w:name="_Toc5842"/>
      <w:bookmarkStart w:id="576" w:name="_Toc18568"/>
      <w:bookmarkStart w:id="577" w:name="_Toc13794"/>
      <w:bookmarkStart w:id="578" w:name="_Toc31644"/>
      <w:bookmarkStart w:id="579" w:name="_Toc12501"/>
      <w:bookmarkStart w:id="580" w:name="_Toc1292"/>
      <w:bookmarkStart w:id="581" w:name="_Toc8605"/>
      <w:bookmarkStart w:id="582" w:name="_Toc25333"/>
      <w:bookmarkStart w:id="583" w:name="_Toc22298"/>
      <w:bookmarkStart w:id="584" w:name="_Toc500397210"/>
      <w:bookmarkStart w:id="585" w:name="_Toc5449"/>
      <w:bookmarkStart w:id="586" w:name="_Toc27060"/>
      <w:bookmarkStart w:id="587" w:name="_Toc17405"/>
      <w:r>
        <w:t>6.2.2</w:t>
      </w:r>
      <w:r>
        <w:rPr>
          <w:rFonts w:hint="eastAsia" w:cs="黑体"/>
        </w:rPr>
        <w:t>对涉氨企业实行分类管理</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42DADBF">
      <w:pPr>
        <w:ind w:firstLine="480"/>
      </w:pPr>
      <w:r>
        <w:rPr>
          <w:rFonts w:hint="eastAsia" w:cs="宋体"/>
        </w:rPr>
        <w:t>（</w:t>
      </w:r>
      <w:r>
        <w:t>1</w:t>
      </w:r>
      <w:r>
        <w:rPr>
          <w:rFonts w:hint="eastAsia" w:cs="宋体"/>
        </w:rPr>
        <w:t>）保留民生类企业</w:t>
      </w:r>
    </w:p>
    <w:p w14:paraId="75C0DF56">
      <w:pPr>
        <w:ind w:firstLine="480"/>
      </w:pPr>
      <w:r>
        <w:rPr>
          <w:rFonts w:hint="eastAsia" w:cs="宋体"/>
        </w:rPr>
        <w:t>食品、仓储等民生行业，例如北京市西南郊食品冷冻厂、北京二商集团西郊食品冷冻厂、北京中食兴瑞冷链物流有限公司等部分企业担负着国家或地方物资储备的任务，这些企业存在液氨储存量大、周边人数多的现象，潜在的环境风险较高，但作为重要民生企业需要保留。</w:t>
      </w:r>
    </w:p>
    <w:p w14:paraId="3A95AA77">
      <w:pPr>
        <w:ind w:firstLine="480"/>
      </w:pPr>
      <w:r>
        <w:rPr>
          <w:rFonts w:hint="eastAsia" w:cs="宋体"/>
        </w:rPr>
        <w:t>（</w:t>
      </w:r>
      <w:r>
        <w:t>2</w:t>
      </w:r>
      <w:r>
        <w:rPr>
          <w:rFonts w:hint="eastAsia" w:cs="宋体"/>
        </w:rPr>
        <w:t>）削减非民生类企业</w:t>
      </w:r>
    </w:p>
    <w:p w14:paraId="44FFA827">
      <w:pPr>
        <w:ind w:firstLine="480"/>
      </w:pPr>
      <w:r>
        <w:t>2014</w:t>
      </w:r>
      <w:r>
        <w:rPr>
          <w:rFonts w:hint="eastAsia" w:cs="宋体"/>
        </w:rPr>
        <w:t>年</w:t>
      </w:r>
      <w:r>
        <w:t>2</w:t>
      </w:r>
      <w:r>
        <w:rPr>
          <w:rFonts w:hint="eastAsia" w:cs="宋体"/>
        </w:rPr>
        <w:t>月</w:t>
      </w:r>
      <w:r>
        <w:t>16</w:t>
      </w:r>
      <w:r>
        <w:rPr>
          <w:rFonts w:hint="eastAsia" w:cs="宋体"/>
        </w:rPr>
        <w:t>日，习近平总书记在北京市考察工作时提出的，要明确城市战略定位，坚持和强化首都全国</w:t>
      </w:r>
      <w:r>
        <w:t>“</w:t>
      </w:r>
      <w:r>
        <w:rPr>
          <w:rFonts w:hint="eastAsia" w:cs="宋体"/>
        </w:rPr>
        <w:t>政治中心、文化中心、国际交往中心、科技创新中心</w:t>
      </w:r>
      <w:r>
        <w:t>”</w:t>
      </w:r>
      <w:r>
        <w:rPr>
          <w:rFonts w:hint="eastAsia" w:cs="宋体"/>
        </w:rPr>
        <w:t>的首都核心功能。在当年底召开的中央经济工作会议上，习近平总书记强调，京津冀协同发展的核心问题是疏解北京非首都功能，降低北京人口密度，促进经济社会发展与人口资源环境相适应。</w:t>
      </w:r>
    </w:p>
    <w:p w14:paraId="5066C277">
      <w:pPr>
        <w:ind w:firstLine="480"/>
      </w:pPr>
      <w:r>
        <w:rPr>
          <w:rFonts w:hint="eastAsia" w:cs="宋体"/>
        </w:rPr>
        <w:t>对关系民生之外的其他涉氨行业，以疏解非首都功能为导向，政府应有目的、有计划、有步骤地引导涉氨企业实施整体搬迁或涉氨风险单元搬迁工作。</w:t>
      </w:r>
    </w:p>
    <w:p w14:paraId="728D97B1">
      <w:pPr>
        <w:pStyle w:val="47"/>
        <w:ind w:left="0" w:leftChars="0"/>
        <w:outlineLvl w:val="2"/>
      </w:pPr>
      <w:bookmarkStart w:id="588" w:name="_Toc32740"/>
      <w:bookmarkStart w:id="589" w:name="_Toc22178"/>
      <w:bookmarkStart w:id="590" w:name="_Toc14066"/>
      <w:bookmarkStart w:id="591" w:name="_Toc19828"/>
      <w:bookmarkStart w:id="592" w:name="_Toc15486"/>
      <w:bookmarkStart w:id="593" w:name="_Toc21895"/>
      <w:bookmarkStart w:id="594" w:name="_Toc24477"/>
      <w:bookmarkStart w:id="595" w:name="_Toc11097"/>
      <w:bookmarkStart w:id="596" w:name="_Toc12134"/>
      <w:bookmarkStart w:id="597" w:name="_Toc500397211"/>
      <w:bookmarkStart w:id="598" w:name="_Toc22157"/>
      <w:bookmarkStart w:id="599" w:name="_Toc4112"/>
      <w:bookmarkStart w:id="600" w:name="_Toc1110"/>
      <w:bookmarkStart w:id="601" w:name="_Toc23629"/>
      <w:bookmarkStart w:id="602" w:name="_Toc5614"/>
      <w:r>
        <w:t>6.2.3</w:t>
      </w:r>
      <w:r>
        <w:rPr>
          <w:rFonts w:hint="eastAsia" w:cs="黑体"/>
        </w:rPr>
        <w:t>加强涉氨企业监管</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F832908">
      <w:pPr>
        <w:ind w:firstLine="480"/>
      </w:pPr>
      <w:r>
        <w:rPr>
          <w:rFonts w:hint="eastAsia" w:cs="宋体"/>
        </w:rPr>
        <w:t>液氨突发环境事件多数情况下是生产安全事故引发的次生灾害，企业各项安全生产措施到位，液氨突发事件就会大大减少。因此，建议应急、消防等部门加强对较大及以上环境风险企业的监管力度，特别是加大对位于居民集中区内涉氨企业，督促企业抓好消防和安全生产工作，同时生态环境部门督促企业做好液氨泄漏事故的环境污染防控措施，将液氨突发事件的发生概率和影响降至最低。</w:t>
      </w:r>
    </w:p>
    <w:p w14:paraId="0B18DE3B">
      <w:pPr>
        <w:pStyle w:val="47"/>
        <w:ind w:left="0" w:leftChars="0"/>
        <w:outlineLvl w:val="2"/>
      </w:pPr>
      <w:bookmarkStart w:id="603" w:name="_Toc500397212"/>
      <w:bookmarkStart w:id="604" w:name="_Toc13255"/>
      <w:bookmarkStart w:id="605" w:name="_Toc44"/>
      <w:bookmarkStart w:id="606" w:name="_Toc29298"/>
      <w:bookmarkStart w:id="607" w:name="_Toc19419"/>
      <w:bookmarkStart w:id="608" w:name="_Toc24384"/>
      <w:bookmarkStart w:id="609" w:name="_Toc12957"/>
      <w:bookmarkStart w:id="610" w:name="_Toc27196"/>
      <w:bookmarkStart w:id="611" w:name="_Toc21975"/>
      <w:bookmarkStart w:id="612" w:name="_Toc14746"/>
      <w:bookmarkStart w:id="613" w:name="_Toc10374"/>
      <w:bookmarkStart w:id="614" w:name="_Toc182"/>
      <w:bookmarkStart w:id="615" w:name="_Toc585"/>
      <w:bookmarkStart w:id="616" w:name="_Toc16865"/>
      <w:bookmarkStart w:id="617" w:name="_Toc20237"/>
      <w:r>
        <w:t>6.2.4</w:t>
      </w:r>
      <w:r>
        <w:rPr>
          <w:rFonts w:hint="eastAsia" w:cs="黑体"/>
        </w:rPr>
        <w:t>制定涉氨企业管理规范和行业标准</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6FA2922">
      <w:pPr>
        <w:ind w:firstLine="480"/>
      </w:pPr>
      <w:r>
        <w:rPr>
          <w:rFonts w:hint="eastAsia" w:cs="宋体"/>
        </w:rPr>
        <w:t>随着北京城市的发展，涉氨企业周边人口数量不断增加，一旦发生液氨突发环境事件，将造成人群恐慌，影响社会稳定，更有可能造成国际影响。因此，建议北京市生态环境局、应急管理局、市场监督管理局等部门研究制定北京市涉氨企业环境风险管理的统一标准，强化安全环保的管理。</w:t>
      </w:r>
    </w:p>
    <w:p w14:paraId="725453E8">
      <w:pPr>
        <w:pStyle w:val="60"/>
        <w:spacing w:before="312" w:after="312"/>
        <w:rPr>
          <w:rFonts w:ascii="Times New Roman" w:hAnsi="Times New Roman" w:cs="Times New Roman"/>
        </w:rPr>
      </w:pPr>
      <w:bookmarkStart w:id="618" w:name="_Toc12416"/>
      <w:bookmarkStart w:id="619" w:name="_Toc5053"/>
      <w:bookmarkStart w:id="620" w:name="_Toc13081"/>
      <w:bookmarkStart w:id="621" w:name="_Toc8028"/>
      <w:bookmarkStart w:id="622" w:name="_Toc453681322"/>
      <w:bookmarkStart w:id="623" w:name="_Toc32085"/>
      <w:bookmarkStart w:id="624" w:name="_Toc16762"/>
      <w:bookmarkStart w:id="625" w:name="_Toc12792"/>
      <w:bookmarkStart w:id="626" w:name="_Toc6413"/>
      <w:bookmarkStart w:id="627" w:name="_Toc12603"/>
      <w:bookmarkStart w:id="628" w:name="_Toc5170"/>
      <w:bookmarkStart w:id="629" w:name="_Toc1837"/>
      <w:bookmarkStart w:id="630" w:name="_Toc12148"/>
      <w:bookmarkStart w:id="631" w:name="_Toc32220"/>
      <w:bookmarkStart w:id="632" w:name="_Toc13753247"/>
      <w:bookmarkStart w:id="633" w:name="_Toc25691"/>
      <w:bookmarkStart w:id="634" w:name="_Toc23005"/>
      <w:bookmarkStart w:id="635" w:name="_Toc1227"/>
      <w:bookmarkStart w:id="636" w:name="_Toc8791"/>
      <w:bookmarkStart w:id="637" w:name="_Toc10144"/>
      <w:bookmarkStart w:id="638" w:name="_Toc18397"/>
      <w:bookmarkStart w:id="639" w:name="_Toc515984567"/>
      <w:bookmarkStart w:id="640" w:name="_Toc17128"/>
      <w:bookmarkStart w:id="641" w:name="_Toc8136"/>
      <w:bookmarkStart w:id="642" w:name="_Toc9544"/>
      <w:r>
        <w:rPr>
          <w:rFonts w:hint="eastAsia" w:ascii="Times New Roman" w:hAnsi="Times New Roman" w:cs="黑体"/>
        </w:rPr>
        <w:t>七、主要技术内容及说明</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7C78CD5C">
      <w:pPr>
        <w:pStyle w:val="45"/>
        <w:rPr>
          <w:rFonts w:ascii="Times New Roman" w:cs="Times New Roman"/>
        </w:rPr>
      </w:pPr>
      <w:r>
        <w:rPr>
          <w:rFonts w:hint="eastAsia" w:ascii="Times New Roman"/>
        </w:rPr>
        <w:t>针对上述液氨贮存使用单位存在的环境风险，为保障安全生产，降低事故损失，完善突发环境事件应急管理体系，指导液氨贮存使用单位</w:t>
      </w:r>
      <w:r>
        <w:rPr>
          <w:rFonts w:hint="eastAsia" w:ascii="Times New Roman"/>
          <w:color w:val="000000"/>
        </w:rPr>
        <w:t>开展涉氨风险防范和加强应急处置，制定本标准。</w:t>
      </w:r>
      <w:r>
        <w:rPr>
          <w:rFonts w:hint="eastAsia" w:ascii="Times New Roman"/>
        </w:rPr>
        <w:t>本标准共分六节，包括使用范围、规范性引用、术语和定义、环境风险防治、监测要求、突发环境事件应急处置规范。以下对文件中主要部分进行说明。</w:t>
      </w:r>
    </w:p>
    <w:p w14:paraId="6A332233">
      <w:pPr>
        <w:pStyle w:val="64"/>
        <w:tabs>
          <w:tab w:val="center" w:pos="4201"/>
          <w:tab w:val="right" w:leader="dot" w:pos="9298"/>
        </w:tabs>
        <w:outlineLvl w:val="1"/>
        <w:rPr>
          <w:rFonts w:hAnsi="Times New Roman"/>
        </w:rPr>
      </w:pPr>
      <w:bookmarkStart w:id="643" w:name="_Toc10861"/>
      <w:bookmarkStart w:id="644" w:name="_Toc12367"/>
      <w:bookmarkStart w:id="645" w:name="_Toc7835"/>
      <w:bookmarkStart w:id="646" w:name="_Toc17922"/>
      <w:bookmarkStart w:id="647" w:name="_Toc18581"/>
      <w:bookmarkStart w:id="648" w:name="_Toc12772"/>
      <w:bookmarkStart w:id="649" w:name="_Toc26817"/>
      <w:bookmarkStart w:id="650" w:name="_Toc24976"/>
      <w:bookmarkStart w:id="651" w:name="_Toc5949"/>
      <w:bookmarkStart w:id="652" w:name="_Toc13753248"/>
      <w:bookmarkStart w:id="653" w:name="_Toc3249"/>
      <w:bookmarkStart w:id="654" w:name="_Toc6139"/>
      <w:bookmarkStart w:id="655" w:name="_Toc16074"/>
      <w:bookmarkStart w:id="656" w:name="_Toc20508"/>
      <w:bookmarkStart w:id="657" w:name="_Toc2194"/>
      <w:bookmarkStart w:id="658" w:name="_Toc31092"/>
      <w:bookmarkStart w:id="659" w:name="_Toc22333"/>
      <w:bookmarkStart w:id="660" w:name="_Toc16726"/>
      <w:bookmarkStart w:id="661" w:name="_Toc16035"/>
      <w:bookmarkStart w:id="662" w:name="_Toc7124"/>
      <w:bookmarkStart w:id="663" w:name="_Toc26559"/>
      <w:bookmarkStart w:id="664" w:name="_Toc28962"/>
      <w:bookmarkStart w:id="665" w:name="_Toc18532"/>
      <w:r>
        <w:rPr>
          <w:rFonts w:hAnsi="Times New Roman"/>
        </w:rPr>
        <w:t xml:space="preserve">7.1 </w:t>
      </w:r>
      <w:r>
        <w:rPr>
          <w:rFonts w:hint="eastAsia" w:hAnsi="Times New Roman" w:cs="黑体"/>
        </w:rPr>
        <w:t>标准名称</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DEC5E6C">
      <w:pPr>
        <w:pStyle w:val="45"/>
        <w:rPr>
          <w:rFonts w:ascii="Times New Roman" w:cs="Times New Roman"/>
        </w:rPr>
      </w:pPr>
      <w:r>
        <w:rPr>
          <w:rFonts w:hint="eastAsia" w:ascii="Times New Roman"/>
        </w:rPr>
        <w:t>本标准名称为《液氨贮存使用单位环境风险防控技术规范》。</w:t>
      </w:r>
    </w:p>
    <w:p w14:paraId="6E83C191">
      <w:pPr>
        <w:pStyle w:val="64"/>
        <w:outlineLvl w:val="1"/>
        <w:rPr>
          <w:rFonts w:hAnsi="Times New Roman"/>
        </w:rPr>
      </w:pPr>
      <w:bookmarkStart w:id="666" w:name="_Toc11708"/>
      <w:bookmarkStart w:id="667" w:name="_Toc2886"/>
      <w:bookmarkStart w:id="668" w:name="_Toc32364"/>
      <w:bookmarkStart w:id="669" w:name="_Toc453681323"/>
      <w:bookmarkStart w:id="670" w:name="_Toc25379"/>
      <w:bookmarkStart w:id="671" w:name="_Toc806"/>
      <w:bookmarkStart w:id="672" w:name="_Toc10840"/>
      <w:bookmarkStart w:id="673" w:name="_Toc13"/>
      <w:bookmarkStart w:id="674" w:name="_Toc1918"/>
      <w:bookmarkStart w:id="675" w:name="_Toc4592"/>
      <w:bookmarkStart w:id="676" w:name="_Toc5020"/>
      <w:bookmarkStart w:id="677" w:name="_Toc1367"/>
      <w:bookmarkStart w:id="678" w:name="_Toc515984568"/>
      <w:bookmarkStart w:id="679" w:name="_Toc20644"/>
      <w:bookmarkStart w:id="680" w:name="_Toc14122"/>
      <w:bookmarkStart w:id="681" w:name="_Toc29987"/>
      <w:bookmarkStart w:id="682" w:name="_Toc31305"/>
      <w:bookmarkStart w:id="683" w:name="_Toc24075"/>
      <w:bookmarkStart w:id="684" w:name="_Toc12194"/>
      <w:bookmarkStart w:id="685" w:name="_Toc12014"/>
      <w:bookmarkStart w:id="686" w:name="_Toc13710"/>
      <w:bookmarkStart w:id="687" w:name="_Toc29840"/>
      <w:bookmarkStart w:id="688" w:name="_Toc18400"/>
      <w:bookmarkStart w:id="689" w:name="_Toc13753249"/>
      <w:bookmarkStart w:id="690" w:name="_Toc18320"/>
      <w:r>
        <w:rPr>
          <w:rFonts w:hAnsi="Times New Roman"/>
        </w:rPr>
        <w:t xml:space="preserve">7.2 </w:t>
      </w:r>
      <w:r>
        <w:rPr>
          <w:rFonts w:hint="eastAsia" w:hAnsi="Times New Roman" w:cs="黑体"/>
        </w:rPr>
        <w:t>标准主题内容及适用范围</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7748370F">
      <w:pPr>
        <w:pStyle w:val="35"/>
        <w:spacing w:line="360" w:lineRule="auto"/>
        <w:ind w:firstLine="480"/>
        <w:rPr>
          <w:rFonts w:ascii="Times New Roman" w:hAnsi="Times New Roman" w:cs="Times New Roman"/>
          <w:kern w:val="0"/>
          <w:sz w:val="24"/>
          <w:szCs w:val="24"/>
        </w:rPr>
      </w:pPr>
      <w:bookmarkStart w:id="691" w:name="_Toc453681324"/>
      <w:r>
        <w:rPr>
          <w:rFonts w:hint="eastAsia" w:ascii="Times New Roman" w:hAnsi="Times New Roman"/>
          <w:kern w:val="0"/>
          <w:sz w:val="24"/>
          <w:szCs w:val="24"/>
        </w:rPr>
        <w:t>本标准规定了液氨贮存使用单位环境风险防控、监测、应急处置技术规范及环境安全隐患排查与整治、风险防控设施等技术要求。</w:t>
      </w:r>
    </w:p>
    <w:p w14:paraId="78075DD8">
      <w:pPr>
        <w:pStyle w:val="64"/>
        <w:tabs>
          <w:tab w:val="center" w:pos="4201"/>
          <w:tab w:val="right" w:leader="dot" w:pos="9298"/>
        </w:tabs>
        <w:outlineLvl w:val="1"/>
        <w:rPr>
          <w:rFonts w:hAnsi="Times New Roman"/>
        </w:rPr>
      </w:pPr>
      <w:bookmarkStart w:id="692" w:name="_Toc282"/>
      <w:bookmarkStart w:id="693" w:name="_Toc9148"/>
      <w:bookmarkStart w:id="694" w:name="_Toc27909"/>
      <w:bookmarkStart w:id="695" w:name="_Toc22148"/>
      <w:bookmarkStart w:id="696" w:name="_Toc13371"/>
      <w:bookmarkStart w:id="697" w:name="_Toc15502"/>
      <w:bookmarkStart w:id="698" w:name="_Toc25231"/>
      <w:bookmarkStart w:id="699" w:name="_Toc3093"/>
      <w:bookmarkStart w:id="700" w:name="_Toc15320"/>
      <w:bookmarkStart w:id="701" w:name="_Toc25447"/>
      <w:bookmarkStart w:id="702" w:name="_Toc16244"/>
      <w:bookmarkStart w:id="703" w:name="_Toc21068"/>
      <w:bookmarkStart w:id="704" w:name="_Toc4593"/>
      <w:bookmarkStart w:id="705" w:name="_Toc26813"/>
      <w:bookmarkStart w:id="706" w:name="_Toc6931"/>
      <w:bookmarkStart w:id="707" w:name="_Toc27964"/>
      <w:bookmarkStart w:id="708" w:name="_Toc15878"/>
      <w:bookmarkStart w:id="709" w:name="_Toc13753250"/>
      <w:bookmarkStart w:id="710" w:name="_Toc13072"/>
      <w:bookmarkStart w:id="711" w:name="_Toc17448"/>
      <w:bookmarkStart w:id="712" w:name="_Toc29406"/>
      <w:bookmarkStart w:id="713" w:name="_Toc13783"/>
      <w:bookmarkStart w:id="714" w:name="_Toc32248"/>
      <w:r>
        <w:rPr>
          <w:rFonts w:hAnsi="Times New Roman"/>
          <w:color w:val="000000"/>
        </w:rPr>
        <w:t>7.3</w:t>
      </w:r>
      <w:r>
        <w:rPr>
          <w:rFonts w:hAnsi="Times New Roman"/>
        </w:rPr>
        <w:t xml:space="preserve"> </w:t>
      </w:r>
      <w:r>
        <w:rPr>
          <w:rFonts w:hint="eastAsia" w:hAnsi="Times New Roman" w:cs="黑体"/>
          <w:color w:val="000000"/>
        </w:rPr>
        <w:t>规范性引用文件</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12EE7D4">
      <w:pPr>
        <w:pStyle w:val="45"/>
        <w:rPr>
          <w:rFonts w:ascii="Times New Roman" w:cs="Times New Roman"/>
        </w:rPr>
      </w:pPr>
      <w:r>
        <w:rPr>
          <w:rFonts w:hint="eastAsia" w:ascii="Times New Roman"/>
        </w:rPr>
        <w:t>本部分列出了在本规范中所引用的国家标准、行业技术标准、技术规范和国务院有关部门的相关管理办法和规定性文件。这些标准和文件的有关条文通过引用成为本标准的组成部分。包括：</w:t>
      </w:r>
    </w:p>
    <w:p w14:paraId="49B1E7CC">
      <w:pPr>
        <w:pStyle w:val="45"/>
        <w:rPr>
          <w:rFonts w:ascii="Times New Roman" w:cs="Times New Roman"/>
        </w:rPr>
      </w:pPr>
      <w:r>
        <w:rPr>
          <w:rFonts w:ascii="Times New Roman" w:cs="Times New Roman"/>
        </w:rPr>
        <w:t>GB/T</w:t>
      </w:r>
      <w:r>
        <w:rPr>
          <w:rFonts w:hint="eastAsia" w:ascii="Times New Roman"/>
        </w:rPr>
        <w:t>　</w:t>
      </w:r>
      <w:r>
        <w:rPr>
          <w:rFonts w:ascii="Times New Roman" w:cs="Times New Roman"/>
        </w:rPr>
        <w:t xml:space="preserve">11651              </w:t>
      </w:r>
      <w:r>
        <w:rPr>
          <w:rFonts w:hint="eastAsia" w:ascii="Times New Roman"/>
        </w:rPr>
        <w:t>个体防护装备选用规范</w:t>
      </w:r>
      <w:r>
        <w:rPr>
          <w:rFonts w:ascii="Times New Roman" w:cs="Times New Roman"/>
        </w:rPr>
        <w:t xml:space="preserve"> </w:t>
      </w:r>
    </w:p>
    <w:p w14:paraId="452AAE9B">
      <w:pPr>
        <w:pStyle w:val="45"/>
        <w:rPr>
          <w:rFonts w:ascii="Times New Roman" w:cs="Times New Roman"/>
        </w:rPr>
      </w:pPr>
      <w:r>
        <w:rPr>
          <w:rFonts w:ascii="Times New Roman" w:cs="Times New Roman"/>
        </w:rPr>
        <w:t>HJ</w:t>
      </w:r>
      <w:r>
        <w:rPr>
          <w:rFonts w:hint="eastAsia" w:ascii="Times New Roman"/>
        </w:rPr>
        <w:t>　</w:t>
      </w:r>
      <w:r>
        <w:rPr>
          <w:rFonts w:ascii="Times New Roman" w:cs="Times New Roman"/>
        </w:rPr>
        <w:t>941</w:t>
      </w:r>
      <w:r>
        <w:rPr>
          <w:rFonts w:hint="eastAsia" w:ascii="Times New Roman"/>
        </w:rPr>
        <w:t>　　　　　　　　　企业突发环境事件风险分级方法</w:t>
      </w:r>
    </w:p>
    <w:p w14:paraId="70F64D11">
      <w:pPr>
        <w:pStyle w:val="45"/>
        <w:rPr>
          <w:rFonts w:ascii="Times New Roman" w:cs="Times New Roman"/>
        </w:rPr>
      </w:pPr>
      <w:r>
        <w:rPr>
          <w:rFonts w:ascii="Times New Roman" w:cs="Times New Roman"/>
        </w:rPr>
        <w:t>HJ/T</w:t>
      </w:r>
      <w:r>
        <w:rPr>
          <w:rFonts w:hint="eastAsia" w:ascii="Times New Roman"/>
        </w:rPr>
        <w:t>　</w:t>
      </w:r>
      <w:r>
        <w:rPr>
          <w:rFonts w:ascii="Times New Roman" w:cs="Times New Roman"/>
        </w:rPr>
        <w:t>55</w:t>
      </w:r>
      <w:r>
        <w:rPr>
          <w:rFonts w:hint="eastAsia" w:ascii="Times New Roman"/>
        </w:rPr>
        <w:t>　　　　　　　　</w:t>
      </w:r>
      <w:r>
        <w:rPr>
          <w:rFonts w:ascii="Times New Roman" w:cs="Times New Roman"/>
        </w:rPr>
        <w:t xml:space="preserve"> </w:t>
      </w:r>
      <w:r>
        <w:rPr>
          <w:rFonts w:hint="eastAsia" w:ascii="Times New Roman"/>
        </w:rPr>
        <w:t>大气污染物无组织排放监测技术导则</w:t>
      </w:r>
    </w:p>
    <w:p w14:paraId="38597447">
      <w:pPr>
        <w:pStyle w:val="45"/>
        <w:rPr>
          <w:rFonts w:ascii="Times New Roman" w:cs="Times New Roman"/>
        </w:rPr>
      </w:pPr>
      <w:r>
        <w:rPr>
          <w:rFonts w:ascii="Times New Roman" w:cs="Times New Roman"/>
        </w:rPr>
        <w:t>HJ</w:t>
      </w:r>
      <w:r>
        <w:rPr>
          <w:rFonts w:hint="eastAsia" w:ascii="Times New Roman"/>
        </w:rPr>
        <w:t>　</w:t>
      </w:r>
      <w:r>
        <w:rPr>
          <w:rFonts w:ascii="Times New Roman" w:cs="Times New Roman"/>
        </w:rPr>
        <w:t xml:space="preserve">169                </w:t>
      </w:r>
      <w:r>
        <w:rPr>
          <w:rFonts w:hint="eastAsia" w:ascii="Times New Roman"/>
        </w:rPr>
        <w:t>建设项目环境风险评价技术导则</w:t>
      </w:r>
    </w:p>
    <w:p w14:paraId="7875D1F9">
      <w:pPr>
        <w:pStyle w:val="45"/>
        <w:rPr>
          <w:rFonts w:ascii="Times New Roman" w:cs="Times New Roman"/>
        </w:rPr>
      </w:pPr>
      <w:r>
        <w:rPr>
          <w:rFonts w:ascii="Times New Roman" w:cs="Times New Roman"/>
        </w:rPr>
        <w:t>DB</w:t>
      </w:r>
      <w:r>
        <w:rPr>
          <w:rFonts w:hint="eastAsia" w:ascii="Times New Roman"/>
        </w:rPr>
        <w:t>　</w:t>
      </w:r>
      <w:r>
        <w:rPr>
          <w:rFonts w:ascii="Times New Roman" w:cs="Times New Roman"/>
        </w:rPr>
        <w:t>11/501</w:t>
      </w:r>
      <w:r>
        <w:rPr>
          <w:rFonts w:hint="eastAsia" w:ascii="Times New Roman"/>
        </w:rPr>
        <w:t>　　　　　　　</w:t>
      </w:r>
      <w:r>
        <w:rPr>
          <w:rFonts w:ascii="Times New Roman" w:cs="Times New Roman"/>
        </w:rPr>
        <w:t xml:space="preserve"> </w:t>
      </w:r>
      <w:r>
        <w:rPr>
          <w:rFonts w:hint="eastAsia" w:ascii="Times New Roman"/>
        </w:rPr>
        <w:t>大气污染物综合排放标准</w:t>
      </w:r>
    </w:p>
    <w:p w14:paraId="3B83B7FC">
      <w:pPr>
        <w:pStyle w:val="45"/>
        <w:rPr>
          <w:rFonts w:ascii="Times New Roman" w:cs="Times New Roman"/>
        </w:rPr>
      </w:pPr>
      <w:r>
        <w:rPr>
          <w:rFonts w:ascii="Times New Roman" w:cs="Times New Roman"/>
        </w:rPr>
        <w:t>DB</w:t>
      </w:r>
      <w:r>
        <w:rPr>
          <w:rFonts w:hint="eastAsia" w:ascii="Times New Roman"/>
        </w:rPr>
        <w:t>　</w:t>
      </w:r>
      <w:r>
        <w:rPr>
          <w:rFonts w:ascii="Times New Roman" w:cs="Times New Roman"/>
        </w:rPr>
        <w:t>11/1014</w:t>
      </w:r>
      <w:r>
        <w:rPr>
          <w:rFonts w:hint="eastAsia" w:ascii="Times New Roman"/>
        </w:rPr>
        <w:t>　　　　　　　液氨使用与存储安全技术规范</w:t>
      </w:r>
    </w:p>
    <w:p w14:paraId="4343D46F">
      <w:pPr>
        <w:pStyle w:val="45"/>
        <w:rPr>
          <w:rFonts w:ascii="Times New Roman" w:cs="Times New Roman"/>
        </w:rPr>
      </w:pPr>
      <w:r>
        <w:rPr>
          <w:rFonts w:ascii="Times New Roman" w:cs="Times New Roman"/>
        </w:rPr>
        <w:t xml:space="preserve">SH3063-1999  </w:t>
      </w:r>
      <w:r>
        <w:rPr>
          <w:rFonts w:hint="eastAsia" w:ascii="Times New Roman"/>
        </w:rPr>
        <w:t>石油化工企业可燃气体和有毒气体检测报警设计规范</w:t>
      </w:r>
    </w:p>
    <w:p w14:paraId="281A9056">
      <w:pPr>
        <w:pStyle w:val="64"/>
        <w:outlineLvl w:val="1"/>
        <w:rPr>
          <w:rFonts w:hAnsi="Times New Roman"/>
        </w:rPr>
      </w:pPr>
      <w:bookmarkStart w:id="715" w:name="_Toc21421"/>
      <w:bookmarkStart w:id="716" w:name="_Toc8168"/>
      <w:bookmarkStart w:id="717" w:name="_Toc18590"/>
      <w:bookmarkStart w:id="718" w:name="_Toc21554"/>
      <w:bookmarkStart w:id="719" w:name="_Toc31543"/>
      <w:bookmarkStart w:id="720" w:name="_Toc10623"/>
      <w:bookmarkStart w:id="721" w:name="_Toc2757"/>
      <w:bookmarkStart w:id="722" w:name="_Toc8392"/>
      <w:bookmarkStart w:id="723" w:name="_Toc7648"/>
      <w:bookmarkStart w:id="724" w:name="_Toc10089"/>
      <w:bookmarkStart w:id="725" w:name="_Toc8760"/>
      <w:bookmarkStart w:id="726" w:name="_Toc2979"/>
      <w:bookmarkStart w:id="727" w:name="_Toc28515"/>
      <w:bookmarkStart w:id="728" w:name="_Toc27474"/>
      <w:bookmarkStart w:id="729" w:name="_Toc25873"/>
      <w:bookmarkStart w:id="730" w:name="_Toc17624"/>
      <w:bookmarkStart w:id="731" w:name="_Toc13144"/>
      <w:bookmarkStart w:id="732" w:name="_Toc1693"/>
      <w:bookmarkStart w:id="733" w:name="_Toc515984569"/>
      <w:bookmarkStart w:id="734" w:name="_Toc11191"/>
      <w:bookmarkStart w:id="735" w:name="_Toc32205"/>
      <w:bookmarkStart w:id="736" w:name="_Toc13753251"/>
      <w:bookmarkStart w:id="737" w:name="_Toc4749"/>
      <w:bookmarkStart w:id="738" w:name="_Toc9335"/>
      <w:r>
        <w:rPr>
          <w:rFonts w:hAnsi="Times New Roman"/>
        </w:rPr>
        <w:t xml:space="preserve">7.4 </w:t>
      </w:r>
      <w:r>
        <w:rPr>
          <w:rFonts w:hint="eastAsia" w:hAnsi="Times New Roman" w:cs="黑体"/>
        </w:rPr>
        <w:t>术语和定义</w:t>
      </w:r>
      <w:bookmarkEnd w:id="691"/>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49A046EF">
      <w:pPr>
        <w:ind w:firstLine="480"/>
      </w:pPr>
      <w:bookmarkStart w:id="739" w:name="_Toc453681325"/>
      <w:r>
        <w:rPr>
          <w:rFonts w:hint="eastAsia" w:cs="宋体"/>
        </w:rPr>
        <w:t>定义了环境风险、环境风险单元、液氨场所、防护距离、下风向防护距离、小泄漏、大泄漏、突发环境事件、环境应急、泄漏处理、应急演练等相关的术语和定义，如下：</w:t>
      </w:r>
    </w:p>
    <w:p w14:paraId="64389344">
      <w:pPr>
        <w:numPr>
          <w:ilvl w:val="0"/>
          <w:numId w:val="7"/>
        </w:numPr>
        <w:ind w:firstLine="480"/>
      </w:pPr>
      <w:r>
        <w:rPr>
          <w:rFonts w:hint="eastAsia" w:cs="宋体"/>
        </w:rPr>
        <w:t>环境风险　</w:t>
      </w:r>
      <w:r>
        <w:t>environmental risk</w:t>
      </w:r>
      <w:r>
        <w:rPr>
          <w:rFonts w:hint="eastAsia" w:cs="宋体"/>
        </w:rPr>
        <w:t>：发生突发环境事件的可能性及突发环境事件造成的危害程度。</w:t>
      </w:r>
    </w:p>
    <w:p w14:paraId="4A37487B">
      <w:pPr>
        <w:numPr>
          <w:ilvl w:val="0"/>
          <w:numId w:val="7"/>
        </w:numPr>
        <w:ind w:firstLine="480"/>
      </w:pPr>
      <w:r>
        <w:rPr>
          <w:rFonts w:hint="eastAsia" w:cs="宋体"/>
        </w:rPr>
        <w:t>环境风险单元　</w:t>
      </w:r>
      <w:r>
        <w:t>environmental risk unit</w:t>
      </w:r>
      <w:r>
        <w:rPr>
          <w:rFonts w:hint="eastAsia" w:cs="宋体"/>
        </w:rPr>
        <w:t>：长期或临时生产、加工、使用或存储环境风险物质的一个（套）生产装置、设施或场所或同属一个企业且边缘距离小于</w:t>
      </w:r>
      <w:r>
        <w:t>500</w:t>
      </w:r>
      <w:r>
        <w:rPr>
          <w:rFonts w:hint="eastAsia" w:cs="宋体"/>
        </w:rPr>
        <w:t>米的几个（套）生产装置、设施或场所。</w:t>
      </w:r>
    </w:p>
    <w:p w14:paraId="1EF8FA59">
      <w:pPr>
        <w:numPr>
          <w:ilvl w:val="0"/>
          <w:numId w:val="7"/>
        </w:numPr>
        <w:ind w:firstLine="480"/>
      </w:pPr>
      <w:r>
        <w:rPr>
          <w:rFonts w:hint="eastAsia" w:cs="宋体"/>
        </w:rPr>
        <w:t>液氨场所　</w:t>
      </w:r>
      <w:r>
        <w:t>liquid ammonia space</w:t>
      </w:r>
      <w:r>
        <w:rPr>
          <w:rFonts w:hint="eastAsia" w:cs="宋体"/>
        </w:rPr>
        <w:t>：液氨钢瓶储存区和储罐区、装卸区、用氨厂房的统称。</w:t>
      </w:r>
    </w:p>
    <w:p w14:paraId="3D565EF3">
      <w:pPr>
        <w:numPr>
          <w:ilvl w:val="0"/>
          <w:numId w:val="7"/>
        </w:numPr>
        <w:ind w:firstLine="480"/>
      </w:pPr>
      <w:r>
        <w:rPr>
          <w:rFonts w:hint="eastAsia" w:cs="宋体"/>
        </w:rPr>
        <w:t>防护距离　</w:t>
      </w:r>
      <w:r>
        <w:t>protecting distance</w:t>
      </w:r>
      <w:r>
        <w:rPr>
          <w:rFonts w:hint="eastAsia" w:cs="宋体"/>
        </w:rPr>
        <w:t>：以事故发生地为圆心、事故区隔离距离为半径的圆形区域，避免吸入有毒气体的防护距离。</w:t>
      </w:r>
    </w:p>
    <w:p w14:paraId="51240159">
      <w:pPr>
        <w:numPr>
          <w:ilvl w:val="0"/>
          <w:numId w:val="7"/>
        </w:numPr>
        <w:ind w:firstLine="480"/>
      </w:pPr>
      <w:r>
        <w:rPr>
          <w:rFonts w:hint="eastAsia" w:cs="宋体"/>
        </w:rPr>
        <w:t>下风向防护距离　</w:t>
      </w:r>
      <w:r>
        <w:t>downwind protecting distance</w:t>
      </w:r>
      <w:r>
        <w:rPr>
          <w:rFonts w:hint="eastAsia" w:cs="宋体"/>
        </w:rPr>
        <w:t>：在事故区下风向，以人员防护最低距离为四个边的矩形区域，应采取保护性措施的距离。</w:t>
      </w:r>
    </w:p>
    <w:p w14:paraId="4C67E1D5">
      <w:pPr>
        <w:numPr>
          <w:ilvl w:val="0"/>
          <w:numId w:val="7"/>
        </w:numPr>
        <w:ind w:firstLine="480"/>
      </w:pPr>
      <w:r>
        <w:rPr>
          <w:rFonts w:hint="eastAsia" w:cs="宋体"/>
        </w:rPr>
        <w:t>大泄漏　</w:t>
      </w:r>
      <w:r>
        <w:t>large leak</w:t>
      </w:r>
      <w:r>
        <w:rPr>
          <w:rFonts w:hint="eastAsia" w:cs="宋体"/>
        </w:rPr>
        <w:t>：孔径管径比大于或等于</w:t>
      </w:r>
      <w:r>
        <w:t>0.2</w:t>
      </w:r>
      <w:r>
        <w:rPr>
          <w:rFonts w:hint="eastAsia" w:cs="宋体"/>
        </w:rPr>
        <w:t>且泄漏孔径大于</w:t>
      </w:r>
      <w:r>
        <w:t>10mm</w:t>
      </w:r>
      <w:r>
        <w:rPr>
          <w:rFonts w:hint="eastAsia" w:cs="宋体"/>
        </w:rPr>
        <w:t>的泄露事故。</w:t>
      </w:r>
    </w:p>
    <w:p w14:paraId="5FE2E3CE">
      <w:pPr>
        <w:numPr>
          <w:ilvl w:val="0"/>
          <w:numId w:val="7"/>
        </w:numPr>
        <w:ind w:firstLine="480"/>
      </w:pPr>
      <w:r>
        <w:rPr>
          <w:rFonts w:hint="eastAsia" w:cs="宋体"/>
        </w:rPr>
        <w:t>小泄漏　</w:t>
      </w:r>
      <w:r>
        <w:t>small leak</w:t>
      </w:r>
      <w:r>
        <w:rPr>
          <w:rFonts w:hint="eastAsia" w:cs="宋体"/>
        </w:rPr>
        <w:t>：孔径管径比小于</w:t>
      </w:r>
      <w:r>
        <w:t>0.2</w:t>
      </w:r>
      <w:r>
        <w:rPr>
          <w:rFonts w:hint="eastAsia" w:cs="宋体"/>
        </w:rPr>
        <w:t>或泄漏孔径小于</w:t>
      </w:r>
      <w:r>
        <w:t>10mm</w:t>
      </w:r>
      <w:r>
        <w:rPr>
          <w:rFonts w:hint="eastAsia" w:cs="宋体"/>
        </w:rPr>
        <w:t>的泄露事故。</w:t>
      </w:r>
    </w:p>
    <w:p w14:paraId="0905710F">
      <w:pPr>
        <w:numPr>
          <w:ilvl w:val="0"/>
          <w:numId w:val="7"/>
        </w:numPr>
        <w:ind w:firstLine="480"/>
      </w:pPr>
      <w:r>
        <w:rPr>
          <w:rFonts w:hint="eastAsia" w:cs="宋体"/>
        </w:rPr>
        <w:t>突发环境事件　</w:t>
      </w:r>
      <w:r>
        <w:t>abrupt environmental accident</w:t>
      </w:r>
      <w:r>
        <w:rPr>
          <w:rFonts w:hint="eastAsia" w:cs="宋体"/>
        </w:rPr>
        <w:t>：由于污染物排放或者自然灾害、生产安全事故等因素，导致污染物或者放射性物质等有毒有害物质进入大气、水体、土壤等环境介质，突然造成或者可能造成环境质量下降，危及公众身体健康和财产安全，或者造成生态环境破坏，或者造成重大社会影响，需要采取紧急措施予以应对的事件。</w:t>
      </w:r>
    </w:p>
    <w:p w14:paraId="23CC670B">
      <w:pPr>
        <w:numPr>
          <w:ilvl w:val="0"/>
          <w:numId w:val="7"/>
        </w:numPr>
        <w:ind w:firstLine="480"/>
      </w:pPr>
      <w:r>
        <w:rPr>
          <w:rFonts w:hint="eastAsia" w:cs="宋体"/>
        </w:rPr>
        <w:t>环境应急　</w:t>
      </w:r>
      <w:r>
        <w:t>environmental emergency</w:t>
      </w:r>
      <w:r>
        <w:rPr>
          <w:rFonts w:hint="eastAsia" w:cs="宋体"/>
        </w:rPr>
        <w:t>：针对可能或已发生的突发环境事件需要立即采取某些超出正常工作程序的行动，以避免事件发生或减轻事件后果的状态，也称为紧急状态；同时也泛指立即采取超出正常工作程序的行动。</w:t>
      </w:r>
    </w:p>
    <w:p w14:paraId="2178C638">
      <w:pPr>
        <w:numPr>
          <w:ilvl w:val="0"/>
          <w:numId w:val="7"/>
        </w:numPr>
        <w:ind w:firstLine="480"/>
      </w:pPr>
      <w:r>
        <w:rPr>
          <w:rFonts w:hint="eastAsia" w:cs="宋体"/>
        </w:rPr>
        <w:t>泄漏处理　</w:t>
      </w:r>
      <w:r>
        <w:t>leak treatment</w:t>
      </w:r>
      <w:r>
        <w:rPr>
          <w:rFonts w:hint="eastAsia" w:cs="宋体"/>
        </w:rPr>
        <w:t>：泄漏处理是指对危险化学品、危险废物、放射性物质、有毒气体等污染源因事件发生泄漏时的所采取的应急处置措施。泄漏处理要及时、得当，避免重大事件的发生。泄漏处理一般分为泄漏源控制和泄漏物处置两部分。</w:t>
      </w:r>
    </w:p>
    <w:p w14:paraId="43BD6E98">
      <w:pPr>
        <w:numPr>
          <w:ilvl w:val="0"/>
          <w:numId w:val="7"/>
        </w:numPr>
        <w:ind w:firstLine="480"/>
      </w:pPr>
      <w:r>
        <w:rPr>
          <w:rFonts w:hint="eastAsia" w:cs="宋体"/>
        </w:rPr>
        <w:t>应急演练　</w:t>
      </w:r>
      <w:r>
        <w:t>Emergency</w:t>
      </w:r>
      <w:r>
        <w:rPr>
          <w:rFonts w:hint="eastAsia" w:cs="宋体"/>
        </w:rPr>
        <w:t>　</w:t>
      </w:r>
      <w:r>
        <w:t>drill</w:t>
      </w:r>
      <w:r>
        <w:rPr>
          <w:rFonts w:hint="eastAsia" w:cs="宋体"/>
        </w:rPr>
        <w:t>：为检验应急计划的有效性、应急准备的完善性、应急响应能力的适应性和应急人员的协同性而进行的一种模拟应急响应的实践活动。</w:t>
      </w:r>
    </w:p>
    <w:p w14:paraId="67DC9319">
      <w:pPr>
        <w:pStyle w:val="64"/>
        <w:outlineLvl w:val="1"/>
        <w:rPr>
          <w:rFonts w:hAnsi="Times New Roman"/>
        </w:rPr>
      </w:pPr>
      <w:bookmarkStart w:id="740" w:name="_Toc26070"/>
      <w:bookmarkStart w:id="741" w:name="_Toc28158"/>
      <w:bookmarkStart w:id="742" w:name="_Toc17765"/>
      <w:bookmarkStart w:id="743" w:name="_Toc2589"/>
      <w:bookmarkStart w:id="744" w:name="_Toc13753252"/>
      <w:bookmarkStart w:id="745" w:name="_Toc9889"/>
      <w:bookmarkStart w:id="746" w:name="_Toc7428"/>
      <w:bookmarkStart w:id="747" w:name="_Toc27651"/>
      <w:bookmarkStart w:id="748" w:name="_Toc30666"/>
      <w:bookmarkStart w:id="749" w:name="_Toc2910"/>
      <w:bookmarkStart w:id="750" w:name="_Toc17717"/>
      <w:bookmarkStart w:id="751" w:name="_Toc2034"/>
      <w:bookmarkStart w:id="752" w:name="_Toc27817"/>
      <w:bookmarkStart w:id="753" w:name="_Toc10267"/>
      <w:bookmarkStart w:id="754" w:name="_Toc29112"/>
      <w:bookmarkStart w:id="755" w:name="_Toc16952"/>
      <w:bookmarkStart w:id="756" w:name="_Toc20795"/>
      <w:bookmarkStart w:id="757" w:name="_Toc14250"/>
      <w:bookmarkStart w:id="758" w:name="_Toc19647"/>
      <w:bookmarkStart w:id="759" w:name="_Toc31431"/>
      <w:bookmarkStart w:id="760" w:name="_Toc1165"/>
      <w:bookmarkStart w:id="761" w:name="_Toc17347"/>
      <w:bookmarkStart w:id="762" w:name="_Toc20337"/>
      <w:bookmarkStart w:id="763" w:name="_Toc515984570"/>
      <w:r>
        <w:rPr>
          <w:rFonts w:hAnsi="Times New Roman"/>
        </w:rPr>
        <w:t xml:space="preserve">7.5 </w:t>
      </w:r>
      <w:r>
        <w:rPr>
          <w:rFonts w:hint="eastAsia" w:hAnsi="Times New Roman" w:cs="黑体"/>
        </w:rPr>
        <w:t>编制思路</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52B8DD7">
      <w:pPr>
        <w:ind w:firstLine="480"/>
      </w:pPr>
      <w:bookmarkStart w:id="764" w:name="OLE_LINK17"/>
      <w:r>
        <w:rPr>
          <w:rFonts w:hint="eastAsia" w:cs="宋体"/>
        </w:rPr>
        <w:t>（</w:t>
      </w:r>
      <w:r>
        <w:t>1</w:t>
      </w:r>
      <w:r>
        <w:rPr>
          <w:rFonts w:hint="eastAsia" w:cs="宋体"/>
        </w:rPr>
        <w:t>）以事故分级处置为原则</w:t>
      </w:r>
    </w:p>
    <w:p w14:paraId="639A7461">
      <w:pPr>
        <w:ind w:firstLine="480"/>
      </w:pPr>
      <w:r>
        <w:rPr>
          <w:rFonts w:hint="eastAsia" w:cs="宋体"/>
        </w:rPr>
        <w:t>根据设备损坏状况、液氨泄漏量、事态可控程度等明确液氨泄漏事故的分级，并根据分级进行应急响应和处置。明确不同事故级别下的事件报告流程，处理处置人员配备等细节。</w:t>
      </w:r>
    </w:p>
    <w:p w14:paraId="1D3B3458">
      <w:pPr>
        <w:ind w:firstLine="480"/>
      </w:pPr>
      <w:r>
        <w:rPr>
          <w:rFonts w:hint="eastAsia" w:cs="宋体"/>
        </w:rPr>
        <w:t>（</w:t>
      </w:r>
      <w:r>
        <w:t>2</w:t>
      </w:r>
      <w:r>
        <w:rPr>
          <w:rFonts w:hint="eastAsia" w:cs="宋体"/>
        </w:rPr>
        <w:t>）明确典型风险点及处置方法</w:t>
      </w:r>
    </w:p>
    <w:p w14:paraId="2D63D838">
      <w:pPr>
        <w:ind w:firstLine="480"/>
      </w:pPr>
      <w:r>
        <w:rPr>
          <w:rFonts w:hint="eastAsia" w:cs="宋体"/>
        </w:rPr>
        <w:t>对液氨贮存使用单位工作流程进行详细了解，梳理可能出现泄漏事故的位置及不同事故情况，针对不同的泄漏情况给出堵漏办法，及时切断污染源，控制污染物的扩散。</w:t>
      </w:r>
    </w:p>
    <w:p w14:paraId="628530EF">
      <w:pPr>
        <w:ind w:firstLine="480"/>
      </w:pPr>
      <w:r>
        <w:rPr>
          <w:rFonts w:hint="eastAsia" w:cs="宋体"/>
        </w:rPr>
        <w:t>（</w:t>
      </w:r>
      <w:r>
        <w:t>3</w:t>
      </w:r>
      <w:r>
        <w:rPr>
          <w:rFonts w:hint="eastAsia" w:cs="宋体"/>
        </w:rPr>
        <w:t>）突出应急处置过程中的污染防控措施</w:t>
      </w:r>
    </w:p>
    <w:p w14:paraId="4AA771AF">
      <w:pPr>
        <w:ind w:firstLine="480"/>
      </w:pPr>
      <w:r>
        <w:rPr>
          <w:rFonts w:hint="eastAsia" w:cs="宋体"/>
        </w:rPr>
        <w:t>明确防止氨气及氨水扩散的措施。如在喷淋过程中产生的废水按要求排入废水池，事故时及时封堵雨水口，必要时在泄漏区域采用围堵沙袋等措施防止废水向外排放。</w:t>
      </w:r>
      <w:bookmarkEnd w:id="764"/>
    </w:p>
    <w:p w14:paraId="73D5312B">
      <w:pPr>
        <w:numPr>
          <w:ilvl w:val="0"/>
          <w:numId w:val="8"/>
        </w:numPr>
        <w:ind w:firstLine="480"/>
      </w:pPr>
      <w:r>
        <w:rPr>
          <w:rFonts w:hint="eastAsia" w:cs="宋体"/>
        </w:rPr>
        <w:t>区分新建和现有的环境风险单元</w:t>
      </w:r>
    </w:p>
    <w:p w14:paraId="29F7EEF3">
      <w:pPr>
        <w:ind w:firstLine="0" w:firstLineChars="0"/>
      </w:pPr>
      <w:r>
        <w:t xml:space="preserve">    </w:t>
      </w:r>
      <w:r>
        <w:rPr>
          <w:rFonts w:hint="eastAsia" w:cs="宋体"/>
        </w:rPr>
        <w:t>严格控制新建的环境风险单位，在环境风险受体敏感程度较高的区域内原则上不再新建环境风险单元，选址应符合北京市城市总体规划、环境保护规划和安全专项规划，并符合大气污染防治、水资源保护、自然生态保护等要求。现有环境风险单位应通过改造，来达到相应的风险控制和应置处置规范的要求。</w:t>
      </w:r>
    </w:p>
    <w:bookmarkEnd w:id="739"/>
    <w:bookmarkEnd w:id="763"/>
    <w:p w14:paraId="3D65E1E1">
      <w:pPr>
        <w:pStyle w:val="64"/>
        <w:outlineLvl w:val="1"/>
        <w:rPr>
          <w:rFonts w:hAnsi="Times New Roman"/>
        </w:rPr>
      </w:pPr>
      <w:bookmarkStart w:id="765" w:name="_Toc21959"/>
      <w:bookmarkStart w:id="766" w:name="_Toc3025"/>
      <w:bookmarkStart w:id="767" w:name="_Toc17002"/>
      <w:bookmarkStart w:id="768" w:name="_Toc6383"/>
      <w:bookmarkStart w:id="769" w:name="_Toc12524"/>
      <w:bookmarkStart w:id="770" w:name="_Toc12687"/>
      <w:bookmarkStart w:id="771" w:name="_Toc29399"/>
      <w:bookmarkStart w:id="772" w:name="_Toc27195"/>
      <w:bookmarkStart w:id="773" w:name="_Toc21995"/>
      <w:bookmarkStart w:id="774" w:name="_Toc28185"/>
      <w:bookmarkStart w:id="775" w:name="_Toc21614"/>
      <w:bookmarkStart w:id="776" w:name="_Toc12180"/>
      <w:bookmarkStart w:id="777" w:name="_Toc5277"/>
      <w:bookmarkStart w:id="778" w:name="_Toc17610"/>
      <w:bookmarkStart w:id="779" w:name="_Toc22812"/>
      <w:bookmarkStart w:id="780" w:name="_Toc32570"/>
      <w:bookmarkStart w:id="781" w:name="_Toc19364"/>
      <w:bookmarkStart w:id="782" w:name="_Toc7854"/>
      <w:bookmarkStart w:id="783" w:name="_Toc10465"/>
      <w:bookmarkStart w:id="784" w:name="_Toc4138"/>
      <w:bookmarkStart w:id="785" w:name="_Toc4554"/>
      <w:bookmarkStart w:id="786" w:name="_Toc11962"/>
      <w:bookmarkStart w:id="787" w:name="_Toc13753253"/>
      <w:bookmarkStart w:id="788" w:name="_Toc503165855"/>
      <w:bookmarkStart w:id="789" w:name="_Toc515984571"/>
      <w:r>
        <w:rPr>
          <w:rFonts w:hAnsi="Times New Roman"/>
        </w:rPr>
        <w:t>7.6</w:t>
      </w:r>
      <w:r>
        <w:rPr>
          <w:rFonts w:hint="eastAsia" w:hAnsi="Times New Roman" w:cs="黑体"/>
        </w:rPr>
        <w:t>标准主要内容</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268FB4B9">
      <w:pPr>
        <w:pStyle w:val="47"/>
        <w:ind w:left="0" w:leftChars="0"/>
        <w:outlineLvl w:val="2"/>
      </w:pPr>
      <w:r>
        <w:t xml:space="preserve">7.6.1 </w:t>
      </w:r>
      <w:r>
        <w:rPr>
          <w:rFonts w:hint="eastAsia" w:cs="黑体"/>
        </w:rPr>
        <w:t>环境风险防控</w:t>
      </w:r>
    </w:p>
    <w:p w14:paraId="033CFCF0">
      <w:pPr>
        <w:ind w:firstLine="480"/>
      </w:pPr>
      <w:bookmarkStart w:id="790" w:name="_Toc24641"/>
      <w:r>
        <w:rPr>
          <w:rFonts w:hint="eastAsia" w:cs="宋体"/>
        </w:rPr>
        <w:t>对新建的环境风险单元和已有的环境风险单位提出不同的要求，新建项目在准入和选址提出要求和条件。对现有的风险单位从环境风险节点和环节提出相应的要求，包括环境风险预防、风险控制设施技术要求和参数。</w:t>
      </w:r>
      <w:bookmarkEnd w:id="790"/>
    </w:p>
    <w:p w14:paraId="1334C4F5">
      <w:pPr>
        <w:pStyle w:val="50"/>
        <w:outlineLvl w:val="3"/>
      </w:pPr>
      <w:bookmarkStart w:id="791" w:name="_Toc2563"/>
      <w:bookmarkStart w:id="792" w:name="_Toc1337"/>
      <w:bookmarkStart w:id="793" w:name="_Toc4964"/>
      <w:bookmarkStart w:id="794" w:name="_Toc26323"/>
      <w:bookmarkStart w:id="795" w:name="_Toc2286"/>
      <w:bookmarkStart w:id="796" w:name="_Toc20608"/>
      <w:bookmarkStart w:id="797" w:name="_Toc16079"/>
      <w:bookmarkStart w:id="798" w:name="_Toc24222"/>
      <w:bookmarkStart w:id="799" w:name="_Toc11125"/>
      <w:bookmarkStart w:id="800" w:name="_Toc24723"/>
      <w:bookmarkStart w:id="801" w:name="_Toc10004"/>
      <w:bookmarkStart w:id="802" w:name="_Toc27348"/>
      <w:bookmarkStart w:id="803" w:name="_Toc9664"/>
      <w:bookmarkStart w:id="804" w:name="_Toc16052"/>
      <w:r>
        <w:t xml:space="preserve">7.6.1.1 </w:t>
      </w:r>
      <w:r>
        <w:rPr>
          <w:rFonts w:hint="eastAsia" w:cs="黑体"/>
        </w:rPr>
        <w:t>新建环境风险单元</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Pr>
          <w:rFonts w:hint="eastAsia" w:cs="黑体"/>
        </w:rPr>
        <w:t>特殊要求</w:t>
      </w:r>
    </w:p>
    <w:p w14:paraId="62F3CBFF">
      <w:pPr>
        <w:ind w:firstLine="480"/>
      </w:pPr>
      <w:r>
        <w:rPr>
          <w:rFonts w:hint="eastAsia" w:cs="宋体"/>
        </w:rPr>
        <w:t>对于液氨贮存使用单位的环境风险防控是否及如何新建环境风险单元提出具体方法，如下：</w:t>
      </w:r>
    </w:p>
    <w:p w14:paraId="1CF947FE">
      <w:pPr>
        <w:numPr>
          <w:ilvl w:val="0"/>
          <w:numId w:val="9"/>
        </w:numPr>
        <w:ind w:firstLine="480" w:firstLineChars="0"/>
      </w:pPr>
      <w:r>
        <w:rPr>
          <w:rFonts w:hint="eastAsia" w:cs="宋体"/>
        </w:rPr>
        <w:t>在环境风险受体敏感程度较高（大气环境风险受体敏感程度依照</w:t>
      </w:r>
      <w:r>
        <w:t>HJ 941</w:t>
      </w:r>
      <w:r>
        <w:rPr>
          <w:rFonts w:hint="eastAsia" w:cs="宋体"/>
        </w:rPr>
        <w:t>确定类型为</w:t>
      </w:r>
      <w:r>
        <w:t>E1</w:t>
      </w:r>
      <w:r>
        <w:rPr>
          <w:rFonts w:hint="eastAsia" w:cs="宋体"/>
        </w:rPr>
        <w:t>）的区域内原则上不再新建环境风险单元。</w:t>
      </w:r>
    </w:p>
    <w:p w14:paraId="24460BD2">
      <w:pPr>
        <w:ind w:firstLine="480"/>
      </w:pPr>
      <w:r>
        <w:rPr>
          <w:rFonts w:hint="eastAsia" w:cs="宋体"/>
        </w:rPr>
        <w:t>（</w:t>
      </w:r>
      <w:r>
        <w:t>2</w:t>
      </w:r>
      <w:r>
        <w:rPr>
          <w:rFonts w:hint="eastAsia" w:cs="宋体"/>
        </w:rPr>
        <w:t>）选址应符合北京市城市总体规划、环境保护等专项规划，并符合大气污染防治、水资源保护、自然生态保护等要求。</w:t>
      </w:r>
    </w:p>
    <w:p w14:paraId="617512F9">
      <w:pPr>
        <w:ind w:firstLine="480"/>
      </w:pPr>
      <w:r>
        <w:rPr>
          <w:rFonts w:hint="eastAsia" w:cs="宋体"/>
        </w:rPr>
        <w:t>（</w:t>
      </w:r>
      <w:r>
        <w:t>3</w:t>
      </w:r>
      <w:r>
        <w:rPr>
          <w:rFonts w:hint="eastAsia" w:cs="宋体"/>
        </w:rPr>
        <w:t>）应依据环境影响评价结论确定环境风险单元的位置及其与周围人群的距离。在对环境风险单位进行环境影响评价时，应重点对环境风险单元可能产生的有害物质泄漏、大气污染物的产生与扩散以及可能的事故风险等因素，根据其所在地区的环境功能区类别，综合评价其对周围环境、居住人群的身体健康、日常生活和生产活动的影响，确定环境风险单元与常住居民居住场所、农用地、地表水体以及其他敏感对象之间合理的位置关系。</w:t>
      </w:r>
    </w:p>
    <w:p w14:paraId="3E7B78C4">
      <w:pPr>
        <w:pStyle w:val="50"/>
        <w:outlineLvl w:val="3"/>
      </w:pPr>
      <w:bookmarkStart w:id="805" w:name="_Toc6741"/>
      <w:bookmarkStart w:id="806" w:name="_Toc14931"/>
      <w:bookmarkStart w:id="807" w:name="_Toc10390"/>
      <w:bookmarkStart w:id="808" w:name="_Toc23536"/>
      <w:bookmarkStart w:id="809" w:name="_Toc13684"/>
      <w:bookmarkStart w:id="810" w:name="_Toc21955"/>
      <w:bookmarkStart w:id="811" w:name="_Toc29162"/>
      <w:bookmarkStart w:id="812" w:name="_Toc15242"/>
      <w:bookmarkStart w:id="813" w:name="_Toc7162"/>
      <w:bookmarkStart w:id="814" w:name="_Toc25298"/>
      <w:bookmarkStart w:id="815" w:name="_Toc4847"/>
      <w:bookmarkStart w:id="816" w:name="_Toc26990"/>
      <w:bookmarkStart w:id="817" w:name="_Toc13028"/>
      <w:bookmarkStart w:id="818" w:name="_Toc15726"/>
      <w:r>
        <w:t>7.6.1.2</w:t>
      </w:r>
      <w:r>
        <w:rPr>
          <w:rFonts w:hint="eastAsia" w:cs="黑体"/>
        </w:rPr>
        <w:t>环境风险单元</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Pr>
          <w:rFonts w:hint="eastAsia" w:cs="黑体"/>
        </w:rPr>
        <w:t>基本要求</w:t>
      </w:r>
    </w:p>
    <w:p w14:paraId="403A2BB2">
      <w:pPr>
        <w:ind w:firstLine="480"/>
      </w:pPr>
      <w:r>
        <w:rPr>
          <w:rFonts w:hint="eastAsia" w:cs="宋体"/>
        </w:rPr>
        <w:t>针对液氨贮存使用单位环境风险单元，从总体上对环境风险防控提出要求，包括制订突发环境事件应急预案及修订周期，进行风险评估包括物料泄漏量情景计算、危害后果及影响范围分析，设备设施建设要求，隐患排查制度的建立及突发环境事件应急管理及维护信息通报机制等</w:t>
      </w:r>
    </w:p>
    <w:p w14:paraId="03D937E8">
      <w:pPr>
        <w:ind w:firstLine="480"/>
      </w:pPr>
      <w:r>
        <w:t>1</w:t>
      </w:r>
      <w:r>
        <w:rPr>
          <w:rFonts w:hint="eastAsia" w:cs="宋体"/>
        </w:rPr>
        <w:t>）环境风险评估：应按照《企业突发环境事件风险评估指南》进行风险评估，按照</w:t>
      </w:r>
      <w:r>
        <w:t>HJ/T169-2004</w:t>
      </w:r>
      <w:r>
        <w:rPr>
          <w:rFonts w:hint="eastAsia" w:cs="宋体"/>
        </w:rPr>
        <w:t>进行不少于二种泄漏量的情景计算，包括危害后果及影响范围分析，并按照</w:t>
      </w:r>
      <w:r>
        <w:t>HJ941-2018</w:t>
      </w:r>
      <w:r>
        <w:rPr>
          <w:rFonts w:hint="eastAsia" w:cs="宋体"/>
        </w:rPr>
        <w:t>确定突发环境事件风险等级。</w:t>
      </w:r>
    </w:p>
    <w:p w14:paraId="3AEC1F5A">
      <w:pPr>
        <w:ind w:firstLine="480"/>
      </w:pPr>
      <w:r>
        <w:t>2</w:t>
      </w:r>
      <w:r>
        <w:rPr>
          <w:rFonts w:hint="eastAsia" w:cs="宋体"/>
        </w:rPr>
        <w:t>）环境安全隐患排查与整治：应开展环境安全隐患排查治理工作，建立隐患排查治理制度，建立隐患排查治理档案。治理档案应包括：隐患排查治理制度，年度隐患排查治理计划，隐患排查表，重大隐患治理方案，重大隐患治理验收报告，培训和演练记录以及相关会议纪要等隐患排查治理过程中形成的</w:t>
      </w:r>
      <w:r>
        <w:rPr>
          <w:rFonts w:hint="eastAsia" w:ascii="宋体" w:hAnsi="宋体" w:cs="宋体"/>
        </w:rPr>
        <w:t>各种纸质或电子版材料</w:t>
      </w:r>
      <w:r>
        <w:rPr>
          <w:rFonts w:hint="eastAsia" w:cs="宋体"/>
        </w:rPr>
        <w:t>。隐患排查治理档案按照《企业突发环境事件隐患排查和治理工作指南》（环境保护部公告</w:t>
      </w:r>
      <w:r>
        <w:t>2016</w:t>
      </w:r>
      <w:r>
        <w:rPr>
          <w:rFonts w:hint="eastAsia" w:cs="宋体"/>
        </w:rPr>
        <w:t>年</w:t>
      </w:r>
      <w:r>
        <w:t xml:space="preserve"> </w:t>
      </w:r>
      <w:r>
        <w:rPr>
          <w:rFonts w:hint="eastAsia" w:cs="宋体"/>
        </w:rPr>
        <w:t>第</w:t>
      </w:r>
      <w:r>
        <w:t>74</w:t>
      </w:r>
      <w:r>
        <w:rPr>
          <w:rFonts w:hint="eastAsia" w:cs="宋体"/>
        </w:rPr>
        <w:t>号）要求至少留存五年。突发环境事件隐患排查表和风险防控设施运行与维护排查表要求见表</w:t>
      </w:r>
      <w:r>
        <w:t>7-1</w:t>
      </w:r>
      <w:r>
        <w:rPr>
          <w:rFonts w:hint="eastAsia" w:cs="宋体"/>
        </w:rPr>
        <w:t>和</w:t>
      </w:r>
      <w:r>
        <w:t>7-2</w:t>
      </w:r>
      <w:r>
        <w:rPr>
          <w:rFonts w:hint="eastAsia" w:cs="宋体"/>
        </w:rPr>
        <w:t>。</w:t>
      </w:r>
    </w:p>
    <w:p w14:paraId="3F0E7111">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 xml:space="preserve">7-1 </w:t>
      </w:r>
      <w:r>
        <w:rPr>
          <w:rFonts w:hint="eastAsia" w:eastAsia="黑体" w:cs="黑体"/>
          <w:b/>
          <w:bCs/>
          <w:color w:val="000000"/>
        </w:rPr>
        <w:t>突发环境事件隐患排查表</w:t>
      </w:r>
    </w:p>
    <w:tbl>
      <w:tblPr>
        <w:tblStyle w:val="21"/>
        <w:tblW w:w="10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40"/>
        <w:gridCol w:w="1418"/>
        <w:gridCol w:w="3414"/>
        <w:gridCol w:w="1640"/>
        <w:gridCol w:w="1840"/>
        <w:gridCol w:w="1002"/>
      </w:tblGrid>
      <w:tr w14:paraId="4A3E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blHeader/>
          <w:jc w:val="center"/>
        </w:trPr>
        <w:tc>
          <w:tcPr>
            <w:tcW w:w="6072" w:type="dxa"/>
            <w:gridSpan w:val="3"/>
            <w:vMerge w:val="restart"/>
            <w:vAlign w:val="center"/>
          </w:tcPr>
          <w:p w14:paraId="04B373BA">
            <w:pPr>
              <w:autoSpaceDE w:val="0"/>
              <w:autoSpaceDN w:val="0"/>
              <w:adjustRightInd w:val="0"/>
              <w:snapToGrid w:val="0"/>
              <w:ind w:firstLine="0" w:firstLineChars="0"/>
              <w:jc w:val="center"/>
              <w:rPr>
                <w:rFonts w:eastAsia="黑体"/>
                <w:color w:val="000000"/>
                <w:kern w:val="0"/>
              </w:rPr>
            </w:pPr>
            <w:r>
              <w:rPr>
                <w:rFonts w:hint="eastAsia" w:eastAsia="黑体" w:cs="黑体"/>
                <w:color w:val="000000"/>
                <w:spacing w:val="20"/>
                <w:kern w:val="0"/>
              </w:rPr>
              <w:t>排查项目</w:t>
            </w:r>
          </w:p>
        </w:tc>
        <w:tc>
          <w:tcPr>
            <w:tcW w:w="4482" w:type="dxa"/>
            <w:gridSpan w:val="3"/>
            <w:vAlign w:val="center"/>
          </w:tcPr>
          <w:p w14:paraId="6161C734">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排查结果</w:t>
            </w:r>
          </w:p>
        </w:tc>
      </w:tr>
      <w:tr w14:paraId="39BE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56" w:hRule="atLeast"/>
          <w:tblHeader/>
          <w:jc w:val="center"/>
        </w:trPr>
        <w:tc>
          <w:tcPr>
            <w:tcW w:w="6072" w:type="dxa"/>
            <w:gridSpan w:val="3"/>
            <w:vMerge w:val="continue"/>
            <w:vAlign w:val="center"/>
          </w:tcPr>
          <w:p w14:paraId="69127427">
            <w:pPr>
              <w:widowControl/>
              <w:ind w:firstLine="0" w:firstLineChars="0"/>
              <w:jc w:val="left"/>
              <w:rPr>
                <w:rFonts w:eastAsia="黑体"/>
                <w:color w:val="000000"/>
                <w:kern w:val="0"/>
              </w:rPr>
            </w:pPr>
          </w:p>
        </w:tc>
        <w:tc>
          <w:tcPr>
            <w:tcW w:w="1640" w:type="dxa"/>
            <w:vAlign w:val="center"/>
          </w:tcPr>
          <w:p w14:paraId="09346923">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是</w:t>
            </w:r>
          </w:p>
          <w:p w14:paraId="37E1BF76">
            <w:pPr>
              <w:autoSpaceDE w:val="0"/>
              <w:autoSpaceDN w:val="0"/>
              <w:adjustRightInd w:val="0"/>
              <w:snapToGrid w:val="0"/>
              <w:ind w:left="-125" w:leftChars="-52" w:right="-127" w:rightChars="-53" w:firstLine="0" w:firstLineChars="0"/>
              <w:jc w:val="center"/>
              <w:rPr>
                <w:rFonts w:eastAsia="黑体"/>
                <w:color w:val="000000"/>
                <w:kern w:val="0"/>
              </w:rPr>
            </w:pPr>
            <w:r>
              <w:rPr>
                <w:rFonts w:eastAsia="黑体"/>
                <w:color w:val="000000"/>
                <w:kern w:val="0"/>
              </w:rPr>
              <w:t>(</w:t>
            </w:r>
            <w:r>
              <w:rPr>
                <w:rFonts w:hint="eastAsia" w:eastAsia="黑体" w:cs="黑体"/>
                <w:color w:val="000000"/>
                <w:kern w:val="0"/>
              </w:rPr>
              <w:t>提供证明材料</w:t>
            </w:r>
            <w:r>
              <w:rPr>
                <w:rFonts w:eastAsia="黑体"/>
                <w:color w:val="000000"/>
                <w:kern w:val="0"/>
              </w:rPr>
              <w:t>)</w:t>
            </w:r>
          </w:p>
        </w:tc>
        <w:tc>
          <w:tcPr>
            <w:tcW w:w="1840" w:type="dxa"/>
            <w:vAlign w:val="center"/>
          </w:tcPr>
          <w:p w14:paraId="7E5C0E70">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否</w:t>
            </w:r>
          </w:p>
          <w:p w14:paraId="68ACE7DC">
            <w:pPr>
              <w:autoSpaceDE w:val="0"/>
              <w:autoSpaceDN w:val="0"/>
              <w:adjustRightInd w:val="0"/>
              <w:snapToGrid w:val="0"/>
              <w:ind w:firstLine="0" w:firstLineChars="0"/>
              <w:jc w:val="center"/>
              <w:rPr>
                <w:rFonts w:eastAsia="黑体"/>
                <w:color w:val="000000"/>
                <w:kern w:val="0"/>
              </w:rPr>
            </w:pPr>
            <w:r>
              <w:rPr>
                <w:rFonts w:eastAsia="黑体"/>
                <w:color w:val="000000"/>
                <w:kern w:val="0"/>
              </w:rPr>
              <w:t>(</w:t>
            </w:r>
            <w:r>
              <w:rPr>
                <w:rFonts w:hint="eastAsia" w:eastAsia="黑体" w:cs="黑体"/>
                <w:color w:val="000000"/>
                <w:kern w:val="0"/>
              </w:rPr>
              <w:t>说明具体问题</w:t>
            </w:r>
            <w:r>
              <w:rPr>
                <w:rFonts w:eastAsia="黑体"/>
                <w:color w:val="000000"/>
                <w:kern w:val="0"/>
              </w:rPr>
              <w:t>)</w:t>
            </w:r>
          </w:p>
        </w:tc>
        <w:tc>
          <w:tcPr>
            <w:tcW w:w="1002" w:type="dxa"/>
            <w:vAlign w:val="center"/>
          </w:tcPr>
          <w:p w14:paraId="4BC747FC">
            <w:pPr>
              <w:autoSpaceDE w:val="0"/>
              <w:autoSpaceDN w:val="0"/>
              <w:adjustRightInd w:val="0"/>
              <w:snapToGrid w:val="0"/>
              <w:ind w:firstLine="0" w:firstLineChars="0"/>
              <w:jc w:val="center"/>
              <w:rPr>
                <w:rFonts w:eastAsia="黑体"/>
                <w:color w:val="000000"/>
                <w:kern w:val="0"/>
              </w:rPr>
            </w:pPr>
            <w:r>
              <w:rPr>
                <w:rFonts w:hint="eastAsia" w:eastAsia="黑体" w:cs="黑体"/>
                <w:color w:val="000000"/>
                <w:kern w:val="0"/>
              </w:rPr>
              <w:t>备　注</w:t>
            </w:r>
          </w:p>
        </w:tc>
      </w:tr>
      <w:tr w14:paraId="5CC1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restart"/>
            <w:vAlign w:val="center"/>
          </w:tcPr>
          <w:p w14:paraId="45F3AA89">
            <w:pPr>
              <w:autoSpaceDE w:val="0"/>
              <w:autoSpaceDN w:val="0"/>
              <w:adjustRightInd w:val="0"/>
              <w:snapToGrid w:val="0"/>
              <w:ind w:firstLine="0" w:firstLineChars="0"/>
              <w:rPr>
                <w:color w:val="000000"/>
                <w:kern w:val="0"/>
              </w:rPr>
            </w:pPr>
            <w:r>
              <w:rPr>
                <w:rFonts w:hint="eastAsia" w:cs="宋体"/>
                <w:color w:val="000000"/>
                <w:kern w:val="0"/>
              </w:rPr>
              <w:t>落实环评文件要求</w:t>
            </w:r>
          </w:p>
        </w:tc>
        <w:tc>
          <w:tcPr>
            <w:tcW w:w="4832" w:type="dxa"/>
            <w:gridSpan w:val="2"/>
            <w:vAlign w:val="center"/>
          </w:tcPr>
          <w:p w14:paraId="0DD3A977">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w:t>
            </w:r>
            <w:r>
              <w:rPr>
                <w:rFonts w:hint="eastAsia" w:cs="宋体"/>
                <w:color w:val="000000"/>
                <w:kern w:val="0"/>
              </w:rPr>
              <w:t>）是否有环境影响评价文件。</w:t>
            </w:r>
          </w:p>
        </w:tc>
        <w:tc>
          <w:tcPr>
            <w:tcW w:w="1640" w:type="dxa"/>
            <w:vAlign w:val="center"/>
          </w:tcPr>
          <w:p w14:paraId="49FD4B0E">
            <w:pPr>
              <w:autoSpaceDE w:val="0"/>
              <w:autoSpaceDN w:val="0"/>
              <w:adjustRightInd w:val="0"/>
              <w:snapToGrid w:val="0"/>
              <w:ind w:firstLine="0" w:firstLineChars="0"/>
              <w:jc w:val="left"/>
              <w:rPr>
                <w:color w:val="000000"/>
                <w:kern w:val="0"/>
                <w:highlight w:val="yellow"/>
              </w:rPr>
            </w:pPr>
          </w:p>
        </w:tc>
        <w:tc>
          <w:tcPr>
            <w:tcW w:w="1840" w:type="dxa"/>
            <w:vAlign w:val="center"/>
          </w:tcPr>
          <w:p w14:paraId="337497F2">
            <w:pPr>
              <w:autoSpaceDE w:val="0"/>
              <w:autoSpaceDN w:val="0"/>
              <w:adjustRightInd w:val="0"/>
              <w:snapToGrid w:val="0"/>
              <w:ind w:firstLine="0" w:firstLineChars="0"/>
              <w:jc w:val="left"/>
              <w:rPr>
                <w:color w:val="000000"/>
                <w:kern w:val="0"/>
                <w:highlight w:val="yellow"/>
              </w:rPr>
            </w:pPr>
          </w:p>
        </w:tc>
        <w:tc>
          <w:tcPr>
            <w:tcW w:w="1002" w:type="dxa"/>
            <w:vAlign w:val="center"/>
          </w:tcPr>
          <w:p w14:paraId="75172BC1">
            <w:pPr>
              <w:autoSpaceDE w:val="0"/>
              <w:autoSpaceDN w:val="0"/>
              <w:adjustRightInd w:val="0"/>
              <w:snapToGrid w:val="0"/>
              <w:ind w:firstLine="0" w:firstLineChars="0"/>
              <w:jc w:val="left"/>
              <w:rPr>
                <w:color w:val="000000"/>
                <w:kern w:val="0"/>
                <w:highlight w:val="yellow"/>
              </w:rPr>
            </w:pPr>
          </w:p>
        </w:tc>
      </w:tr>
      <w:tr w14:paraId="6C47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3C614050">
            <w:pPr>
              <w:widowControl/>
              <w:ind w:firstLine="0" w:firstLineChars="0"/>
              <w:jc w:val="left"/>
              <w:rPr>
                <w:color w:val="000000"/>
                <w:kern w:val="0"/>
              </w:rPr>
            </w:pPr>
          </w:p>
        </w:tc>
        <w:tc>
          <w:tcPr>
            <w:tcW w:w="4832" w:type="dxa"/>
            <w:gridSpan w:val="2"/>
            <w:vAlign w:val="center"/>
          </w:tcPr>
          <w:p w14:paraId="79CCDB54">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w:t>
            </w:r>
            <w:r>
              <w:rPr>
                <w:rFonts w:hint="eastAsia" w:cs="宋体"/>
                <w:color w:val="000000"/>
                <w:kern w:val="0"/>
              </w:rPr>
              <w:t>）是否有验收文件。</w:t>
            </w:r>
          </w:p>
        </w:tc>
        <w:tc>
          <w:tcPr>
            <w:tcW w:w="1640" w:type="dxa"/>
            <w:vAlign w:val="center"/>
          </w:tcPr>
          <w:p w14:paraId="5075B75F">
            <w:pPr>
              <w:autoSpaceDE w:val="0"/>
              <w:autoSpaceDN w:val="0"/>
              <w:adjustRightInd w:val="0"/>
              <w:snapToGrid w:val="0"/>
              <w:ind w:firstLine="0" w:firstLineChars="0"/>
              <w:jc w:val="left"/>
              <w:rPr>
                <w:color w:val="000000"/>
                <w:kern w:val="0"/>
                <w:highlight w:val="yellow"/>
              </w:rPr>
            </w:pPr>
          </w:p>
        </w:tc>
        <w:tc>
          <w:tcPr>
            <w:tcW w:w="1840" w:type="dxa"/>
            <w:vAlign w:val="center"/>
          </w:tcPr>
          <w:p w14:paraId="5EEC461F">
            <w:pPr>
              <w:autoSpaceDE w:val="0"/>
              <w:autoSpaceDN w:val="0"/>
              <w:adjustRightInd w:val="0"/>
              <w:snapToGrid w:val="0"/>
              <w:ind w:firstLine="0" w:firstLineChars="0"/>
              <w:jc w:val="left"/>
              <w:rPr>
                <w:color w:val="000000"/>
                <w:kern w:val="0"/>
                <w:highlight w:val="yellow"/>
              </w:rPr>
            </w:pPr>
          </w:p>
        </w:tc>
        <w:tc>
          <w:tcPr>
            <w:tcW w:w="1002" w:type="dxa"/>
            <w:vAlign w:val="center"/>
          </w:tcPr>
          <w:p w14:paraId="6359D6F7">
            <w:pPr>
              <w:autoSpaceDE w:val="0"/>
              <w:autoSpaceDN w:val="0"/>
              <w:adjustRightInd w:val="0"/>
              <w:snapToGrid w:val="0"/>
              <w:ind w:firstLine="0" w:firstLineChars="0"/>
              <w:jc w:val="left"/>
              <w:rPr>
                <w:color w:val="000000"/>
                <w:kern w:val="0"/>
                <w:highlight w:val="yellow"/>
              </w:rPr>
            </w:pPr>
          </w:p>
        </w:tc>
      </w:tr>
      <w:tr w14:paraId="1462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74" w:hRule="atLeast"/>
          <w:jc w:val="center"/>
        </w:trPr>
        <w:tc>
          <w:tcPr>
            <w:tcW w:w="1240" w:type="dxa"/>
            <w:vMerge w:val="restart"/>
            <w:vAlign w:val="center"/>
          </w:tcPr>
          <w:p w14:paraId="5B5995AD">
            <w:pPr>
              <w:ind w:firstLine="0" w:firstLineChars="0"/>
              <w:rPr>
                <w:color w:val="000000"/>
                <w:kern w:val="0"/>
              </w:rPr>
            </w:pPr>
            <w:r>
              <w:rPr>
                <w:rFonts w:hint="eastAsia" w:cs="宋体"/>
                <w:color w:val="000000"/>
                <w:kern w:val="0"/>
              </w:rPr>
              <w:t>制定应急预案并备案</w:t>
            </w:r>
          </w:p>
        </w:tc>
        <w:tc>
          <w:tcPr>
            <w:tcW w:w="4832" w:type="dxa"/>
            <w:gridSpan w:val="2"/>
            <w:vAlign w:val="center"/>
          </w:tcPr>
          <w:p w14:paraId="69A9C037">
            <w:pPr>
              <w:autoSpaceDE w:val="0"/>
              <w:autoSpaceDN w:val="0"/>
              <w:adjustRightInd w:val="0"/>
              <w:snapToGrid w:val="0"/>
              <w:ind w:firstLine="0" w:firstLineChars="0"/>
              <w:rPr>
                <w:color w:val="000000"/>
                <w:kern w:val="0"/>
              </w:rPr>
            </w:pPr>
            <w:r>
              <w:rPr>
                <w:rFonts w:hint="eastAsia" w:cs="宋体"/>
              </w:rPr>
              <w:t>（</w:t>
            </w:r>
            <w:r>
              <w:t>3</w:t>
            </w:r>
            <w:r>
              <w:rPr>
                <w:rFonts w:hint="eastAsia" w:cs="宋体"/>
              </w:rPr>
              <w:t>）是否编制风险评估报告，确定风险等级。</w:t>
            </w:r>
          </w:p>
        </w:tc>
        <w:tc>
          <w:tcPr>
            <w:tcW w:w="1640" w:type="dxa"/>
            <w:vAlign w:val="center"/>
          </w:tcPr>
          <w:p w14:paraId="412DA7AA">
            <w:pPr>
              <w:autoSpaceDE w:val="0"/>
              <w:autoSpaceDN w:val="0"/>
              <w:adjustRightInd w:val="0"/>
              <w:snapToGrid w:val="0"/>
              <w:ind w:firstLine="0" w:firstLineChars="0"/>
              <w:jc w:val="left"/>
              <w:rPr>
                <w:color w:val="000000"/>
                <w:kern w:val="0"/>
              </w:rPr>
            </w:pPr>
          </w:p>
        </w:tc>
        <w:tc>
          <w:tcPr>
            <w:tcW w:w="1840" w:type="dxa"/>
            <w:vAlign w:val="center"/>
          </w:tcPr>
          <w:p w14:paraId="009D8421">
            <w:pPr>
              <w:autoSpaceDE w:val="0"/>
              <w:autoSpaceDN w:val="0"/>
              <w:adjustRightInd w:val="0"/>
              <w:snapToGrid w:val="0"/>
              <w:ind w:firstLine="0" w:firstLineChars="0"/>
              <w:jc w:val="left"/>
              <w:rPr>
                <w:color w:val="000000"/>
                <w:kern w:val="0"/>
              </w:rPr>
            </w:pPr>
          </w:p>
        </w:tc>
        <w:tc>
          <w:tcPr>
            <w:tcW w:w="1002" w:type="dxa"/>
            <w:vAlign w:val="center"/>
          </w:tcPr>
          <w:p w14:paraId="04FFA078">
            <w:pPr>
              <w:autoSpaceDE w:val="0"/>
              <w:autoSpaceDN w:val="0"/>
              <w:adjustRightInd w:val="0"/>
              <w:snapToGrid w:val="0"/>
              <w:ind w:firstLine="0" w:firstLineChars="0"/>
              <w:jc w:val="left"/>
              <w:rPr>
                <w:color w:val="000000"/>
                <w:kern w:val="0"/>
                <w:highlight w:val="yellow"/>
              </w:rPr>
            </w:pPr>
          </w:p>
        </w:tc>
      </w:tr>
      <w:tr w14:paraId="2B44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668351BB">
            <w:pPr>
              <w:widowControl/>
              <w:ind w:firstLine="0" w:firstLineChars="0"/>
              <w:jc w:val="left"/>
              <w:rPr>
                <w:color w:val="000000"/>
                <w:kern w:val="0"/>
              </w:rPr>
            </w:pPr>
          </w:p>
        </w:tc>
        <w:tc>
          <w:tcPr>
            <w:tcW w:w="4832" w:type="dxa"/>
            <w:gridSpan w:val="2"/>
            <w:vAlign w:val="center"/>
          </w:tcPr>
          <w:p w14:paraId="1775827A">
            <w:pPr>
              <w:autoSpaceDE w:val="0"/>
              <w:autoSpaceDN w:val="0"/>
              <w:adjustRightInd w:val="0"/>
              <w:snapToGrid w:val="0"/>
              <w:ind w:firstLine="0" w:firstLineChars="0"/>
            </w:pPr>
            <w:r>
              <w:rPr>
                <w:rFonts w:hint="eastAsia" w:cs="宋体"/>
              </w:rPr>
              <w:t>（</w:t>
            </w:r>
            <w:r>
              <w:t>4</w:t>
            </w:r>
            <w:r>
              <w:rPr>
                <w:rFonts w:hint="eastAsia" w:cs="宋体"/>
              </w:rPr>
              <w:t>）是否编制应急物资调查报告。</w:t>
            </w:r>
          </w:p>
        </w:tc>
        <w:tc>
          <w:tcPr>
            <w:tcW w:w="1640" w:type="dxa"/>
            <w:vAlign w:val="center"/>
          </w:tcPr>
          <w:p w14:paraId="7807D59F">
            <w:pPr>
              <w:autoSpaceDE w:val="0"/>
              <w:autoSpaceDN w:val="0"/>
              <w:adjustRightInd w:val="0"/>
              <w:snapToGrid w:val="0"/>
              <w:ind w:firstLine="0" w:firstLineChars="0"/>
              <w:jc w:val="left"/>
              <w:rPr>
                <w:color w:val="000000"/>
                <w:kern w:val="0"/>
              </w:rPr>
            </w:pPr>
          </w:p>
        </w:tc>
        <w:tc>
          <w:tcPr>
            <w:tcW w:w="1840" w:type="dxa"/>
            <w:vAlign w:val="center"/>
          </w:tcPr>
          <w:p w14:paraId="2AE0D7AC">
            <w:pPr>
              <w:autoSpaceDE w:val="0"/>
              <w:autoSpaceDN w:val="0"/>
              <w:adjustRightInd w:val="0"/>
              <w:snapToGrid w:val="0"/>
              <w:ind w:firstLine="0" w:firstLineChars="0"/>
              <w:jc w:val="left"/>
              <w:rPr>
                <w:color w:val="000000"/>
                <w:kern w:val="0"/>
              </w:rPr>
            </w:pPr>
          </w:p>
        </w:tc>
        <w:tc>
          <w:tcPr>
            <w:tcW w:w="1002" w:type="dxa"/>
            <w:vAlign w:val="center"/>
          </w:tcPr>
          <w:p w14:paraId="11394A15">
            <w:pPr>
              <w:autoSpaceDE w:val="0"/>
              <w:autoSpaceDN w:val="0"/>
              <w:adjustRightInd w:val="0"/>
              <w:snapToGrid w:val="0"/>
              <w:ind w:firstLine="0" w:firstLineChars="0"/>
              <w:jc w:val="left"/>
              <w:rPr>
                <w:color w:val="000000"/>
                <w:kern w:val="0"/>
                <w:highlight w:val="yellow"/>
              </w:rPr>
            </w:pPr>
          </w:p>
        </w:tc>
      </w:tr>
      <w:tr w14:paraId="0A4C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24B4791B">
            <w:pPr>
              <w:widowControl/>
              <w:ind w:firstLine="0" w:firstLineChars="0"/>
              <w:jc w:val="left"/>
              <w:rPr>
                <w:color w:val="000000"/>
                <w:kern w:val="0"/>
              </w:rPr>
            </w:pPr>
          </w:p>
        </w:tc>
        <w:tc>
          <w:tcPr>
            <w:tcW w:w="4832" w:type="dxa"/>
            <w:gridSpan w:val="2"/>
            <w:vAlign w:val="center"/>
          </w:tcPr>
          <w:p w14:paraId="0F611B97">
            <w:pPr>
              <w:autoSpaceDE w:val="0"/>
              <w:autoSpaceDN w:val="0"/>
              <w:adjustRightInd w:val="0"/>
              <w:snapToGrid w:val="0"/>
              <w:ind w:firstLine="0" w:firstLineChars="0"/>
            </w:pPr>
            <w:r>
              <w:rPr>
                <w:rFonts w:hint="eastAsia" w:cs="宋体"/>
                <w:color w:val="000000"/>
                <w:kern w:val="0"/>
              </w:rPr>
              <w:t>（</w:t>
            </w:r>
            <w:r>
              <w:rPr>
                <w:color w:val="000000"/>
                <w:kern w:val="0"/>
              </w:rPr>
              <w:t>5</w:t>
            </w:r>
            <w:r>
              <w:rPr>
                <w:rFonts w:hint="eastAsia" w:cs="宋体"/>
                <w:color w:val="000000"/>
                <w:kern w:val="0"/>
              </w:rPr>
              <w:t>）是否编制突发环境事件应急预案，通过评审并与备案。</w:t>
            </w:r>
          </w:p>
        </w:tc>
        <w:tc>
          <w:tcPr>
            <w:tcW w:w="1640" w:type="dxa"/>
            <w:vAlign w:val="center"/>
          </w:tcPr>
          <w:p w14:paraId="2E3A154F">
            <w:pPr>
              <w:autoSpaceDE w:val="0"/>
              <w:autoSpaceDN w:val="0"/>
              <w:adjustRightInd w:val="0"/>
              <w:snapToGrid w:val="0"/>
              <w:ind w:firstLine="0" w:firstLineChars="0"/>
              <w:jc w:val="left"/>
              <w:rPr>
                <w:color w:val="000000"/>
                <w:kern w:val="0"/>
              </w:rPr>
            </w:pPr>
          </w:p>
        </w:tc>
        <w:tc>
          <w:tcPr>
            <w:tcW w:w="1840" w:type="dxa"/>
            <w:vAlign w:val="center"/>
          </w:tcPr>
          <w:p w14:paraId="641BA77C">
            <w:pPr>
              <w:autoSpaceDE w:val="0"/>
              <w:autoSpaceDN w:val="0"/>
              <w:adjustRightInd w:val="0"/>
              <w:snapToGrid w:val="0"/>
              <w:ind w:firstLine="0" w:firstLineChars="0"/>
              <w:jc w:val="left"/>
              <w:rPr>
                <w:color w:val="000000"/>
                <w:kern w:val="0"/>
              </w:rPr>
            </w:pPr>
          </w:p>
        </w:tc>
        <w:tc>
          <w:tcPr>
            <w:tcW w:w="1002" w:type="dxa"/>
            <w:vAlign w:val="center"/>
          </w:tcPr>
          <w:p w14:paraId="0F184165">
            <w:pPr>
              <w:autoSpaceDE w:val="0"/>
              <w:autoSpaceDN w:val="0"/>
              <w:adjustRightInd w:val="0"/>
              <w:snapToGrid w:val="0"/>
              <w:ind w:firstLine="0" w:firstLineChars="0"/>
              <w:jc w:val="left"/>
              <w:rPr>
                <w:color w:val="000000"/>
                <w:kern w:val="0"/>
                <w:highlight w:val="yellow"/>
              </w:rPr>
            </w:pPr>
          </w:p>
        </w:tc>
      </w:tr>
      <w:tr w14:paraId="5EAE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6CA3EE84">
            <w:pPr>
              <w:widowControl/>
              <w:ind w:firstLine="0" w:firstLineChars="0"/>
              <w:jc w:val="left"/>
              <w:rPr>
                <w:color w:val="000000"/>
                <w:kern w:val="0"/>
              </w:rPr>
            </w:pPr>
          </w:p>
        </w:tc>
        <w:tc>
          <w:tcPr>
            <w:tcW w:w="4832" w:type="dxa"/>
            <w:gridSpan w:val="2"/>
            <w:vAlign w:val="center"/>
          </w:tcPr>
          <w:p w14:paraId="68B3DF0E">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6</w:t>
            </w:r>
            <w:r>
              <w:rPr>
                <w:rFonts w:hint="eastAsia" w:cs="宋体"/>
                <w:color w:val="000000"/>
                <w:kern w:val="0"/>
              </w:rPr>
              <w:t>）是否及时落实评审意见。</w:t>
            </w:r>
          </w:p>
        </w:tc>
        <w:tc>
          <w:tcPr>
            <w:tcW w:w="1640" w:type="dxa"/>
            <w:vAlign w:val="center"/>
          </w:tcPr>
          <w:p w14:paraId="3A2D3FDB">
            <w:pPr>
              <w:autoSpaceDE w:val="0"/>
              <w:autoSpaceDN w:val="0"/>
              <w:adjustRightInd w:val="0"/>
              <w:snapToGrid w:val="0"/>
              <w:ind w:firstLine="0" w:firstLineChars="0"/>
              <w:jc w:val="left"/>
              <w:rPr>
                <w:color w:val="000000"/>
                <w:kern w:val="0"/>
              </w:rPr>
            </w:pPr>
          </w:p>
        </w:tc>
        <w:tc>
          <w:tcPr>
            <w:tcW w:w="1840" w:type="dxa"/>
            <w:vAlign w:val="center"/>
          </w:tcPr>
          <w:p w14:paraId="1DEF41CF">
            <w:pPr>
              <w:autoSpaceDE w:val="0"/>
              <w:autoSpaceDN w:val="0"/>
              <w:adjustRightInd w:val="0"/>
              <w:snapToGrid w:val="0"/>
              <w:ind w:firstLine="0" w:firstLineChars="0"/>
              <w:jc w:val="left"/>
              <w:rPr>
                <w:color w:val="000000"/>
                <w:kern w:val="0"/>
              </w:rPr>
            </w:pPr>
          </w:p>
        </w:tc>
        <w:tc>
          <w:tcPr>
            <w:tcW w:w="1002" w:type="dxa"/>
            <w:vAlign w:val="center"/>
          </w:tcPr>
          <w:p w14:paraId="2EF9BB36">
            <w:pPr>
              <w:autoSpaceDE w:val="0"/>
              <w:autoSpaceDN w:val="0"/>
              <w:adjustRightInd w:val="0"/>
              <w:snapToGrid w:val="0"/>
              <w:ind w:firstLine="0" w:firstLineChars="0"/>
              <w:jc w:val="left"/>
              <w:rPr>
                <w:color w:val="000000"/>
                <w:kern w:val="0"/>
                <w:highlight w:val="yellow"/>
              </w:rPr>
            </w:pPr>
          </w:p>
        </w:tc>
      </w:tr>
      <w:tr w14:paraId="563F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2982494A">
            <w:pPr>
              <w:widowControl/>
              <w:ind w:firstLine="0" w:firstLineChars="0"/>
              <w:jc w:val="left"/>
              <w:rPr>
                <w:color w:val="000000"/>
                <w:kern w:val="0"/>
              </w:rPr>
            </w:pPr>
          </w:p>
        </w:tc>
        <w:tc>
          <w:tcPr>
            <w:tcW w:w="4832" w:type="dxa"/>
            <w:gridSpan w:val="2"/>
            <w:vAlign w:val="center"/>
          </w:tcPr>
          <w:p w14:paraId="687D3C3B">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7</w:t>
            </w:r>
            <w:r>
              <w:rPr>
                <w:rFonts w:hint="eastAsia" w:cs="宋体"/>
                <w:color w:val="000000"/>
                <w:kern w:val="0"/>
              </w:rPr>
              <w:t>）氨的储存量、储存地点、储存方式、使用工序、控制参数是否发生重大变化。</w:t>
            </w:r>
          </w:p>
        </w:tc>
        <w:tc>
          <w:tcPr>
            <w:tcW w:w="1640" w:type="dxa"/>
            <w:vAlign w:val="center"/>
          </w:tcPr>
          <w:p w14:paraId="1214FDBC">
            <w:pPr>
              <w:autoSpaceDE w:val="0"/>
              <w:autoSpaceDN w:val="0"/>
              <w:adjustRightInd w:val="0"/>
              <w:snapToGrid w:val="0"/>
              <w:ind w:firstLine="0" w:firstLineChars="0"/>
              <w:jc w:val="left"/>
              <w:rPr>
                <w:color w:val="000000"/>
                <w:kern w:val="0"/>
              </w:rPr>
            </w:pPr>
          </w:p>
        </w:tc>
        <w:tc>
          <w:tcPr>
            <w:tcW w:w="1840" w:type="dxa"/>
            <w:vAlign w:val="center"/>
          </w:tcPr>
          <w:p w14:paraId="3673BE11">
            <w:pPr>
              <w:autoSpaceDE w:val="0"/>
              <w:autoSpaceDN w:val="0"/>
              <w:adjustRightInd w:val="0"/>
              <w:snapToGrid w:val="0"/>
              <w:ind w:firstLine="0" w:firstLineChars="0"/>
              <w:jc w:val="left"/>
              <w:rPr>
                <w:color w:val="000000"/>
                <w:kern w:val="0"/>
              </w:rPr>
            </w:pPr>
          </w:p>
        </w:tc>
        <w:tc>
          <w:tcPr>
            <w:tcW w:w="1002" w:type="dxa"/>
            <w:vAlign w:val="center"/>
          </w:tcPr>
          <w:p w14:paraId="4DA5A557">
            <w:pPr>
              <w:autoSpaceDE w:val="0"/>
              <w:autoSpaceDN w:val="0"/>
              <w:adjustRightInd w:val="0"/>
              <w:snapToGrid w:val="0"/>
              <w:ind w:firstLine="0" w:firstLineChars="0"/>
              <w:jc w:val="left"/>
              <w:rPr>
                <w:color w:val="000000"/>
                <w:kern w:val="0"/>
                <w:highlight w:val="yellow"/>
              </w:rPr>
            </w:pPr>
          </w:p>
        </w:tc>
      </w:tr>
      <w:tr w14:paraId="5FAD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153A3360">
            <w:pPr>
              <w:widowControl/>
              <w:ind w:firstLine="0" w:firstLineChars="0"/>
              <w:jc w:val="left"/>
              <w:rPr>
                <w:color w:val="000000"/>
                <w:kern w:val="0"/>
              </w:rPr>
            </w:pPr>
          </w:p>
        </w:tc>
        <w:tc>
          <w:tcPr>
            <w:tcW w:w="4832" w:type="dxa"/>
            <w:gridSpan w:val="2"/>
            <w:vAlign w:val="center"/>
          </w:tcPr>
          <w:p w14:paraId="46FB6E27">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8</w:t>
            </w:r>
            <w:r>
              <w:rPr>
                <w:rFonts w:hint="eastAsia" w:cs="宋体"/>
                <w:color w:val="000000"/>
                <w:kern w:val="0"/>
              </w:rPr>
              <w:t>）氨储存和使用量的变化是否影响风险等级。</w:t>
            </w:r>
          </w:p>
        </w:tc>
        <w:tc>
          <w:tcPr>
            <w:tcW w:w="1640" w:type="dxa"/>
            <w:vAlign w:val="center"/>
          </w:tcPr>
          <w:p w14:paraId="388F84FD">
            <w:pPr>
              <w:autoSpaceDE w:val="0"/>
              <w:autoSpaceDN w:val="0"/>
              <w:adjustRightInd w:val="0"/>
              <w:snapToGrid w:val="0"/>
              <w:ind w:firstLine="0" w:firstLineChars="0"/>
              <w:jc w:val="left"/>
              <w:rPr>
                <w:color w:val="000000"/>
                <w:kern w:val="0"/>
              </w:rPr>
            </w:pPr>
          </w:p>
        </w:tc>
        <w:tc>
          <w:tcPr>
            <w:tcW w:w="1840" w:type="dxa"/>
            <w:vAlign w:val="center"/>
          </w:tcPr>
          <w:p w14:paraId="365073FC">
            <w:pPr>
              <w:autoSpaceDE w:val="0"/>
              <w:autoSpaceDN w:val="0"/>
              <w:adjustRightInd w:val="0"/>
              <w:snapToGrid w:val="0"/>
              <w:ind w:firstLine="0" w:firstLineChars="0"/>
              <w:jc w:val="left"/>
              <w:rPr>
                <w:color w:val="000000"/>
                <w:kern w:val="0"/>
              </w:rPr>
            </w:pPr>
          </w:p>
        </w:tc>
        <w:tc>
          <w:tcPr>
            <w:tcW w:w="1002" w:type="dxa"/>
            <w:vAlign w:val="center"/>
          </w:tcPr>
          <w:p w14:paraId="599CB909">
            <w:pPr>
              <w:autoSpaceDE w:val="0"/>
              <w:autoSpaceDN w:val="0"/>
              <w:adjustRightInd w:val="0"/>
              <w:snapToGrid w:val="0"/>
              <w:ind w:firstLine="0" w:firstLineChars="0"/>
              <w:jc w:val="left"/>
              <w:rPr>
                <w:color w:val="000000"/>
                <w:kern w:val="0"/>
                <w:highlight w:val="yellow"/>
              </w:rPr>
            </w:pPr>
          </w:p>
        </w:tc>
      </w:tr>
      <w:tr w14:paraId="578B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2B77CA0F">
            <w:pPr>
              <w:widowControl/>
              <w:ind w:firstLine="0" w:firstLineChars="0"/>
              <w:jc w:val="left"/>
              <w:rPr>
                <w:color w:val="000000"/>
                <w:kern w:val="0"/>
              </w:rPr>
            </w:pPr>
          </w:p>
        </w:tc>
        <w:tc>
          <w:tcPr>
            <w:tcW w:w="4832" w:type="dxa"/>
            <w:gridSpan w:val="2"/>
            <w:vAlign w:val="center"/>
          </w:tcPr>
          <w:p w14:paraId="3B1DC2F9">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9</w:t>
            </w:r>
            <w:r>
              <w:rPr>
                <w:rFonts w:hint="eastAsia" w:cs="宋体"/>
                <w:color w:val="000000"/>
                <w:kern w:val="0"/>
              </w:rPr>
              <w:t>）突发环境事件应急预案是否至少每三年进行一次回顾性修订。</w:t>
            </w:r>
          </w:p>
        </w:tc>
        <w:tc>
          <w:tcPr>
            <w:tcW w:w="1640" w:type="dxa"/>
            <w:vAlign w:val="center"/>
          </w:tcPr>
          <w:p w14:paraId="0720A56C">
            <w:pPr>
              <w:autoSpaceDE w:val="0"/>
              <w:autoSpaceDN w:val="0"/>
              <w:adjustRightInd w:val="0"/>
              <w:snapToGrid w:val="0"/>
              <w:ind w:firstLine="0" w:firstLineChars="0"/>
              <w:rPr>
                <w:color w:val="000000"/>
                <w:kern w:val="0"/>
              </w:rPr>
            </w:pPr>
          </w:p>
        </w:tc>
        <w:tc>
          <w:tcPr>
            <w:tcW w:w="1840" w:type="dxa"/>
            <w:vAlign w:val="center"/>
          </w:tcPr>
          <w:p w14:paraId="3E988EF4">
            <w:pPr>
              <w:autoSpaceDE w:val="0"/>
              <w:autoSpaceDN w:val="0"/>
              <w:adjustRightInd w:val="0"/>
              <w:snapToGrid w:val="0"/>
              <w:ind w:firstLine="0" w:firstLineChars="0"/>
              <w:rPr>
                <w:color w:val="000000"/>
                <w:kern w:val="0"/>
              </w:rPr>
            </w:pPr>
          </w:p>
        </w:tc>
        <w:tc>
          <w:tcPr>
            <w:tcW w:w="1002" w:type="dxa"/>
            <w:vAlign w:val="center"/>
          </w:tcPr>
          <w:p w14:paraId="10F603C1">
            <w:pPr>
              <w:autoSpaceDE w:val="0"/>
              <w:autoSpaceDN w:val="0"/>
              <w:adjustRightInd w:val="0"/>
              <w:snapToGrid w:val="0"/>
              <w:ind w:firstLine="0" w:firstLineChars="0"/>
              <w:rPr>
                <w:color w:val="000000"/>
                <w:kern w:val="0"/>
                <w:highlight w:val="yellow"/>
              </w:rPr>
            </w:pPr>
          </w:p>
        </w:tc>
      </w:tr>
      <w:tr w14:paraId="3A18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78E9E774">
            <w:pPr>
              <w:widowControl/>
              <w:ind w:firstLine="0" w:firstLineChars="0"/>
              <w:jc w:val="left"/>
              <w:rPr>
                <w:color w:val="000000"/>
                <w:kern w:val="0"/>
              </w:rPr>
            </w:pPr>
          </w:p>
        </w:tc>
        <w:tc>
          <w:tcPr>
            <w:tcW w:w="1418" w:type="dxa"/>
            <w:vMerge w:val="restart"/>
            <w:vAlign w:val="center"/>
          </w:tcPr>
          <w:p w14:paraId="2E6050D5">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10</w:t>
            </w:r>
            <w:r>
              <w:rPr>
                <w:rFonts w:hint="eastAsia" w:cs="宋体"/>
                <w:color w:val="000000"/>
                <w:kern w:val="0"/>
              </w:rPr>
              <w:t>）出现下列情况之一时预案是否进行了及时修订。</w:t>
            </w:r>
          </w:p>
        </w:tc>
        <w:tc>
          <w:tcPr>
            <w:tcW w:w="3414" w:type="dxa"/>
            <w:vAlign w:val="center"/>
          </w:tcPr>
          <w:p w14:paraId="20ED8839">
            <w:pPr>
              <w:autoSpaceDE w:val="0"/>
              <w:autoSpaceDN w:val="0"/>
              <w:adjustRightInd w:val="0"/>
              <w:snapToGrid w:val="0"/>
              <w:ind w:firstLine="0" w:firstLineChars="0"/>
              <w:rPr>
                <w:color w:val="000000"/>
                <w:kern w:val="0"/>
              </w:rPr>
            </w:pPr>
            <w:r>
              <w:rPr>
                <w:color w:val="000000"/>
                <w:kern w:val="0"/>
              </w:rPr>
              <w:t>1</w:t>
            </w:r>
            <w:r>
              <w:rPr>
                <w:rFonts w:hint="eastAsia" w:cs="宋体"/>
                <w:color w:val="000000"/>
                <w:kern w:val="0"/>
              </w:rPr>
              <w:t>）涉氨单元发生重大变化，导致突发环境事件风险等级发生变化的；</w:t>
            </w:r>
          </w:p>
        </w:tc>
        <w:tc>
          <w:tcPr>
            <w:tcW w:w="1640" w:type="dxa"/>
            <w:vAlign w:val="center"/>
          </w:tcPr>
          <w:p w14:paraId="4DA9CB74">
            <w:pPr>
              <w:autoSpaceDE w:val="0"/>
              <w:autoSpaceDN w:val="0"/>
              <w:adjustRightInd w:val="0"/>
              <w:snapToGrid w:val="0"/>
              <w:ind w:firstLine="0" w:firstLineChars="0"/>
              <w:rPr>
                <w:color w:val="000000"/>
                <w:kern w:val="0"/>
              </w:rPr>
            </w:pPr>
          </w:p>
        </w:tc>
        <w:tc>
          <w:tcPr>
            <w:tcW w:w="1840" w:type="dxa"/>
            <w:vAlign w:val="center"/>
          </w:tcPr>
          <w:p w14:paraId="705CC3CE">
            <w:pPr>
              <w:autoSpaceDE w:val="0"/>
              <w:autoSpaceDN w:val="0"/>
              <w:adjustRightInd w:val="0"/>
              <w:snapToGrid w:val="0"/>
              <w:ind w:firstLine="0" w:firstLineChars="0"/>
              <w:jc w:val="left"/>
              <w:rPr>
                <w:color w:val="000000"/>
                <w:kern w:val="0"/>
              </w:rPr>
            </w:pPr>
          </w:p>
        </w:tc>
        <w:tc>
          <w:tcPr>
            <w:tcW w:w="1002" w:type="dxa"/>
            <w:vAlign w:val="center"/>
          </w:tcPr>
          <w:p w14:paraId="7519ED1C">
            <w:pPr>
              <w:autoSpaceDE w:val="0"/>
              <w:autoSpaceDN w:val="0"/>
              <w:adjustRightInd w:val="0"/>
              <w:snapToGrid w:val="0"/>
              <w:ind w:firstLine="0" w:firstLineChars="0"/>
              <w:jc w:val="left"/>
              <w:rPr>
                <w:color w:val="000000"/>
                <w:kern w:val="0"/>
                <w:highlight w:val="yellow"/>
              </w:rPr>
            </w:pPr>
          </w:p>
        </w:tc>
      </w:tr>
      <w:tr w14:paraId="41FA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0DF33C98">
            <w:pPr>
              <w:widowControl/>
              <w:ind w:firstLine="0" w:firstLineChars="0"/>
              <w:jc w:val="left"/>
              <w:rPr>
                <w:color w:val="000000"/>
                <w:kern w:val="0"/>
              </w:rPr>
            </w:pPr>
          </w:p>
        </w:tc>
        <w:tc>
          <w:tcPr>
            <w:tcW w:w="1418" w:type="dxa"/>
            <w:vMerge w:val="continue"/>
            <w:vAlign w:val="center"/>
          </w:tcPr>
          <w:p w14:paraId="4FD3BB74">
            <w:pPr>
              <w:widowControl/>
              <w:ind w:firstLine="0" w:firstLineChars="0"/>
              <w:jc w:val="left"/>
              <w:rPr>
                <w:color w:val="000000"/>
                <w:kern w:val="0"/>
              </w:rPr>
            </w:pPr>
          </w:p>
        </w:tc>
        <w:tc>
          <w:tcPr>
            <w:tcW w:w="3414" w:type="dxa"/>
            <w:vAlign w:val="center"/>
          </w:tcPr>
          <w:p w14:paraId="72C10A90">
            <w:pPr>
              <w:autoSpaceDE w:val="0"/>
              <w:autoSpaceDN w:val="0"/>
              <w:adjustRightInd w:val="0"/>
              <w:snapToGrid w:val="0"/>
              <w:ind w:firstLine="0" w:firstLineChars="0"/>
              <w:rPr>
                <w:color w:val="000000"/>
                <w:kern w:val="0"/>
              </w:rPr>
            </w:pPr>
            <w:r>
              <w:rPr>
                <w:color w:val="000000"/>
                <w:kern w:val="0"/>
              </w:rPr>
              <w:t>2</w:t>
            </w:r>
            <w:r>
              <w:rPr>
                <w:rFonts w:hint="eastAsia" w:cs="宋体"/>
                <w:color w:val="000000"/>
                <w:kern w:val="0"/>
              </w:rPr>
              <w:t>）风险防范措施发生变化；</w:t>
            </w:r>
          </w:p>
        </w:tc>
        <w:tc>
          <w:tcPr>
            <w:tcW w:w="1640" w:type="dxa"/>
            <w:vAlign w:val="center"/>
          </w:tcPr>
          <w:p w14:paraId="220128D7">
            <w:pPr>
              <w:autoSpaceDE w:val="0"/>
              <w:autoSpaceDN w:val="0"/>
              <w:adjustRightInd w:val="0"/>
              <w:snapToGrid w:val="0"/>
              <w:ind w:firstLine="0" w:firstLineChars="0"/>
              <w:rPr>
                <w:color w:val="000000"/>
                <w:kern w:val="0"/>
              </w:rPr>
            </w:pPr>
          </w:p>
        </w:tc>
        <w:tc>
          <w:tcPr>
            <w:tcW w:w="1840" w:type="dxa"/>
            <w:vAlign w:val="center"/>
          </w:tcPr>
          <w:p w14:paraId="17131462">
            <w:pPr>
              <w:autoSpaceDE w:val="0"/>
              <w:autoSpaceDN w:val="0"/>
              <w:adjustRightInd w:val="0"/>
              <w:snapToGrid w:val="0"/>
              <w:ind w:firstLine="0" w:firstLineChars="0"/>
              <w:jc w:val="left"/>
              <w:rPr>
                <w:color w:val="000000"/>
                <w:kern w:val="0"/>
              </w:rPr>
            </w:pPr>
          </w:p>
        </w:tc>
        <w:tc>
          <w:tcPr>
            <w:tcW w:w="1002" w:type="dxa"/>
            <w:vAlign w:val="center"/>
          </w:tcPr>
          <w:p w14:paraId="1CB4EADC">
            <w:pPr>
              <w:autoSpaceDE w:val="0"/>
              <w:autoSpaceDN w:val="0"/>
              <w:adjustRightInd w:val="0"/>
              <w:snapToGrid w:val="0"/>
              <w:ind w:firstLine="0" w:firstLineChars="0"/>
              <w:jc w:val="left"/>
              <w:rPr>
                <w:color w:val="000000"/>
                <w:kern w:val="0"/>
                <w:highlight w:val="yellow"/>
              </w:rPr>
            </w:pPr>
          </w:p>
        </w:tc>
      </w:tr>
      <w:tr w14:paraId="7673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77178F1E">
            <w:pPr>
              <w:widowControl/>
              <w:ind w:firstLine="0" w:firstLineChars="0"/>
              <w:jc w:val="left"/>
              <w:rPr>
                <w:color w:val="000000"/>
                <w:kern w:val="0"/>
              </w:rPr>
            </w:pPr>
          </w:p>
        </w:tc>
        <w:tc>
          <w:tcPr>
            <w:tcW w:w="1418" w:type="dxa"/>
            <w:vMerge w:val="continue"/>
            <w:vAlign w:val="center"/>
          </w:tcPr>
          <w:p w14:paraId="583B126F">
            <w:pPr>
              <w:widowControl/>
              <w:ind w:firstLine="0" w:firstLineChars="0"/>
              <w:jc w:val="left"/>
              <w:rPr>
                <w:color w:val="000000"/>
                <w:kern w:val="0"/>
              </w:rPr>
            </w:pPr>
          </w:p>
        </w:tc>
        <w:tc>
          <w:tcPr>
            <w:tcW w:w="3414" w:type="dxa"/>
            <w:vAlign w:val="center"/>
          </w:tcPr>
          <w:p w14:paraId="785BEC54">
            <w:pPr>
              <w:autoSpaceDE w:val="0"/>
              <w:autoSpaceDN w:val="0"/>
              <w:adjustRightInd w:val="0"/>
              <w:snapToGrid w:val="0"/>
              <w:ind w:firstLine="0" w:firstLineChars="0"/>
              <w:rPr>
                <w:color w:val="000000"/>
                <w:kern w:val="0"/>
              </w:rPr>
            </w:pPr>
            <w:r>
              <w:rPr>
                <w:color w:val="000000"/>
                <w:kern w:val="0"/>
              </w:rPr>
              <w:t>3</w:t>
            </w:r>
            <w:r>
              <w:rPr>
                <w:rFonts w:hint="eastAsia" w:cs="宋体"/>
                <w:color w:val="000000"/>
                <w:kern w:val="0"/>
              </w:rPr>
              <w:t>）应急指挥体系机构、人员与职责发生重大变化的；</w:t>
            </w:r>
          </w:p>
        </w:tc>
        <w:tc>
          <w:tcPr>
            <w:tcW w:w="1640" w:type="dxa"/>
            <w:vAlign w:val="center"/>
          </w:tcPr>
          <w:p w14:paraId="7F06586C">
            <w:pPr>
              <w:autoSpaceDE w:val="0"/>
              <w:autoSpaceDN w:val="0"/>
              <w:adjustRightInd w:val="0"/>
              <w:snapToGrid w:val="0"/>
              <w:ind w:firstLine="0" w:firstLineChars="0"/>
              <w:rPr>
                <w:color w:val="000000"/>
                <w:kern w:val="0"/>
              </w:rPr>
            </w:pPr>
          </w:p>
        </w:tc>
        <w:tc>
          <w:tcPr>
            <w:tcW w:w="1840" w:type="dxa"/>
            <w:vAlign w:val="center"/>
          </w:tcPr>
          <w:p w14:paraId="002846D4">
            <w:pPr>
              <w:autoSpaceDE w:val="0"/>
              <w:autoSpaceDN w:val="0"/>
              <w:adjustRightInd w:val="0"/>
              <w:snapToGrid w:val="0"/>
              <w:ind w:firstLine="0" w:firstLineChars="0"/>
              <w:jc w:val="left"/>
              <w:rPr>
                <w:color w:val="000000"/>
                <w:kern w:val="0"/>
              </w:rPr>
            </w:pPr>
          </w:p>
        </w:tc>
        <w:tc>
          <w:tcPr>
            <w:tcW w:w="1002" w:type="dxa"/>
            <w:vAlign w:val="center"/>
          </w:tcPr>
          <w:p w14:paraId="60267496">
            <w:pPr>
              <w:autoSpaceDE w:val="0"/>
              <w:autoSpaceDN w:val="0"/>
              <w:adjustRightInd w:val="0"/>
              <w:snapToGrid w:val="0"/>
              <w:ind w:firstLine="0" w:firstLineChars="0"/>
              <w:jc w:val="left"/>
              <w:rPr>
                <w:color w:val="000000"/>
                <w:kern w:val="0"/>
                <w:highlight w:val="yellow"/>
              </w:rPr>
            </w:pPr>
          </w:p>
        </w:tc>
      </w:tr>
      <w:tr w14:paraId="5309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1" w:hRule="atLeast"/>
          <w:jc w:val="center"/>
        </w:trPr>
        <w:tc>
          <w:tcPr>
            <w:tcW w:w="1240" w:type="dxa"/>
            <w:vMerge w:val="continue"/>
            <w:vAlign w:val="center"/>
          </w:tcPr>
          <w:p w14:paraId="74598DE3">
            <w:pPr>
              <w:widowControl/>
              <w:ind w:firstLine="0" w:firstLineChars="0"/>
              <w:jc w:val="left"/>
              <w:rPr>
                <w:color w:val="000000"/>
                <w:kern w:val="0"/>
              </w:rPr>
            </w:pPr>
          </w:p>
        </w:tc>
        <w:tc>
          <w:tcPr>
            <w:tcW w:w="1418" w:type="dxa"/>
            <w:vMerge w:val="continue"/>
            <w:vAlign w:val="center"/>
          </w:tcPr>
          <w:p w14:paraId="791B3D10">
            <w:pPr>
              <w:widowControl/>
              <w:ind w:firstLine="0" w:firstLineChars="0"/>
              <w:jc w:val="left"/>
              <w:rPr>
                <w:color w:val="000000"/>
                <w:kern w:val="0"/>
              </w:rPr>
            </w:pPr>
          </w:p>
        </w:tc>
        <w:tc>
          <w:tcPr>
            <w:tcW w:w="3414" w:type="dxa"/>
            <w:vAlign w:val="center"/>
          </w:tcPr>
          <w:p w14:paraId="1681CEEE">
            <w:pPr>
              <w:autoSpaceDE w:val="0"/>
              <w:autoSpaceDN w:val="0"/>
              <w:adjustRightInd w:val="0"/>
              <w:snapToGrid w:val="0"/>
              <w:ind w:firstLine="0" w:firstLineChars="0"/>
              <w:rPr>
                <w:color w:val="000000"/>
                <w:kern w:val="0"/>
              </w:rPr>
            </w:pPr>
            <w:r>
              <w:rPr>
                <w:color w:val="000000"/>
                <w:kern w:val="0"/>
              </w:rPr>
              <w:t>4</w:t>
            </w:r>
            <w:r>
              <w:rPr>
                <w:rFonts w:hint="eastAsia" w:cs="宋体"/>
                <w:color w:val="000000"/>
                <w:kern w:val="0"/>
              </w:rPr>
              <w:t>）在突发环境事件实际应对和应急演练中发现问题，需要对环境应急预案作出重大调整的。</w:t>
            </w:r>
          </w:p>
        </w:tc>
        <w:tc>
          <w:tcPr>
            <w:tcW w:w="1640" w:type="dxa"/>
            <w:vAlign w:val="center"/>
          </w:tcPr>
          <w:p w14:paraId="0ECA2DFC">
            <w:pPr>
              <w:autoSpaceDE w:val="0"/>
              <w:autoSpaceDN w:val="0"/>
              <w:adjustRightInd w:val="0"/>
              <w:snapToGrid w:val="0"/>
              <w:ind w:firstLine="0" w:firstLineChars="0"/>
              <w:rPr>
                <w:color w:val="000000"/>
                <w:kern w:val="0"/>
              </w:rPr>
            </w:pPr>
          </w:p>
        </w:tc>
        <w:tc>
          <w:tcPr>
            <w:tcW w:w="1840" w:type="dxa"/>
            <w:vAlign w:val="center"/>
          </w:tcPr>
          <w:p w14:paraId="75F4FCF7">
            <w:pPr>
              <w:autoSpaceDE w:val="0"/>
              <w:autoSpaceDN w:val="0"/>
              <w:adjustRightInd w:val="0"/>
              <w:snapToGrid w:val="0"/>
              <w:ind w:firstLine="0" w:firstLineChars="0"/>
              <w:jc w:val="left"/>
              <w:rPr>
                <w:color w:val="000000"/>
                <w:kern w:val="0"/>
              </w:rPr>
            </w:pPr>
          </w:p>
        </w:tc>
        <w:tc>
          <w:tcPr>
            <w:tcW w:w="1002" w:type="dxa"/>
            <w:vAlign w:val="center"/>
          </w:tcPr>
          <w:p w14:paraId="746240EB">
            <w:pPr>
              <w:autoSpaceDE w:val="0"/>
              <w:autoSpaceDN w:val="0"/>
              <w:adjustRightInd w:val="0"/>
              <w:snapToGrid w:val="0"/>
              <w:ind w:firstLine="0" w:firstLineChars="0"/>
              <w:jc w:val="left"/>
              <w:rPr>
                <w:color w:val="000000"/>
                <w:kern w:val="0"/>
                <w:highlight w:val="yellow"/>
              </w:rPr>
            </w:pPr>
          </w:p>
        </w:tc>
      </w:tr>
      <w:tr w14:paraId="0521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restart"/>
          </w:tcPr>
          <w:p w14:paraId="32F57DF2">
            <w:pPr>
              <w:autoSpaceDE w:val="0"/>
              <w:autoSpaceDN w:val="0"/>
              <w:adjustRightInd w:val="0"/>
              <w:snapToGrid w:val="0"/>
              <w:ind w:firstLine="0" w:firstLineChars="0"/>
              <w:rPr>
                <w:color w:val="000000"/>
                <w:kern w:val="0"/>
              </w:rPr>
            </w:pPr>
          </w:p>
          <w:p w14:paraId="7E679326">
            <w:pPr>
              <w:autoSpaceDE w:val="0"/>
              <w:autoSpaceDN w:val="0"/>
              <w:adjustRightInd w:val="0"/>
              <w:snapToGrid w:val="0"/>
              <w:ind w:firstLine="0" w:firstLineChars="0"/>
              <w:rPr>
                <w:color w:val="000000"/>
                <w:kern w:val="0"/>
              </w:rPr>
            </w:pPr>
          </w:p>
          <w:p w14:paraId="49792B67">
            <w:pPr>
              <w:autoSpaceDE w:val="0"/>
              <w:autoSpaceDN w:val="0"/>
              <w:adjustRightInd w:val="0"/>
              <w:snapToGrid w:val="0"/>
              <w:ind w:firstLine="0" w:firstLineChars="0"/>
              <w:rPr>
                <w:color w:val="000000"/>
                <w:kern w:val="0"/>
              </w:rPr>
            </w:pPr>
          </w:p>
          <w:p w14:paraId="0A41E867">
            <w:pPr>
              <w:autoSpaceDE w:val="0"/>
              <w:autoSpaceDN w:val="0"/>
              <w:adjustRightInd w:val="0"/>
              <w:snapToGrid w:val="0"/>
              <w:ind w:firstLine="0" w:firstLineChars="0"/>
              <w:rPr>
                <w:color w:val="000000"/>
                <w:kern w:val="0"/>
              </w:rPr>
            </w:pPr>
            <w:r>
              <w:rPr>
                <w:rFonts w:hint="eastAsia" w:cs="宋体"/>
                <w:color w:val="000000"/>
                <w:kern w:val="0"/>
              </w:rPr>
              <w:t>建立隐患排查和治理制度</w:t>
            </w:r>
          </w:p>
        </w:tc>
        <w:tc>
          <w:tcPr>
            <w:tcW w:w="4832" w:type="dxa"/>
            <w:gridSpan w:val="2"/>
            <w:vAlign w:val="center"/>
          </w:tcPr>
          <w:p w14:paraId="5D73C78F">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11</w:t>
            </w:r>
            <w:r>
              <w:rPr>
                <w:rFonts w:hint="eastAsia" w:cs="宋体"/>
                <w:color w:val="000000"/>
                <w:kern w:val="0"/>
              </w:rPr>
              <w:t>）是否建立隐患排查治理责任制。</w:t>
            </w:r>
          </w:p>
        </w:tc>
        <w:tc>
          <w:tcPr>
            <w:tcW w:w="1640" w:type="dxa"/>
            <w:vAlign w:val="center"/>
          </w:tcPr>
          <w:p w14:paraId="61972E08">
            <w:pPr>
              <w:autoSpaceDE w:val="0"/>
              <w:autoSpaceDN w:val="0"/>
              <w:adjustRightInd w:val="0"/>
              <w:snapToGrid w:val="0"/>
              <w:ind w:firstLine="0" w:firstLineChars="0"/>
              <w:rPr>
                <w:color w:val="000000"/>
                <w:kern w:val="0"/>
              </w:rPr>
            </w:pPr>
          </w:p>
        </w:tc>
        <w:tc>
          <w:tcPr>
            <w:tcW w:w="1840" w:type="dxa"/>
            <w:vAlign w:val="center"/>
          </w:tcPr>
          <w:p w14:paraId="5BF68045">
            <w:pPr>
              <w:autoSpaceDE w:val="0"/>
              <w:autoSpaceDN w:val="0"/>
              <w:adjustRightInd w:val="0"/>
              <w:snapToGrid w:val="0"/>
              <w:ind w:firstLine="0" w:firstLineChars="0"/>
              <w:jc w:val="left"/>
              <w:rPr>
                <w:color w:val="000000"/>
                <w:kern w:val="0"/>
              </w:rPr>
            </w:pPr>
          </w:p>
        </w:tc>
        <w:tc>
          <w:tcPr>
            <w:tcW w:w="1002" w:type="dxa"/>
            <w:vAlign w:val="center"/>
          </w:tcPr>
          <w:p w14:paraId="6335BCA9">
            <w:pPr>
              <w:autoSpaceDE w:val="0"/>
              <w:autoSpaceDN w:val="0"/>
              <w:adjustRightInd w:val="0"/>
              <w:snapToGrid w:val="0"/>
              <w:ind w:firstLine="0" w:firstLineChars="0"/>
              <w:jc w:val="left"/>
              <w:rPr>
                <w:color w:val="000000"/>
                <w:kern w:val="0"/>
                <w:highlight w:val="yellow"/>
              </w:rPr>
            </w:pPr>
          </w:p>
        </w:tc>
      </w:tr>
      <w:tr w14:paraId="30DD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3624C913">
            <w:pPr>
              <w:widowControl/>
              <w:ind w:firstLine="0" w:firstLineChars="0"/>
              <w:jc w:val="left"/>
              <w:rPr>
                <w:color w:val="000000"/>
                <w:kern w:val="0"/>
              </w:rPr>
            </w:pPr>
          </w:p>
        </w:tc>
        <w:tc>
          <w:tcPr>
            <w:tcW w:w="4832" w:type="dxa"/>
            <w:gridSpan w:val="2"/>
            <w:vAlign w:val="center"/>
          </w:tcPr>
          <w:p w14:paraId="55FB652E">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12</w:t>
            </w:r>
            <w:r>
              <w:rPr>
                <w:rFonts w:hint="eastAsia" w:cs="宋体"/>
                <w:color w:val="000000"/>
                <w:kern w:val="0"/>
              </w:rPr>
              <w:t>）是否制定本单位的隐患分级规定。</w:t>
            </w:r>
          </w:p>
        </w:tc>
        <w:tc>
          <w:tcPr>
            <w:tcW w:w="1640" w:type="dxa"/>
            <w:vAlign w:val="center"/>
          </w:tcPr>
          <w:p w14:paraId="60AE47A9">
            <w:pPr>
              <w:autoSpaceDE w:val="0"/>
              <w:autoSpaceDN w:val="0"/>
              <w:adjustRightInd w:val="0"/>
              <w:snapToGrid w:val="0"/>
              <w:ind w:firstLine="0" w:firstLineChars="0"/>
              <w:rPr>
                <w:color w:val="000000"/>
                <w:kern w:val="0"/>
              </w:rPr>
            </w:pPr>
          </w:p>
        </w:tc>
        <w:tc>
          <w:tcPr>
            <w:tcW w:w="1840" w:type="dxa"/>
            <w:vAlign w:val="center"/>
          </w:tcPr>
          <w:p w14:paraId="01A47364">
            <w:pPr>
              <w:autoSpaceDE w:val="0"/>
              <w:autoSpaceDN w:val="0"/>
              <w:adjustRightInd w:val="0"/>
              <w:snapToGrid w:val="0"/>
              <w:ind w:firstLine="0" w:firstLineChars="0"/>
              <w:jc w:val="left"/>
              <w:rPr>
                <w:color w:val="000000"/>
                <w:kern w:val="0"/>
              </w:rPr>
            </w:pPr>
          </w:p>
        </w:tc>
        <w:tc>
          <w:tcPr>
            <w:tcW w:w="1002" w:type="dxa"/>
            <w:vAlign w:val="center"/>
          </w:tcPr>
          <w:p w14:paraId="5D34F5F3">
            <w:pPr>
              <w:autoSpaceDE w:val="0"/>
              <w:autoSpaceDN w:val="0"/>
              <w:adjustRightInd w:val="0"/>
              <w:snapToGrid w:val="0"/>
              <w:ind w:firstLine="0" w:firstLineChars="0"/>
              <w:jc w:val="left"/>
              <w:rPr>
                <w:color w:val="000000"/>
                <w:kern w:val="0"/>
                <w:highlight w:val="yellow"/>
              </w:rPr>
            </w:pPr>
          </w:p>
        </w:tc>
      </w:tr>
      <w:tr w14:paraId="6043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3260F5A6">
            <w:pPr>
              <w:widowControl/>
              <w:ind w:firstLine="0" w:firstLineChars="0"/>
              <w:jc w:val="left"/>
              <w:rPr>
                <w:color w:val="000000"/>
                <w:kern w:val="0"/>
              </w:rPr>
            </w:pPr>
          </w:p>
        </w:tc>
        <w:tc>
          <w:tcPr>
            <w:tcW w:w="4832" w:type="dxa"/>
            <w:gridSpan w:val="2"/>
            <w:vAlign w:val="center"/>
          </w:tcPr>
          <w:p w14:paraId="4F9BC7D5">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13</w:t>
            </w:r>
            <w:r>
              <w:rPr>
                <w:rFonts w:hint="eastAsia" w:cs="宋体"/>
                <w:color w:val="000000"/>
                <w:kern w:val="0"/>
              </w:rPr>
              <w:t>）是否有隐患排查治理年度计划。</w:t>
            </w:r>
          </w:p>
        </w:tc>
        <w:tc>
          <w:tcPr>
            <w:tcW w:w="1640" w:type="dxa"/>
            <w:vAlign w:val="center"/>
          </w:tcPr>
          <w:p w14:paraId="473CD3CE">
            <w:pPr>
              <w:autoSpaceDE w:val="0"/>
              <w:autoSpaceDN w:val="0"/>
              <w:adjustRightInd w:val="0"/>
              <w:snapToGrid w:val="0"/>
              <w:ind w:firstLine="0" w:firstLineChars="0"/>
              <w:rPr>
                <w:color w:val="000000"/>
                <w:kern w:val="0"/>
              </w:rPr>
            </w:pPr>
          </w:p>
        </w:tc>
        <w:tc>
          <w:tcPr>
            <w:tcW w:w="1840" w:type="dxa"/>
            <w:vAlign w:val="center"/>
          </w:tcPr>
          <w:p w14:paraId="51CB488D">
            <w:pPr>
              <w:autoSpaceDE w:val="0"/>
              <w:autoSpaceDN w:val="0"/>
              <w:adjustRightInd w:val="0"/>
              <w:snapToGrid w:val="0"/>
              <w:ind w:firstLine="0" w:firstLineChars="0"/>
              <w:jc w:val="left"/>
              <w:rPr>
                <w:color w:val="000000"/>
                <w:kern w:val="0"/>
              </w:rPr>
            </w:pPr>
          </w:p>
        </w:tc>
        <w:tc>
          <w:tcPr>
            <w:tcW w:w="1002" w:type="dxa"/>
            <w:vAlign w:val="center"/>
          </w:tcPr>
          <w:p w14:paraId="70A1DE64">
            <w:pPr>
              <w:autoSpaceDE w:val="0"/>
              <w:autoSpaceDN w:val="0"/>
              <w:adjustRightInd w:val="0"/>
              <w:snapToGrid w:val="0"/>
              <w:ind w:firstLine="0" w:firstLineChars="0"/>
              <w:jc w:val="left"/>
              <w:rPr>
                <w:color w:val="000000"/>
                <w:kern w:val="0"/>
                <w:highlight w:val="yellow"/>
              </w:rPr>
            </w:pPr>
          </w:p>
        </w:tc>
      </w:tr>
      <w:tr w14:paraId="3759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75AD205F">
            <w:pPr>
              <w:widowControl/>
              <w:ind w:firstLine="0" w:firstLineChars="0"/>
              <w:jc w:val="left"/>
              <w:rPr>
                <w:color w:val="000000"/>
                <w:kern w:val="0"/>
              </w:rPr>
            </w:pPr>
          </w:p>
        </w:tc>
        <w:tc>
          <w:tcPr>
            <w:tcW w:w="4832" w:type="dxa"/>
            <w:gridSpan w:val="2"/>
            <w:vAlign w:val="center"/>
          </w:tcPr>
          <w:p w14:paraId="516155B9">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14</w:t>
            </w:r>
            <w:r>
              <w:rPr>
                <w:rFonts w:hint="eastAsia" w:cs="宋体"/>
                <w:color w:val="000000"/>
                <w:kern w:val="0"/>
              </w:rPr>
              <w:t>）是否建立隐患记录报告制度，是否制定隐患排查表。</w:t>
            </w:r>
          </w:p>
        </w:tc>
        <w:tc>
          <w:tcPr>
            <w:tcW w:w="1640" w:type="dxa"/>
            <w:vAlign w:val="center"/>
          </w:tcPr>
          <w:p w14:paraId="06C74390">
            <w:pPr>
              <w:autoSpaceDE w:val="0"/>
              <w:autoSpaceDN w:val="0"/>
              <w:adjustRightInd w:val="0"/>
              <w:snapToGrid w:val="0"/>
              <w:ind w:firstLine="0" w:firstLineChars="0"/>
              <w:rPr>
                <w:color w:val="000000"/>
                <w:kern w:val="0"/>
              </w:rPr>
            </w:pPr>
          </w:p>
        </w:tc>
        <w:tc>
          <w:tcPr>
            <w:tcW w:w="1840" w:type="dxa"/>
            <w:vAlign w:val="center"/>
          </w:tcPr>
          <w:p w14:paraId="5583CA39">
            <w:pPr>
              <w:autoSpaceDE w:val="0"/>
              <w:autoSpaceDN w:val="0"/>
              <w:adjustRightInd w:val="0"/>
              <w:snapToGrid w:val="0"/>
              <w:ind w:firstLine="0" w:firstLineChars="0"/>
              <w:jc w:val="left"/>
              <w:rPr>
                <w:color w:val="000000"/>
                <w:kern w:val="0"/>
              </w:rPr>
            </w:pPr>
          </w:p>
        </w:tc>
        <w:tc>
          <w:tcPr>
            <w:tcW w:w="1002" w:type="dxa"/>
            <w:vAlign w:val="center"/>
          </w:tcPr>
          <w:p w14:paraId="309DD0D5">
            <w:pPr>
              <w:autoSpaceDE w:val="0"/>
              <w:autoSpaceDN w:val="0"/>
              <w:adjustRightInd w:val="0"/>
              <w:snapToGrid w:val="0"/>
              <w:ind w:firstLine="0" w:firstLineChars="0"/>
              <w:jc w:val="left"/>
              <w:rPr>
                <w:color w:val="000000"/>
                <w:kern w:val="0"/>
                <w:highlight w:val="yellow"/>
              </w:rPr>
            </w:pPr>
          </w:p>
        </w:tc>
      </w:tr>
      <w:tr w14:paraId="1A0D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6280BBC1">
            <w:pPr>
              <w:widowControl/>
              <w:ind w:firstLine="0" w:firstLineChars="0"/>
              <w:jc w:val="left"/>
              <w:rPr>
                <w:color w:val="000000"/>
                <w:kern w:val="0"/>
              </w:rPr>
            </w:pPr>
          </w:p>
        </w:tc>
        <w:tc>
          <w:tcPr>
            <w:tcW w:w="4832" w:type="dxa"/>
            <w:gridSpan w:val="2"/>
            <w:vAlign w:val="center"/>
          </w:tcPr>
          <w:p w14:paraId="3DA95EDA">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15</w:t>
            </w:r>
            <w:r>
              <w:rPr>
                <w:rFonts w:hint="eastAsia" w:cs="宋体"/>
                <w:color w:val="000000"/>
                <w:kern w:val="0"/>
              </w:rPr>
              <w:t>）重大隐患是否制定治理方案。</w:t>
            </w:r>
          </w:p>
        </w:tc>
        <w:tc>
          <w:tcPr>
            <w:tcW w:w="1640" w:type="dxa"/>
            <w:vAlign w:val="center"/>
          </w:tcPr>
          <w:p w14:paraId="7AC2F0BF">
            <w:pPr>
              <w:autoSpaceDE w:val="0"/>
              <w:autoSpaceDN w:val="0"/>
              <w:adjustRightInd w:val="0"/>
              <w:snapToGrid w:val="0"/>
              <w:ind w:firstLine="0" w:firstLineChars="0"/>
              <w:rPr>
                <w:color w:val="000000"/>
                <w:kern w:val="0"/>
              </w:rPr>
            </w:pPr>
          </w:p>
        </w:tc>
        <w:tc>
          <w:tcPr>
            <w:tcW w:w="1840" w:type="dxa"/>
            <w:vAlign w:val="center"/>
          </w:tcPr>
          <w:p w14:paraId="43799232">
            <w:pPr>
              <w:autoSpaceDE w:val="0"/>
              <w:autoSpaceDN w:val="0"/>
              <w:adjustRightInd w:val="0"/>
              <w:snapToGrid w:val="0"/>
              <w:ind w:firstLine="0" w:firstLineChars="0"/>
              <w:jc w:val="left"/>
              <w:rPr>
                <w:color w:val="000000"/>
                <w:kern w:val="0"/>
              </w:rPr>
            </w:pPr>
          </w:p>
        </w:tc>
        <w:tc>
          <w:tcPr>
            <w:tcW w:w="1002" w:type="dxa"/>
            <w:vAlign w:val="center"/>
          </w:tcPr>
          <w:p w14:paraId="14C6C1E9">
            <w:pPr>
              <w:autoSpaceDE w:val="0"/>
              <w:autoSpaceDN w:val="0"/>
              <w:adjustRightInd w:val="0"/>
              <w:snapToGrid w:val="0"/>
              <w:ind w:firstLine="0" w:firstLineChars="0"/>
              <w:jc w:val="left"/>
              <w:rPr>
                <w:color w:val="000000"/>
                <w:kern w:val="0"/>
                <w:highlight w:val="yellow"/>
              </w:rPr>
            </w:pPr>
          </w:p>
        </w:tc>
      </w:tr>
      <w:tr w14:paraId="2BDB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737A3C91">
            <w:pPr>
              <w:widowControl/>
              <w:ind w:firstLine="0" w:firstLineChars="0"/>
              <w:jc w:val="left"/>
              <w:rPr>
                <w:color w:val="000000"/>
                <w:kern w:val="0"/>
              </w:rPr>
            </w:pPr>
          </w:p>
        </w:tc>
        <w:tc>
          <w:tcPr>
            <w:tcW w:w="4832" w:type="dxa"/>
            <w:gridSpan w:val="2"/>
            <w:vAlign w:val="center"/>
          </w:tcPr>
          <w:p w14:paraId="2FBEFF96">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16</w:t>
            </w:r>
            <w:r>
              <w:rPr>
                <w:rFonts w:hint="eastAsia" w:cs="宋体"/>
                <w:color w:val="000000"/>
                <w:kern w:val="0"/>
              </w:rPr>
              <w:t>）是否建立隐患排查治理档案，如实记录隐患排查、治理情况。</w:t>
            </w:r>
          </w:p>
        </w:tc>
        <w:tc>
          <w:tcPr>
            <w:tcW w:w="1640" w:type="dxa"/>
            <w:vAlign w:val="center"/>
          </w:tcPr>
          <w:p w14:paraId="221B7080">
            <w:pPr>
              <w:autoSpaceDE w:val="0"/>
              <w:autoSpaceDN w:val="0"/>
              <w:adjustRightInd w:val="0"/>
              <w:snapToGrid w:val="0"/>
              <w:ind w:firstLine="0" w:firstLineChars="0"/>
              <w:rPr>
                <w:color w:val="000000"/>
                <w:kern w:val="0"/>
              </w:rPr>
            </w:pPr>
          </w:p>
        </w:tc>
        <w:tc>
          <w:tcPr>
            <w:tcW w:w="1840" w:type="dxa"/>
            <w:vAlign w:val="center"/>
          </w:tcPr>
          <w:p w14:paraId="332B555A">
            <w:pPr>
              <w:autoSpaceDE w:val="0"/>
              <w:autoSpaceDN w:val="0"/>
              <w:adjustRightInd w:val="0"/>
              <w:snapToGrid w:val="0"/>
              <w:ind w:firstLine="0" w:firstLineChars="0"/>
              <w:jc w:val="left"/>
              <w:rPr>
                <w:color w:val="000000"/>
                <w:kern w:val="0"/>
              </w:rPr>
            </w:pPr>
          </w:p>
        </w:tc>
        <w:tc>
          <w:tcPr>
            <w:tcW w:w="1002" w:type="dxa"/>
            <w:vAlign w:val="center"/>
          </w:tcPr>
          <w:p w14:paraId="793AC0F3">
            <w:pPr>
              <w:autoSpaceDE w:val="0"/>
              <w:autoSpaceDN w:val="0"/>
              <w:adjustRightInd w:val="0"/>
              <w:snapToGrid w:val="0"/>
              <w:ind w:firstLine="0" w:firstLineChars="0"/>
              <w:jc w:val="left"/>
              <w:rPr>
                <w:color w:val="000000"/>
                <w:kern w:val="0"/>
                <w:highlight w:val="yellow"/>
              </w:rPr>
            </w:pPr>
          </w:p>
        </w:tc>
      </w:tr>
      <w:tr w14:paraId="05AE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restart"/>
          </w:tcPr>
          <w:p w14:paraId="4BE5D44A">
            <w:pPr>
              <w:autoSpaceDE w:val="0"/>
              <w:autoSpaceDN w:val="0"/>
              <w:adjustRightInd w:val="0"/>
              <w:snapToGrid w:val="0"/>
              <w:ind w:firstLine="0" w:firstLineChars="0"/>
              <w:rPr>
                <w:color w:val="000000"/>
                <w:kern w:val="0"/>
              </w:rPr>
            </w:pPr>
          </w:p>
          <w:p w14:paraId="7EFCBA44">
            <w:pPr>
              <w:autoSpaceDE w:val="0"/>
              <w:autoSpaceDN w:val="0"/>
              <w:adjustRightInd w:val="0"/>
              <w:snapToGrid w:val="0"/>
              <w:ind w:firstLine="0" w:firstLineChars="0"/>
              <w:rPr>
                <w:color w:val="000000"/>
                <w:kern w:val="0"/>
              </w:rPr>
            </w:pPr>
            <w:r>
              <w:rPr>
                <w:rFonts w:hint="eastAsia" w:cs="宋体"/>
                <w:color w:val="000000"/>
                <w:kern w:val="0"/>
              </w:rPr>
              <w:t>开展突发环境事件应急培训</w:t>
            </w:r>
          </w:p>
        </w:tc>
        <w:tc>
          <w:tcPr>
            <w:tcW w:w="4832" w:type="dxa"/>
            <w:gridSpan w:val="2"/>
            <w:vAlign w:val="center"/>
          </w:tcPr>
          <w:p w14:paraId="39C96D73">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17</w:t>
            </w:r>
            <w:r>
              <w:rPr>
                <w:rFonts w:hint="eastAsia" w:cs="宋体"/>
                <w:color w:val="000000"/>
                <w:kern w:val="0"/>
              </w:rPr>
              <w:t>）是否将应急培训纳入单位工作计划。</w:t>
            </w:r>
          </w:p>
        </w:tc>
        <w:tc>
          <w:tcPr>
            <w:tcW w:w="1640" w:type="dxa"/>
            <w:vAlign w:val="center"/>
          </w:tcPr>
          <w:p w14:paraId="18C17F49">
            <w:pPr>
              <w:autoSpaceDE w:val="0"/>
              <w:autoSpaceDN w:val="0"/>
              <w:adjustRightInd w:val="0"/>
              <w:snapToGrid w:val="0"/>
              <w:ind w:firstLine="0" w:firstLineChars="0"/>
              <w:rPr>
                <w:color w:val="000000"/>
                <w:kern w:val="0"/>
              </w:rPr>
            </w:pPr>
          </w:p>
        </w:tc>
        <w:tc>
          <w:tcPr>
            <w:tcW w:w="1840" w:type="dxa"/>
            <w:vAlign w:val="center"/>
          </w:tcPr>
          <w:p w14:paraId="0BB31BDF">
            <w:pPr>
              <w:autoSpaceDE w:val="0"/>
              <w:autoSpaceDN w:val="0"/>
              <w:adjustRightInd w:val="0"/>
              <w:snapToGrid w:val="0"/>
              <w:ind w:firstLine="0" w:firstLineChars="0"/>
              <w:jc w:val="left"/>
              <w:rPr>
                <w:color w:val="000000"/>
                <w:kern w:val="0"/>
              </w:rPr>
            </w:pPr>
          </w:p>
        </w:tc>
        <w:tc>
          <w:tcPr>
            <w:tcW w:w="1002" w:type="dxa"/>
            <w:vAlign w:val="center"/>
          </w:tcPr>
          <w:p w14:paraId="7694A3EF">
            <w:pPr>
              <w:autoSpaceDE w:val="0"/>
              <w:autoSpaceDN w:val="0"/>
              <w:adjustRightInd w:val="0"/>
              <w:snapToGrid w:val="0"/>
              <w:ind w:firstLine="0" w:firstLineChars="0"/>
              <w:jc w:val="left"/>
              <w:rPr>
                <w:color w:val="000000"/>
                <w:kern w:val="0"/>
                <w:highlight w:val="yellow"/>
              </w:rPr>
            </w:pPr>
          </w:p>
        </w:tc>
      </w:tr>
      <w:tr w14:paraId="6007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0E80FB2E">
            <w:pPr>
              <w:widowControl/>
              <w:ind w:firstLine="0" w:firstLineChars="0"/>
              <w:jc w:val="left"/>
              <w:rPr>
                <w:color w:val="000000"/>
                <w:kern w:val="0"/>
              </w:rPr>
            </w:pPr>
          </w:p>
        </w:tc>
        <w:tc>
          <w:tcPr>
            <w:tcW w:w="4832" w:type="dxa"/>
            <w:gridSpan w:val="2"/>
            <w:vAlign w:val="center"/>
          </w:tcPr>
          <w:p w14:paraId="5AD2FE04">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18</w:t>
            </w:r>
            <w:r>
              <w:rPr>
                <w:rFonts w:hint="eastAsia" w:cs="宋体"/>
                <w:color w:val="000000"/>
                <w:kern w:val="0"/>
              </w:rPr>
              <w:t>）是否开展应急培训。</w:t>
            </w:r>
          </w:p>
        </w:tc>
        <w:tc>
          <w:tcPr>
            <w:tcW w:w="1640" w:type="dxa"/>
            <w:vAlign w:val="center"/>
          </w:tcPr>
          <w:p w14:paraId="514B539D">
            <w:pPr>
              <w:autoSpaceDE w:val="0"/>
              <w:autoSpaceDN w:val="0"/>
              <w:adjustRightInd w:val="0"/>
              <w:snapToGrid w:val="0"/>
              <w:ind w:firstLine="0" w:firstLineChars="0"/>
              <w:rPr>
                <w:color w:val="000000"/>
                <w:kern w:val="0"/>
              </w:rPr>
            </w:pPr>
          </w:p>
        </w:tc>
        <w:tc>
          <w:tcPr>
            <w:tcW w:w="1840" w:type="dxa"/>
            <w:vAlign w:val="center"/>
          </w:tcPr>
          <w:p w14:paraId="68087937">
            <w:pPr>
              <w:autoSpaceDE w:val="0"/>
              <w:autoSpaceDN w:val="0"/>
              <w:adjustRightInd w:val="0"/>
              <w:snapToGrid w:val="0"/>
              <w:ind w:firstLine="0" w:firstLineChars="0"/>
              <w:jc w:val="left"/>
              <w:rPr>
                <w:color w:val="000000"/>
                <w:kern w:val="0"/>
              </w:rPr>
            </w:pPr>
          </w:p>
        </w:tc>
        <w:tc>
          <w:tcPr>
            <w:tcW w:w="1002" w:type="dxa"/>
            <w:vAlign w:val="center"/>
          </w:tcPr>
          <w:p w14:paraId="1459BE40">
            <w:pPr>
              <w:autoSpaceDE w:val="0"/>
              <w:autoSpaceDN w:val="0"/>
              <w:adjustRightInd w:val="0"/>
              <w:snapToGrid w:val="0"/>
              <w:ind w:firstLine="0" w:firstLineChars="0"/>
              <w:jc w:val="left"/>
              <w:rPr>
                <w:color w:val="000000"/>
                <w:kern w:val="0"/>
                <w:highlight w:val="yellow"/>
              </w:rPr>
            </w:pPr>
          </w:p>
        </w:tc>
      </w:tr>
      <w:tr w14:paraId="76AA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6E5A7AF6">
            <w:pPr>
              <w:widowControl/>
              <w:ind w:firstLine="0" w:firstLineChars="0"/>
              <w:jc w:val="left"/>
              <w:rPr>
                <w:color w:val="000000"/>
                <w:kern w:val="0"/>
              </w:rPr>
            </w:pPr>
          </w:p>
        </w:tc>
        <w:tc>
          <w:tcPr>
            <w:tcW w:w="4832" w:type="dxa"/>
            <w:gridSpan w:val="2"/>
            <w:vAlign w:val="center"/>
          </w:tcPr>
          <w:p w14:paraId="58C7DCD7">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19</w:t>
            </w:r>
            <w:r>
              <w:rPr>
                <w:rFonts w:hint="eastAsia" w:cs="宋体"/>
                <w:color w:val="000000"/>
                <w:kern w:val="0"/>
              </w:rPr>
              <w:t>）是否建立培训档案，如实记录培训时间、内容、人员等情况。</w:t>
            </w:r>
          </w:p>
        </w:tc>
        <w:tc>
          <w:tcPr>
            <w:tcW w:w="1640" w:type="dxa"/>
            <w:vAlign w:val="center"/>
          </w:tcPr>
          <w:p w14:paraId="0DFA059F">
            <w:pPr>
              <w:autoSpaceDE w:val="0"/>
              <w:autoSpaceDN w:val="0"/>
              <w:adjustRightInd w:val="0"/>
              <w:snapToGrid w:val="0"/>
              <w:ind w:firstLine="0" w:firstLineChars="0"/>
              <w:rPr>
                <w:color w:val="000000"/>
                <w:kern w:val="0"/>
              </w:rPr>
            </w:pPr>
          </w:p>
        </w:tc>
        <w:tc>
          <w:tcPr>
            <w:tcW w:w="1840" w:type="dxa"/>
            <w:vAlign w:val="center"/>
          </w:tcPr>
          <w:p w14:paraId="4D963439">
            <w:pPr>
              <w:autoSpaceDE w:val="0"/>
              <w:autoSpaceDN w:val="0"/>
              <w:adjustRightInd w:val="0"/>
              <w:snapToGrid w:val="0"/>
              <w:ind w:firstLine="0" w:firstLineChars="0"/>
              <w:jc w:val="left"/>
              <w:rPr>
                <w:color w:val="000000"/>
                <w:kern w:val="0"/>
              </w:rPr>
            </w:pPr>
          </w:p>
        </w:tc>
        <w:tc>
          <w:tcPr>
            <w:tcW w:w="1002" w:type="dxa"/>
            <w:vAlign w:val="center"/>
          </w:tcPr>
          <w:p w14:paraId="06A52E4E">
            <w:pPr>
              <w:autoSpaceDE w:val="0"/>
              <w:autoSpaceDN w:val="0"/>
              <w:adjustRightInd w:val="0"/>
              <w:snapToGrid w:val="0"/>
              <w:ind w:firstLine="0" w:firstLineChars="0"/>
              <w:jc w:val="left"/>
              <w:rPr>
                <w:color w:val="000000"/>
                <w:kern w:val="0"/>
                <w:highlight w:val="yellow"/>
              </w:rPr>
            </w:pPr>
          </w:p>
        </w:tc>
      </w:tr>
      <w:tr w14:paraId="0E12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Align w:val="center"/>
          </w:tcPr>
          <w:p w14:paraId="4FFDB396">
            <w:pPr>
              <w:autoSpaceDE w:val="0"/>
              <w:autoSpaceDN w:val="0"/>
              <w:adjustRightInd w:val="0"/>
              <w:snapToGrid w:val="0"/>
              <w:ind w:firstLine="0" w:firstLineChars="0"/>
              <w:rPr>
                <w:color w:val="000000"/>
                <w:kern w:val="0"/>
              </w:rPr>
            </w:pPr>
            <w:r>
              <w:rPr>
                <w:rFonts w:hint="eastAsia" w:cs="宋体"/>
                <w:color w:val="000000"/>
                <w:kern w:val="0"/>
              </w:rPr>
              <w:t>公开突发环境事件应急预案及演练</w:t>
            </w:r>
          </w:p>
        </w:tc>
        <w:tc>
          <w:tcPr>
            <w:tcW w:w="4832" w:type="dxa"/>
            <w:gridSpan w:val="2"/>
            <w:vAlign w:val="center"/>
          </w:tcPr>
          <w:p w14:paraId="5E91ECD3">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20</w:t>
            </w:r>
            <w:r>
              <w:rPr>
                <w:rFonts w:hint="eastAsia" w:cs="宋体"/>
                <w:color w:val="000000"/>
                <w:kern w:val="0"/>
              </w:rPr>
              <w:t>）是否公开突发环境事件应急预案及演练信息。</w:t>
            </w:r>
          </w:p>
        </w:tc>
        <w:tc>
          <w:tcPr>
            <w:tcW w:w="1640" w:type="dxa"/>
            <w:vAlign w:val="center"/>
          </w:tcPr>
          <w:p w14:paraId="638EEE04">
            <w:pPr>
              <w:autoSpaceDE w:val="0"/>
              <w:autoSpaceDN w:val="0"/>
              <w:adjustRightInd w:val="0"/>
              <w:snapToGrid w:val="0"/>
              <w:ind w:firstLine="0" w:firstLineChars="0"/>
              <w:rPr>
                <w:color w:val="000000"/>
                <w:kern w:val="0"/>
              </w:rPr>
            </w:pPr>
          </w:p>
        </w:tc>
        <w:tc>
          <w:tcPr>
            <w:tcW w:w="1840" w:type="dxa"/>
            <w:vAlign w:val="center"/>
          </w:tcPr>
          <w:p w14:paraId="01842470">
            <w:pPr>
              <w:autoSpaceDE w:val="0"/>
              <w:autoSpaceDN w:val="0"/>
              <w:adjustRightInd w:val="0"/>
              <w:snapToGrid w:val="0"/>
              <w:ind w:firstLine="0" w:firstLineChars="0"/>
              <w:jc w:val="left"/>
              <w:rPr>
                <w:color w:val="000000"/>
                <w:kern w:val="0"/>
              </w:rPr>
            </w:pPr>
          </w:p>
        </w:tc>
        <w:tc>
          <w:tcPr>
            <w:tcW w:w="1002" w:type="dxa"/>
            <w:vAlign w:val="center"/>
          </w:tcPr>
          <w:p w14:paraId="7E77D311">
            <w:pPr>
              <w:autoSpaceDE w:val="0"/>
              <w:autoSpaceDN w:val="0"/>
              <w:adjustRightInd w:val="0"/>
              <w:snapToGrid w:val="0"/>
              <w:ind w:firstLine="0" w:firstLineChars="0"/>
              <w:jc w:val="left"/>
              <w:rPr>
                <w:color w:val="000000"/>
                <w:kern w:val="0"/>
                <w:highlight w:val="yellow"/>
              </w:rPr>
            </w:pPr>
          </w:p>
        </w:tc>
      </w:tr>
      <w:tr w14:paraId="1D3A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restart"/>
            <w:vAlign w:val="center"/>
          </w:tcPr>
          <w:p w14:paraId="5F4C0093">
            <w:pPr>
              <w:autoSpaceDE w:val="0"/>
              <w:autoSpaceDN w:val="0"/>
              <w:adjustRightInd w:val="0"/>
              <w:snapToGrid w:val="0"/>
              <w:ind w:firstLine="0" w:firstLineChars="0"/>
              <w:rPr>
                <w:color w:val="000000"/>
                <w:kern w:val="0"/>
              </w:rPr>
            </w:pPr>
            <w:r>
              <w:rPr>
                <w:rFonts w:hint="eastAsia" w:cs="宋体"/>
                <w:color w:val="000000"/>
                <w:kern w:val="0"/>
              </w:rPr>
              <w:t>突发环境事件信息通报机制</w:t>
            </w:r>
          </w:p>
        </w:tc>
        <w:tc>
          <w:tcPr>
            <w:tcW w:w="4832" w:type="dxa"/>
            <w:gridSpan w:val="2"/>
            <w:vAlign w:val="center"/>
          </w:tcPr>
          <w:p w14:paraId="3BDBEAD8">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21</w:t>
            </w:r>
            <w:r>
              <w:rPr>
                <w:rFonts w:hint="eastAsia" w:cs="宋体"/>
                <w:color w:val="000000"/>
                <w:kern w:val="0"/>
              </w:rPr>
              <w:t>）是否掌握企业周边</w:t>
            </w:r>
            <w:r>
              <w:rPr>
                <w:color w:val="000000"/>
                <w:kern w:val="0"/>
              </w:rPr>
              <w:t>5</w:t>
            </w:r>
            <w:r>
              <w:rPr>
                <w:rFonts w:hint="eastAsia" w:cs="宋体"/>
                <w:color w:val="000000"/>
                <w:kern w:val="0"/>
              </w:rPr>
              <w:t>公里范围内人口集中区基本情况。</w:t>
            </w:r>
          </w:p>
        </w:tc>
        <w:tc>
          <w:tcPr>
            <w:tcW w:w="1640" w:type="dxa"/>
            <w:vAlign w:val="center"/>
          </w:tcPr>
          <w:p w14:paraId="48207723">
            <w:pPr>
              <w:autoSpaceDE w:val="0"/>
              <w:autoSpaceDN w:val="0"/>
              <w:adjustRightInd w:val="0"/>
              <w:snapToGrid w:val="0"/>
              <w:ind w:firstLine="0" w:firstLineChars="0"/>
              <w:rPr>
                <w:color w:val="000000"/>
                <w:kern w:val="0"/>
              </w:rPr>
            </w:pPr>
          </w:p>
        </w:tc>
        <w:tc>
          <w:tcPr>
            <w:tcW w:w="1840" w:type="dxa"/>
            <w:vAlign w:val="center"/>
          </w:tcPr>
          <w:p w14:paraId="684E6369">
            <w:pPr>
              <w:autoSpaceDE w:val="0"/>
              <w:autoSpaceDN w:val="0"/>
              <w:adjustRightInd w:val="0"/>
              <w:snapToGrid w:val="0"/>
              <w:ind w:firstLine="0" w:firstLineChars="0"/>
              <w:jc w:val="left"/>
              <w:rPr>
                <w:color w:val="000000"/>
                <w:kern w:val="0"/>
              </w:rPr>
            </w:pPr>
          </w:p>
        </w:tc>
        <w:tc>
          <w:tcPr>
            <w:tcW w:w="1002" w:type="dxa"/>
            <w:vAlign w:val="center"/>
          </w:tcPr>
          <w:p w14:paraId="2856CD9D">
            <w:pPr>
              <w:autoSpaceDE w:val="0"/>
              <w:autoSpaceDN w:val="0"/>
              <w:adjustRightInd w:val="0"/>
              <w:snapToGrid w:val="0"/>
              <w:ind w:firstLine="0" w:firstLineChars="0"/>
              <w:jc w:val="left"/>
              <w:rPr>
                <w:color w:val="000000"/>
                <w:kern w:val="0"/>
                <w:highlight w:val="yellow"/>
              </w:rPr>
            </w:pPr>
          </w:p>
        </w:tc>
      </w:tr>
      <w:tr w14:paraId="61E0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240" w:type="dxa"/>
            <w:vMerge w:val="continue"/>
            <w:vAlign w:val="center"/>
          </w:tcPr>
          <w:p w14:paraId="7565D961">
            <w:pPr>
              <w:widowControl/>
              <w:ind w:firstLine="0" w:firstLineChars="0"/>
              <w:jc w:val="left"/>
              <w:rPr>
                <w:color w:val="000000"/>
                <w:kern w:val="0"/>
              </w:rPr>
            </w:pPr>
          </w:p>
        </w:tc>
        <w:tc>
          <w:tcPr>
            <w:tcW w:w="4832" w:type="dxa"/>
            <w:gridSpan w:val="2"/>
            <w:vAlign w:val="center"/>
          </w:tcPr>
          <w:p w14:paraId="44D34951">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22</w:t>
            </w:r>
            <w:r>
              <w:rPr>
                <w:rFonts w:hint="eastAsia" w:cs="宋体"/>
                <w:color w:val="000000"/>
                <w:kern w:val="0"/>
              </w:rPr>
              <w:t>）是否建立突发环境事件信息通报机制。</w:t>
            </w:r>
          </w:p>
        </w:tc>
        <w:tc>
          <w:tcPr>
            <w:tcW w:w="1640" w:type="dxa"/>
            <w:vAlign w:val="center"/>
          </w:tcPr>
          <w:p w14:paraId="642D0464">
            <w:pPr>
              <w:autoSpaceDE w:val="0"/>
              <w:autoSpaceDN w:val="0"/>
              <w:adjustRightInd w:val="0"/>
              <w:snapToGrid w:val="0"/>
              <w:ind w:firstLine="0" w:firstLineChars="0"/>
              <w:rPr>
                <w:color w:val="000000"/>
                <w:kern w:val="0"/>
              </w:rPr>
            </w:pPr>
          </w:p>
        </w:tc>
        <w:tc>
          <w:tcPr>
            <w:tcW w:w="1840" w:type="dxa"/>
            <w:vAlign w:val="center"/>
          </w:tcPr>
          <w:p w14:paraId="2B257829">
            <w:pPr>
              <w:autoSpaceDE w:val="0"/>
              <w:autoSpaceDN w:val="0"/>
              <w:adjustRightInd w:val="0"/>
              <w:snapToGrid w:val="0"/>
              <w:ind w:firstLine="0" w:firstLineChars="0"/>
              <w:jc w:val="left"/>
              <w:rPr>
                <w:color w:val="000000"/>
                <w:kern w:val="0"/>
              </w:rPr>
            </w:pPr>
          </w:p>
        </w:tc>
        <w:tc>
          <w:tcPr>
            <w:tcW w:w="1002" w:type="dxa"/>
            <w:vAlign w:val="center"/>
          </w:tcPr>
          <w:p w14:paraId="52239D83">
            <w:pPr>
              <w:autoSpaceDE w:val="0"/>
              <w:autoSpaceDN w:val="0"/>
              <w:adjustRightInd w:val="0"/>
              <w:snapToGrid w:val="0"/>
              <w:ind w:firstLine="0" w:firstLineChars="0"/>
              <w:jc w:val="left"/>
              <w:rPr>
                <w:color w:val="000000"/>
                <w:kern w:val="0"/>
                <w:highlight w:val="yellow"/>
              </w:rPr>
            </w:pPr>
          </w:p>
        </w:tc>
      </w:tr>
    </w:tbl>
    <w:p w14:paraId="34370FB1">
      <w:pPr>
        <w:ind w:firstLine="480"/>
        <w:sectPr>
          <w:footerReference r:id="rId10" w:type="default"/>
          <w:pgSz w:w="11906" w:h="16838"/>
          <w:pgMar w:top="1440" w:right="1800" w:bottom="1440" w:left="1800" w:header="851" w:footer="992" w:gutter="0"/>
          <w:cols w:space="720" w:num="1"/>
          <w:docGrid w:type="lines" w:linePitch="312" w:charSpace="0"/>
        </w:sectPr>
      </w:pPr>
    </w:p>
    <w:p w14:paraId="72439862">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 xml:space="preserve">7-2 </w:t>
      </w:r>
      <w:r>
        <w:rPr>
          <w:rFonts w:hint="eastAsia" w:eastAsia="黑体" w:cs="黑体"/>
          <w:b/>
          <w:bCs/>
          <w:color w:val="000000"/>
        </w:rPr>
        <w:t>突发环境事件风险防控设施运行与维护情况排查表</w:t>
      </w:r>
    </w:p>
    <w:tbl>
      <w:tblPr>
        <w:tblStyle w:val="21"/>
        <w:tblW w:w="105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1102"/>
        <w:gridCol w:w="3577"/>
        <w:gridCol w:w="1331"/>
        <w:gridCol w:w="1919"/>
        <w:gridCol w:w="1343"/>
        <w:gridCol w:w="1276"/>
      </w:tblGrid>
      <w:tr w14:paraId="6A28C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tblHeader/>
          <w:jc w:val="center"/>
        </w:trPr>
        <w:tc>
          <w:tcPr>
            <w:tcW w:w="4679" w:type="dxa"/>
            <w:gridSpan w:val="2"/>
            <w:tcBorders>
              <w:top w:val="single" w:color="auto" w:sz="8" w:space="0"/>
            </w:tcBorders>
            <w:vAlign w:val="center"/>
          </w:tcPr>
          <w:p w14:paraId="798ED02B">
            <w:pPr>
              <w:adjustRightInd w:val="0"/>
              <w:snapToGrid w:val="0"/>
              <w:ind w:firstLine="0" w:firstLineChars="0"/>
              <w:jc w:val="center"/>
              <w:rPr>
                <w:rFonts w:eastAsia="黑体"/>
                <w:color w:val="000000"/>
              </w:rPr>
            </w:pPr>
            <w:r>
              <w:rPr>
                <w:rFonts w:hint="eastAsia" w:eastAsia="黑体" w:cs="黑体"/>
                <w:color w:val="000000"/>
                <w:spacing w:val="60"/>
              </w:rPr>
              <w:t>排查项</w:t>
            </w:r>
            <w:r>
              <w:rPr>
                <w:rFonts w:hint="eastAsia" w:eastAsia="黑体" w:cs="黑体"/>
                <w:color w:val="000000"/>
              </w:rPr>
              <w:t>目</w:t>
            </w:r>
          </w:p>
        </w:tc>
        <w:tc>
          <w:tcPr>
            <w:tcW w:w="1331" w:type="dxa"/>
            <w:tcBorders>
              <w:top w:val="single" w:color="auto" w:sz="8" w:space="0"/>
            </w:tcBorders>
            <w:vAlign w:val="center"/>
          </w:tcPr>
          <w:p w14:paraId="651CDD1C">
            <w:pPr>
              <w:adjustRightInd w:val="0"/>
              <w:snapToGrid w:val="0"/>
              <w:ind w:firstLine="0" w:firstLineChars="0"/>
              <w:jc w:val="center"/>
              <w:rPr>
                <w:rFonts w:eastAsia="黑体"/>
                <w:color w:val="000000"/>
              </w:rPr>
            </w:pPr>
            <w:r>
              <w:rPr>
                <w:rFonts w:hint="eastAsia" w:eastAsia="黑体" w:cs="黑体"/>
                <w:color w:val="000000"/>
              </w:rPr>
              <w:t>企业现状</w:t>
            </w:r>
          </w:p>
        </w:tc>
        <w:tc>
          <w:tcPr>
            <w:tcW w:w="1919" w:type="dxa"/>
            <w:tcBorders>
              <w:top w:val="single" w:color="auto" w:sz="8" w:space="0"/>
            </w:tcBorders>
            <w:vAlign w:val="center"/>
          </w:tcPr>
          <w:p w14:paraId="002B4B93">
            <w:pPr>
              <w:adjustRightInd w:val="0"/>
              <w:snapToGrid w:val="0"/>
              <w:ind w:firstLine="0" w:firstLineChars="0"/>
              <w:jc w:val="center"/>
              <w:rPr>
                <w:rFonts w:eastAsia="黑体"/>
                <w:color w:val="000000"/>
                <w:spacing w:val="-10"/>
              </w:rPr>
            </w:pPr>
            <w:r>
              <w:rPr>
                <w:rFonts w:hint="eastAsia" w:eastAsia="黑体" w:cs="黑体"/>
                <w:color w:val="000000"/>
                <w:spacing w:val="-10"/>
              </w:rPr>
              <w:t>可能导致的危害</w:t>
            </w:r>
          </w:p>
          <w:p w14:paraId="302E4227">
            <w:pPr>
              <w:adjustRightInd w:val="0"/>
              <w:snapToGrid w:val="0"/>
              <w:ind w:firstLine="0" w:firstLineChars="0"/>
              <w:jc w:val="center"/>
              <w:rPr>
                <w:rFonts w:eastAsia="黑体"/>
                <w:color w:val="000000"/>
                <w:spacing w:val="-10"/>
              </w:rPr>
            </w:pPr>
            <w:r>
              <w:rPr>
                <w:rFonts w:eastAsia="黑体"/>
                <w:color w:val="000000"/>
                <w:spacing w:val="-10"/>
              </w:rPr>
              <w:t>(</w:t>
            </w:r>
            <w:r>
              <w:rPr>
                <w:rFonts w:hint="eastAsia" w:eastAsia="黑体" w:cs="黑体"/>
                <w:color w:val="000000"/>
                <w:spacing w:val="-10"/>
              </w:rPr>
              <w:t>是隐患的填写</w:t>
            </w:r>
            <w:r>
              <w:rPr>
                <w:rFonts w:eastAsia="黑体"/>
                <w:color w:val="000000"/>
                <w:spacing w:val="-10"/>
              </w:rPr>
              <w:t>)</w:t>
            </w:r>
          </w:p>
        </w:tc>
        <w:tc>
          <w:tcPr>
            <w:tcW w:w="1343" w:type="dxa"/>
            <w:tcBorders>
              <w:top w:val="single" w:color="auto" w:sz="8" w:space="0"/>
            </w:tcBorders>
            <w:vAlign w:val="center"/>
          </w:tcPr>
          <w:p w14:paraId="103E6250">
            <w:pPr>
              <w:adjustRightInd w:val="0"/>
              <w:snapToGrid w:val="0"/>
              <w:ind w:firstLine="0" w:firstLineChars="0"/>
              <w:jc w:val="center"/>
              <w:rPr>
                <w:rFonts w:eastAsia="黑体"/>
                <w:color w:val="000000"/>
              </w:rPr>
            </w:pPr>
            <w:r>
              <w:rPr>
                <w:rFonts w:hint="eastAsia" w:eastAsia="黑体" w:cs="黑体"/>
                <w:color w:val="000000"/>
              </w:rPr>
              <w:t>整改期限</w:t>
            </w:r>
          </w:p>
        </w:tc>
        <w:tc>
          <w:tcPr>
            <w:tcW w:w="1276" w:type="dxa"/>
            <w:tcBorders>
              <w:top w:val="single" w:color="auto" w:sz="8" w:space="0"/>
            </w:tcBorders>
            <w:vAlign w:val="center"/>
          </w:tcPr>
          <w:p w14:paraId="6CA8B2EE">
            <w:pPr>
              <w:adjustRightInd w:val="0"/>
              <w:snapToGrid w:val="0"/>
              <w:ind w:firstLine="0" w:firstLineChars="0"/>
              <w:jc w:val="center"/>
              <w:rPr>
                <w:rFonts w:eastAsia="黑体"/>
                <w:color w:val="000000"/>
                <w:highlight w:val="yellow"/>
              </w:rPr>
            </w:pPr>
            <w:r>
              <w:rPr>
                <w:rFonts w:hint="eastAsia" w:cs="宋体"/>
                <w:color w:val="000000"/>
                <w:kern w:val="0"/>
              </w:rPr>
              <w:t>备注</w:t>
            </w:r>
          </w:p>
        </w:tc>
      </w:tr>
      <w:tr w14:paraId="1CCC5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restart"/>
            <w:vAlign w:val="center"/>
          </w:tcPr>
          <w:p w14:paraId="051F8537">
            <w:pPr>
              <w:autoSpaceDE w:val="0"/>
              <w:autoSpaceDN w:val="0"/>
              <w:adjustRightInd w:val="0"/>
              <w:snapToGrid w:val="0"/>
              <w:ind w:firstLine="0" w:firstLineChars="0"/>
              <w:rPr>
                <w:color w:val="000000"/>
                <w:kern w:val="0"/>
              </w:rPr>
            </w:pPr>
            <w:r>
              <w:rPr>
                <w:rFonts w:hint="eastAsia" w:cs="宋体"/>
                <w:color w:val="000000"/>
                <w:kern w:val="0"/>
              </w:rPr>
              <w:t>应急物资储备与检查</w:t>
            </w:r>
          </w:p>
        </w:tc>
        <w:tc>
          <w:tcPr>
            <w:tcW w:w="3577" w:type="dxa"/>
            <w:vAlign w:val="center"/>
          </w:tcPr>
          <w:p w14:paraId="45AC9383">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w:t>
            </w:r>
            <w:r>
              <w:rPr>
                <w:rFonts w:hint="eastAsia" w:cs="宋体"/>
                <w:color w:val="000000"/>
                <w:kern w:val="0"/>
              </w:rPr>
              <w:t>）是否配备足以应对预设事件情景的环境应急装备和物资。</w:t>
            </w:r>
          </w:p>
        </w:tc>
        <w:tc>
          <w:tcPr>
            <w:tcW w:w="1331" w:type="dxa"/>
            <w:vAlign w:val="center"/>
          </w:tcPr>
          <w:p w14:paraId="46ED4B66">
            <w:pPr>
              <w:adjustRightInd w:val="0"/>
              <w:snapToGrid w:val="0"/>
              <w:ind w:firstLine="0" w:firstLineChars="0"/>
              <w:rPr>
                <w:color w:val="000000"/>
                <w:kern w:val="0"/>
              </w:rPr>
            </w:pPr>
          </w:p>
        </w:tc>
        <w:tc>
          <w:tcPr>
            <w:tcW w:w="1919" w:type="dxa"/>
            <w:vAlign w:val="center"/>
          </w:tcPr>
          <w:p w14:paraId="7DA0D41A">
            <w:pPr>
              <w:adjustRightInd w:val="0"/>
              <w:snapToGrid w:val="0"/>
              <w:ind w:firstLine="0" w:firstLineChars="0"/>
              <w:rPr>
                <w:color w:val="000000"/>
                <w:kern w:val="0"/>
              </w:rPr>
            </w:pPr>
          </w:p>
        </w:tc>
        <w:tc>
          <w:tcPr>
            <w:tcW w:w="1343" w:type="dxa"/>
            <w:vAlign w:val="center"/>
          </w:tcPr>
          <w:p w14:paraId="1ECC419F">
            <w:pPr>
              <w:adjustRightInd w:val="0"/>
              <w:snapToGrid w:val="0"/>
              <w:ind w:firstLine="0" w:firstLineChars="0"/>
              <w:rPr>
                <w:color w:val="000000"/>
                <w:kern w:val="0"/>
              </w:rPr>
            </w:pPr>
          </w:p>
        </w:tc>
        <w:tc>
          <w:tcPr>
            <w:tcW w:w="1276" w:type="dxa"/>
            <w:vAlign w:val="center"/>
          </w:tcPr>
          <w:p w14:paraId="5378E051">
            <w:pPr>
              <w:adjustRightInd w:val="0"/>
              <w:snapToGrid w:val="0"/>
              <w:ind w:firstLine="0" w:firstLineChars="0"/>
              <w:rPr>
                <w:color w:val="000000"/>
                <w:kern w:val="0"/>
                <w:highlight w:val="yellow"/>
              </w:rPr>
            </w:pPr>
          </w:p>
        </w:tc>
      </w:tr>
      <w:tr w14:paraId="6448D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813" w:hRule="atLeast"/>
          <w:jc w:val="center"/>
        </w:trPr>
        <w:tc>
          <w:tcPr>
            <w:tcW w:w="1102" w:type="dxa"/>
            <w:vMerge w:val="continue"/>
            <w:vAlign w:val="center"/>
          </w:tcPr>
          <w:p w14:paraId="5195404B">
            <w:pPr>
              <w:widowControl/>
              <w:ind w:firstLine="0" w:firstLineChars="0"/>
              <w:jc w:val="left"/>
              <w:rPr>
                <w:color w:val="000000"/>
                <w:kern w:val="0"/>
              </w:rPr>
            </w:pPr>
          </w:p>
        </w:tc>
        <w:tc>
          <w:tcPr>
            <w:tcW w:w="3577" w:type="dxa"/>
            <w:vAlign w:val="center"/>
          </w:tcPr>
          <w:p w14:paraId="3455AFB1">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2</w:t>
            </w:r>
            <w:r>
              <w:rPr>
                <w:rFonts w:hint="eastAsia" w:cs="宋体"/>
                <w:color w:val="000000"/>
                <w:kern w:val="0"/>
              </w:rPr>
              <w:t>）是否对现有物资进行定期检查，对已消耗或耗损的物资装备进行及时补充。</w:t>
            </w:r>
          </w:p>
        </w:tc>
        <w:tc>
          <w:tcPr>
            <w:tcW w:w="1331" w:type="dxa"/>
            <w:vAlign w:val="center"/>
          </w:tcPr>
          <w:p w14:paraId="6DDB3B8B">
            <w:pPr>
              <w:adjustRightInd w:val="0"/>
              <w:snapToGrid w:val="0"/>
              <w:ind w:firstLine="0" w:firstLineChars="0"/>
              <w:rPr>
                <w:color w:val="000000"/>
                <w:kern w:val="0"/>
              </w:rPr>
            </w:pPr>
          </w:p>
        </w:tc>
        <w:tc>
          <w:tcPr>
            <w:tcW w:w="1919" w:type="dxa"/>
            <w:vAlign w:val="center"/>
          </w:tcPr>
          <w:p w14:paraId="4C33631E">
            <w:pPr>
              <w:adjustRightInd w:val="0"/>
              <w:snapToGrid w:val="0"/>
              <w:ind w:firstLine="0" w:firstLineChars="0"/>
              <w:rPr>
                <w:color w:val="000000"/>
                <w:kern w:val="0"/>
              </w:rPr>
            </w:pPr>
          </w:p>
        </w:tc>
        <w:tc>
          <w:tcPr>
            <w:tcW w:w="1343" w:type="dxa"/>
            <w:vAlign w:val="center"/>
          </w:tcPr>
          <w:p w14:paraId="601AE377">
            <w:pPr>
              <w:adjustRightInd w:val="0"/>
              <w:snapToGrid w:val="0"/>
              <w:ind w:firstLine="0" w:firstLineChars="0"/>
              <w:rPr>
                <w:color w:val="000000"/>
                <w:kern w:val="0"/>
              </w:rPr>
            </w:pPr>
          </w:p>
        </w:tc>
        <w:tc>
          <w:tcPr>
            <w:tcW w:w="1276" w:type="dxa"/>
            <w:vAlign w:val="center"/>
          </w:tcPr>
          <w:p w14:paraId="1974E3CA">
            <w:pPr>
              <w:adjustRightInd w:val="0"/>
              <w:snapToGrid w:val="0"/>
              <w:ind w:firstLine="0" w:firstLineChars="0"/>
              <w:rPr>
                <w:color w:val="000000"/>
                <w:kern w:val="0"/>
                <w:highlight w:val="yellow"/>
              </w:rPr>
            </w:pPr>
          </w:p>
        </w:tc>
      </w:tr>
      <w:tr w14:paraId="34831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374" w:hRule="atLeast"/>
          <w:jc w:val="center"/>
        </w:trPr>
        <w:tc>
          <w:tcPr>
            <w:tcW w:w="1102" w:type="dxa"/>
            <w:vMerge w:val="restart"/>
            <w:vAlign w:val="center"/>
          </w:tcPr>
          <w:p w14:paraId="58BC367B">
            <w:pPr>
              <w:autoSpaceDE w:val="0"/>
              <w:autoSpaceDN w:val="0"/>
              <w:adjustRightInd w:val="0"/>
              <w:snapToGrid w:val="0"/>
              <w:ind w:firstLine="0" w:firstLineChars="0"/>
              <w:rPr>
                <w:color w:val="000000"/>
                <w:kern w:val="0"/>
              </w:rPr>
            </w:pPr>
            <w:r>
              <w:rPr>
                <w:rFonts w:hint="eastAsia" w:cs="宋体"/>
                <w:color w:val="000000"/>
                <w:kern w:val="0"/>
              </w:rPr>
              <w:t>应急检测器材类</w:t>
            </w:r>
          </w:p>
        </w:tc>
        <w:tc>
          <w:tcPr>
            <w:tcW w:w="3577" w:type="dxa"/>
            <w:vAlign w:val="center"/>
          </w:tcPr>
          <w:p w14:paraId="73339683">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3</w:t>
            </w:r>
            <w:r>
              <w:rPr>
                <w:rFonts w:hint="eastAsia" w:cs="宋体"/>
                <w:color w:val="000000"/>
                <w:kern w:val="0"/>
              </w:rPr>
              <w:t>）是否在氨储罐区、氨压缩机房和设备间、液氨钢瓶储存区、液氨钢瓶使用区、使用液氨的厂房、氨快速冻结装置出口处的上方及设置氨制冷辅助设备的房间等场所设置氨气体检测报警仪。</w:t>
            </w:r>
          </w:p>
        </w:tc>
        <w:tc>
          <w:tcPr>
            <w:tcW w:w="1331" w:type="dxa"/>
            <w:vAlign w:val="center"/>
          </w:tcPr>
          <w:p w14:paraId="6FFDFE6B">
            <w:pPr>
              <w:adjustRightInd w:val="0"/>
              <w:snapToGrid w:val="0"/>
              <w:ind w:firstLine="0" w:firstLineChars="0"/>
              <w:rPr>
                <w:color w:val="000000"/>
                <w:kern w:val="0"/>
              </w:rPr>
            </w:pPr>
          </w:p>
        </w:tc>
        <w:tc>
          <w:tcPr>
            <w:tcW w:w="1919" w:type="dxa"/>
            <w:vAlign w:val="center"/>
          </w:tcPr>
          <w:p w14:paraId="4E09D3C4">
            <w:pPr>
              <w:adjustRightInd w:val="0"/>
              <w:snapToGrid w:val="0"/>
              <w:ind w:firstLine="0" w:firstLineChars="0"/>
              <w:rPr>
                <w:color w:val="000000"/>
                <w:kern w:val="0"/>
              </w:rPr>
            </w:pPr>
          </w:p>
        </w:tc>
        <w:tc>
          <w:tcPr>
            <w:tcW w:w="1343" w:type="dxa"/>
            <w:vAlign w:val="center"/>
          </w:tcPr>
          <w:p w14:paraId="7EB16FCB">
            <w:pPr>
              <w:adjustRightInd w:val="0"/>
              <w:snapToGrid w:val="0"/>
              <w:ind w:firstLine="0" w:firstLineChars="0"/>
              <w:rPr>
                <w:color w:val="000000"/>
                <w:kern w:val="0"/>
              </w:rPr>
            </w:pPr>
          </w:p>
        </w:tc>
        <w:tc>
          <w:tcPr>
            <w:tcW w:w="1276" w:type="dxa"/>
            <w:vAlign w:val="center"/>
          </w:tcPr>
          <w:p w14:paraId="371188B8">
            <w:pPr>
              <w:adjustRightInd w:val="0"/>
              <w:snapToGrid w:val="0"/>
              <w:ind w:firstLine="0" w:firstLineChars="0"/>
              <w:rPr>
                <w:color w:val="000000"/>
                <w:kern w:val="0"/>
                <w:highlight w:val="yellow"/>
              </w:rPr>
            </w:pPr>
          </w:p>
        </w:tc>
      </w:tr>
      <w:tr w14:paraId="223C5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73CD231E">
            <w:pPr>
              <w:widowControl/>
              <w:ind w:firstLine="0" w:firstLineChars="0"/>
              <w:jc w:val="left"/>
              <w:rPr>
                <w:color w:val="000000"/>
                <w:kern w:val="0"/>
              </w:rPr>
            </w:pPr>
          </w:p>
        </w:tc>
        <w:tc>
          <w:tcPr>
            <w:tcW w:w="3577" w:type="dxa"/>
            <w:vAlign w:val="center"/>
          </w:tcPr>
          <w:p w14:paraId="61366B31">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4</w:t>
            </w:r>
            <w:r>
              <w:rPr>
                <w:rFonts w:hint="eastAsia" w:cs="宋体"/>
                <w:color w:val="000000"/>
                <w:kern w:val="0"/>
              </w:rPr>
              <w:t>）是否配备检查氨泄漏的专用仪器。</w:t>
            </w:r>
          </w:p>
        </w:tc>
        <w:tc>
          <w:tcPr>
            <w:tcW w:w="1331" w:type="dxa"/>
            <w:vAlign w:val="center"/>
          </w:tcPr>
          <w:p w14:paraId="747F207A">
            <w:pPr>
              <w:adjustRightInd w:val="0"/>
              <w:snapToGrid w:val="0"/>
              <w:ind w:firstLine="0" w:firstLineChars="0"/>
              <w:jc w:val="center"/>
              <w:rPr>
                <w:color w:val="000000"/>
                <w:kern w:val="0"/>
              </w:rPr>
            </w:pPr>
          </w:p>
        </w:tc>
        <w:tc>
          <w:tcPr>
            <w:tcW w:w="1919" w:type="dxa"/>
            <w:vAlign w:val="center"/>
          </w:tcPr>
          <w:p w14:paraId="199F472B">
            <w:pPr>
              <w:adjustRightInd w:val="0"/>
              <w:snapToGrid w:val="0"/>
              <w:ind w:firstLine="0" w:firstLineChars="0"/>
              <w:jc w:val="center"/>
              <w:rPr>
                <w:color w:val="000000"/>
                <w:kern w:val="0"/>
              </w:rPr>
            </w:pPr>
          </w:p>
        </w:tc>
        <w:tc>
          <w:tcPr>
            <w:tcW w:w="1343" w:type="dxa"/>
            <w:vAlign w:val="center"/>
          </w:tcPr>
          <w:p w14:paraId="18AFE6E7">
            <w:pPr>
              <w:adjustRightInd w:val="0"/>
              <w:snapToGrid w:val="0"/>
              <w:ind w:firstLine="0" w:firstLineChars="0"/>
              <w:jc w:val="center"/>
              <w:rPr>
                <w:color w:val="000000"/>
                <w:kern w:val="0"/>
              </w:rPr>
            </w:pPr>
          </w:p>
        </w:tc>
        <w:tc>
          <w:tcPr>
            <w:tcW w:w="1276" w:type="dxa"/>
            <w:vAlign w:val="center"/>
          </w:tcPr>
          <w:p w14:paraId="3E85C480">
            <w:pPr>
              <w:adjustRightInd w:val="0"/>
              <w:snapToGrid w:val="0"/>
              <w:ind w:firstLine="0" w:firstLineChars="0"/>
              <w:jc w:val="center"/>
              <w:rPr>
                <w:color w:val="000000"/>
                <w:kern w:val="0"/>
                <w:highlight w:val="yellow"/>
              </w:rPr>
            </w:pPr>
          </w:p>
        </w:tc>
      </w:tr>
      <w:tr w14:paraId="6ED59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650149FE">
            <w:pPr>
              <w:widowControl/>
              <w:ind w:firstLine="0" w:firstLineChars="0"/>
              <w:jc w:val="left"/>
              <w:rPr>
                <w:color w:val="000000"/>
                <w:kern w:val="0"/>
              </w:rPr>
            </w:pPr>
          </w:p>
        </w:tc>
        <w:tc>
          <w:tcPr>
            <w:tcW w:w="3577" w:type="dxa"/>
            <w:vAlign w:val="center"/>
          </w:tcPr>
          <w:p w14:paraId="72B75BC6">
            <w:pPr>
              <w:autoSpaceDE w:val="0"/>
              <w:autoSpaceDN w:val="0"/>
              <w:adjustRightInd w:val="0"/>
              <w:snapToGrid w:val="0"/>
              <w:ind w:firstLine="0" w:firstLineChars="0"/>
              <w:rPr>
                <w:color w:val="000000"/>
                <w:kern w:val="0"/>
              </w:rPr>
            </w:pPr>
          </w:p>
        </w:tc>
        <w:tc>
          <w:tcPr>
            <w:tcW w:w="1331" w:type="dxa"/>
            <w:vAlign w:val="center"/>
          </w:tcPr>
          <w:p w14:paraId="67021894">
            <w:pPr>
              <w:adjustRightInd w:val="0"/>
              <w:snapToGrid w:val="0"/>
              <w:ind w:firstLine="0" w:firstLineChars="0"/>
              <w:jc w:val="center"/>
              <w:rPr>
                <w:color w:val="000000"/>
                <w:kern w:val="0"/>
              </w:rPr>
            </w:pPr>
          </w:p>
        </w:tc>
        <w:tc>
          <w:tcPr>
            <w:tcW w:w="1919" w:type="dxa"/>
            <w:vAlign w:val="center"/>
          </w:tcPr>
          <w:p w14:paraId="2B1840BA">
            <w:pPr>
              <w:adjustRightInd w:val="0"/>
              <w:snapToGrid w:val="0"/>
              <w:ind w:firstLine="0" w:firstLineChars="0"/>
              <w:jc w:val="center"/>
              <w:rPr>
                <w:color w:val="000000"/>
                <w:kern w:val="0"/>
              </w:rPr>
            </w:pPr>
          </w:p>
        </w:tc>
        <w:tc>
          <w:tcPr>
            <w:tcW w:w="1343" w:type="dxa"/>
            <w:vAlign w:val="center"/>
          </w:tcPr>
          <w:p w14:paraId="009806E9">
            <w:pPr>
              <w:adjustRightInd w:val="0"/>
              <w:snapToGrid w:val="0"/>
              <w:ind w:firstLine="0" w:firstLineChars="0"/>
              <w:jc w:val="center"/>
              <w:rPr>
                <w:color w:val="000000"/>
                <w:kern w:val="0"/>
              </w:rPr>
            </w:pPr>
          </w:p>
        </w:tc>
        <w:tc>
          <w:tcPr>
            <w:tcW w:w="1276" w:type="dxa"/>
            <w:vAlign w:val="center"/>
          </w:tcPr>
          <w:p w14:paraId="1CA77ABD">
            <w:pPr>
              <w:adjustRightInd w:val="0"/>
              <w:snapToGrid w:val="0"/>
              <w:ind w:firstLine="0" w:firstLineChars="0"/>
              <w:jc w:val="center"/>
              <w:rPr>
                <w:color w:val="000000"/>
                <w:kern w:val="0"/>
                <w:highlight w:val="yellow"/>
              </w:rPr>
            </w:pPr>
          </w:p>
        </w:tc>
      </w:tr>
      <w:tr w14:paraId="13F211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restart"/>
            <w:vAlign w:val="center"/>
          </w:tcPr>
          <w:p w14:paraId="3DBB1B02">
            <w:pPr>
              <w:autoSpaceDE w:val="0"/>
              <w:autoSpaceDN w:val="0"/>
              <w:adjustRightInd w:val="0"/>
              <w:snapToGrid w:val="0"/>
              <w:ind w:firstLine="0" w:firstLineChars="0"/>
              <w:jc w:val="center"/>
              <w:rPr>
                <w:color w:val="000000"/>
                <w:kern w:val="0"/>
              </w:rPr>
            </w:pPr>
          </w:p>
          <w:p w14:paraId="3934E345">
            <w:pPr>
              <w:autoSpaceDE w:val="0"/>
              <w:autoSpaceDN w:val="0"/>
              <w:adjustRightInd w:val="0"/>
              <w:snapToGrid w:val="0"/>
              <w:ind w:firstLine="0" w:firstLineChars="0"/>
              <w:jc w:val="center"/>
              <w:rPr>
                <w:color w:val="000000"/>
                <w:kern w:val="0"/>
              </w:rPr>
            </w:pPr>
          </w:p>
          <w:p w14:paraId="3260F801">
            <w:pPr>
              <w:autoSpaceDE w:val="0"/>
              <w:autoSpaceDN w:val="0"/>
              <w:adjustRightInd w:val="0"/>
              <w:snapToGrid w:val="0"/>
              <w:ind w:firstLine="0" w:firstLineChars="0"/>
              <w:jc w:val="center"/>
              <w:rPr>
                <w:color w:val="000000"/>
                <w:kern w:val="0"/>
              </w:rPr>
            </w:pPr>
          </w:p>
          <w:p w14:paraId="3F00F139">
            <w:pPr>
              <w:autoSpaceDE w:val="0"/>
              <w:autoSpaceDN w:val="0"/>
              <w:adjustRightInd w:val="0"/>
              <w:snapToGrid w:val="0"/>
              <w:ind w:firstLine="0" w:firstLineChars="0"/>
              <w:jc w:val="center"/>
              <w:rPr>
                <w:color w:val="000000"/>
                <w:kern w:val="0"/>
              </w:rPr>
            </w:pPr>
          </w:p>
          <w:p w14:paraId="5DBF729C">
            <w:pPr>
              <w:autoSpaceDE w:val="0"/>
              <w:autoSpaceDN w:val="0"/>
              <w:adjustRightInd w:val="0"/>
              <w:snapToGrid w:val="0"/>
              <w:ind w:firstLine="0" w:firstLineChars="0"/>
              <w:jc w:val="center"/>
              <w:rPr>
                <w:color w:val="000000"/>
                <w:kern w:val="0"/>
              </w:rPr>
            </w:pPr>
          </w:p>
          <w:p w14:paraId="4E996F5C">
            <w:pPr>
              <w:autoSpaceDE w:val="0"/>
              <w:autoSpaceDN w:val="0"/>
              <w:adjustRightInd w:val="0"/>
              <w:snapToGrid w:val="0"/>
              <w:ind w:firstLine="0" w:firstLineChars="0"/>
              <w:jc w:val="center"/>
              <w:rPr>
                <w:color w:val="000000"/>
                <w:kern w:val="0"/>
              </w:rPr>
            </w:pPr>
          </w:p>
          <w:p w14:paraId="7F297ECA">
            <w:pPr>
              <w:autoSpaceDE w:val="0"/>
              <w:autoSpaceDN w:val="0"/>
              <w:adjustRightInd w:val="0"/>
              <w:snapToGrid w:val="0"/>
              <w:ind w:firstLine="0" w:firstLineChars="0"/>
              <w:jc w:val="center"/>
              <w:rPr>
                <w:color w:val="000000"/>
                <w:kern w:val="0"/>
              </w:rPr>
            </w:pPr>
          </w:p>
          <w:p w14:paraId="12A61C23">
            <w:pPr>
              <w:autoSpaceDE w:val="0"/>
              <w:autoSpaceDN w:val="0"/>
              <w:adjustRightInd w:val="0"/>
              <w:snapToGrid w:val="0"/>
              <w:ind w:firstLine="0" w:firstLineChars="0"/>
              <w:rPr>
                <w:color w:val="000000"/>
                <w:kern w:val="0"/>
              </w:rPr>
            </w:pPr>
            <w:r>
              <w:rPr>
                <w:rFonts w:hint="eastAsia" w:cs="宋体"/>
                <w:color w:val="000000"/>
                <w:kern w:val="0"/>
              </w:rPr>
              <w:t>应急设施类</w:t>
            </w:r>
          </w:p>
        </w:tc>
        <w:tc>
          <w:tcPr>
            <w:tcW w:w="3577" w:type="dxa"/>
            <w:vAlign w:val="center"/>
          </w:tcPr>
          <w:p w14:paraId="593EA5B2">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5</w:t>
            </w:r>
            <w:r>
              <w:rPr>
                <w:rFonts w:hint="eastAsia" w:cs="宋体"/>
                <w:color w:val="000000"/>
                <w:kern w:val="0"/>
              </w:rPr>
              <w:t>）是否设置事故状态下的喷淋退水收集、储存设施，并满足应急要求。</w:t>
            </w:r>
          </w:p>
        </w:tc>
        <w:tc>
          <w:tcPr>
            <w:tcW w:w="1331" w:type="dxa"/>
            <w:vAlign w:val="center"/>
          </w:tcPr>
          <w:p w14:paraId="74E9DCBD">
            <w:pPr>
              <w:adjustRightInd w:val="0"/>
              <w:snapToGrid w:val="0"/>
              <w:ind w:firstLine="0" w:firstLineChars="0"/>
              <w:jc w:val="center"/>
              <w:rPr>
                <w:color w:val="000000"/>
                <w:kern w:val="0"/>
              </w:rPr>
            </w:pPr>
          </w:p>
        </w:tc>
        <w:tc>
          <w:tcPr>
            <w:tcW w:w="1919" w:type="dxa"/>
            <w:vAlign w:val="center"/>
          </w:tcPr>
          <w:p w14:paraId="637A807F">
            <w:pPr>
              <w:adjustRightInd w:val="0"/>
              <w:snapToGrid w:val="0"/>
              <w:ind w:firstLine="0" w:firstLineChars="0"/>
              <w:jc w:val="center"/>
              <w:rPr>
                <w:color w:val="000000"/>
                <w:kern w:val="0"/>
              </w:rPr>
            </w:pPr>
          </w:p>
        </w:tc>
        <w:tc>
          <w:tcPr>
            <w:tcW w:w="1343" w:type="dxa"/>
            <w:vAlign w:val="center"/>
          </w:tcPr>
          <w:p w14:paraId="23B0490B">
            <w:pPr>
              <w:adjustRightInd w:val="0"/>
              <w:snapToGrid w:val="0"/>
              <w:ind w:firstLine="0" w:firstLineChars="0"/>
              <w:jc w:val="center"/>
              <w:rPr>
                <w:color w:val="000000"/>
                <w:kern w:val="0"/>
              </w:rPr>
            </w:pPr>
          </w:p>
        </w:tc>
        <w:tc>
          <w:tcPr>
            <w:tcW w:w="1276" w:type="dxa"/>
            <w:vAlign w:val="center"/>
          </w:tcPr>
          <w:p w14:paraId="014811CB">
            <w:pPr>
              <w:adjustRightInd w:val="0"/>
              <w:snapToGrid w:val="0"/>
              <w:ind w:firstLine="0" w:firstLineChars="0"/>
              <w:jc w:val="center"/>
              <w:rPr>
                <w:color w:val="000000"/>
                <w:kern w:val="0"/>
                <w:highlight w:val="yellow"/>
              </w:rPr>
            </w:pPr>
          </w:p>
        </w:tc>
      </w:tr>
      <w:tr w14:paraId="523FF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74BC92C5">
            <w:pPr>
              <w:widowControl/>
              <w:ind w:firstLine="0" w:firstLineChars="0"/>
              <w:jc w:val="left"/>
              <w:rPr>
                <w:color w:val="000000"/>
                <w:kern w:val="0"/>
              </w:rPr>
            </w:pPr>
          </w:p>
        </w:tc>
        <w:tc>
          <w:tcPr>
            <w:tcW w:w="3577" w:type="dxa"/>
            <w:vAlign w:val="center"/>
          </w:tcPr>
          <w:p w14:paraId="6F41B65B">
            <w:pPr>
              <w:autoSpaceDE w:val="0"/>
              <w:autoSpaceDN w:val="0"/>
              <w:adjustRightInd w:val="0"/>
              <w:snapToGrid w:val="0"/>
              <w:ind w:firstLine="0" w:firstLineChars="0"/>
              <w:rPr>
                <w:color w:val="000000"/>
                <w:kern w:val="0"/>
                <w:highlight w:val="yellow"/>
              </w:rPr>
            </w:pPr>
            <w:r>
              <w:rPr>
                <w:rFonts w:hint="eastAsia" w:cs="宋体"/>
                <w:color w:val="000000"/>
                <w:kern w:val="0"/>
              </w:rPr>
              <w:t>（</w:t>
            </w:r>
            <w:r>
              <w:rPr>
                <w:color w:val="000000"/>
                <w:kern w:val="0"/>
              </w:rPr>
              <w:t>6</w:t>
            </w:r>
            <w:r>
              <w:rPr>
                <w:rFonts w:hint="eastAsia" w:cs="宋体"/>
                <w:color w:val="000000"/>
                <w:kern w:val="0"/>
              </w:rPr>
              <w:t>）液氨储罐区域是否设置防护围堰，并满足应急要求。</w:t>
            </w:r>
          </w:p>
        </w:tc>
        <w:tc>
          <w:tcPr>
            <w:tcW w:w="1331" w:type="dxa"/>
            <w:vAlign w:val="center"/>
          </w:tcPr>
          <w:p w14:paraId="6FC3E76D">
            <w:pPr>
              <w:adjustRightInd w:val="0"/>
              <w:snapToGrid w:val="0"/>
              <w:ind w:firstLine="0" w:firstLineChars="0"/>
              <w:jc w:val="center"/>
              <w:rPr>
                <w:color w:val="000000"/>
                <w:kern w:val="0"/>
              </w:rPr>
            </w:pPr>
          </w:p>
        </w:tc>
        <w:tc>
          <w:tcPr>
            <w:tcW w:w="1919" w:type="dxa"/>
            <w:vAlign w:val="center"/>
          </w:tcPr>
          <w:p w14:paraId="1C6F88B4">
            <w:pPr>
              <w:adjustRightInd w:val="0"/>
              <w:snapToGrid w:val="0"/>
              <w:ind w:firstLine="0" w:firstLineChars="0"/>
              <w:jc w:val="center"/>
              <w:rPr>
                <w:color w:val="000000"/>
                <w:kern w:val="0"/>
              </w:rPr>
            </w:pPr>
          </w:p>
        </w:tc>
        <w:tc>
          <w:tcPr>
            <w:tcW w:w="1343" w:type="dxa"/>
            <w:vAlign w:val="center"/>
          </w:tcPr>
          <w:p w14:paraId="3FC9D1A9">
            <w:pPr>
              <w:adjustRightInd w:val="0"/>
              <w:snapToGrid w:val="0"/>
              <w:ind w:firstLine="0" w:firstLineChars="0"/>
              <w:jc w:val="center"/>
              <w:rPr>
                <w:color w:val="000000"/>
                <w:kern w:val="0"/>
              </w:rPr>
            </w:pPr>
          </w:p>
        </w:tc>
        <w:tc>
          <w:tcPr>
            <w:tcW w:w="1276" w:type="dxa"/>
            <w:vAlign w:val="center"/>
          </w:tcPr>
          <w:p w14:paraId="4D05A2B3">
            <w:pPr>
              <w:adjustRightInd w:val="0"/>
              <w:snapToGrid w:val="0"/>
              <w:ind w:firstLine="0" w:firstLineChars="0"/>
              <w:jc w:val="center"/>
              <w:rPr>
                <w:color w:val="000000"/>
                <w:kern w:val="0"/>
                <w:highlight w:val="yellow"/>
              </w:rPr>
            </w:pPr>
          </w:p>
        </w:tc>
      </w:tr>
      <w:tr w14:paraId="3FEE8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39DF6341">
            <w:pPr>
              <w:widowControl/>
              <w:ind w:firstLine="0" w:firstLineChars="0"/>
              <w:jc w:val="left"/>
              <w:rPr>
                <w:color w:val="000000"/>
                <w:kern w:val="0"/>
              </w:rPr>
            </w:pPr>
          </w:p>
        </w:tc>
        <w:tc>
          <w:tcPr>
            <w:tcW w:w="3577" w:type="dxa"/>
            <w:vAlign w:val="center"/>
          </w:tcPr>
          <w:p w14:paraId="2A89CE3B">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7</w:t>
            </w:r>
            <w:r>
              <w:rPr>
                <w:rFonts w:hint="eastAsia" w:cs="宋体"/>
                <w:color w:val="000000"/>
                <w:kern w:val="0"/>
              </w:rPr>
              <w:t>）是否有防止消防退水直排的措施。</w:t>
            </w:r>
          </w:p>
        </w:tc>
        <w:tc>
          <w:tcPr>
            <w:tcW w:w="1331" w:type="dxa"/>
            <w:vAlign w:val="center"/>
          </w:tcPr>
          <w:p w14:paraId="4C922E0C">
            <w:pPr>
              <w:adjustRightInd w:val="0"/>
              <w:snapToGrid w:val="0"/>
              <w:ind w:firstLine="0" w:firstLineChars="0"/>
              <w:jc w:val="center"/>
              <w:rPr>
                <w:color w:val="000000"/>
                <w:kern w:val="0"/>
              </w:rPr>
            </w:pPr>
          </w:p>
        </w:tc>
        <w:tc>
          <w:tcPr>
            <w:tcW w:w="1919" w:type="dxa"/>
            <w:vAlign w:val="center"/>
          </w:tcPr>
          <w:p w14:paraId="56447A4E">
            <w:pPr>
              <w:adjustRightInd w:val="0"/>
              <w:snapToGrid w:val="0"/>
              <w:ind w:firstLine="0" w:firstLineChars="0"/>
              <w:jc w:val="center"/>
              <w:rPr>
                <w:color w:val="000000"/>
                <w:kern w:val="0"/>
              </w:rPr>
            </w:pPr>
          </w:p>
        </w:tc>
        <w:tc>
          <w:tcPr>
            <w:tcW w:w="1343" w:type="dxa"/>
            <w:vAlign w:val="center"/>
          </w:tcPr>
          <w:p w14:paraId="3AAFAEE2">
            <w:pPr>
              <w:adjustRightInd w:val="0"/>
              <w:snapToGrid w:val="0"/>
              <w:ind w:firstLine="0" w:firstLineChars="0"/>
              <w:jc w:val="center"/>
              <w:rPr>
                <w:color w:val="000000"/>
                <w:kern w:val="0"/>
              </w:rPr>
            </w:pPr>
          </w:p>
        </w:tc>
        <w:tc>
          <w:tcPr>
            <w:tcW w:w="1276" w:type="dxa"/>
            <w:vAlign w:val="center"/>
          </w:tcPr>
          <w:p w14:paraId="1C65608E">
            <w:pPr>
              <w:adjustRightInd w:val="0"/>
              <w:snapToGrid w:val="0"/>
              <w:ind w:firstLine="0" w:firstLineChars="0"/>
              <w:jc w:val="center"/>
              <w:rPr>
                <w:color w:val="000000"/>
                <w:kern w:val="0"/>
                <w:highlight w:val="yellow"/>
              </w:rPr>
            </w:pPr>
          </w:p>
        </w:tc>
      </w:tr>
      <w:tr w14:paraId="65031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70C00635">
            <w:pPr>
              <w:widowControl/>
              <w:ind w:firstLine="0" w:firstLineChars="0"/>
              <w:jc w:val="left"/>
              <w:rPr>
                <w:color w:val="000000"/>
                <w:kern w:val="0"/>
              </w:rPr>
            </w:pPr>
          </w:p>
        </w:tc>
        <w:tc>
          <w:tcPr>
            <w:tcW w:w="3577" w:type="dxa"/>
            <w:vAlign w:val="center"/>
          </w:tcPr>
          <w:p w14:paraId="28E1237C">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8</w:t>
            </w:r>
            <w:r>
              <w:rPr>
                <w:rFonts w:hint="eastAsia" w:cs="宋体"/>
                <w:color w:val="000000"/>
                <w:kern w:val="0"/>
              </w:rPr>
              <w:t>）液氨储罐区域是否有冷却喷淋设施。</w:t>
            </w:r>
          </w:p>
        </w:tc>
        <w:tc>
          <w:tcPr>
            <w:tcW w:w="1331" w:type="dxa"/>
            <w:vAlign w:val="center"/>
          </w:tcPr>
          <w:p w14:paraId="0BFB13F9">
            <w:pPr>
              <w:adjustRightInd w:val="0"/>
              <w:snapToGrid w:val="0"/>
              <w:ind w:firstLine="0" w:firstLineChars="0"/>
              <w:jc w:val="center"/>
              <w:rPr>
                <w:color w:val="000000"/>
                <w:kern w:val="0"/>
              </w:rPr>
            </w:pPr>
          </w:p>
        </w:tc>
        <w:tc>
          <w:tcPr>
            <w:tcW w:w="1919" w:type="dxa"/>
            <w:vAlign w:val="center"/>
          </w:tcPr>
          <w:p w14:paraId="396F7E00">
            <w:pPr>
              <w:adjustRightInd w:val="0"/>
              <w:snapToGrid w:val="0"/>
              <w:ind w:firstLine="0" w:firstLineChars="0"/>
              <w:jc w:val="center"/>
              <w:rPr>
                <w:color w:val="000000"/>
                <w:kern w:val="0"/>
              </w:rPr>
            </w:pPr>
          </w:p>
        </w:tc>
        <w:tc>
          <w:tcPr>
            <w:tcW w:w="1343" w:type="dxa"/>
            <w:vAlign w:val="center"/>
          </w:tcPr>
          <w:p w14:paraId="1E045243">
            <w:pPr>
              <w:adjustRightInd w:val="0"/>
              <w:snapToGrid w:val="0"/>
              <w:ind w:firstLine="0" w:firstLineChars="0"/>
              <w:jc w:val="center"/>
              <w:rPr>
                <w:color w:val="000000"/>
                <w:kern w:val="0"/>
              </w:rPr>
            </w:pPr>
          </w:p>
        </w:tc>
        <w:tc>
          <w:tcPr>
            <w:tcW w:w="1276" w:type="dxa"/>
            <w:vAlign w:val="center"/>
          </w:tcPr>
          <w:p w14:paraId="139B8639">
            <w:pPr>
              <w:adjustRightInd w:val="0"/>
              <w:snapToGrid w:val="0"/>
              <w:ind w:firstLine="0" w:firstLineChars="0"/>
              <w:jc w:val="center"/>
              <w:rPr>
                <w:color w:val="000000"/>
                <w:kern w:val="0"/>
                <w:highlight w:val="yellow"/>
              </w:rPr>
            </w:pPr>
          </w:p>
        </w:tc>
      </w:tr>
      <w:tr w14:paraId="67091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23EDFE57">
            <w:pPr>
              <w:widowControl/>
              <w:ind w:firstLine="0" w:firstLineChars="0"/>
              <w:jc w:val="left"/>
              <w:rPr>
                <w:color w:val="000000"/>
                <w:kern w:val="0"/>
              </w:rPr>
            </w:pPr>
          </w:p>
        </w:tc>
        <w:tc>
          <w:tcPr>
            <w:tcW w:w="3577" w:type="dxa"/>
            <w:vAlign w:val="center"/>
          </w:tcPr>
          <w:p w14:paraId="1862DD2A">
            <w:pPr>
              <w:autoSpaceDE w:val="0"/>
              <w:autoSpaceDN w:val="0"/>
              <w:adjustRightInd w:val="0"/>
              <w:snapToGrid w:val="0"/>
              <w:ind w:firstLine="0" w:firstLineChars="0"/>
              <w:rPr>
                <w:color w:val="000000"/>
                <w:kern w:val="0"/>
              </w:rPr>
            </w:pPr>
          </w:p>
        </w:tc>
        <w:tc>
          <w:tcPr>
            <w:tcW w:w="1331" w:type="dxa"/>
            <w:vAlign w:val="center"/>
          </w:tcPr>
          <w:p w14:paraId="2900B083">
            <w:pPr>
              <w:adjustRightInd w:val="0"/>
              <w:snapToGrid w:val="0"/>
              <w:ind w:firstLine="0" w:firstLineChars="0"/>
              <w:jc w:val="center"/>
              <w:rPr>
                <w:color w:val="000000"/>
                <w:kern w:val="0"/>
              </w:rPr>
            </w:pPr>
          </w:p>
        </w:tc>
        <w:tc>
          <w:tcPr>
            <w:tcW w:w="1919" w:type="dxa"/>
            <w:vAlign w:val="center"/>
          </w:tcPr>
          <w:p w14:paraId="01EB3A58">
            <w:pPr>
              <w:adjustRightInd w:val="0"/>
              <w:snapToGrid w:val="0"/>
              <w:ind w:firstLine="0" w:firstLineChars="0"/>
              <w:jc w:val="center"/>
              <w:rPr>
                <w:color w:val="000000"/>
                <w:kern w:val="0"/>
              </w:rPr>
            </w:pPr>
          </w:p>
        </w:tc>
        <w:tc>
          <w:tcPr>
            <w:tcW w:w="1343" w:type="dxa"/>
            <w:vAlign w:val="center"/>
          </w:tcPr>
          <w:p w14:paraId="5C235B88">
            <w:pPr>
              <w:adjustRightInd w:val="0"/>
              <w:snapToGrid w:val="0"/>
              <w:ind w:firstLine="0" w:firstLineChars="0"/>
              <w:jc w:val="center"/>
              <w:rPr>
                <w:color w:val="000000"/>
                <w:kern w:val="0"/>
              </w:rPr>
            </w:pPr>
          </w:p>
        </w:tc>
        <w:tc>
          <w:tcPr>
            <w:tcW w:w="1276" w:type="dxa"/>
            <w:vAlign w:val="center"/>
          </w:tcPr>
          <w:p w14:paraId="55F37A07">
            <w:pPr>
              <w:adjustRightInd w:val="0"/>
              <w:snapToGrid w:val="0"/>
              <w:ind w:firstLine="0" w:firstLineChars="0"/>
              <w:jc w:val="center"/>
              <w:rPr>
                <w:color w:val="000000"/>
                <w:kern w:val="0"/>
                <w:highlight w:val="yellow"/>
              </w:rPr>
            </w:pPr>
          </w:p>
        </w:tc>
      </w:tr>
      <w:tr w14:paraId="7ECCC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7A42003D">
            <w:pPr>
              <w:widowControl/>
              <w:ind w:firstLine="0" w:firstLineChars="0"/>
              <w:jc w:val="left"/>
              <w:rPr>
                <w:color w:val="000000"/>
                <w:kern w:val="0"/>
              </w:rPr>
            </w:pPr>
          </w:p>
        </w:tc>
        <w:tc>
          <w:tcPr>
            <w:tcW w:w="3577" w:type="dxa"/>
            <w:vAlign w:val="center"/>
          </w:tcPr>
          <w:p w14:paraId="4D2C0DE6">
            <w:pPr>
              <w:autoSpaceDE w:val="0"/>
              <w:autoSpaceDN w:val="0"/>
              <w:adjustRightInd w:val="0"/>
              <w:snapToGrid w:val="0"/>
              <w:ind w:firstLine="0" w:firstLineChars="0"/>
              <w:rPr>
                <w:color w:val="000000"/>
                <w:kern w:val="0"/>
              </w:rPr>
            </w:pPr>
          </w:p>
        </w:tc>
        <w:tc>
          <w:tcPr>
            <w:tcW w:w="1331" w:type="dxa"/>
            <w:vAlign w:val="center"/>
          </w:tcPr>
          <w:p w14:paraId="61C18EDE">
            <w:pPr>
              <w:adjustRightInd w:val="0"/>
              <w:snapToGrid w:val="0"/>
              <w:ind w:firstLine="0" w:firstLineChars="0"/>
              <w:jc w:val="center"/>
              <w:rPr>
                <w:color w:val="000000"/>
                <w:kern w:val="0"/>
              </w:rPr>
            </w:pPr>
          </w:p>
        </w:tc>
        <w:tc>
          <w:tcPr>
            <w:tcW w:w="1919" w:type="dxa"/>
            <w:vAlign w:val="center"/>
          </w:tcPr>
          <w:p w14:paraId="3152D645">
            <w:pPr>
              <w:adjustRightInd w:val="0"/>
              <w:snapToGrid w:val="0"/>
              <w:ind w:firstLine="0" w:firstLineChars="0"/>
              <w:jc w:val="center"/>
              <w:rPr>
                <w:color w:val="000000"/>
                <w:kern w:val="0"/>
              </w:rPr>
            </w:pPr>
          </w:p>
        </w:tc>
        <w:tc>
          <w:tcPr>
            <w:tcW w:w="1343" w:type="dxa"/>
            <w:vAlign w:val="center"/>
          </w:tcPr>
          <w:p w14:paraId="605B7EFC">
            <w:pPr>
              <w:adjustRightInd w:val="0"/>
              <w:snapToGrid w:val="0"/>
              <w:ind w:firstLine="0" w:firstLineChars="0"/>
              <w:jc w:val="center"/>
              <w:rPr>
                <w:color w:val="000000"/>
                <w:kern w:val="0"/>
              </w:rPr>
            </w:pPr>
          </w:p>
        </w:tc>
        <w:tc>
          <w:tcPr>
            <w:tcW w:w="1276" w:type="dxa"/>
            <w:vAlign w:val="center"/>
          </w:tcPr>
          <w:p w14:paraId="6CFDE2B4">
            <w:pPr>
              <w:adjustRightInd w:val="0"/>
              <w:snapToGrid w:val="0"/>
              <w:ind w:firstLine="0" w:firstLineChars="0"/>
              <w:jc w:val="center"/>
              <w:rPr>
                <w:color w:val="000000"/>
                <w:kern w:val="0"/>
                <w:highlight w:val="yellow"/>
              </w:rPr>
            </w:pPr>
          </w:p>
        </w:tc>
      </w:tr>
      <w:tr w14:paraId="77AF7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6748EE6B">
            <w:pPr>
              <w:widowControl/>
              <w:ind w:firstLine="0" w:firstLineChars="0"/>
              <w:jc w:val="left"/>
              <w:rPr>
                <w:color w:val="000000"/>
                <w:kern w:val="0"/>
              </w:rPr>
            </w:pPr>
          </w:p>
        </w:tc>
        <w:tc>
          <w:tcPr>
            <w:tcW w:w="3577" w:type="dxa"/>
            <w:vAlign w:val="center"/>
          </w:tcPr>
          <w:p w14:paraId="58564171">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9</w:t>
            </w:r>
            <w:r>
              <w:rPr>
                <w:rFonts w:hint="eastAsia" w:cs="宋体"/>
                <w:color w:val="000000"/>
                <w:kern w:val="0"/>
              </w:rPr>
              <w:t>）喷淋或移动式水枪是否能满足水喷淋范围覆盖所有可能漏氨的部位。</w:t>
            </w:r>
          </w:p>
        </w:tc>
        <w:tc>
          <w:tcPr>
            <w:tcW w:w="1331" w:type="dxa"/>
            <w:vAlign w:val="center"/>
          </w:tcPr>
          <w:p w14:paraId="1A07514E">
            <w:pPr>
              <w:adjustRightInd w:val="0"/>
              <w:snapToGrid w:val="0"/>
              <w:ind w:firstLine="0" w:firstLineChars="0"/>
              <w:jc w:val="center"/>
              <w:rPr>
                <w:color w:val="000000"/>
                <w:kern w:val="0"/>
              </w:rPr>
            </w:pPr>
          </w:p>
        </w:tc>
        <w:tc>
          <w:tcPr>
            <w:tcW w:w="1919" w:type="dxa"/>
            <w:vAlign w:val="center"/>
          </w:tcPr>
          <w:p w14:paraId="6106896F">
            <w:pPr>
              <w:adjustRightInd w:val="0"/>
              <w:snapToGrid w:val="0"/>
              <w:ind w:firstLine="0" w:firstLineChars="0"/>
              <w:jc w:val="center"/>
              <w:rPr>
                <w:color w:val="000000"/>
                <w:kern w:val="0"/>
              </w:rPr>
            </w:pPr>
          </w:p>
        </w:tc>
        <w:tc>
          <w:tcPr>
            <w:tcW w:w="1343" w:type="dxa"/>
            <w:vAlign w:val="center"/>
          </w:tcPr>
          <w:p w14:paraId="126403EF">
            <w:pPr>
              <w:adjustRightInd w:val="0"/>
              <w:snapToGrid w:val="0"/>
              <w:ind w:firstLine="0" w:firstLineChars="0"/>
              <w:jc w:val="center"/>
              <w:rPr>
                <w:color w:val="000000"/>
                <w:kern w:val="0"/>
              </w:rPr>
            </w:pPr>
          </w:p>
        </w:tc>
        <w:tc>
          <w:tcPr>
            <w:tcW w:w="1276" w:type="dxa"/>
            <w:vAlign w:val="center"/>
          </w:tcPr>
          <w:p w14:paraId="5F8F627A">
            <w:pPr>
              <w:adjustRightInd w:val="0"/>
              <w:snapToGrid w:val="0"/>
              <w:ind w:firstLine="0" w:firstLineChars="0"/>
              <w:jc w:val="center"/>
              <w:rPr>
                <w:color w:val="000000"/>
                <w:kern w:val="0"/>
                <w:highlight w:val="yellow"/>
              </w:rPr>
            </w:pPr>
          </w:p>
        </w:tc>
      </w:tr>
      <w:tr w14:paraId="29CAA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05D3B201">
            <w:pPr>
              <w:widowControl/>
              <w:ind w:firstLine="0" w:firstLineChars="0"/>
              <w:jc w:val="left"/>
              <w:rPr>
                <w:color w:val="000000"/>
                <w:kern w:val="0"/>
              </w:rPr>
            </w:pPr>
          </w:p>
        </w:tc>
        <w:tc>
          <w:tcPr>
            <w:tcW w:w="3577" w:type="dxa"/>
            <w:vAlign w:val="center"/>
          </w:tcPr>
          <w:p w14:paraId="603A3C33">
            <w:pPr>
              <w:autoSpaceDE w:val="0"/>
              <w:autoSpaceDN w:val="0"/>
              <w:adjustRightInd w:val="0"/>
              <w:snapToGrid w:val="0"/>
              <w:ind w:firstLine="0" w:firstLineChars="0"/>
              <w:rPr>
                <w:color w:val="000000"/>
                <w:kern w:val="0"/>
              </w:rPr>
            </w:pPr>
          </w:p>
        </w:tc>
        <w:tc>
          <w:tcPr>
            <w:tcW w:w="1331" w:type="dxa"/>
            <w:vAlign w:val="center"/>
          </w:tcPr>
          <w:p w14:paraId="2DEEBD8F">
            <w:pPr>
              <w:adjustRightInd w:val="0"/>
              <w:snapToGrid w:val="0"/>
              <w:ind w:firstLine="0" w:firstLineChars="0"/>
              <w:jc w:val="center"/>
              <w:rPr>
                <w:color w:val="000000"/>
                <w:kern w:val="0"/>
              </w:rPr>
            </w:pPr>
          </w:p>
        </w:tc>
        <w:tc>
          <w:tcPr>
            <w:tcW w:w="1919" w:type="dxa"/>
            <w:vAlign w:val="center"/>
          </w:tcPr>
          <w:p w14:paraId="7D9D0A84">
            <w:pPr>
              <w:adjustRightInd w:val="0"/>
              <w:snapToGrid w:val="0"/>
              <w:ind w:firstLine="0" w:firstLineChars="0"/>
              <w:jc w:val="center"/>
              <w:rPr>
                <w:color w:val="000000"/>
                <w:kern w:val="0"/>
              </w:rPr>
            </w:pPr>
          </w:p>
        </w:tc>
        <w:tc>
          <w:tcPr>
            <w:tcW w:w="1343" w:type="dxa"/>
            <w:vAlign w:val="center"/>
          </w:tcPr>
          <w:p w14:paraId="635100D1">
            <w:pPr>
              <w:adjustRightInd w:val="0"/>
              <w:snapToGrid w:val="0"/>
              <w:ind w:firstLine="0" w:firstLineChars="0"/>
              <w:jc w:val="center"/>
              <w:rPr>
                <w:color w:val="000000"/>
                <w:kern w:val="0"/>
              </w:rPr>
            </w:pPr>
          </w:p>
        </w:tc>
        <w:tc>
          <w:tcPr>
            <w:tcW w:w="1276" w:type="dxa"/>
            <w:vAlign w:val="center"/>
          </w:tcPr>
          <w:p w14:paraId="794C4506">
            <w:pPr>
              <w:adjustRightInd w:val="0"/>
              <w:snapToGrid w:val="0"/>
              <w:ind w:firstLine="0" w:firstLineChars="0"/>
              <w:jc w:val="center"/>
              <w:rPr>
                <w:color w:val="000000"/>
                <w:kern w:val="0"/>
                <w:highlight w:val="yellow"/>
              </w:rPr>
            </w:pPr>
          </w:p>
        </w:tc>
      </w:tr>
      <w:tr w14:paraId="176B4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vAlign w:val="center"/>
          </w:tcPr>
          <w:p w14:paraId="1EDB5A00">
            <w:pPr>
              <w:widowControl/>
              <w:ind w:firstLine="0" w:firstLineChars="0"/>
              <w:jc w:val="left"/>
              <w:rPr>
                <w:color w:val="000000"/>
                <w:kern w:val="0"/>
              </w:rPr>
            </w:pPr>
          </w:p>
        </w:tc>
        <w:tc>
          <w:tcPr>
            <w:tcW w:w="3577" w:type="dxa"/>
            <w:vAlign w:val="center"/>
          </w:tcPr>
          <w:p w14:paraId="52B1BB1B">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10</w:t>
            </w:r>
            <w:r>
              <w:rPr>
                <w:rFonts w:hint="eastAsia" w:cs="宋体"/>
                <w:color w:val="000000"/>
                <w:kern w:val="0"/>
              </w:rPr>
              <w:t>）厂区雨水排口是否设置监视装置和关闭闸（阀），或可采取封堵措施。</w:t>
            </w:r>
          </w:p>
        </w:tc>
        <w:tc>
          <w:tcPr>
            <w:tcW w:w="1331" w:type="dxa"/>
            <w:vAlign w:val="center"/>
          </w:tcPr>
          <w:p w14:paraId="110F1F37">
            <w:pPr>
              <w:adjustRightInd w:val="0"/>
              <w:snapToGrid w:val="0"/>
              <w:ind w:firstLine="0" w:firstLineChars="0"/>
              <w:jc w:val="center"/>
              <w:rPr>
                <w:color w:val="000000"/>
                <w:kern w:val="0"/>
              </w:rPr>
            </w:pPr>
          </w:p>
        </w:tc>
        <w:tc>
          <w:tcPr>
            <w:tcW w:w="1919" w:type="dxa"/>
            <w:vAlign w:val="center"/>
          </w:tcPr>
          <w:p w14:paraId="289B126A">
            <w:pPr>
              <w:adjustRightInd w:val="0"/>
              <w:snapToGrid w:val="0"/>
              <w:ind w:firstLine="0" w:firstLineChars="0"/>
              <w:jc w:val="center"/>
              <w:rPr>
                <w:color w:val="000000"/>
                <w:kern w:val="0"/>
              </w:rPr>
            </w:pPr>
          </w:p>
        </w:tc>
        <w:tc>
          <w:tcPr>
            <w:tcW w:w="1343" w:type="dxa"/>
            <w:vAlign w:val="center"/>
          </w:tcPr>
          <w:p w14:paraId="060D04F2">
            <w:pPr>
              <w:adjustRightInd w:val="0"/>
              <w:snapToGrid w:val="0"/>
              <w:ind w:firstLine="0" w:firstLineChars="0"/>
              <w:jc w:val="center"/>
              <w:rPr>
                <w:color w:val="000000"/>
                <w:kern w:val="0"/>
              </w:rPr>
            </w:pPr>
          </w:p>
        </w:tc>
        <w:tc>
          <w:tcPr>
            <w:tcW w:w="1276" w:type="dxa"/>
            <w:vAlign w:val="center"/>
          </w:tcPr>
          <w:p w14:paraId="3D641DF0">
            <w:pPr>
              <w:adjustRightInd w:val="0"/>
              <w:snapToGrid w:val="0"/>
              <w:ind w:firstLine="0" w:firstLineChars="0"/>
              <w:jc w:val="center"/>
              <w:rPr>
                <w:color w:val="000000"/>
                <w:kern w:val="0"/>
                <w:highlight w:val="yellow"/>
              </w:rPr>
            </w:pPr>
          </w:p>
        </w:tc>
      </w:tr>
      <w:tr w14:paraId="1BBB1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restart"/>
            <w:tcBorders>
              <w:bottom w:val="single" w:color="auto" w:sz="8" w:space="0"/>
            </w:tcBorders>
            <w:vAlign w:val="center"/>
          </w:tcPr>
          <w:p w14:paraId="1EF28DA4">
            <w:pPr>
              <w:autoSpaceDE w:val="0"/>
              <w:autoSpaceDN w:val="0"/>
              <w:adjustRightInd w:val="0"/>
              <w:snapToGrid w:val="0"/>
              <w:ind w:firstLine="0" w:firstLineChars="0"/>
              <w:rPr>
                <w:color w:val="000000"/>
                <w:kern w:val="0"/>
              </w:rPr>
            </w:pPr>
            <w:r>
              <w:rPr>
                <w:rFonts w:hint="eastAsia" w:cs="宋体"/>
                <w:color w:val="000000"/>
                <w:kern w:val="0"/>
              </w:rPr>
              <w:t>应急设施维护情况</w:t>
            </w:r>
          </w:p>
        </w:tc>
        <w:tc>
          <w:tcPr>
            <w:tcW w:w="3577" w:type="dxa"/>
            <w:vAlign w:val="center"/>
          </w:tcPr>
          <w:p w14:paraId="317FE548">
            <w:pPr>
              <w:pStyle w:val="94"/>
              <w:snapToGrid w:val="0"/>
              <w:jc w:val="both"/>
              <w:rPr>
                <w:rFonts w:ascii="Times New Roman" w:hAnsi="Times New Roman" w:eastAsia="宋体" w:cs="Times New Roman"/>
                <w:kern w:val="2"/>
              </w:rPr>
            </w:pPr>
            <w:r>
              <w:rPr>
                <w:rFonts w:hint="eastAsia" w:ascii="Times New Roman" w:hAnsi="Times New Roman" w:eastAsia="宋体" w:cs="宋体"/>
                <w:kern w:val="2"/>
              </w:rPr>
              <w:t>（</w:t>
            </w:r>
            <w:r>
              <w:rPr>
                <w:rFonts w:ascii="Times New Roman" w:hAnsi="Times New Roman" w:eastAsia="宋体" w:cs="Times New Roman"/>
                <w:kern w:val="2"/>
              </w:rPr>
              <w:t>11</w:t>
            </w:r>
            <w:r>
              <w:rPr>
                <w:rFonts w:hint="eastAsia" w:ascii="Times New Roman" w:hAnsi="Times New Roman" w:eastAsia="宋体" w:cs="宋体"/>
                <w:kern w:val="2"/>
              </w:rPr>
              <w:t>）是否安排专职或兼职人员定期检查、清理应急池内雨水及杂物。</w:t>
            </w:r>
          </w:p>
        </w:tc>
        <w:tc>
          <w:tcPr>
            <w:tcW w:w="1331" w:type="dxa"/>
            <w:vAlign w:val="center"/>
          </w:tcPr>
          <w:p w14:paraId="10B35B77">
            <w:pPr>
              <w:adjustRightInd w:val="0"/>
              <w:snapToGrid w:val="0"/>
              <w:ind w:firstLine="0" w:firstLineChars="0"/>
              <w:jc w:val="center"/>
              <w:rPr>
                <w:color w:val="000000"/>
                <w:kern w:val="0"/>
              </w:rPr>
            </w:pPr>
          </w:p>
        </w:tc>
        <w:tc>
          <w:tcPr>
            <w:tcW w:w="1919" w:type="dxa"/>
            <w:vAlign w:val="center"/>
          </w:tcPr>
          <w:p w14:paraId="0811BE48">
            <w:pPr>
              <w:adjustRightInd w:val="0"/>
              <w:snapToGrid w:val="0"/>
              <w:ind w:firstLine="0" w:firstLineChars="0"/>
              <w:jc w:val="center"/>
              <w:rPr>
                <w:color w:val="000000"/>
                <w:kern w:val="0"/>
              </w:rPr>
            </w:pPr>
          </w:p>
        </w:tc>
        <w:tc>
          <w:tcPr>
            <w:tcW w:w="1343" w:type="dxa"/>
            <w:vAlign w:val="center"/>
          </w:tcPr>
          <w:p w14:paraId="6BD55397">
            <w:pPr>
              <w:adjustRightInd w:val="0"/>
              <w:snapToGrid w:val="0"/>
              <w:ind w:firstLine="0" w:firstLineChars="0"/>
              <w:jc w:val="center"/>
              <w:rPr>
                <w:color w:val="000000"/>
                <w:kern w:val="0"/>
              </w:rPr>
            </w:pPr>
          </w:p>
        </w:tc>
        <w:tc>
          <w:tcPr>
            <w:tcW w:w="1276" w:type="dxa"/>
            <w:vAlign w:val="center"/>
          </w:tcPr>
          <w:p w14:paraId="7160D6C9">
            <w:pPr>
              <w:adjustRightInd w:val="0"/>
              <w:snapToGrid w:val="0"/>
              <w:ind w:firstLine="0" w:firstLineChars="0"/>
              <w:jc w:val="center"/>
              <w:rPr>
                <w:color w:val="000000"/>
                <w:kern w:val="0"/>
                <w:highlight w:val="yellow"/>
              </w:rPr>
            </w:pPr>
          </w:p>
        </w:tc>
      </w:tr>
      <w:tr w14:paraId="3B945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1102" w:type="dxa"/>
            <w:vMerge w:val="continue"/>
            <w:tcBorders>
              <w:bottom w:val="single" w:color="auto" w:sz="8" w:space="0"/>
            </w:tcBorders>
            <w:vAlign w:val="center"/>
          </w:tcPr>
          <w:p w14:paraId="2F312387">
            <w:pPr>
              <w:widowControl/>
              <w:ind w:firstLine="0" w:firstLineChars="0"/>
              <w:jc w:val="left"/>
              <w:rPr>
                <w:color w:val="000000"/>
                <w:kern w:val="0"/>
              </w:rPr>
            </w:pPr>
          </w:p>
        </w:tc>
        <w:tc>
          <w:tcPr>
            <w:tcW w:w="3577" w:type="dxa"/>
            <w:tcBorders>
              <w:bottom w:val="single" w:color="auto" w:sz="8" w:space="0"/>
            </w:tcBorders>
            <w:vAlign w:val="center"/>
          </w:tcPr>
          <w:p w14:paraId="13802F1D">
            <w:pPr>
              <w:autoSpaceDE w:val="0"/>
              <w:autoSpaceDN w:val="0"/>
              <w:adjustRightInd w:val="0"/>
              <w:snapToGrid w:val="0"/>
              <w:ind w:firstLine="0" w:firstLineChars="0"/>
              <w:rPr>
                <w:color w:val="000000"/>
                <w:kern w:val="0"/>
              </w:rPr>
            </w:pPr>
            <w:r>
              <w:rPr>
                <w:rFonts w:hint="eastAsia" w:cs="宋体"/>
                <w:color w:val="000000"/>
                <w:kern w:val="0"/>
              </w:rPr>
              <w:t>（</w:t>
            </w:r>
            <w:r>
              <w:rPr>
                <w:color w:val="000000"/>
                <w:kern w:val="0"/>
              </w:rPr>
              <w:t>12</w:t>
            </w:r>
            <w:r>
              <w:rPr>
                <w:rFonts w:hint="eastAsia" w:cs="宋体"/>
                <w:color w:val="000000"/>
                <w:kern w:val="0"/>
              </w:rPr>
              <w:t>）防止事故状态下雨水和消防退水排出厂外措施是否有专人管理。</w:t>
            </w:r>
          </w:p>
        </w:tc>
        <w:tc>
          <w:tcPr>
            <w:tcW w:w="1331" w:type="dxa"/>
            <w:tcBorders>
              <w:bottom w:val="single" w:color="auto" w:sz="8" w:space="0"/>
            </w:tcBorders>
            <w:vAlign w:val="center"/>
          </w:tcPr>
          <w:p w14:paraId="5AC94554">
            <w:pPr>
              <w:autoSpaceDE w:val="0"/>
              <w:autoSpaceDN w:val="0"/>
              <w:adjustRightInd w:val="0"/>
              <w:snapToGrid w:val="0"/>
              <w:ind w:firstLine="0" w:firstLineChars="0"/>
              <w:jc w:val="center"/>
              <w:rPr>
                <w:color w:val="000000"/>
                <w:kern w:val="0"/>
              </w:rPr>
            </w:pPr>
          </w:p>
        </w:tc>
        <w:tc>
          <w:tcPr>
            <w:tcW w:w="1919" w:type="dxa"/>
            <w:tcBorders>
              <w:bottom w:val="single" w:color="auto" w:sz="8" w:space="0"/>
            </w:tcBorders>
            <w:vAlign w:val="center"/>
          </w:tcPr>
          <w:p w14:paraId="66693988">
            <w:pPr>
              <w:autoSpaceDE w:val="0"/>
              <w:autoSpaceDN w:val="0"/>
              <w:adjustRightInd w:val="0"/>
              <w:snapToGrid w:val="0"/>
              <w:ind w:firstLine="0" w:firstLineChars="0"/>
              <w:jc w:val="center"/>
              <w:rPr>
                <w:color w:val="000000"/>
                <w:kern w:val="0"/>
              </w:rPr>
            </w:pPr>
          </w:p>
        </w:tc>
        <w:tc>
          <w:tcPr>
            <w:tcW w:w="1343" w:type="dxa"/>
            <w:tcBorders>
              <w:bottom w:val="single" w:color="auto" w:sz="8" w:space="0"/>
            </w:tcBorders>
            <w:vAlign w:val="center"/>
          </w:tcPr>
          <w:p w14:paraId="787BE792">
            <w:pPr>
              <w:autoSpaceDE w:val="0"/>
              <w:autoSpaceDN w:val="0"/>
              <w:adjustRightInd w:val="0"/>
              <w:snapToGrid w:val="0"/>
              <w:ind w:firstLine="0" w:firstLineChars="0"/>
              <w:jc w:val="center"/>
              <w:rPr>
                <w:color w:val="000000"/>
                <w:kern w:val="0"/>
              </w:rPr>
            </w:pPr>
          </w:p>
        </w:tc>
        <w:tc>
          <w:tcPr>
            <w:tcW w:w="1276" w:type="dxa"/>
            <w:tcBorders>
              <w:bottom w:val="single" w:color="auto" w:sz="8" w:space="0"/>
            </w:tcBorders>
            <w:vAlign w:val="center"/>
          </w:tcPr>
          <w:p w14:paraId="34279B37">
            <w:pPr>
              <w:autoSpaceDE w:val="0"/>
              <w:autoSpaceDN w:val="0"/>
              <w:adjustRightInd w:val="0"/>
              <w:snapToGrid w:val="0"/>
              <w:ind w:firstLine="0" w:firstLineChars="0"/>
              <w:jc w:val="center"/>
              <w:rPr>
                <w:color w:val="000000"/>
                <w:kern w:val="0"/>
                <w:highlight w:val="yellow"/>
              </w:rPr>
            </w:pPr>
          </w:p>
        </w:tc>
      </w:tr>
    </w:tbl>
    <w:p w14:paraId="71B70A72">
      <w:pPr>
        <w:pStyle w:val="50"/>
        <w:outlineLvl w:val="3"/>
      </w:pPr>
      <w:r>
        <w:t>7.6.1.3</w:t>
      </w:r>
      <w:r>
        <w:rPr>
          <w:rFonts w:hint="eastAsia" w:cs="黑体"/>
        </w:rPr>
        <w:t>风险控制设施技术要求</w:t>
      </w:r>
    </w:p>
    <w:p w14:paraId="0E64860B">
      <w:pPr>
        <w:ind w:firstLine="480"/>
      </w:pPr>
      <w:r>
        <w:rPr>
          <w:rFonts w:hint="eastAsia" w:cs="宋体"/>
        </w:rPr>
        <w:t>（</w:t>
      </w:r>
      <w:r>
        <w:t>1</w:t>
      </w:r>
      <w:r>
        <w:rPr>
          <w:rFonts w:hint="eastAsia" w:cs="宋体"/>
        </w:rPr>
        <w:t>）喷淋</w:t>
      </w:r>
      <w:bookmarkEnd w:id="788"/>
      <w:bookmarkEnd w:id="789"/>
      <w:r>
        <w:rPr>
          <w:rFonts w:hint="eastAsia" w:cs="宋体"/>
        </w:rPr>
        <w:t>系统</w:t>
      </w:r>
    </w:p>
    <w:p w14:paraId="1AB2627B">
      <w:pPr>
        <w:ind w:firstLine="480"/>
        <w:rPr>
          <w:color w:val="000000"/>
        </w:rPr>
      </w:pPr>
      <w:r>
        <w:rPr>
          <w:rFonts w:hint="eastAsia" w:cs="宋体"/>
          <w:color w:val="000000"/>
        </w:rPr>
        <w:t>喷淋系统对于液氨事故的风险防范及应急处置具有重要的作用，因此，规范中对于喷淋系统提出具体的要求，应具备以下几点：</w:t>
      </w:r>
    </w:p>
    <w:p w14:paraId="5B406036">
      <w:pPr>
        <w:ind w:firstLine="480"/>
      </w:pPr>
      <w:r>
        <w:rPr>
          <w:color w:val="000000"/>
        </w:rPr>
        <w:t>1</w:t>
      </w:r>
      <w:r>
        <w:rPr>
          <w:rFonts w:hint="eastAsia" w:cs="宋体"/>
          <w:color w:val="000000"/>
        </w:rPr>
        <w:t>）应按</w:t>
      </w:r>
      <w:r>
        <w:rPr>
          <w:color w:val="000000"/>
        </w:rPr>
        <w:t>DB11/1014</w:t>
      </w:r>
      <w:r>
        <w:rPr>
          <w:rFonts w:hint="eastAsia" w:cs="宋体"/>
          <w:color w:val="000000"/>
        </w:rPr>
        <w:t>设置喷淋系统。</w:t>
      </w:r>
      <w:r>
        <w:t>2</w:t>
      </w:r>
      <w:r>
        <w:rPr>
          <w:rFonts w:hint="eastAsia" w:cs="宋体"/>
        </w:rPr>
        <w:t>）</w:t>
      </w:r>
      <w:r>
        <w:t xml:space="preserve">b) </w:t>
      </w:r>
      <w:r>
        <w:rPr>
          <w:rFonts w:hint="eastAsia" w:cs="宋体"/>
        </w:rPr>
        <w:t>喷淋和水雾喷射范围应能满足覆盖所有可能漏氨的部位，特别是管道法兰、阀门、法兰连接密封部位，以及储罐气相进出口、液相进出口、排污口、液面计接口、安全阀接口、压力表接口等接管、阀门、法兰连接密封部位等。</w:t>
      </w:r>
    </w:p>
    <w:p w14:paraId="389BD049">
      <w:pPr>
        <w:ind w:firstLine="480"/>
      </w:pPr>
      <w:bookmarkStart w:id="819" w:name="_Toc515984572"/>
      <w:bookmarkStart w:id="820" w:name="_Toc503165856"/>
      <w:r>
        <w:rPr>
          <w:rFonts w:hint="eastAsia" w:cs="宋体"/>
        </w:rPr>
        <w:t>（</w:t>
      </w:r>
      <w:r>
        <w:t>2</w:t>
      </w:r>
      <w:r>
        <w:rPr>
          <w:rFonts w:hint="eastAsia" w:cs="宋体"/>
        </w:rPr>
        <w:t>）消防退水</w:t>
      </w:r>
      <w:bookmarkEnd w:id="819"/>
      <w:bookmarkEnd w:id="820"/>
      <w:r>
        <w:rPr>
          <w:rFonts w:hint="eastAsia" w:cs="宋体"/>
        </w:rPr>
        <w:t>系统</w:t>
      </w:r>
    </w:p>
    <w:p w14:paraId="7902E38D">
      <w:pPr>
        <w:ind w:firstLine="480"/>
      </w:pPr>
      <w:r>
        <w:rPr>
          <w:rFonts w:hint="eastAsia" w:cs="宋体"/>
        </w:rPr>
        <w:t>消防退水系统是</w:t>
      </w:r>
      <w:bookmarkStart w:id="821" w:name="OLE_LINK11"/>
      <w:bookmarkStart w:id="822" w:name="OLE_LINK10"/>
      <w:r>
        <w:rPr>
          <w:rFonts w:hint="eastAsia" w:cs="宋体"/>
        </w:rPr>
        <w:t>液氨贮存使用单位</w:t>
      </w:r>
      <w:bookmarkEnd w:id="821"/>
      <w:bookmarkEnd w:id="822"/>
      <w:r>
        <w:rPr>
          <w:rFonts w:hint="eastAsia" w:cs="宋体"/>
        </w:rPr>
        <w:t>安全防控的重点和重要设施，同时也是环境风险控制和管理重点和关键环节。液氨贮存使用单位须设置和建设良好的消防退水系统，满足以下技术要求：</w:t>
      </w:r>
    </w:p>
    <w:p w14:paraId="30B9C03E">
      <w:pPr>
        <w:ind w:firstLine="480"/>
      </w:pPr>
      <w:r>
        <w:t>1</w:t>
      </w:r>
      <w:r>
        <w:rPr>
          <w:rFonts w:hint="eastAsia" w:cs="宋体"/>
        </w:rPr>
        <w:t>）应按</w:t>
      </w:r>
      <w:r>
        <w:t>“</w:t>
      </w:r>
      <w:r>
        <w:rPr>
          <w:rFonts w:hint="eastAsia" w:cs="宋体"/>
        </w:rPr>
        <w:t>清污分流、雨污分流</w:t>
      </w:r>
      <w:r>
        <w:t>”</w:t>
      </w:r>
      <w:r>
        <w:rPr>
          <w:rFonts w:hint="eastAsia" w:cs="宋体"/>
        </w:rPr>
        <w:t>的原则，建立完善的排水系统。</w:t>
      </w:r>
    </w:p>
    <w:p w14:paraId="4B9EAD88">
      <w:pPr>
        <w:ind w:firstLine="480"/>
        <w:rPr>
          <w:color w:val="000000"/>
        </w:rPr>
      </w:pPr>
      <w:bookmarkStart w:id="823" w:name="_Toc32378"/>
      <w:r>
        <w:t>2</w:t>
      </w:r>
      <w:r>
        <w:rPr>
          <w:rFonts w:hint="eastAsia" w:cs="宋体"/>
        </w:rPr>
        <w:t>）</w:t>
      </w:r>
      <w:bookmarkEnd w:id="823"/>
      <w:r>
        <w:rPr>
          <w:rFonts w:hint="eastAsia" w:cs="宋体"/>
        </w:rPr>
        <w:t>应设置事故状态下的消防退水收集、储存设施（应急池），容积应满足消防退水收集、存储要求。应急池应做防渗处理，正常情况下处于空置且密闭状态。因场地所限确实不能设置消防退水池的，应有充分的事故状态时堵截消防退水的应急设施或物资，并确保消防退水达标后排放。</w:t>
      </w:r>
    </w:p>
    <w:p w14:paraId="4229C48C">
      <w:pPr>
        <w:ind w:firstLine="480"/>
        <w:rPr>
          <w:color w:val="000000"/>
        </w:rPr>
      </w:pPr>
      <w:bookmarkStart w:id="824" w:name="_Toc25686"/>
      <w:r>
        <w:rPr>
          <w:color w:val="000000"/>
        </w:rPr>
        <w:t>3</w:t>
      </w:r>
      <w:r>
        <w:rPr>
          <w:rFonts w:hint="eastAsia" w:cs="宋体"/>
          <w:color w:val="000000"/>
        </w:rPr>
        <w:t>）</w:t>
      </w:r>
      <w:r>
        <w:rPr>
          <w:rFonts w:hint="eastAsia" w:cs="宋体"/>
        </w:rPr>
        <w:t>布置在室外的液氨储罐应设置围堰，高度应不小于</w:t>
      </w:r>
      <w:r>
        <w:t>50</w:t>
      </w:r>
      <w:r>
        <w:rPr>
          <w:rFonts w:hint="eastAsia" w:cs="宋体"/>
        </w:rPr>
        <w:t>厘米或防护堤的有效容积不应小于最大的单体储罐容积。在防护堤外应设置导液沟，使消防退水能顺利地流出，并可流入在现场临时围堵形成的暂时消防退水池或应急储存设施。</w:t>
      </w:r>
      <w:bookmarkEnd w:id="824"/>
    </w:p>
    <w:p w14:paraId="5B27B4A8">
      <w:pPr>
        <w:ind w:firstLine="480"/>
      </w:pPr>
      <w:bookmarkStart w:id="825" w:name="_Toc515984573"/>
      <w:r>
        <w:rPr>
          <w:rFonts w:hint="eastAsia" w:cs="宋体"/>
        </w:rPr>
        <w:t>（</w:t>
      </w:r>
      <w:r>
        <w:t>3</w:t>
      </w:r>
      <w:r>
        <w:rPr>
          <w:rFonts w:hint="eastAsia" w:cs="宋体"/>
        </w:rPr>
        <w:t>）氨回收装置</w:t>
      </w:r>
      <w:bookmarkEnd w:id="825"/>
      <w:r>
        <w:t>(</w:t>
      </w:r>
      <w:r>
        <w:rPr>
          <w:rFonts w:hint="eastAsia" w:cs="宋体"/>
        </w:rPr>
        <w:t>系统</w:t>
      </w:r>
      <w:r>
        <w:t xml:space="preserve">) </w:t>
      </w:r>
      <w:r>
        <w:rPr>
          <w:rFonts w:hint="eastAsia" w:cs="宋体"/>
        </w:rPr>
        <w:t>确定为重大风险等级的液氮贮存使用单位宜建设氨气回收系统。</w:t>
      </w:r>
    </w:p>
    <w:p w14:paraId="0B6CFBB9">
      <w:pPr>
        <w:ind w:firstLine="480"/>
        <w:rPr>
          <w:sz w:val="28"/>
          <w:szCs w:val="28"/>
        </w:rPr>
      </w:pPr>
      <w:r>
        <w:rPr>
          <w:rFonts w:hint="eastAsia" w:cs="宋体"/>
        </w:rPr>
        <w:t>氨也是大气气溶胶的重要前体物，通过化学反应生成的硝酸铵、</w:t>
      </w:r>
      <w:r>
        <w:t xml:space="preserve"> </w:t>
      </w:r>
      <w:r>
        <w:rPr>
          <w:rFonts w:hint="eastAsia" w:cs="宋体"/>
        </w:rPr>
        <w:t>硫酸铵等都是细颗粒物</w:t>
      </w:r>
      <w:r>
        <w:t>PM</w:t>
      </w:r>
      <w:r>
        <w:rPr>
          <w:vertAlign w:val="subscript"/>
        </w:rPr>
        <w:t>2.5</w:t>
      </w:r>
      <w:r>
        <w:rPr>
          <w:rFonts w:hint="eastAsia" w:cs="宋体"/>
        </w:rPr>
        <w:t>的重要组成部分，可造成雾霾天气，严重影响日常的生产生活</w:t>
      </w:r>
      <w:r>
        <w:rPr>
          <w:rFonts w:hint="eastAsia" w:cs="宋体"/>
          <w:color w:val="000000"/>
        </w:rPr>
        <w:t>。当前北京市大气氨气排放处于过量状态，减少氨的排放能够缓解当前的大气污染状况。事故状态下的氨气大量排放，不仅对周边人群，对于大气环境质量也有很大的影响。因此，建立氨回收装置，在事故状态下回收泄漏的氨气对于保护人群健康和环境安全具有重要的作用，因此建议重大风险等级的液氨贮存使用单位建设氨回收装置</w:t>
      </w:r>
      <w:r>
        <w:rPr>
          <w:rFonts w:hint="eastAsia" w:eastAsia="黑体" w:cs="黑体"/>
          <w:color w:val="000000"/>
        </w:rPr>
        <w:t>。</w:t>
      </w:r>
    </w:p>
    <w:p w14:paraId="11A42DF2">
      <w:pPr>
        <w:ind w:firstLine="480"/>
        <w:rPr>
          <w:color w:val="000000"/>
        </w:rPr>
      </w:pPr>
    </w:p>
    <w:p w14:paraId="18FE5354">
      <w:pPr>
        <w:pStyle w:val="50"/>
        <w:outlineLvl w:val="3"/>
      </w:pPr>
      <w:r>
        <w:t xml:space="preserve">7.6.1.4 </w:t>
      </w:r>
      <w:r>
        <w:rPr>
          <w:rFonts w:hint="eastAsia" w:cs="黑体"/>
        </w:rPr>
        <w:t>应急预案和信息通报机制</w:t>
      </w:r>
    </w:p>
    <w:p w14:paraId="1331F040">
      <w:pPr>
        <w:ind w:firstLine="480"/>
      </w:pPr>
      <w:r>
        <w:rPr>
          <w:rFonts w:hint="eastAsia" w:cs="宋体"/>
        </w:rPr>
        <w:t>液氨贮存使用单位应按照突发环境事件应急预案编制指南制订应急预案并备案，包括预案总则、应急组织体系、应急响应、后期处置、应急保障措施、预案管理和预案附则及附件等内容，并按照《企业事业单位突发环境事件应急预案备案管理办法》要求，每三年对应急预案进行一次回顾性评估。</w:t>
      </w:r>
    </w:p>
    <w:p w14:paraId="7FBE137C">
      <w:pPr>
        <w:ind w:firstLine="480"/>
      </w:pPr>
      <w:r>
        <w:rPr>
          <w:rFonts w:hint="eastAsia" w:cs="宋体"/>
        </w:rPr>
        <w:t>应建立突发环境事件信息通报机制。掌握企业周边</w:t>
      </w:r>
      <w:r>
        <w:t>5</w:t>
      </w:r>
      <w:r>
        <w:rPr>
          <w:rFonts w:hint="eastAsia" w:cs="宋体"/>
        </w:rPr>
        <w:t>公里范围内人口集中区（如居住区、学校、医院等）的方位、距离、管理部门及联系方式，并定期对名单进行更新（不低于每年一次）。</w:t>
      </w:r>
    </w:p>
    <w:p w14:paraId="7177AC66">
      <w:pPr>
        <w:pStyle w:val="50"/>
        <w:outlineLvl w:val="3"/>
      </w:pPr>
      <w:r>
        <w:t xml:space="preserve">7.6.1.5 </w:t>
      </w:r>
      <w:r>
        <w:rPr>
          <w:rFonts w:hint="eastAsia" w:cs="黑体"/>
        </w:rPr>
        <w:t>应急演练</w:t>
      </w:r>
    </w:p>
    <w:p w14:paraId="5432F3C2">
      <w:pPr>
        <w:ind w:firstLine="480"/>
      </w:pPr>
      <w:r>
        <w:rPr>
          <w:rFonts w:hint="eastAsia" w:cs="宋体"/>
        </w:rPr>
        <w:t>应定期开展突发环境事件应急培训，组织应急演练，如实记录培训和演练情况，每年不少于</w:t>
      </w:r>
      <w:r>
        <w:t>1</w:t>
      </w:r>
      <w:r>
        <w:rPr>
          <w:rFonts w:hint="eastAsia" w:cs="宋体"/>
        </w:rPr>
        <w:t>次。如实记录培训和演练时间、内容、参加人员等情况，存档并保存至少五年。</w:t>
      </w:r>
    </w:p>
    <w:p w14:paraId="2FE8B387">
      <w:pPr>
        <w:pStyle w:val="50"/>
        <w:outlineLvl w:val="3"/>
      </w:pPr>
      <w:r>
        <w:t xml:space="preserve">7.6.1.6 </w:t>
      </w:r>
      <w:r>
        <w:rPr>
          <w:rFonts w:hint="eastAsia" w:cs="黑体"/>
        </w:rPr>
        <w:t>应急物资</w:t>
      </w:r>
    </w:p>
    <w:p w14:paraId="106B7DCF">
      <w:pPr>
        <w:ind w:firstLine="480"/>
      </w:pPr>
      <w:r>
        <w:rPr>
          <w:rFonts w:hint="eastAsia" w:cs="宋体"/>
        </w:rPr>
        <w:t>应配备相应数量和种类的应急</w:t>
      </w:r>
      <w:r>
        <w:rPr>
          <w:rFonts w:hint="eastAsia" w:cs="宋体"/>
          <w:lang w:val="en-US" w:eastAsia="zh-CN"/>
        </w:rPr>
        <w:t>物资</w:t>
      </w:r>
      <w:bookmarkStart w:id="1211" w:name="_GoBack"/>
      <w:bookmarkEnd w:id="1211"/>
      <w:r>
        <w:rPr>
          <w:rFonts w:hint="eastAsia" w:cs="宋体"/>
        </w:rPr>
        <w:t>。</w:t>
      </w:r>
    </w:p>
    <w:p w14:paraId="4BAE7CF6">
      <w:pPr>
        <w:spacing w:line="48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7-3</w:t>
      </w:r>
      <w:r>
        <w:rPr>
          <w:rFonts w:hint="eastAsia" w:eastAsia="黑体" w:cs="黑体"/>
          <w:b/>
          <w:bCs/>
          <w:color w:val="000000"/>
        </w:rPr>
        <w:t>不同环境事件风险等级下宜配备应急物资</w:t>
      </w:r>
    </w:p>
    <w:tbl>
      <w:tblPr>
        <w:tblStyle w:val="21"/>
        <w:tblW w:w="954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1"/>
        <w:gridCol w:w="2388"/>
        <w:gridCol w:w="2808"/>
        <w:gridCol w:w="2618"/>
      </w:tblGrid>
      <w:tr w14:paraId="14330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31" w:type="dxa"/>
            <w:tcBorders>
              <w:top w:val="single" w:color="auto" w:sz="4" w:space="0"/>
              <w:left w:val="single" w:color="auto" w:sz="4" w:space="0"/>
              <w:bottom w:val="single" w:color="auto" w:sz="4" w:space="0"/>
              <w:right w:val="single" w:color="auto" w:sz="4" w:space="0"/>
            </w:tcBorders>
            <w:vAlign w:val="center"/>
          </w:tcPr>
          <w:p w14:paraId="51C8A39C">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物资类别</w:t>
            </w:r>
          </w:p>
        </w:tc>
        <w:tc>
          <w:tcPr>
            <w:tcW w:w="2388" w:type="dxa"/>
            <w:tcBorders>
              <w:top w:val="single" w:color="auto" w:sz="4" w:space="0"/>
              <w:left w:val="nil"/>
              <w:bottom w:val="single" w:color="auto" w:sz="4" w:space="0"/>
              <w:right w:val="single" w:color="auto" w:sz="4" w:space="0"/>
            </w:tcBorders>
            <w:vAlign w:val="center"/>
          </w:tcPr>
          <w:p w14:paraId="191B9C1F">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一般环境风险</w:t>
            </w:r>
          </w:p>
        </w:tc>
        <w:tc>
          <w:tcPr>
            <w:tcW w:w="2808" w:type="dxa"/>
            <w:tcBorders>
              <w:top w:val="single" w:color="auto" w:sz="4" w:space="0"/>
              <w:left w:val="nil"/>
              <w:bottom w:val="single" w:color="auto" w:sz="4" w:space="0"/>
              <w:right w:val="single" w:color="auto" w:sz="4" w:space="0"/>
            </w:tcBorders>
            <w:vAlign w:val="center"/>
          </w:tcPr>
          <w:p w14:paraId="6E2394E5">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较大环境风险</w:t>
            </w:r>
          </w:p>
        </w:tc>
        <w:tc>
          <w:tcPr>
            <w:tcW w:w="2618" w:type="dxa"/>
            <w:tcBorders>
              <w:top w:val="single" w:color="auto" w:sz="4" w:space="0"/>
              <w:left w:val="nil"/>
              <w:bottom w:val="single" w:color="auto" w:sz="4" w:space="0"/>
              <w:right w:val="single" w:color="auto" w:sz="4" w:space="0"/>
            </w:tcBorders>
            <w:vAlign w:val="center"/>
          </w:tcPr>
          <w:p w14:paraId="479A71F6">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重大环境风险</w:t>
            </w:r>
          </w:p>
        </w:tc>
      </w:tr>
      <w:tr w14:paraId="7979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31" w:type="dxa"/>
            <w:tcBorders>
              <w:top w:val="single" w:color="auto" w:sz="4" w:space="0"/>
              <w:left w:val="single" w:color="auto" w:sz="4" w:space="0"/>
              <w:bottom w:val="single" w:color="auto" w:sz="4" w:space="0"/>
              <w:right w:val="single" w:color="auto" w:sz="4" w:space="0"/>
            </w:tcBorders>
            <w:vAlign w:val="center"/>
          </w:tcPr>
          <w:p w14:paraId="04E480D8">
            <w:pPr>
              <w:pStyle w:val="57"/>
              <w:widowControl w:val="0"/>
              <w:numPr>
                <w:ilvl w:val="0"/>
                <w:numId w:val="0"/>
              </w:numPr>
              <w:spacing w:beforeLines="0" w:afterLines="0"/>
              <w:ind w:left="-1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人员防护类</w:t>
            </w:r>
          </w:p>
        </w:tc>
        <w:tc>
          <w:tcPr>
            <w:tcW w:w="2388" w:type="dxa"/>
            <w:tcBorders>
              <w:top w:val="single" w:color="auto" w:sz="4" w:space="0"/>
              <w:left w:val="nil"/>
              <w:bottom w:val="single" w:color="auto" w:sz="4" w:space="0"/>
              <w:right w:val="single" w:color="auto" w:sz="4" w:space="0"/>
            </w:tcBorders>
            <w:vAlign w:val="center"/>
          </w:tcPr>
          <w:p w14:paraId="4D93AEF8">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过滤式防毒面具、氨气专用滤毒罐、正压式空气呼吸器、化学安全防护眼镜、防毒衣、紧急冲淋、洗眼设施等。</w:t>
            </w:r>
          </w:p>
        </w:tc>
        <w:tc>
          <w:tcPr>
            <w:tcW w:w="2808" w:type="dxa"/>
            <w:tcBorders>
              <w:top w:val="single" w:color="auto" w:sz="4" w:space="0"/>
              <w:left w:val="nil"/>
              <w:bottom w:val="single" w:color="auto" w:sz="4" w:space="0"/>
              <w:right w:val="single" w:color="auto" w:sz="4" w:space="0"/>
            </w:tcBorders>
            <w:vAlign w:val="center"/>
          </w:tcPr>
          <w:p w14:paraId="06887111">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橡胶手套、胶靴、多功能防护装备、安全带、安全网、过滤式防毒面具、氨气专用滤毒罐、正压式空气呼吸器、化学安全防护眼镜、防毒衣、紧急冲淋、洗眼设施等。</w:t>
            </w:r>
          </w:p>
        </w:tc>
        <w:tc>
          <w:tcPr>
            <w:tcW w:w="2618" w:type="dxa"/>
            <w:tcBorders>
              <w:top w:val="single" w:color="auto" w:sz="4" w:space="0"/>
              <w:left w:val="nil"/>
              <w:bottom w:val="single" w:color="auto" w:sz="4" w:space="0"/>
              <w:right w:val="single" w:color="auto" w:sz="4" w:space="0"/>
            </w:tcBorders>
            <w:vAlign w:val="center"/>
          </w:tcPr>
          <w:p w14:paraId="76D98510">
            <w:pPr>
              <w:pStyle w:val="57"/>
              <w:widowControl w:val="0"/>
              <w:numPr>
                <w:ilvl w:val="0"/>
                <w:numId w:val="0"/>
              </w:numPr>
              <w:spacing w:beforeLines="0" w:afterLines="0"/>
              <w:jc w:val="center"/>
              <w:rPr>
                <w:rFonts w:ascii="Times New Roman" w:eastAsia="宋体" w:cs="Times New Roman"/>
                <w:kern w:val="2"/>
                <w:sz w:val="18"/>
                <w:szCs w:val="18"/>
              </w:rPr>
            </w:pPr>
            <w:r>
              <w:rPr>
                <w:rFonts w:hint="eastAsia" w:ascii="Times New Roman" w:eastAsia="宋体" w:cs="宋体"/>
                <w:sz w:val="18"/>
                <w:szCs w:val="18"/>
              </w:rPr>
              <w:t>多功能防护装备、安全带、安全网、耐酸碱性手套、防腐蚀液护目镜、防化学品手套、防化学品鞋（靴）、化学品防护服、防酸碱服、过滤式防毒面具、氨气专用滤毒罐、正压式空气呼吸器、化学安全防护眼镜、防毒衣、紧急冲淋、洗眼设施等。</w:t>
            </w:r>
          </w:p>
        </w:tc>
      </w:tr>
      <w:tr w14:paraId="5BCB1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trPr>
        <w:tc>
          <w:tcPr>
            <w:tcW w:w="1731" w:type="dxa"/>
            <w:tcBorders>
              <w:top w:val="single" w:color="auto" w:sz="4" w:space="0"/>
              <w:left w:val="single" w:color="auto" w:sz="4" w:space="0"/>
              <w:bottom w:val="single" w:color="auto" w:sz="4" w:space="0"/>
              <w:right w:val="single" w:color="auto" w:sz="4" w:space="0"/>
            </w:tcBorders>
            <w:vAlign w:val="center"/>
          </w:tcPr>
          <w:p w14:paraId="549CF93D">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kern w:val="2"/>
                <w:sz w:val="18"/>
                <w:szCs w:val="18"/>
              </w:rPr>
              <w:t>检测器材类</w:t>
            </w:r>
          </w:p>
        </w:tc>
        <w:tc>
          <w:tcPr>
            <w:tcW w:w="2388" w:type="dxa"/>
            <w:tcBorders>
              <w:top w:val="single" w:color="auto" w:sz="4" w:space="0"/>
              <w:left w:val="nil"/>
              <w:bottom w:val="single" w:color="auto" w:sz="4" w:space="0"/>
              <w:right w:val="single" w:color="auto" w:sz="4" w:space="0"/>
            </w:tcBorders>
            <w:vAlign w:val="center"/>
          </w:tcPr>
          <w:p w14:paraId="1AE0E438">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氨气体检测报警仪等</w:t>
            </w:r>
          </w:p>
        </w:tc>
        <w:tc>
          <w:tcPr>
            <w:tcW w:w="2808" w:type="dxa"/>
            <w:tcBorders>
              <w:top w:val="single" w:color="auto" w:sz="4" w:space="0"/>
              <w:left w:val="nil"/>
              <w:bottom w:val="single" w:color="auto" w:sz="4" w:space="0"/>
              <w:right w:val="single" w:color="auto" w:sz="4" w:space="0"/>
            </w:tcBorders>
            <w:vAlign w:val="center"/>
          </w:tcPr>
          <w:p w14:paraId="43819E08">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氨气体检测报警仪等</w:t>
            </w:r>
          </w:p>
        </w:tc>
        <w:tc>
          <w:tcPr>
            <w:tcW w:w="2618" w:type="dxa"/>
            <w:tcBorders>
              <w:top w:val="single" w:color="auto" w:sz="4" w:space="0"/>
              <w:left w:val="nil"/>
              <w:bottom w:val="single" w:color="auto" w:sz="4" w:space="0"/>
              <w:right w:val="single" w:color="auto" w:sz="4" w:space="0"/>
            </w:tcBorders>
            <w:vAlign w:val="center"/>
          </w:tcPr>
          <w:p w14:paraId="6F7726C7">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氨气体检测报警仪、氨气回收系统等</w:t>
            </w:r>
          </w:p>
        </w:tc>
      </w:tr>
      <w:tr w14:paraId="07574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8" w:hRule="atLeast"/>
        </w:trPr>
        <w:tc>
          <w:tcPr>
            <w:tcW w:w="1731" w:type="dxa"/>
            <w:tcBorders>
              <w:top w:val="single" w:color="auto" w:sz="4" w:space="0"/>
              <w:left w:val="single" w:color="auto" w:sz="4" w:space="0"/>
              <w:bottom w:val="single" w:color="auto" w:sz="4" w:space="0"/>
              <w:right w:val="single" w:color="auto" w:sz="4" w:space="0"/>
            </w:tcBorders>
            <w:vAlign w:val="center"/>
          </w:tcPr>
          <w:p w14:paraId="334A93DF">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应急物资类</w:t>
            </w:r>
          </w:p>
        </w:tc>
        <w:tc>
          <w:tcPr>
            <w:tcW w:w="7814" w:type="dxa"/>
            <w:gridSpan w:val="3"/>
            <w:tcBorders>
              <w:top w:val="single" w:color="auto" w:sz="4" w:space="0"/>
              <w:left w:val="nil"/>
              <w:bottom w:val="single" w:color="auto" w:sz="4" w:space="0"/>
              <w:right w:val="single" w:color="auto" w:sz="4" w:space="0"/>
            </w:tcBorders>
            <w:vAlign w:val="center"/>
          </w:tcPr>
          <w:p w14:paraId="314112F9">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救援绳索（用于救援中毒伤员和拖曳气瓶）、堵漏器材和工具、沙袋（用于围堵）、稀盐酸、硼酸或食醋、柠檬酸等</w:t>
            </w:r>
          </w:p>
        </w:tc>
      </w:tr>
      <w:tr w14:paraId="2A5FC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1731" w:type="dxa"/>
            <w:tcBorders>
              <w:top w:val="single" w:color="auto" w:sz="4" w:space="0"/>
              <w:left w:val="single" w:color="auto" w:sz="4" w:space="0"/>
              <w:bottom w:val="single" w:color="auto" w:sz="4" w:space="0"/>
              <w:right w:val="single" w:color="auto" w:sz="4" w:space="0"/>
            </w:tcBorders>
            <w:vAlign w:val="center"/>
          </w:tcPr>
          <w:p w14:paraId="189B20A0">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辅助器材类</w:t>
            </w:r>
          </w:p>
        </w:tc>
        <w:tc>
          <w:tcPr>
            <w:tcW w:w="7814" w:type="dxa"/>
            <w:gridSpan w:val="3"/>
            <w:tcBorders>
              <w:top w:val="single" w:color="auto" w:sz="4" w:space="0"/>
              <w:left w:val="nil"/>
              <w:bottom w:val="single" w:color="auto" w:sz="4" w:space="0"/>
              <w:right w:val="single" w:color="auto" w:sz="4" w:space="0"/>
            </w:tcBorders>
            <w:vAlign w:val="center"/>
          </w:tcPr>
          <w:p w14:paraId="1895FD5D">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警戒线、夜间可视风向标等</w:t>
            </w:r>
          </w:p>
        </w:tc>
      </w:tr>
      <w:tr w14:paraId="3F037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1731" w:type="dxa"/>
            <w:tcBorders>
              <w:top w:val="single" w:color="auto" w:sz="4" w:space="0"/>
              <w:left w:val="single" w:color="auto" w:sz="4" w:space="0"/>
              <w:bottom w:val="single" w:color="auto" w:sz="4" w:space="0"/>
              <w:right w:val="single" w:color="auto" w:sz="4" w:space="0"/>
            </w:tcBorders>
            <w:vAlign w:val="center"/>
          </w:tcPr>
          <w:p w14:paraId="370ED703">
            <w:pPr>
              <w:pStyle w:val="57"/>
              <w:widowControl w:val="0"/>
              <w:numPr>
                <w:ilvl w:val="0"/>
                <w:numId w:val="0"/>
              </w:numPr>
              <w:spacing w:beforeLines="0" w:afterLines="0"/>
              <w:jc w:val="center"/>
              <w:rPr>
                <w:rFonts w:ascii="Times New Roman" w:eastAsia="宋体" w:cs="Times New Roman"/>
                <w:color w:val="000000"/>
                <w:kern w:val="2"/>
                <w:sz w:val="18"/>
                <w:szCs w:val="18"/>
              </w:rPr>
            </w:pPr>
            <w:r>
              <w:rPr>
                <w:rFonts w:hint="eastAsia" w:ascii="Times New Roman" w:eastAsia="宋体" w:cs="宋体"/>
                <w:color w:val="000000"/>
                <w:sz w:val="18"/>
                <w:szCs w:val="18"/>
              </w:rPr>
              <w:t>通讯照明类</w:t>
            </w:r>
          </w:p>
        </w:tc>
        <w:tc>
          <w:tcPr>
            <w:tcW w:w="7814" w:type="dxa"/>
            <w:gridSpan w:val="3"/>
            <w:tcBorders>
              <w:top w:val="single" w:color="auto" w:sz="4" w:space="0"/>
              <w:left w:val="nil"/>
              <w:bottom w:val="single" w:color="auto" w:sz="4" w:space="0"/>
              <w:right w:val="single" w:color="auto" w:sz="4" w:space="0"/>
            </w:tcBorders>
            <w:vAlign w:val="center"/>
          </w:tcPr>
          <w:p w14:paraId="713D8011">
            <w:pPr>
              <w:pStyle w:val="57"/>
              <w:widowControl w:val="0"/>
              <w:numPr>
                <w:ilvl w:val="0"/>
                <w:numId w:val="0"/>
              </w:numPr>
              <w:spacing w:beforeLines="0" w:afterLines="0"/>
              <w:jc w:val="center"/>
              <w:rPr>
                <w:rFonts w:ascii="Times New Roman" w:eastAsia="宋体" w:cs="Times New Roman"/>
                <w:color w:val="000000"/>
                <w:sz w:val="18"/>
                <w:szCs w:val="18"/>
              </w:rPr>
            </w:pPr>
            <w:r>
              <w:rPr>
                <w:rFonts w:hint="eastAsia" w:ascii="Times New Roman" w:eastAsia="宋体" w:cs="宋体"/>
                <w:color w:val="000000"/>
                <w:sz w:val="18"/>
                <w:szCs w:val="18"/>
              </w:rPr>
              <w:t>对讲机、防爆手电等</w:t>
            </w:r>
          </w:p>
        </w:tc>
      </w:tr>
    </w:tbl>
    <w:p w14:paraId="422C6AB4">
      <w:pPr>
        <w:spacing w:line="480" w:lineRule="exact"/>
        <w:ind w:firstLine="0" w:firstLineChars="0"/>
        <w:jc w:val="left"/>
        <w:rPr>
          <w:rFonts w:ascii="宋体"/>
          <w:color w:val="000000"/>
          <w:kern w:val="0"/>
          <w:sz w:val="21"/>
          <w:szCs w:val="21"/>
        </w:rPr>
      </w:pPr>
      <w:r>
        <w:rPr>
          <w:rFonts w:hint="eastAsia" w:ascii="宋体" w:hAnsi="宋体" w:cs="宋体"/>
          <w:color w:val="000000"/>
          <w:kern w:val="0"/>
          <w:sz w:val="21"/>
          <w:szCs w:val="21"/>
        </w:rPr>
        <w:t>注：人员防护装备配置参考</w:t>
      </w:r>
      <w:r>
        <w:rPr>
          <w:rFonts w:ascii="宋体" w:hAnsi="宋体" w:cs="宋体"/>
          <w:color w:val="000000"/>
          <w:kern w:val="0"/>
          <w:sz w:val="21"/>
          <w:szCs w:val="21"/>
        </w:rPr>
        <w:t>GB/T 11651</w:t>
      </w:r>
      <w:r>
        <w:rPr>
          <w:rFonts w:hint="eastAsia" w:ascii="宋体" w:hAnsi="宋体" w:cs="宋体"/>
          <w:color w:val="000000"/>
          <w:kern w:val="0"/>
          <w:sz w:val="21"/>
          <w:szCs w:val="21"/>
        </w:rPr>
        <w:t>相关要求。</w:t>
      </w:r>
    </w:p>
    <w:p w14:paraId="68921566">
      <w:pPr>
        <w:ind w:firstLine="480"/>
      </w:pPr>
      <w:r>
        <w:rPr>
          <w:rFonts w:hint="eastAsia" w:cs="宋体"/>
        </w:rPr>
        <w:t>（</w:t>
      </w:r>
      <w:r>
        <w:t>7</w:t>
      </w:r>
      <w:r>
        <w:rPr>
          <w:rFonts w:hint="eastAsia" w:cs="宋体"/>
        </w:rPr>
        <w:t>）风向标。根据厂区情况、人员分布、附近居民分布等，将风向标设置于各类人员便于看到的位置，确保人员相对集中的区域能够在室外观察到风向标、确定风向。</w:t>
      </w:r>
    </w:p>
    <w:p w14:paraId="39D264AD">
      <w:pPr>
        <w:pStyle w:val="47"/>
        <w:spacing w:before="312" w:after="312"/>
        <w:ind w:left="0" w:leftChars="0"/>
        <w:outlineLvl w:val="2"/>
      </w:pPr>
      <w:bookmarkStart w:id="826" w:name="_Toc29931"/>
      <w:bookmarkStart w:id="827" w:name="_Toc14023"/>
      <w:bookmarkStart w:id="828" w:name="_Toc1064"/>
      <w:bookmarkStart w:id="829" w:name="_Toc2351"/>
      <w:bookmarkStart w:id="830" w:name="_Toc2371"/>
      <w:bookmarkStart w:id="831" w:name="_Toc9498"/>
      <w:bookmarkStart w:id="832" w:name="_Toc23681"/>
      <w:bookmarkStart w:id="833" w:name="_Toc28467"/>
      <w:bookmarkStart w:id="834" w:name="_Toc9556"/>
      <w:bookmarkStart w:id="835" w:name="_Toc7267"/>
      <w:bookmarkStart w:id="836" w:name="_Toc12607"/>
      <w:bookmarkStart w:id="837" w:name="_Toc25798"/>
      <w:bookmarkStart w:id="838" w:name="_Toc5864"/>
      <w:bookmarkStart w:id="839" w:name="_Toc20276"/>
      <w:bookmarkStart w:id="840" w:name="_Toc23497"/>
      <w:bookmarkStart w:id="841" w:name="_Toc26498"/>
      <w:bookmarkStart w:id="842" w:name="_Toc2101"/>
      <w:bookmarkStart w:id="843" w:name="_Toc11511"/>
      <w:bookmarkStart w:id="844" w:name="_Toc15306"/>
      <w:bookmarkStart w:id="845" w:name="_Toc26134"/>
      <w:bookmarkStart w:id="846" w:name="_Toc4974"/>
      <w:bookmarkStart w:id="847" w:name="_Toc503165859"/>
      <w:bookmarkStart w:id="848" w:name="_Toc515984574"/>
      <w:r>
        <w:t xml:space="preserve">7.6.2 </w:t>
      </w:r>
      <w:r>
        <w:rPr>
          <w:rFonts w:hint="eastAsia" w:cs="黑体"/>
        </w:rPr>
        <w:t>监测要求</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6516E79">
      <w:pPr>
        <w:pStyle w:val="39"/>
        <w:numPr>
          <w:ilvl w:val="0"/>
          <w:numId w:val="0"/>
        </w:numPr>
        <w:ind w:firstLine="480"/>
        <w:jc w:val="both"/>
        <w:outlineLvl w:val="9"/>
        <w:rPr>
          <w:rFonts w:ascii="Times New Roman" w:hAnsi="Times New Roman" w:cs="Times New Roman"/>
          <w:color w:val="000000"/>
        </w:rPr>
      </w:pPr>
      <w:bookmarkStart w:id="849" w:name="_Toc10780"/>
      <w:bookmarkStart w:id="850" w:name="_Toc30033"/>
      <w:bookmarkStart w:id="851" w:name="_Toc763"/>
      <w:bookmarkStart w:id="852" w:name="_Toc11364"/>
      <w:r>
        <w:rPr>
          <w:rFonts w:hint="eastAsia" w:ascii="Times New Roman" w:hAnsi="Times New Roman"/>
          <w:color w:val="000000"/>
        </w:rPr>
        <w:t>针对液氨贮存使用单位的环境风险防控环节，对于厂界和氨罐区域的氨气浓度提出相应的监测要求。</w:t>
      </w:r>
      <w:bookmarkEnd w:id="849"/>
      <w:bookmarkEnd w:id="850"/>
      <w:bookmarkEnd w:id="851"/>
      <w:bookmarkEnd w:id="852"/>
    </w:p>
    <w:p w14:paraId="141C5755">
      <w:pPr>
        <w:pStyle w:val="50"/>
        <w:outlineLvl w:val="3"/>
        <w:rPr>
          <w:color w:val="000000"/>
        </w:rPr>
      </w:pPr>
      <w:bookmarkStart w:id="853" w:name="_Toc4676"/>
      <w:bookmarkStart w:id="854" w:name="_Toc10218"/>
      <w:bookmarkStart w:id="855" w:name="_Toc26232"/>
      <w:bookmarkStart w:id="856" w:name="_Toc6901"/>
      <w:bookmarkStart w:id="857" w:name="_Toc31529"/>
      <w:bookmarkStart w:id="858" w:name="_Toc1901"/>
      <w:bookmarkStart w:id="859" w:name="_Toc30857"/>
      <w:bookmarkStart w:id="860" w:name="_Toc29794"/>
      <w:bookmarkStart w:id="861" w:name="_Toc1686"/>
      <w:bookmarkStart w:id="862" w:name="_Toc16357"/>
      <w:bookmarkStart w:id="863" w:name="_Toc8989"/>
      <w:bookmarkStart w:id="864" w:name="_Toc10455"/>
      <w:bookmarkStart w:id="865" w:name="_Toc11555"/>
      <w:bookmarkStart w:id="866" w:name="_Toc2800"/>
      <w:bookmarkStart w:id="867" w:name="_Toc11887"/>
      <w:bookmarkStart w:id="868" w:name="_Toc32304"/>
      <w:bookmarkStart w:id="869" w:name="_Toc13645"/>
      <w:bookmarkStart w:id="870" w:name="_Toc6505"/>
      <w:bookmarkStart w:id="871" w:name="_Toc32208"/>
      <w:bookmarkStart w:id="872" w:name="_Toc21923"/>
      <w:bookmarkStart w:id="873" w:name="_Toc1550"/>
      <w:r>
        <w:rPr>
          <w:color w:val="000000"/>
        </w:rPr>
        <w:t>7.6.2.1</w:t>
      </w:r>
      <w:r>
        <w:rPr>
          <w:rFonts w:hint="eastAsia" w:cs="黑体"/>
          <w:color w:val="000000"/>
        </w:rPr>
        <w:t>无组织排放监控点</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5C231597">
      <w:pPr>
        <w:pStyle w:val="39"/>
        <w:numPr>
          <w:ilvl w:val="0"/>
          <w:numId w:val="0"/>
        </w:numPr>
        <w:ind w:firstLine="480"/>
        <w:jc w:val="both"/>
        <w:outlineLvl w:val="9"/>
        <w:rPr>
          <w:rFonts w:ascii="Times New Roman" w:hAnsi="Times New Roman" w:cs="Times New Roman"/>
          <w:color w:val="000000"/>
        </w:rPr>
      </w:pPr>
      <w:bookmarkStart w:id="874" w:name="_Toc13729"/>
      <w:bookmarkStart w:id="875" w:name="_Toc23224"/>
      <w:bookmarkStart w:id="876" w:name="_Toc15443"/>
      <w:bookmarkStart w:id="877" w:name="_Toc3713"/>
      <w:r>
        <w:rPr>
          <w:rFonts w:hint="eastAsia" w:ascii="Times New Roman" w:hAnsi="Times New Roman"/>
          <w:color w:val="000000"/>
        </w:rPr>
        <w:t>单位周界应设无组织排放监控点，并按照</w:t>
      </w:r>
      <w:r>
        <w:rPr>
          <w:rFonts w:ascii="Times New Roman" w:hAnsi="Times New Roman" w:cs="Times New Roman"/>
          <w:color w:val="000000"/>
        </w:rPr>
        <w:t>HJ/T 55</w:t>
      </w:r>
      <w:r>
        <w:rPr>
          <w:rFonts w:hint="eastAsia" w:ascii="Times New Roman" w:hAnsi="Times New Roman"/>
          <w:color w:val="000000"/>
        </w:rPr>
        <w:t>的规定进行监测。当氨浓度超标时，应立即查明原因并采取必要措施。</w:t>
      </w:r>
      <w:bookmarkEnd w:id="874"/>
      <w:bookmarkEnd w:id="875"/>
      <w:bookmarkEnd w:id="876"/>
      <w:bookmarkEnd w:id="877"/>
    </w:p>
    <w:p w14:paraId="0F6E373B">
      <w:pPr>
        <w:pStyle w:val="50"/>
        <w:outlineLvl w:val="3"/>
        <w:rPr>
          <w:color w:val="000000"/>
        </w:rPr>
      </w:pPr>
      <w:bookmarkStart w:id="878" w:name="_Toc9849"/>
      <w:bookmarkStart w:id="879" w:name="_Toc32395"/>
      <w:bookmarkStart w:id="880" w:name="_Toc22998"/>
      <w:bookmarkStart w:id="881" w:name="_Toc23622"/>
      <w:bookmarkStart w:id="882" w:name="_Toc24082"/>
      <w:bookmarkStart w:id="883" w:name="_Toc21168"/>
      <w:bookmarkStart w:id="884" w:name="_Toc933"/>
      <w:bookmarkStart w:id="885" w:name="_Toc10774"/>
      <w:bookmarkStart w:id="886" w:name="_Toc2555"/>
      <w:bookmarkStart w:id="887" w:name="_Toc30711"/>
      <w:bookmarkStart w:id="888" w:name="_Toc562"/>
      <w:bookmarkStart w:id="889" w:name="_Toc22655"/>
      <w:bookmarkStart w:id="890" w:name="_Toc30034"/>
      <w:bookmarkStart w:id="891" w:name="_Toc4023"/>
      <w:bookmarkStart w:id="892" w:name="_Toc17940"/>
      <w:bookmarkStart w:id="893" w:name="_Toc2241"/>
      <w:bookmarkStart w:id="894" w:name="_Toc11642"/>
      <w:bookmarkStart w:id="895" w:name="_Toc10343"/>
      <w:bookmarkStart w:id="896" w:name="_Toc3509"/>
      <w:bookmarkStart w:id="897" w:name="_Toc25209"/>
      <w:bookmarkStart w:id="898" w:name="_Toc20458"/>
      <w:r>
        <w:rPr>
          <w:color w:val="000000"/>
        </w:rPr>
        <w:t>7.6.2.2</w:t>
      </w:r>
      <w:r>
        <w:rPr>
          <w:rFonts w:hint="eastAsia" w:cs="黑体"/>
          <w:color w:val="000000"/>
        </w:rPr>
        <w:t>氨气检测器</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5BF9C8D0">
      <w:pPr>
        <w:ind w:firstLine="480"/>
      </w:pPr>
      <w:bookmarkStart w:id="899" w:name="_Toc10697"/>
      <w:bookmarkStart w:id="900" w:name="_Toc16004"/>
      <w:bookmarkStart w:id="901" w:name="_Toc19831"/>
      <w:bookmarkStart w:id="902" w:name="_Toc7079"/>
    </w:p>
    <w:p w14:paraId="01EDDD20">
      <w:pPr>
        <w:ind w:firstLine="480"/>
      </w:pPr>
      <w:r>
        <w:rPr>
          <w:rFonts w:hint="eastAsia" w:cs="宋体"/>
        </w:rPr>
        <w:t>（</w:t>
      </w:r>
      <w:r>
        <w:t>1</w:t>
      </w:r>
      <w:r>
        <w:rPr>
          <w:rFonts w:hint="eastAsia" w:cs="宋体"/>
        </w:rPr>
        <w:t>）在氨罐区、氨压缩机房和设备间、液氨钢瓶储存区、液氨钢瓶使用区、使用液氨的厂房、氨快速冻结装置出口处的上方及设置氨制冷辅助设备的房间等环境风险单元，应设置氨气体检测报警仪，氨浓度大于</w:t>
      </w:r>
      <w:r>
        <w:t>18ppm</w:t>
      </w:r>
      <w:r>
        <w:rPr>
          <w:rFonts w:hint="eastAsia" w:cs="宋体"/>
        </w:rPr>
        <w:t>报警响应，进入事故状态。设置要求可参见</w:t>
      </w:r>
      <w:r>
        <w:t>SH3063</w:t>
      </w:r>
      <w:r>
        <w:rPr>
          <w:rFonts w:hint="eastAsia" w:cs="宋体"/>
        </w:rPr>
        <w:t>的相关规定。</w:t>
      </w:r>
    </w:p>
    <w:p w14:paraId="16E46FFA">
      <w:pPr>
        <w:ind w:firstLine="480"/>
      </w:pPr>
      <w:r>
        <w:rPr>
          <w:rFonts w:hint="eastAsia" w:cs="宋体"/>
        </w:rPr>
        <w:t>（</w:t>
      </w:r>
      <w:r>
        <w:t>2</w:t>
      </w:r>
      <w:r>
        <w:rPr>
          <w:rFonts w:hint="eastAsia" w:cs="宋体"/>
        </w:rPr>
        <w:t>）氨气泄漏检测器的数量及其布置位置合适，并将氨泄漏及火灾报警和消防控制系统纳入全厂消防报警系统。</w:t>
      </w:r>
    </w:p>
    <w:p w14:paraId="57F10DE6">
      <w:pPr>
        <w:ind w:firstLine="480"/>
      </w:pPr>
      <w:r>
        <w:rPr>
          <w:rFonts w:hint="eastAsia" w:cs="宋体"/>
        </w:rPr>
        <w:t>（</w:t>
      </w:r>
      <w:r>
        <w:t>3</w:t>
      </w:r>
      <w:r>
        <w:rPr>
          <w:rFonts w:hint="eastAsia" w:cs="宋体"/>
        </w:rPr>
        <w:t>）应对泄漏预警装置进行经常性的维护、检修，定期检测其性能和效果，确保其处于良好状态。</w:t>
      </w:r>
    </w:p>
    <w:bookmarkEnd w:id="899"/>
    <w:bookmarkEnd w:id="900"/>
    <w:bookmarkEnd w:id="901"/>
    <w:bookmarkEnd w:id="902"/>
    <w:p w14:paraId="534BEC4B">
      <w:pPr>
        <w:pStyle w:val="47"/>
        <w:spacing w:before="312" w:after="312"/>
        <w:ind w:left="0" w:leftChars="0"/>
        <w:outlineLvl w:val="2"/>
      </w:pPr>
      <w:bookmarkStart w:id="903" w:name="_Toc22219"/>
      <w:bookmarkStart w:id="904" w:name="_Toc26931"/>
      <w:bookmarkStart w:id="905" w:name="_Toc12353"/>
      <w:bookmarkStart w:id="906" w:name="_Toc7035"/>
      <w:bookmarkStart w:id="907" w:name="_Toc28207"/>
      <w:bookmarkStart w:id="908" w:name="_Toc10891"/>
      <w:bookmarkStart w:id="909" w:name="_Toc3817"/>
      <w:bookmarkStart w:id="910" w:name="_Toc32108"/>
      <w:bookmarkStart w:id="911" w:name="_Toc23316"/>
      <w:bookmarkStart w:id="912" w:name="_Toc4983"/>
      <w:bookmarkStart w:id="913" w:name="_Toc15240"/>
      <w:bookmarkStart w:id="914" w:name="_Toc624"/>
      <w:bookmarkStart w:id="915" w:name="_Toc23729"/>
      <w:bookmarkStart w:id="916" w:name="_Toc6930"/>
      <w:bookmarkStart w:id="917" w:name="_Toc16156"/>
      <w:bookmarkStart w:id="918" w:name="_Toc28650"/>
      <w:bookmarkStart w:id="919" w:name="_Toc28983"/>
      <w:bookmarkStart w:id="920" w:name="_Toc25477"/>
      <w:bookmarkStart w:id="921" w:name="_Toc13526"/>
      <w:bookmarkStart w:id="922" w:name="OLE_LINK15"/>
      <w:bookmarkStart w:id="923" w:name="_Toc27507"/>
      <w:bookmarkStart w:id="924" w:name="_Toc26798"/>
      <w:r>
        <w:t xml:space="preserve">7.6.3 </w:t>
      </w:r>
      <w:r>
        <w:rPr>
          <w:rFonts w:hint="eastAsia" w:cs="黑体"/>
        </w:rPr>
        <w:t>突发环境事件应急处置</w:t>
      </w:r>
      <w:bookmarkEnd w:id="847"/>
      <w:r>
        <w:rPr>
          <w:rFonts w:hint="eastAsia" w:cs="黑体"/>
        </w:rPr>
        <w:t>规范</w:t>
      </w:r>
      <w:bookmarkEnd w:id="848"/>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447784A">
      <w:pPr>
        <w:pStyle w:val="39"/>
        <w:numPr>
          <w:ilvl w:val="0"/>
          <w:numId w:val="0"/>
        </w:numPr>
        <w:ind w:firstLine="480"/>
        <w:jc w:val="both"/>
        <w:outlineLvl w:val="9"/>
        <w:rPr>
          <w:rFonts w:ascii="Times New Roman" w:hAnsi="Times New Roman" w:cs="Times New Roman"/>
          <w:color w:val="000000"/>
        </w:rPr>
      </w:pPr>
      <w:bookmarkStart w:id="925" w:name="_Toc20205"/>
      <w:bookmarkStart w:id="926" w:name="_Toc30258"/>
      <w:bookmarkStart w:id="927" w:name="_Toc14774"/>
      <w:bookmarkStart w:id="928" w:name="_Toc2031"/>
      <w:bookmarkStart w:id="929" w:name="_Toc503165860"/>
      <w:bookmarkStart w:id="930" w:name="_Toc515984575"/>
      <w:r>
        <w:rPr>
          <w:rFonts w:hint="eastAsia" w:ascii="Times New Roman" w:hAnsi="Times New Roman"/>
          <w:color w:val="000000"/>
        </w:rPr>
        <w:t>基于突发环境事件应急应对相关法律法规，结合液氨贮存使用单位环境风险特点，提出液氨泄漏事故下的突发环境事件应急处置规范和技术要求。</w:t>
      </w:r>
      <w:bookmarkEnd w:id="925"/>
      <w:bookmarkEnd w:id="926"/>
      <w:bookmarkEnd w:id="927"/>
      <w:bookmarkEnd w:id="928"/>
    </w:p>
    <w:p w14:paraId="20184EAD">
      <w:pPr>
        <w:pStyle w:val="50"/>
        <w:outlineLvl w:val="3"/>
      </w:pPr>
      <w:bookmarkStart w:id="931" w:name="_Toc29598"/>
      <w:bookmarkStart w:id="932" w:name="_Toc9600"/>
      <w:bookmarkStart w:id="933" w:name="_Toc13806"/>
      <w:bookmarkStart w:id="934" w:name="_Toc20219"/>
      <w:bookmarkStart w:id="935" w:name="_Toc10929"/>
      <w:bookmarkStart w:id="936" w:name="_Toc13874"/>
      <w:bookmarkStart w:id="937" w:name="_Toc7540"/>
      <w:bookmarkStart w:id="938" w:name="_Toc3511"/>
      <w:bookmarkStart w:id="939" w:name="_Toc25331"/>
      <w:bookmarkStart w:id="940" w:name="_Toc15789"/>
      <w:bookmarkStart w:id="941" w:name="_Toc1276"/>
      <w:bookmarkStart w:id="942" w:name="_Toc19491"/>
      <w:bookmarkStart w:id="943" w:name="_Toc11484"/>
      <w:bookmarkStart w:id="944" w:name="_Toc17760"/>
      <w:bookmarkStart w:id="945" w:name="_Toc7658"/>
      <w:bookmarkStart w:id="946" w:name="_Toc31175"/>
      <w:bookmarkStart w:id="947" w:name="_Toc8011"/>
      <w:bookmarkStart w:id="948" w:name="_Toc4467"/>
      <w:bookmarkStart w:id="949" w:name="_Toc9236"/>
      <w:bookmarkStart w:id="950" w:name="_Toc10501"/>
      <w:bookmarkStart w:id="951" w:name="_Toc29891"/>
      <w:r>
        <w:rPr>
          <w:color w:val="000000"/>
        </w:rPr>
        <w:t xml:space="preserve">7.6.3.1 </w:t>
      </w:r>
      <w:r>
        <w:rPr>
          <w:rFonts w:hint="eastAsia" w:cs="黑体"/>
        </w:rPr>
        <w:t>应急</w:t>
      </w:r>
      <w:bookmarkEnd w:id="929"/>
      <w:bookmarkEnd w:id="930"/>
      <w:r>
        <w:rPr>
          <w:rFonts w:hint="eastAsia" w:cs="黑体"/>
        </w:rPr>
        <w:t>响应</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1F632C97">
      <w:pPr>
        <w:ind w:firstLine="480"/>
      </w:pPr>
      <w:r>
        <w:rPr>
          <w:rFonts w:hint="eastAsia" w:cs="宋体"/>
        </w:rPr>
        <w:t>发生漏氨事故时，应立即启动突发环境事件应急预案，在统一组织下主要采取报警、切断事故源、人员疏散以及进行泄漏处置等相关紧急措施。</w:t>
      </w:r>
    </w:p>
    <w:p w14:paraId="721DFA87">
      <w:pPr>
        <w:ind w:firstLine="480"/>
      </w:pPr>
      <w:bookmarkStart w:id="952" w:name="_Toc3572"/>
      <w:bookmarkStart w:id="953" w:name="_Toc8193"/>
      <w:bookmarkStart w:id="954" w:name="_Toc5132"/>
      <w:bookmarkStart w:id="955" w:name="_Toc12872"/>
      <w:bookmarkStart w:id="956" w:name="_Toc16620"/>
      <w:bookmarkStart w:id="957" w:name="_Toc22550"/>
      <w:bookmarkStart w:id="958" w:name="_Toc22309"/>
      <w:bookmarkStart w:id="959" w:name="_Toc29906"/>
      <w:bookmarkStart w:id="960" w:name="_Toc969"/>
      <w:bookmarkStart w:id="961" w:name="_Toc22357"/>
      <w:bookmarkStart w:id="962" w:name="_Toc16310"/>
      <w:bookmarkStart w:id="963" w:name="_Toc22105"/>
      <w:bookmarkStart w:id="964" w:name="_Toc19171"/>
      <w:bookmarkStart w:id="965" w:name="_Toc15665"/>
      <w:r>
        <w:rPr>
          <w:rFonts w:hint="eastAsia" w:cs="宋体"/>
          <w:color w:val="000000"/>
        </w:rPr>
        <w:t>（</w:t>
      </w:r>
      <w:r>
        <w:rPr>
          <w:color w:val="000000"/>
        </w:rPr>
        <w:t>1</w:t>
      </w:r>
      <w:r>
        <w:rPr>
          <w:rFonts w:hint="eastAsia" w:cs="宋体"/>
          <w:color w:val="000000"/>
        </w:rPr>
        <w:t>）</w:t>
      </w:r>
      <w:r>
        <w:rPr>
          <w:rFonts w:hint="eastAsia" w:cs="宋体"/>
        </w:rPr>
        <w:t>报警</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60EBBEAE">
      <w:pPr>
        <w:ind w:firstLine="480"/>
      </w:pPr>
      <w:r>
        <w:rPr>
          <w:rFonts w:hint="eastAsia" w:cs="宋体"/>
        </w:rPr>
        <w:t>通知本单位管理、维修、应急抢险等相关人员到场处置。</w:t>
      </w:r>
    </w:p>
    <w:p w14:paraId="6A2AC0D3">
      <w:pPr>
        <w:ind w:firstLine="480"/>
      </w:pPr>
      <w:r>
        <w:rPr>
          <w:rFonts w:hint="eastAsia" w:cs="宋体"/>
        </w:rPr>
        <w:t>拨打</w:t>
      </w:r>
      <w:r>
        <w:t>119</w:t>
      </w:r>
      <w:r>
        <w:rPr>
          <w:rFonts w:hint="eastAsia" w:cs="宋体"/>
        </w:rPr>
        <w:t>、</w:t>
      </w:r>
      <w:r>
        <w:t>120</w:t>
      </w:r>
      <w:r>
        <w:rPr>
          <w:rFonts w:hint="eastAsia" w:cs="宋体"/>
        </w:rPr>
        <w:t>，向消防等部门报警，通知供水部门对事故发生地段管线增压，并将事故情况及时报告当地生态环境、市场监督管理、应急管理等有关部门。</w:t>
      </w:r>
    </w:p>
    <w:p w14:paraId="64381A8F">
      <w:pPr>
        <w:ind w:firstLine="480"/>
      </w:pPr>
      <w:r>
        <w:rPr>
          <w:rFonts w:hint="eastAsia" w:cs="宋体"/>
        </w:rPr>
        <w:t>根据事故大小以及蔓延情况及时向周边敏感区（周边单位、邻近社区等）通报有关情况。</w:t>
      </w:r>
    </w:p>
    <w:p w14:paraId="4C8584F6">
      <w:pPr>
        <w:ind w:firstLine="480"/>
      </w:pPr>
      <w:bookmarkStart w:id="966" w:name="_Toc28777"/>
      <w:bookmarkStart w:id="967" w:name="_Toc14521"/>
      <w:bookmarkStart w:id="968" w:name="_Toc28263"/>
      <w:bookmarkStart w:id="969" w:name="_Toc3938"/>
      <w:bookmarkStart w:id="970" w:name="_Toc15923"/>
      <w:bookmarkStart w:id="971" w:name="_Toc22051"/>
      <w:bookmarkStart w:id="972" w:name="_Toc3830"/>
      <w:bookmarkStart w:id="973" w:name="_Toc29826"/>
      <w:bookmarkStart w:id="974" w:name="_Toc32710"/>
      <w:bookmarkStart w:id="975" w:name="_Toc31286"/>
      <w:bookmarkStart w:id="976" w:name="_Toc15631"/>
      <w:bookmarkStart w:id="977" w:name="_Toc9424"/>
      <w:bookmarkStart w:id="978" w:name="_Toc574"/>
      <w:bookmarkStart w:id="979" w:name="_Toc32668"/>
      <w:r>
        <w:rPr>
          <w:rFonts w:hint="eastAsia" w:cs="宋体"/>
          <w:color w:val="000000"/>
        </w:rPr>
        <w:t>（</w:t>
      </w:r>
      <w:r>
        <w:rPr>
          <w:color w:val="000000"/>
        </w:rPr>
        <w:t>2</w:t>
      </w:r>
      <w:r>
        <w:rPr>
          <w:rFonts w:hint="eastAsia" w:cs="宋体"/>
          <w:color w:val="000000"/>
        </w:rPr>
        <w:t>）</w:t>
      </w:r>
      <w:r>
        <w:rPr>
          <w:rFonts w:hint="eastAsia" w:cs="宋体"/>
        </w:rPr>
        <w:t>切断事故源</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39D0F061">
      <w:pPr>
        <w:ind w:firstLine="480"/>
      </w:pPr>
      <w:r>
        <w:rPr>
          <w:rFonts w:hint="eastAsia" w:cs="宋体"/>
        </w:rPr>
        <w:t>事故单位现场操作人员应立即关闭漏氨部位相关阀门，切断事故源。打开喷淋装置，用水稀释、吸收。在扑救人员中应指定专人在上风向向负责抢救事故人员用开花或喷雾水枪喷水做掩护，协助操作。</w:t>
      </w:r>
    </w:p>
    <w:p w14:paraId="7AA89477">
      <w:pPr>
        <w:ind w:firstLine="480"/>
      </w:pPr>
      <w:bookmarkStart w:id="980" w:name="_Toc3893"/>
      <w:bookmarkStart w:id="981" w:name="_Toc8438"/>
      <w:bookmarkStart w:id="982" w:name="_Toc26977"/>
      <w:bookmarkStart w:id="983" w:name="_Toc12220"/>
      <w:bookmarkStart w:id="984" w:name="_Toc3910"/>
      <w:bookmarkStart w:id="985" w:name="_Toc20979"/>
      <w:bookmarkStart w:id="986" w:name="_Toc30909"/>
      <w:bookmarkStart w:id="987" w:name="_Toc3508"/>
      <w:bookmarkStart w:id="988" w:name="_Toc30036"/>
      <w:bookmarkStart w:id="989" w:name="_Toc21513"/>
      <w:bookmarkStart w:id="990" w:name="_Toc7569"/>
      <w:bookmarkStart w:id="991" w:name="_Toc26126"/>
      <w:bookmarkStart w:id="992" w:name="_Toc21330"/>
      <w:bookmarkStart w:id="993" w:name="_Toc17046"/>
      <w:r>
        <w:rPr>
          <w:rFonts w:hint="eastAsia" w:cs="宋体"/>
          <w:color w:val="000000"/>
        </w:rPr>
        <w:t>（</w:t>
      </w:r>
      <w:r>
        <w:rPr>
          <w:color w:val="000000"/>
        </w:rPr>
        <w:t>3</w:t>
      </w:r>
      <w:r>
        <w:rPr>
          <w:rFonts w:hint="eastAsia" w:cs="宋体"/>
          <w:color w:val="000000"/>
        </w:rPr>
        <w:t>）</w:t>
      </w:r>
      <w:r>
        <w:rPr>
          <w:rFonts w:hint="eastAsia" w:cs="宋体"/>
        </w:rPr>
        <w:t>疏散</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55309C9E">
      <w:pPr>
        <w:ind w:firstLine="480"/>
      </w:pPr>
      <w:r>
        <w:rPr>
          <w:rFonts w:hint="eastAsia" w:cs="宋体"/>
        </w:rPr>
        <w:t>人员的疏散在选择方向时，应选取上风向。根据地形、风向、风速、事故设备内液氨量、泄漏程度以及周边道路、重要设施、建筑情况和人员密集程度等，对泄漏影响范围进行评估，在事故现场的专业技术负责人的指导下设定危险区域、缓冲区域、疏散区域，实施必要的交通管制和交通疏导。隔离与防护距离参见表</w:t>
      </w:r>
      <w:r>
        <w:t>7-4</w:t>
      </w:r>
      <w:r>
        <w:rPr>
          <w:rFonts w:hint="eastAsia" w:cs="宋体"/>
        </w:rPr>
        <w:t>中数据。</w:t>
      </w:r>
    </w:p>
    <w:p w14:paraId="266F507A">
      <w:pPr>
        <w:ind w:firstLine="480"/>
        <w:sectPr>
          <w:pgSz w:w="11906" w:h="16838"/>
          <w:pgMar w:top="1440" w:right="1800" w:bottom="1440" w:left="1800" w:header="851" w:footer="992" w:gutter="0"/>
          <w:cols w:space="720" w:num="1"/>
          <w:docGrid w:type="lines" w:linePitch="312" w:charSpace="0"/>
        </w:sectPr>
      </w:pPr>
    </w:p>
    <w:p w14:paraId="0255BD8C">
      <w:pPr>
        <w:ind w:firstLine="480"/>
      </w:pPr>
    </w:p>
    <w:p w14:paraId="5619C961">
      <w:pPr>
        <w:spacing w:line="480" w:lineRule="exact"/>
        <w:ind w:firstLine="0" w:firstLineChars="0"/>
        <w:jc w:val="center"/>
        <w:rPr>
          <w:rFonts w:eastAsia="黑体"/>
          <w:b/>
          <w:bCs/>
          <w:color w:val="000000"/>
          <w:kern w:val="0"/>
        </w:rPr>
      </w:pPr>
      <w:r>
        <w:rPr>
          <w:rFonts w:hint="eastAsia" w:eastAsia="黑体" w:cs="黑体"/>
          <w:b/>
          <w:bCs/>
          <w:color w:val="000000"/>
        </w:rPr>
        <w:t>表</w:t>
      </w:r>
      <w:r>
        <w:rPr>
          <w:rFonts w:eastAsia="黑体"/>
          <w:b/>
          <w:bCs/>
          <w:color w:val="000000"/>
        </w:rPr>
        <w:t xml:space="preserve">7-4  </w:t>
      </w:r>
      <w:r>
        <w:rPr>
          <w:rFonts w:hint="eastAsia" w:eastAsia="黑体" w:cs="黑体"/>
          <w:b/>
          <w:bCs/>
          <w:color w:val="000000"/>
        </w:rPr>
        <w:t>漏氨隔离与防护距离</w:t>
      </w:r>
    </w:p>
    <w:tbl>
      <w:tblPr>
        <w:tblStyle w:val="21"/>
        <w:tblW w:w="7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018"/>
        <w:gridCol w:w="876"/>
        <w:gridCol w:w="1587"/>
        <w:gridCol w:w="928"/>
        <w:gridCol w:w="943"/>
      </w:tblGrid>
      <w:tr w14:paraId="74EE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3" w:type="dxa"/>
            <w:gridSpan w:val="3"/>
          </w:tcPr>
          <w:p w14:paraId="77ECDB16">
            <w:pPr>
              <w:spacing w:line="480" w:lineRule="exact"/>
              <w:ind w:firstLine="0" w:firstLineChars="0"/>
              <w:jc w:val="center"/>
              <w:rPr>
                <w:rFonts w:eastAsia="仿宋_GB2312"/>
                <w:color w:val="000000"/>
              </w:rPr>
            </w:pPr>
            <w:r>
              <w:rPr>
                <w:rFonts w:hint="eastAsia" w:eastAsia="仿宋_GB2312" w:cs="仿宋_GB2312"/>
                <w:color w:val="000000"/>
                <w:kern w:val="0"/>
              </w:rPr>
              <w:t>小泄漏</w:t>
            </w:r>
          </w:p>
        </w:tc>
        <w:tc>
          <w:tcPr>
            <w:tcW w:w="3458" w:type="dxa"/>
            <w:gridSpan w:val="3"/>
          </w:tcPr>
          <w:p w14:paraId="209601AF">
            <w:pPr>
              <w:spacing w:line="480" w:lineRule="exact"/>
              <w:ind w:firstLine="0" w:firstLineChars="0"/>
              <w:jc w:val="center"/>
              <w:rPr>
                <w:rFonts w:eastAsia="仿宋_GB2312"/>
                <w:color w:val="000000"/>
              </w:rPr>
            </w:pPr>
            <w:r>
              <w:rPr>
                <w:rFonts w:hint="eastAsia" w:eastAsia="仿宋_GB2312" w:cs="仿宋_GB2312"/>
                <w:color w:val="000000"/>
                <w:kern w:val="0"/>
              </w:rPr>
              <w:t>大泄漏</w:t>
            </w:r>
          </w:p>
        </w:tc>
      </w:tr>
      <w:tr w14:paraId="35AF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99" w:type="dxa"/>
            <w:vMerge w:val="restart"/>
          </w:tcPr>
          <w:p w14:paraId="05175CB9">
            <w:pPr>
              <w:spacing w:line="480" w:lineRule="exact"/>
              <w:ind w:firstLine="0" w:firstLineChars="0"/>
              <w:jc w:val="center"/>
              <w:rPr>
                <w:rFonts w:eastAsia="仿宋_GB2312"/>
                <w:color w:val="000000"/>
              </w:rPr>
            </w:pPr>
            <w:r>
              <w:rPr>
                <w:rFonts w:hint="eastAsia" w:eastAsia="仿宋_GB2312" w:cs="仿宋_GB2312"/>
                <w:color w:val="000000"/>
                <w:kern w:val="0"/>
              </w:rPr>
              <w:t>隔离距离</w:t>
            </w:r>
            <w:r>
              <w:rPr>
                <w:rFonts w:eastAsia="仿宋_GB2312"/>
                <w:color w:val="000000"/>
                <w:kern w:val="0"/>
              </w:rPr>
              <w:t>(m)</w:t>
            </w:r>
          </w:p>
        </w:tc>
        <w:tc>
          <w:tcPr>
            <w:tcW w:w="1894" w:type="dxa"/>
            <w:gridSpan w:val="2"/>
          </w:tcPr>
          <w:p w14:paraId="071FF261">
            <w:pPr>
              <w:spacing w:line="480" w:lineRule="exact"/>
              <w:ind w:firstLine="0" w:firstLineChars="0"/>
              <w:jc w:val="center"/>
              <w:rPr>
                <w:rFonts w:eastAsia="仿宋_GB2312"/>
                <w:color w:val="000000"/>
              </w:rPr>
            </w:pPr>
            <w:r>
              <w:rPr>
                <w:rFonts w:hint="eastAsia" w:eastAsia="仿宋_GB2312" w:cs="仿宋_GB2312"/>
                <w:color w:val="000000"/>
                <w:kern w:val="0"/>
              </w:rPr>
              <w:t>下风向防护</w:t>
            </w:r>
          </w:p>
          <w:p w14:paraId="4F7D25EF">
            <w:pPr>
              <w:spacing w:line="480" w:lineRule="exact"/>
              <w:ind w:firstLine="0" w:firstLineChars="0"/>
              <w:jc w:val="center"/>
              <w:rPr>
                <w:rFonts w:eastAsia="仿宋_GB2312"/>
                <w:color w:val="000000"/>
              </w:rPr>
            </w:pPr>
            <w:r>
              <w:rPr>
                <w:rFonts w:hint="eastAsia" w:eastAsia="仿宋_GB2312" w:cs="仿宋_GB2312"/>
                <w:color w:val="000000"/>
                <w:kern w:val="0"/>
              </w:rPr>
              <w:t>距离（</w:t>
            </w:r>
            <w:r>
              <w:rPr>
                <w:rFonts w:eastAsia="仿宋_GB2312"/>
                <w:color w:val="000000"/>
                <w:kern w:val="0"/>
              </w:rPr>
              <w:t>km</w:t>
            </w:r>
            <w:r>
              <w:rPr>
                <w:rFonts w:hint="eastAsia" w:eastAsia="仿宋_GB2312" w:cs="仿宋_GB2312"/>
                <w:color w:val="000000"/>
                <w:kern w:val="0"/>
              </w:rPr>
              <w:t>）</w:t>
            </w:r>
          </w:p>
        </w:tc>
        <w:tc>
          <w:tcPr>
            <w:tcW w:w="1587" w:type="dxa"/>
            <w:vMerge w:val="restart"/>
          </w:tcPr>
          <w:p w14:paraId="3D488026">
            <w:pPr>
              <w:spacing w:line="480" w:lineRule="exact"/>
              <w:ind w:firstLine="0" w:firstLineChars="0"/>
              <w:jc w:val="center"/>
              <w:rPr>
                <w:rFonts w:eastAsia="仿宋_GB2312"/>
                <w:color w:val="000000"/>
              </w:rPr>
            </w:pPr>
            <w:r>
              <w:rPr>
                <w:rFonts w:hint="eastAsia" w:eastAsia="仿宋_GB2312" w:cs="仿宋_GB2312"/>
                <w:color w:val="000000"/>
                <w:kern w:val="0"/>
              </w:rPr>
              <w:t>隔离距离</w:t>
            </w:r>
            <w:r>
              <w:rPr>
                <w:rFonts w:eastAsia="仿宋_GB2312"/>
                <w:color w:val="000000"/>
                <w:kern w:val="0"/>
              </w:rPr>
              <w:t>(m)</w:t>
            </w:r>
          </w:p>
        </w:tc>
        <w:tc>
          <w:tcPr>
            <w:tcW w:w="1871" w:type="dxa"/>
            <w:gridSpan w:val="2"/>
          </w:tcPr>
          <w:p w14:paraId="6FB01DE9">
            <w:pPr>
              <w:spacing w:line="480" w:lineRule="exact"/>
              <w:ind w:firstLine="0" w:firstLineChars="0"/>
              <w:jc w:val="center"/>
              <w:rPr>
                <w:rFonts w:eastAsia="仿宋_GB2312"/>
                <w:color w:val="000000"/>
              </w:rPr>
            </w:pPr>
            <w:r>
              <w:rPr>
                <w:rFonts w:hint="eastAsia" w:eastAsia="仿宋_GB2312" w:cs="仿宋_GB2312"/>
                <w:color w:val="000000"/>
                <w:kern w:val="0"/>
              </w:rPr>
              <w:t>下风向防护</w:t>
            </w:r>
          </w:p>
          <w:p w14:paraId="3CCBE792">
            <w:pPr>
              <w:spacing w:line="480" w:lineRule="exact"/>
              <w:ind w:firstLine="0" w:firstLineChars="0"/>
              <w:jc w:val="center"/>
              <w:rPr>
                <w:rFonts w:eastAsia="仿宋_GB2312"/>
                <w:color w:val="000000"/>
              </w:rPr>
            </w:pPr>
            <w:r>
              <w:rPr>
                <w:rFonts w:hint="eastAsia" w:eastAsia="仿宋_GB2312" w:cs="仿宋_GB2312"/>
                <w:color w:val="000000"/>
                <w:kern w:val="0"/>
              </w:rPr>
              <w:t>距离（</w:t>
            </w:r>
            <w:r>
              <w:rPr>
                <w:rFonts w:eastAsia="仿宋_GB2312"/>
                <w:color w:val="000000"/>
                <w:kern w:val="0"/>
              </w:rPr>
              <w:t>km</w:t>
            </w:r>
            <w:r>
              <w:rPr>
                <w:rFonts w:hint="eastAsia" w:eastAsia="仿宋_GB2312" w:cs="仿宋_GB2312"/>
                <w:color w:val="000000"/>
                <w:kern w:val="0"/>
              </w:rPr>
              <w:t>）</w:t>
            </w:r>
          </w:p>
        </w:tc>
      </w:tr>
      <w:tr w14:paraId="5BC6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699" w:type="dxa"/>
            <w:vMerge w:val="continue"/>
          </w:tcPr>
          <w:p w14:paraId="3DCD18E5">
            <w:pPr>
              <w:spacing w:line="480" w:lineRule="exact"/>
              <w:ind w:firstLine="0" w:firstLineChars="0"/>
              <w:jc w:val="center"/>
              <w:rPr>
                <w:rFonts w:eastAsia="仿宋_GB2312"/>
                <w:color w:val="000000"/>
              </w:rPr>
            </w:pPr>
          </w:p>
        </w:tc>
        <w:tc>
          <w:tcPr>
            <w:tcW w:w="1018" w:type="dxa"/>
          </w:tcPr>
          <w:p w14:paraId="5820BE00">
            <w:pPr>
              <w:spacing w:line="480" w:lineRule="exact"/>
              <w:ind w:firstLine="0" w:firstLineChars="0"/>
              <w:jc w:val="center"/>
              <w:rPr>
                <w:rFonts w:eastAsia="仿宋_GB2312"/>
                <w:color w:val="000000"/>
              </w:rPr>
            </w:pPr>
            <w:r>
              <w:rPr>
                <w:rFonts w:hint="eastAsia" w:eastAsia="仿宋_GB2312" w:cs="仿宋_GB2312"/>
                <w:color w:val="000000"/>
                <w:kern w:val="0"/>
              </w:rPr>
              <w:t>白天</w:t>
            </w:r>
          </w:p>
        </w:tc>
        <w:tc>
          <w:tcPr>
            <w:tcW w:w="876" w:type="dxa"/>
          </w:tcPr>
          <w:p w14:paraId="24D4FD76">
            <w:pPr>
              <w:spacing w:line="480" w:lineRule="exact"/>
              <w:ind w:firstLine="0" w:firstLineChars="0"/>
              <w:jc w:val="center"/>
              <w:rPr>
                <w:rFonts w:eastAsia="仿宋_GB2312"/>
                <w:color w:val="000000"/>
              </w:rPr>
            </w:pPr>
            <w:r>
              <w:rPr>
                <w:rFonts w:hint="eastAsia" w:eastAsia="仿宋_GB2312" w:cs="仿宋_GB2312"/>
                <w:color w:val="000000"/>
                <w:kern w:val="0"/>
              </w:rPr>
              <w:t>夜晚</w:t>
            </w:r>
          </w:p>
        </w:tc>
        <w:tc>
          <w:tcPr>
            <w:tcW w:w="1587" w:type="dxa"/>
            <w:vMerge w:val="continue"/>
          </w:tcPr>
          <w:p w14:paraId="1E5FA208">
            <w:pPr>
              <w:spacing w:line="480" w:lineRule="exact"/>
              <w:ind w:firstLine="0" w:firstLineChars="0"/>
              <w:jc w:val="center"/>
              <w:rPr>
                <w:rFonts w:eastAsia="仿宋_GB2312"/>
                <w:color w:val="000000"/>
              </w:rPr>
            </w:pPr>
          </w:p>
        </w:tc>
        <w:tc>
          <w:tcPr>
            <w:tcW w:w="928" w:type="dxa"/>
          </w:tcPr>
          <w:p w14:paraId="638DC166">
            <w:pPr>
              <w:spacing w:line="480" w:lineRule="exact"/>
              <w:ind w:firstLine="0" w:firstLineChars="0"/>
              <w:jc w:val="center"/>
              <w:rPr>
                <w:rFonts w:eastAsia="仿宋_GB2312"/>
                <w:color w:val="000000"/>
              </w:rPr>
            </w:pPr>
            <w:r>
              <w:rPr>
                <w:rFonts w:hint="eastAsia" w:eastAsia="仿宋_GB2312" w:cs="仿宋_GB2312"/>
                <w:color w:val="000000"/>
                <w:kern w:val="0"/>
              </w:rPr>
              <w:t>白天</w:t>
            </w:r>
          </w:p>
        </w:tc>
        <w:tc>
          <w:tcPr>
            <w:tcW w:w="943" w:type="dxa"/>
          </w:tcPr>
          <w:p w14:paraId="0DC04BF9">
            <w:pPr>
              <w:spacing w:line="480" w:lineRule="exact"/>
              <w:ind w:firstLine="0" w:firstLineChars="0"/>
              <w:jc w:val="center"/>
              <w:rPr>
                <w:rFonts w:eastAsia="仿宋_GB2312"/>
                <w:color w:val="000000"/>
              </w:rPr>
            </w:pPr>
            <w:r>
              <w:rPr>
                <w:rFonts w:hint="eastAsia" w:eastAsia="仿宋_GB2312" w:cs="仿宋_GB2312"/>
                <w:color w:val="000000"/>
                <w:kern w:val="0"/>
              </w:rPr>
              <w:t>夜晚</w:t>
            </w:r>
          </w:p>
        </w:tc>
      </w:tr>
      <w:tr w14:paraId="07C0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699" w:type="dxa"/>
          </w:tcPr>
          <w:p w14:paraId="4403642E">
            <w:pPr>
              <w:spacing w:line="480" w:lineRule="exact"/>
              <w:ind w:firstLine="0" w:firstLineChars="0"/>
              <w:jc w:val="center"/>
              <w:rPr>
                <w:rFonts w:eastAsia="仿宋_GB2312"/>
                <w:color w:val="000000"/>
              </w:rPr>
            </w:pPr>
            <w:r>
              <w:rPr>
                <w:rFonts w:eastAsia="仿宋_GB2312"/>
                <w:color w:val="000000"/>
                <w:kern w:val="0"/>
              </w:rPr>
              <w:t>30</w:t>
            </w:r>
          </w:p>
        </w:tc>
        <w:tc>
          <w:tcPr>
            <w:tcW w:w="1018" w:type="dxa"/>
          </w:tcPr>
          <w:p w14:paraId="74824302">
            <w:pPr>
              <w:spacing w:line="480" w:lineRule="exact"/>
              <w:ind w:firstLine="0" w:firstLineChars="0"/>
              <w:jc w:val="center"/>
              <w:rPr>
                <w:rFonts w:eastAsia="仿宋_GB2312"/>
                <w:color w:val="000000"/>
              </w:rPr>
            </w:pPr>
            <w:r>
              <w:rPr>
                <w:rFonts w:eastAsia="仿宋_GB2312"/>
                <w:color w:val="000000"/>
                <w:kern w:val="0"/>
              </w:rPr>
              <w:t>0.2</w:t>
            </w:r>
          </w:p>
        </w:tc>
        <w:tc>
          <w:tcPr>
            <w:tcW w:w="876" w:type="dxa"/>
          </w:tcPr>
          <w:p w14:paraId="5EC5183A">
            <w:pPr>
              <w:spacing w:line="480" w:lineRule="exact"/>
              <w:ind w:firstLine="0" w:firstLineChars="0"/>
              <w:jc w:val="center"/>
              <w:rPr>
                <w:rFonts w:eastAsia="仿宋_GB2312"/>
                <w:color w:val="000000"/>
              </w:rPr>
            </w:pPr>
            <w:r>
              <w:rPr>
                <w:rFonts w:eastAsia="仿宋_GB2312"/>
                <w:color w:val="000000"/>
                <w:kern w:val="0"/>
              </w:rPr>
              <w:t>0.2</w:t>
            </w:r>
          </w:p>
        </w:tc>
        <w:tc>
          <w:tcPr>
            <w:tcW w:w="1587" w:type="dxa"/>
          </w:tcPr>
          <w:p w14:paraId="0E6DC092">
            <w:pPr>
              <w:spacing w:line="480" w:lineRule="exact"/>
              <w:ind w:firstLine="0" w:firstLineChars="0"/>
              <w:jc w:val="center"/>
              <w:rPr>
                <w:rFonts w:eastAsia="仿宋_GB2312"/>
                <w:color w:val="000000"/>
              </w:rPr>
            </w:pPr>
            <w:r>
              <w:rPr>
                <w:rFonts w:eastAsia="仿宋_GB2312"/>
                <w:color w:val="000000"/>
                <w:kern w:val="0"/>
              </w:rPr>
              <w:t>60</w:t>
            </w:r>
          </w:p>
        </w:tc>
        <w:tc>
          <w:tcPr>
            <w:tcW w:w="928" w:type="dxa"/>
          </w:tcPr>
          <w:p w14:paraId="3A224F95">
            <w:pPr>
              <w:spacing w:line="480" w:lineRule="exact"/>
              <w:ind w:firstLine="0" w:firstLineChars="0"/>
              <w:jc w:val="center"/>
              <w:rPr>
                <w:rFonts w:eastAsia="仿宋_GB2312"/>
                <w:color w:val="000000"/>
              </w:rPr>
            </w:pPr>
            <w:r>
              <w:rPr>
                <w:rFonts w:eastAsia="仿宋_GB2312"/>
                <w:color w:val="000000"/>
                <w:kern w:val="0"/>
              </w:rPr>
              <w:t>0.5</w:t>
            </w:r>
          </w:p>
        </w:tc>
        <w:tc>
          <w:tcPr>
            <w:tcW w:w="943" w:type="dxa"/>
          </w:tcPr>
          <w:p w14:paraId="1D816477">
            <w:pPr>
              <w:spacing w:line="480" w:lineRule="exact"/>
              <w:ind w:firstLine="0" w:firstLineChars="0"/>
              <w:jc w:val="center"/>
              <w:rPr>
                <w:rFonts w:eastAsia="仿宋_GB2312"/>
                <w:color w:val="000000"/>
              </w:rPr>
            </w:pPr>
            <w:r>
              <w:rPr>
                <w:rFonts w:eastAsia="仿宋_GB2312"/>
                <w:color w:val="000000"/>
                <w:kern w:val="0"/>
              </w:rPr>
              <w:t>1.1</w:t>
            </w:r>
          </w:p>
        </w:tc>
      </w:tr>
    </w:tbl>
    <w:p w14:paraId="6A9AEA04">
      <w:pPr>
        <w:ind w:firstLine="480"/>
      </w:pPr>
      <w:bookmarkStart w:id="994" w:name="_Toc3198"/>
      <w:bookmarkStart w:id="995" w:name="_Toc12932"/>
      <w:bookmarkStart w:id="996" w:name="_Toc27495"/>
      <w:bookmarkStart w:id="997" w:name="_Toc8932"/>
      <w:bookmarkStart w:id="998" w:name="_Toc2809"/>
      <w:bookmarkStart w:id="999" w:name="_Toc60"/>
      <w:bookmarkStart w:id="1000" w:name="_Toc4523"/>
      <w:bookmarkStart w:id="1001" w:name="_Toc5872"/>
      <w:bookmarkStart w:id="1002" w:name="_Toc1573"/>
      <w:bookmarkStart w:id="1003" w:name="_Toc20435"/>
      <w:bookmarkStart w:id="1004" w:name="_Toc21062"/>
      <w:bookmarkStart w:id="1005" w:name="_Toc6991"/>
      <w:bookmarkStart w:id="1006" w:name="_Toc19241"/>
      <w:bookmarkStart w:id="1007" w:name="_Toc1415"/>
      <w:bookmarkStart w:id="1008" w:name="_Toc11541"/>
      <w:bookmarkStart w:id="1009" w:name="_Toc24243"/>
      <w:bookmarkStart w:id="1010" w:name="_Toc11357"/>
      <w:bookmarkStart w:id="1011" w:name="_Toc515984576"/>
      <w:bookmarkStart w:id="1012" w:name="_Toc17709"/>
      <w:r>
        <w:rPr>
          <w:rFonts w:hint="eastAsia" w:cs="宋体"/>
          <w:color w:val="000000"/>
        </w:rPr>
        <w:t>（</w:t>
      </w:r>
      <w:r>
        <w:rPr>
          <w:color w:val="000000"/>
        </w:rPr>
        <w:t>4</w:t>
      </w:r>
      <w:r>
        <w:rPr>
          <w:rFonts w:hint="eastAsia" w:cs="宋体"/>
          <w:color w:val="000000"/>
        </w:rPr>
        <w:t>）</w:t>
      </w:r>
      <w:r>
        <w:rPr>
          <w:rFonts w:hint="eastAsia" w:cs="宋体"/>
        </w:rPr>
        <w:t>泄漏处置及堵漏方法</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595B96A7">
      <w:pPr>
        <w:ind w:firstLine="480"/>
      </w:pPr>
      <w:bookmarkStart w:id="1013" w:name="_Toc515984577"/>
      <w:r>
        <w:t>1</w:t>
      </w:r>
      <w:r>
        <w:rPr>
          <w:rFonts w:hint="eastAsia" w:cs="宋体"/>
        </w:rPr>
        <w:t>）泄压排空</w:t>
      </w:r>
      <w:bookmarkEnd w:id="1013"/>
      <w:r>
        <w:rPr>
          <w:rFonts w:hint="eastAsia" w:cs="宋体"/>
        </w:rPr>
        <w:t>。</w:t>
      </w:r>
    </w:p>
    <w:p w14:paraId="72192D28">
      <w:pPr>
        <w:ind w:firstLine="480"/>
      </w:pPr>
      <w:r>
        <w:t>2</w:t>
      </w:r>
      <w:r>
        <w:rPr>
          <w:rFonts w:hint="eastAsia" w:cs="宋体"/>
        </w:rPr>
        <w:t>）液氨大量泄漏时，应开启喷淋用喷雾水枪进行稀释降毒。应急池收容产生的废水。并对附近的雨水口、地下管网入口进行封堵，防止泄漏物进入，造成二次事故。</w:t>
      </w:r>
    </w:p>
    <w:p w14:paraId="6415227F">
      <w:pPr>
        <w:ind w:firstLine="480"/>
      </w:pPr>
      <w:r>
        <w:t>3</w:t>
      </w:r>
      <w:r>
        <w:rPr>
          <w:rFonts w:hint="eastAsia" w:cs="宋体"/>
        </w:rPr>
        <w:t>）体积较小的液氨钢瓶发生泄漏时，尽量使泄漏口朝上，以防液化气体大量流淌。无器具堵漏或泄漏无法控制时，可将其浸入水中。</w:t>
      </w:r>
    </w:p>
    <w:p w14:paraId="6924316C">
      <w:pPr>
        <w:ind w:firstLine="480"/>
      </w:pPr>
      <w:bookmarkStart w:id="1014" w:name="_Toc515984578"/>
      <w:r>
        <w:t>4</w:t>
      </w:r>
      <w:r>
        <w:rPr>
          <w:rFonts w:hint="eastAsia" w:cs="宋体"/>
        </w:rPr>
        <w:t>）器具堵漏</w:t>
      </w:r>
      <w:bookmarkEnd w:id="1014"/>
      <w:r>
        <w:rPr>
          <w:rFonts w:hint="eastAsia" w:cs="宋体"/>
        </w:rPr>
        <w:t>，管道壁发生泄漏，又不能关阀止漏时，可使用管卡等器具实施封堵。阀门、法兰盘或法兰垫片损坏发生泄漏，可直接使用专门阀门堵漏工具实施堵漏。对液氨钢瓶可先用密封器堵漏，然后用专用工具处置。</w:t>
      </w:r>
    </w:p>
    <w:p w14:paraId="507BDFFD">
      <w:pPr>
        <w:pStyle w:val="50"/>
        <w:outlineLvl w:val="3"/>
      </w:pPr>
      <w:bookmarkStart w:id="1015" w:name="_Toc503165861"/>
      <w:bookmarkStart w:id="1016" w:name="_Toc515984579"/>
      <w:bookmarkStart w:id="1017" w:name="_Toc10982"/>
      <w:bookmarkStart w:id="1018" w:name="_Toc19825"/>
      <w:bookmarkStart w:id="1019" w:name="_Toc12537"/>
      <w:bookmarkStart w:id="1020" w:name="_Toc16500"/>
      <w:bookmarkStart w:id="1021" w:name="_Toc20167"/>
      <w:bookmarkStart w:id="1022" w:name="_Toc11681"/>
      <w:bookmarkStart w:id="1023" w:name="_Toc12699"/>
      <w:bookmarkStart w:id="1024" w:name="_Toc10830"/>
      <w:bookmarkStart w:id="1025" w:name="_Toc19307"/>
      <w:bookmarkStart w:id="1026" w:name="_Toc26300"/>
      <w:bookmarkStart w:id="1027" w:name="_Toc17034"/>
      <w:bookmarkStart w:id="1028" w:name="_Toc16372"/>
      <w:bookmarkStart w:id="1029" w:name="_Toc16421"/>
      <w:bookmarkStart w:id="1030" w:name="_Toc8591"/>
      <w:bookmarkStart w:id="1031" w:name="_Toc22076"/>
      <w:bookmarkStart w:id="1032" w:name="_Toc15167"/>
      <w:bookmarkStart w:id="1033" w:name="_Toc6589"/>
      <w:bookmarkStart w:id="1034" w:name="_Toc3047"/>
      <w:bookmarkStart w:id="1035" w:name="_Toc29879"/>
      <w:bookmarkStart w:id="1036" w:name="_Toc20018"/>
      <w:bookmarkStart w:id="1037" w:name="_Toc2395"/>
      <w:r>
        <w:t xml:space="preserve">7.6.3.2 </w:t>
      </w:r>
      <w:r>
        <w:rPr>
          <w:rFonts w:hint="eastAsia" w:cs="黑体"/>
        </w:rPr>
        <w:t>现场洗消处理</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448D96FF">
      <w:pPr>
        <w:widowControl/>
        <w:ind w:firstLine="480"/>
        <w:rPr>
          <w:color w:val="000000"/>
        </w:rPr>
      </w:pPr>
      <w:r>
        <w:rPr>
          <w:rFonts w:hint="eastAsia" w:cs="宋体"/>
          <w:color w:val="000000"/>
        </w:rPr>
        <w:t>根据液氨的理化性质和受污染的具体情况，可采取不同的方法洗消。化学消毒法：即用稀盐酸等酸性溶液喷洒在染毒区域或受污染体表面，成为无毒或低毒物质；物理消毒法：即使用吸附垫、活性炭等具有吸附能力的物质，吸附回收转移处理。</w:t>
      </w:r>
    </w:p>
    <w:p w14:paraId="16F04CD5">
      <w:pPr>
        <w:pStyle w:val="60"/>
        <w:rPr>
          <w:rFonts w:ascii="Times New Roman" w:hAnsi="Times New Roman" w:cs="Times New Roman"/>
        </w:rPr>
      </w:pPr>
      <w:bookmarkStart w:id="1038" w:name="_Toc515984581"/>
      <w:bookmarkStart w:id="1039" w:name="_Toc25643"/>
      <w:bookmarkStart w:id="1040" w:name="_Toc22054"/>
      <w:bookmarkStart w:id="1041" w:name="_Toc24187"/>
      <w:bookmarkStart w:id="1042" w:name="_Toc26981"/>
      <w:bookmarkStart w:id="1043" w:name="_Toc25752"/>
      <w:bookmarkStart w:id="1044" w:name="_Toc31247"/>
      <w:bookmarkStart w:id="1045" w:name="_Toc26451"/>
      <w:bookmarkStart w:id="1046" w:name="_Toc13753254"/>
      <w:bookmarkStart w:id="1047" w:name="_Toc16567"/>
      <w:bookmarkStart w:id="1048" w:name="_Toc7806"/>
      <w:bookmarkStart w:id="1049" w:name="_Toc24746"/>
      <w:bookmarkStart w:id="1050" w:name="_Toc3114"/>
      <w:bookmarkStart w:id="1051" w:name="_Toc778"/>
      <w:bookmarkStart w:id="1052" w:name="_Toc14363"/>
      <w:bookmarkStart w:id="1053" w:name="_Toc9726"/>
      <w:bookmarkStart w:id="1054" w:name="_Toc5892"/>
      <w:bookmarkStart w:id="1055" w:name="_Toc8352"/>
      <w:bookmarkStart w:id="1056" w:name="_Toc3314"/>
      <w:bookmarkStart w:id="1057" w:name="_Toc24755"/>
      <w:bookmarkStart w:id="1058" w:name="_Toc16439"/>
      <w:bookmarkStart w:id="1059" w:name="_Toc9653"/>
      <w:bookmarkStart w:id="1060" w:name="_Toc9245"/>
      <w:bookmarkStart w:id="1061" w:name="_Toc9674"/>
      <w:r>
        <w:rPr>
          <w:rFonts w:hint="eastAsia" w:ascii="Times New Roman" w:hAnsi="Times New Roman" w:cs="黑体"/>
        </w:rPr>
        <w:t>八、相关法律法规及标准</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755D2919">
      <w:pPr>
        <w:pStyle w:val="64"/>
        <w:outlineLvl w:val="1"/>
        <w:rPr>
          <w:rFonts w:hAnsi="Times New Roman"/>
        </w:rPr>
      </w:pPr>
      <w:bookmarkStart w:id="1062" w:name="_Toc28390"/>
      <w:bookmarkStart w:id="1063" w:name="_Toc10791"/>
      <w:bookmarkStart w:id="1064" w:name="_Toc13356"/>
      <w:bookmarkStart w:id="1065" w:name="_Toc30931"/>
      <w:bookmarkStart w:id="1066" w:name="_Toc24421"/>
      <w:bookmarkStart w:id="1067" w:name="_Toc4368"/>
      <w:bookmarkStart w:id="1068" w:name="_Toc3552"/>
      <w:bookmarkStart w:id="1069" w:name="_Toc26260"/>
      <w:bookmarkStart w:id="1070" w:name="_Toc2921"/>
      <w:bookmarkStart w:id="1071" w:name="_Toc28808"/>
      <w:bookmarkStart w:id="1072" w:name="_Toc22281"/>
      <w:bookmarkStart w:id="1073" w:name="_Toc19531"/>
      <w:bookmarkStart w:id="1074" w:name="_Toc20502"/>
      <w:bookmarkStart w:id="1075" w:name="_Toc198"/>
      <w:bookmarkStart w:id="1076" w:name="_Toc27149"/>
      <w:bookmarkStart w:id="1077" w:name="_Toc7768"/>
      <w:bookmarkStart w:id="1078" w:name="_Toc15473"/>
      <w:bookmarkStart w:id="1079" w:name="_Toc29250"/>
      <w:bookmarkStart w:id="1080" w:name="_Toc21411"/>
      <w:bookmarkStart w:id="1081" w:name="_Toc13753255"/>
      <w:bookmarkStart w:id="1082" w:name="_Toc515984582"/>
      <w:bookmarkStart w:id="1083" w:name="_Toc13244"/>
      <w:bookmarkStart w:id="1084" w:name="_Toc13945"/>
      <w:bookmarkStart w:id="1085" w:name="_Toc7685"/>
      <w:r>
        <w:rPr>
          <w:rFonts w:hAnsi="Times New Roman"/>
        </w:rPr>
        <w:t>8.1</w:t>
      </w:r>
      <w:r>
        <w:rPr>
          <w:rFonts w:hint="eastAsia" w:hAnsi="Times New Roman" w:cs="黑体"/>
        </w:rPr>
        <w:t>法律法规依据</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4BB0FB5B">
      <w:pPr>
        <w:ind w:firstLine="480"/>
      </w:pPr>
      <w:r>
        <w:rPr>
          <w:rFonts w:hint="eastAsia" w:cs="宋体"/>
        </w:rPr>
        <w:t>标准制定的法律法规主要依据为：《中华人民共和国突发事件应对法》有关规定：第五条突发事件应对工作实行预防为主、预防与应急相结合的原则。第十七条国家建立健全突发事件应急预案体系。第二十条县级人民政府应当对本行政区域内容易引发自然灾害、事故灾难和公共卫生事件的危险源、危险区域进行调查、登记、风险评估，定期进行检查、监控，并责令有关单位采取安全防范措施。第二十二条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中华人民共和国环境保护法》第四十七条：各级人民政府及其有关部门和企业事业单位，应当依照《中华人民共和国突发事件应对法》的规定，做好突发环境事件的风险控制、应急准备、应急处置和事后恢复等工作。县级以上人民政府应当建立环境污染公共监测预警机制，组织制定预警方案；环境受到污染，可能影响公众健康和环境安全时，依法及时公布预警信息，启动应急措施。企业事业单位应当按照国家有关规定制定突发环境事件应急预案，报环境保护主管部门和有关部门备案。在发生或者可能发生突发环境事件时，企业事业单位应当立即采取措施处理，及时通报可能受到危害的单位和居民，并向环境保护主管部门和有关部门报告。《北京市实施</w:t>
      </w:r>
      <w:r>
        <w:t>&lt;</w:t>
      </w:r>
      <w:r>
        <w:rPr>
          <w:rFonts w:hint="eastAsia" w:cs="宋体"/>
        </w:rPr>
        <w:t>中华人民共和国突发事件应对法</w:t>
      </w:r>
      <w:r>
        <w:t>&gt;</w:t>
      </w:r>
      <w:r>
        <w:rPr>
          <w:rFonts w:hint="eastAsia" w:cs="宋体"/>
        </w:rPr>
        <w:t>办法》有关规定：第十七条本市建立突发事件风险管理体系，健全风险识别、评估、控制等风险管理制度和风险管理信息化系统，对可能发生的突发事件进行综合性评估，预防和减少突发事件的发生，最大限度地减轻突发事件的影响。第十八条市和区、县人民政府应当建立危险源、危险区域的管理制度，依法对本行政区域内容易引发突发事件的危险源、危险区域进行调查、登记、风险评估，定期检查、监控，责令有关单位采取安全防范措施。《国家突发公共事件总体应急预案》中</w:t>
      </w:r>
      <w:r>
        <w:t>3.1</w:t>
      </w:r>
      <w:r>
        <w:rPr>
          <w:rFonts w:hint="eastAsia" w:cs="宋体"/>
        </w:rPr>
        <w:t>预测与预警：</w:t>
      </w:r>
      <w:r>
        <w:rPr>
          <w:rFonts w:hint="eastAsia" w:cs="宋体"/>
          <w:color w:val="333333"/>
        </w:rPr>
        <w:t>各地区、各部门要针对各种可能发生的突发公共事件，完善预测预警机制，建立预测预警系统，开展风险分析，做到早发现、早报告、早处置。</w:t>
      </w:r>
      <w:r>
        <w:rPr>
          <w:rFonts w:hint="eastAsia" w:cs="宋体"/>
        </w:rPr>
        <w:t>《国家突发环境事件应急预案》中的监测和风险分析：</w:t>
      </w:r>
      <w:r>
        <w:rPr>
          <w:rFonts w:hint="eastAsia" w:cs="宋体"/>
          <w:color w:val="333333"/>
        </w:rPr>
        <w:t>企业事业单位和其他生产经营者应当落实环境安全主体责任，定期排查环境安全隐患，开展环境风险评估，健全风险防控措施。当出现可能导致突发环境事件的情况时，要立即报告当地环境保护主管部门。《突发环境事件应急管理办法》有关规定：第四条第二款县级以上环境保护主管部门应当在本级人民政府的统一领导下，对突发环境事件应急管理日常工作实施监督管理，指导、协助、督促下级人民政府及其有关部门做好突发环境事件应对工作。第六条第一款企业事业单位应当按照相关法律法规和标准规范的要求，履行下列义务：（一）开展突发环境事件风险评估；（二）完善突发环境事件风险防控措施；（三）排查治理环境安全隐患；（四）制定突发环境事件应急预案并备案、演练；（五）加强环境应急能力保障建设。第十二条县级以上地方环境保护主管部门应当对企业事业单位环境风险防范和环境安全隐患排查治理工作进行抽查或者突击检查，将存在重大环境安全隐患且整治不力的企业信息纳入社会诚信档案</w:t>
      </w:r>
      <w:r>
        <w:rPr>
          <w:color w:val="333333"/>
        </w:rPr>
        <w:t xml:space="preserve">, </w:t>
      </w:r>
      <w:r>
        <w:rPr>
          <w:rFonts w:hint="eastAsia" w:cs="宋体"/>
          <w:color w:val="333333"/>
        </w:rPr>
        <w:t>并可以通报行业主管部门、投资主管部门、证券监督管理机构以及有关金融机构。</w:t>
      </w:r>
      <w:r>
        <w:rPr>
          <w:rFonts w:hint="eastAsia" w:cs="宋体"/>
        </w:rPr>
        <w:t>《北京市突发环境事件应急预案》的现场污染处置：涉事企业单位或其他生产经营者要立即采取关闭、停产、封堵、围挡、喷淋、转移等措施，切断和控制污染源，防止污染蔓延扩散。做好有毒有害物质和消防废水、废液等的收集、清理和安全处置工作。本标准制修订工作将严格遵循上述法律法规的要求。</w:t>
      </w:r>
    </w:p>
    <w:p w14:paraId="2EDEF43E">
      <w:pPr>
        <w:pStyle w:val="64"/>
        <w:outlineLvl w:val="1"/>
        <w:rPr>
          <w:rFonts w:hAnsi="Times New Roman"/>
          <w:sz w:val="28"/>
          <w:szCs w:val="28"/>
        </w:rPr>
      </w:pPr>
      <w:bookmarkStart w:id="1086" w:name="_Toc20083"/>
      <w:bookmarkStart w:id="1087" w:name="_Toc26486"/>
      <w:bookmarkStart w:id="1088" w:name="_Toc31276"/>
      <w:bookmarkStart w:id="1089" w:name="_Toc8664"/>
      <w:bookmarkStart w:id="1090" w:name="_Toc24543"/>
      <w:bookmarkStart w:id="1091" w:name="_Toc14605"/>
      <w:bookmarkStart w:id="1092" w:name="_Toc20729"/>
      <w:bookmarkStart w:id="1093" w:name="_Toc19165"/>
      <w:bookmarkStart w:id="1094" w:name="_Toc850"/>
      <w:bookmarkStart w:id="1095" w:name="_Toc12088"/>
      <w:bookmarkStart w:id="1096" w:name="_Toc13753256"/>
      <w:bookmarkStart w:id="1097" w:name="_Toc30396"/>
      <w:bookmarkStart w:id="1098" w:name="_Toc153"/>
      <w:bookmarkStart w:id="1099" w:name="_Toc14870"/>
      <w:bookmarkStart w:id="1100" w:name="_Toc1618"/>
      <w:bookmarkStart w:id="1101" w:name="_Toc515984584"/>
      <w:bookmarkStart w:id="1102" w:name="_Toc6689"/>
      <w:bookmarkStart w:id="1103" w:name="_Toc11918"/>
      <w:bookmarkStart w:id="1104" w:name="_Toc18518"/>
      <w:bookmarkStart w:id="1105" w:name="_Toc23947"/>
      <w:bookmarkStart w:id="1106" w:name="_Toc73"/>
      <w:bookmarkStart w:id="1107" w:name="_Toc16214"/>
      <w:bookmarkStart w:id="1108" w:name="_Toc16157"/>
      <w:bookmarkStart w:id="1109" w:name="_Toc25769"/>
      <w:r>
        <w:rPr>
          <w:rFonts w:hAnsi="Times New Roman"/>
          <w:sz w:val="28"/>
          <w:szCs w:val="28"/>
        </w:rPr>
        <w:t>8.</w:t>
      </w:r>
      <w:r>
        <w:rPr>
          <w:rFonts w:hAnsi="Times New Roman"/>
        </w:rPr>
        <w:t>2</w:t>
      </w:r>
      <w:r>
        <w:rPr>
          <w:rFonts w:hint="eastAsia" w:hAnsi="Times New Roman" w:cs="黑体"/>
          <w:sz w:val="28"/>
          <w:szCs w:val="28"/>
        </w:rPr>
        <w:t>与国内外相关标准的内容异同</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4B436AB">
      <w:pPr>
        <w:ind w:firstLine="480"/>
      </w:pPr>
      <w:r>
        <w:rPr>
          <w:rFonts w:hint="eastAsia" w:cs="宋体"/>
        </w:rPr>
        <w:t>本标准在参考国外发达国家或城市规定的应急处置规范的基础上，结合</w:t>
      </w:r>
      <w:bookmarkStart w:id="1110" w:name="OLE_LINK14"/>
      <w:r>
        <w:rPr>
          <w:rFonts w:hint="eastAsia" w:cs="宋体"/>
        </w:rPr>
        <w:t>北京市</w:t>
      </w:r>
      <w:bookmarkEnd w:id="1110"/>
      <w:r>
        <w:rPr>
          <w:rFonts w:hint="eastAsia" w:cs="宋体"/>
        </w:rPr>
        <w:t>液氨使用的特点和风险管理情况及技术可达性，制定北京市液氨贮存使用单位环境风险防控的措施、应急处置总则、一般规定和紧急处置规范及要求等。</w:t>
      </w:r>
    </w:p>
    <w:p w14:paraId="28CA4B24">
      <w:pPr>
        <w:ind w:firstLine="480"/>
      </w:pPr>
      <w:r>
        <w:rPr>
          <w:rFonts w:hint="eastAsia" w:cs="宋体"/>
        </w:rPr>
        <w:t>通过对比本标准与原安监局标准《液氨使用与储存安全技术规范》发现，本标准提出设备、设施及建设等均要符合</w:t>
      </w:r>
      <w:r>
        <w:t>DB11/ 1014</w:t>
      </w:r>
      <w:r>
        <w:rPr>
          <w:rFonts w:hint="eastAsia" w:cs="宋体"/>
        </w:rPr>
        <w:t>的要求，即在厂内布局、设备维护管理、防火要求、人员管理等方面具有相同点。由于风险和应急管理的需要，两标准也均涉及到对监控系统和消防的要求。在监控系统方面，对生产过程中可能发生氨泄漏的区域设置事故排风装置，在氨罐区、氨压缩机房和设备间、液氨罐储存使用区、使用液氨的厂房等设置氨气检测器，当氨浓度高于特定值时，触发报警装置，提醒操作人员采取必要的措施防止氨泄漏的异常情况发生。消防方面，两者均涉及到事故喷淋系统、灭火装置、防雷防电装置等。</w:t>
      </w:r>
    </w:p>
    <w:p w14:paraId="7CBF74A1">
      <w:pPr>
        <w:ind w:firstLine="480"/>
      </w:pPr>
      <w:r>
        <w:rPr>
          <w:rFonts w:hint="eastAsia" w:cs="宋体"/>
        </w:rPr>
        <w:t>《液氨使用与储存安全技术规范》规定了液氨的使用、储存的一般要求和液氨场所安全要求，适用于液氨的使用和储存，该标准侧重于企业的安全生产方面。而本标准与其不同的是规定了液氨使用与储存单位环境风险防控的一般要求、风险防控设施技术要求和突发环境事件应急处置规范，适用于液氨使用与储存单位环境风险评估、环境安全隐患排查与整治、突发环境事件应急预案制定以及突发环境事件应急处置，本标准侧重于环境风险防控及事故应对。本标准要求液氨贮存使用单位进行风险评估，并按照</w:t>
      </w:r>
      <w:r>
        <w:t xml:space="preserve">HJ 941 </w:t>
      </w:r>
      <w:r>
        <w:rPr>
          <w:rFonts w:hint="eastAsia" w:cs="宋体"/>
        </w:rPr>
        <w:t>确定环境事件风险等级；液氨贮存使用单位应按照突发环境事件应急预案编制指南制订应急预案，并按照《企业事业单位突发环境事件应急预案备案管理办法》进行备案；涉氨企业还应按照《北京市突发环境事件隐患排查和治理工作指南（液氨贮存使用单位）（试行）》进行隐患排查和治理。本标准还涉及到消防系统、氨回收装置、泄漏监测要求、环境安全管理要求以及突发环境事件的应急处理规范等内容，为液氨贮存使用单位在环境风险防控和突发环境事件应急处置方面提供了全面的指导。</w:t>
      </w:r>
    </w:p>
    <w:p w14:paraId="530AE250">
      <w:pPr>
        <w:pStyle w:val="60"/>
        <w:spacing w:before="312" w:after="312"/>
        <w:rPr>
          <w:rStyle w:val="59"/>
          <w:rFonts w:ascii="Times New Roman" w:hAnsi="Times New Roman" w:cs="Times New Roman"/>
          <w:b/>
          <w:bCs/>
          <w:sz w:val="30"/>
          <w:szCs w:val="30"/>
        </w:rPr>
      </w:pPr>
      <w:bookmarkStart w:id="1111" w:name="_Toc15412"/>
      <w:bookmarkStart w:id="1112" w:name="_Toc254"/>
      <w:bookmarkStart w:id="1113" w:name="_Toc11865"/>
      <w:bookmarkStart w:id="1114" w:name="_Toc23712"/>
      <w:bookmarkStart w:id="1115" w:name="_Toc13753257"/>
      <w:bookmarkStart w:id="1116" w:name="_Toc548"/>
      <w:bookmarkStart w:id="1117" w:name="_Toc30123"/>
      <w:bookmarkStart w:id="1118" w:name="_Toc29674"/>
      <w:bookmarkStart w:id="1119" w:name="_Toc11782"/>
      <w:bookmarkStart w:id="1120" w:name="_Toc1380"/>
      <w:bookmarkStart w:id="1121" w:name="_Toc1716"/>
      <w:bookmarkStart w:id="1122" w:name="_Toc5866"/>
      <w:bookmarkStart w:id="1123" w:name="_Toc9814"/>
      <w:bookmarkStart w:id="1124" w:name="_Toc28334"/>
      <w:bookmarkStart w:id="1125" w:name="_Toc29549"/>
      <w:bookmarkStart w:id="1126" w:name="_Toc515984585"/>
      <w:bookmarkStart w:id="1127" w:name="_Toc9178"/>
      <w:bookmarkStart w:id="1128" w:name="_Toc453681335"/>
      <w:bookmarkStart w:id="1129" w:name="_Toc12274"/>
      <w:bookmarkStart w:id="1130" w:name="_Toc12803"/>
      <w:bookmarkStart w:id="1131" w:name="_Toc3891"/>
      <w:bookmarkStart w:id="1132" w:name="_Toc1502"/>
      <w:bookmarkStart w:id="1133" w:name="_Toc19114"/>
      <w:bookmarkStart w:id="1134" w:name="_Toc6482"/>
      <w:bookmarkStart w:id="1135" w:name="_Toc25167"/>
      <w:r>
        <w:rPr>
          <w:rStyle w:val="59"/>
          <w:rFonts w:hint="eastAsia" w:ascii="Times New Roman" w:hAnsi="Times New Roman" w:cs="黑体"/>
          <w:b/>
          <w:bCs/>
          <w:sz w:val="30"/>
          <w:szCs w:val="30"/>
        </w:rPr>
        <w:t>九、采用国际标准和国外先进标准的，说明采标程度，以及与国内外同类标准水平的对比情况</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65CE2DDB">
      <w:pPr>
        <w:ind w:firstLine="480"/>
      </w:pPr>
      <w:r>
        <w:rPr>
          <w:rFonts w:hint="eastAsia" w:cs="宋体"/>
        </w:rPr>
        <w:t>本标准依据现行有关国家标准、地方标准，对液氨使用与储存过程中相关污染防治以及突发环境事件应急处理提出了技术规范，并未采用国际标准。与北京市现行</w:t>
      </w:r>
      <w:r>
        <w:rPr>
          <w:rFonts w:hint="eastAsia" w:cs="宋体"/>
          <w:kern w:val="0"/>
        </w:rPr>
        <w:t>《</w:t>
      </w:r>
      <w:r>
        <w:rPr>
          <w:rFonts w:hint="eastAsia" w:cs="宋体"/>
        </w:rPr>
        <w:t>液氨</w:t>
      </w:r>
      <w:r>
        <w:rPr>
          <w:rFonts w:hint="eastAsia" w:cs="宋体"/>
          <w:kern w:val="0"/>
        </w:rPr>
        <w:t>使用与储存安全技术规范</w:t>
      </w:r>
      <w:r>
        <w:rPr>
          <w:rFonts w:hint="eastAsia" w:cs="宋体"/>
        </w:rPr>
        <w:t>》（</w:t>
      </w:r>
      <w:r>
        <w:rPr>
          <w:kern w:val="0"/>
        </w:rPr>
        <w:t>DB11/ 1014-2013</w:t>
      </w:r>
      <w:r>
        <w:rPr>
          <w:rFonts w:hint="eastAsia" w:cs="宋体"/>
        </w:rPr>
        <w:t>）相比，偏重于环境风险防范和控制，特别针对液氨贮存使用单位可能出现的环境风险点和应急处置制订了详细的技术规范。</w:t>
      </w:r>
    </w:p>
    <w:p w14:paraId="3A1E66AE">
      <w:pPr>
        <w:pStyle w:val="60"/>
        <w:spacing w:before="312" w:after="312"/>
        <w:rPr>
          <w:rFonts w:ascii="Times New Roman" w:hAnsi="Times New Roman" w:cs="Times New Roman"/>
        </w:rPr>
      </w:pPr>
      <w:bookmarkStart w:id="1136" w:name="_Toc13753258"/>
      <w:bookmarkStart w:id="1137" w:name="_Toc453681336"/>
      <w:bookmarkStart w:id="1138" w:name="_Toc29139"/>
      <w:bookmarkStart w:id="1139" w:name="_Toc31194"/>
      <w:bookmarkStart w:id="1140" w:name="_Toc21726"/>
      <w:bookmarkStart w:id="1141" w:name="_Toc14471"/>
      <w:bookmarkStart w:id="1142" w:name="_Toc25482"/>
      <w:bookmarkStart w:id="1143" w:name="_Toc6023"/>
      <w:bookmarkStart w:id="1144" w:name="_Toc1631"/>
      <w:bookmarkStart w:id="1145" w:name="_Toc17151"/>
      <w:bookmarkStart w:id="1146" w:name="_Toc10704"/>
      <w:bookmarkStart w:id="1147" w:name="_Toc9734"/>
      <w:bookmarkStart w:id="1148" w:name="_Toc6138"/>
      <w:bookmarkStart w:id="1149" w:name="_Toc22671"/>
      <w:bookmarkStart w:id="1150" w:name="_Toc982"/>
      <w:bookmarkStart w:id="1151" w:name="_Toc30894"/>
      <w:bookmarkStart w:id="1152" w:name="_Toc515984586"/>
      <w:bookmarkStart w:id="1153" w:name="_Toc14048"/>
      <w:bookmarkStart w:id="1154" w:name="_Toc18756"/>
      <w:bookmarkStart w:id="1155" w:name="_Toc11446"/>
      <w:bookmarkStart w:id="1156" w:name="_Toc6514"/>
      <w:bookmarkStart w:id="1157" w:name="_Toc31500"/>
      <w:bookmarkStart w:id="1158" w:name="_Toc29397"/>
      <w:bookmarkStart w:id="1159" w:name="_Toc7324"/>
      <w:bookmarkStart w:id="1160" w:name="_Toc429"/>
      <w:r>
        <w:rPr>
          <w:rFonts w:hint="eastAsia" w:ascii="Times New Roman" w:hAnsi="Times New Roman" w:cs="黑体"/>
        </w:rPr>
        <w:t>十、作为推荐性标准或者强制性标准的建议及其理由</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32D97F9A">
      <w:pPr>
        <w:ind w:firstLine="480"/>
      </w:pPr>
      <w:r>
        <w:rPr>
          <w:rFonts w:hint="eastAsia" w:cs="宋体"/>
        </w:rPr>
        <w:t>近年来，全国液氨贮存使用单位泄漏事故多发，但有关氨泄漏突发事故的标准规范等仍属空白。本标准为推荐性标准，</w:t>
      </w:r>
      <w:r>
        <w:rPr>
          <w:rFonts w:hint="eastAsia" w:cs="宋体"/>
          <w:color w:val="000000"/>
        </w:rPr>
        <w:t>适用于液氨使用与储存单位环境风险评估、环境安全隐患排查与整治、突发环境事件应急预案制定以及突发环境事件应急处置</w:t>
      </w:r>
      <w:r>
        <w:rPr>
          <w:rFonts w:hint="eastAsia" w:cs="宋体"/>
        </w:rPr>
        <w:t>，为规范液氨贮存使用单位环境风险防控提供了技术指导，对于降低企业的环境风险，提高环境应急处置能力具有重要的作用。</w:t>
      </w:r>
    </w:p>
    <w:p w14:paraId="6A82DF06">
      <w:pPr>
        <w:pStyle w:val="60"/>
        <w:spacing w:before="312" w:after="312"/>
        <w:rPr>
          <w:rFonts w:ascii="Times New Roman" w:hAnsi="Times New Roman" w:cs="Times New Roman"/>
        </w:rPr>
      </w:pPr>
      <w:bookmarkStart w:id="1161" w:name="_Toc453681337"/>
      <w:bookmarkStart w:id="1162" w:name="_Toc27868"/>
      <w:bookmarkStart w:id="1163" w:name="_Toc467"/>
      <w:bookmarkStart w:id="1164" w:name="_Toc2790"/>
      <w:bookmarkStart w:id="1165" w:name="_Toc19244"/>
      <w:bookmarkStart w:id="1166" w:name="_Toc27182"/>
      <w:bookmarkStart w:id="1167" w:name="_Toc29648"/>
      <w:bookmarkStart w:id="1168" w:name="_Toc14652"/>
      <w:bookmarkStart w:id="1169" w:name="_Toc18539"/>
      <w:bookmarkStart w:id="1170" w:name="_Toc25251"/>
      <w:bookmarkStart w:id="1171" w:name="_Toc13753259"/>
      <w:bookmarkStart w:id="1172" w:name="_Toc17417"/>
      <w:bookmarkStart w:id="1173" w:name="_Toc22922"/>
      <w:bookmarkStart w:id="1174" w:name="_Toc515984587"/>
      <w:bookmarkStart w:id="1175" w:name="_Toc8756"/>
      <w:bookmarkStart w:id="1176" w:name="_Toc4155"/>
      <w:bookmarkStart w:id="1177" w:name="_Toc30589"/>
      <w:bookmarkStart w:id="1178" w:name="_Toc20946"/>
      <w:bookmarkStart w:id="1179" w:name="_Toc6416"/>
      <w:bookmarkStart w:id="1180" w:name="_Toc23389"/>
      <w:bookmarkStart w:id="1181" w:name="_Toc17575"/>
      <w:bookmarkStart w:id="1182" w:name="_Toc5977"/>
      <w:bookmarkStart w:id="1183" w:name="_Toc19436"/>
      <w:bookmarkStart w:id="1184" w:name="_Toc7865"/>
      <w:bookmarkStart w:id="1185" w:name="_Toc15987"/>
      <w:r>
        <w:rPr>
          <w:rFonts w:hint="eastAsia" w:ascii="Times New Roman" w:hAnsi="Times New Roman" w:cs="黑体"/>
        </w:rPr>
        <w:t>十一、强制性标准实施的风险点、风险程度、风险防控措施和预案</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16E2ACD7">
      <w:pPr>
        <w:ind w:firstLine="480"/>
      </w:pPr>
      <w:r>
        <w:rPr>
          <w:rFonts w:hint="eastAsia" w:cs="宋体"/>
        </w:rPr>
        <w:t>本标准为推荐性标准。</w:t>
      </w:r>
    </w:p>
    <w:p w14:paraId="08FC4BEF">
      <w:pPr>
        <w:pStyle w:val="60"/>
        <w:spacing w:before="312" w:after="312"/>
        <w:rPr>
          <w:rFonts w:ascii="Times New Roman" w:hAnsi="Times New Roman" w:cs="Times New Roman"/>
        </w:rPr>
      </w:pPr>
      <w:bookmarkStart w:id="1186" w:name="_Toc13753260"/>
      <w:bookmarkStart w:id="1187" w:name="_Toc4397"/>
      <w:bookmarkStart w:id="1188" w:name="_Toc3670"/>
      <w:bookmarkStart w:id="1189" w:name="_Toc24035"/>
      <w:bookmarkStart w:id="1190" w:name="_Toc19511"/>
      <w:bookmarkStart w:id="1191" w:name="_Toc28929"/>
      <w:bookmarkStart w:id="1192" w:name="_Toc993"/>
      <w:bookmarkStart w:id="1193" w:name="_Toc26103"/>
      <w:bookmarkStart w:id="1194" w:name="_Toc22591"/>
      <w:bookmarkStart w:id="1195" w:name="_Toc17044"/>
      <w:bookmarkStart w:id="1196" w:name="_Toc23123"/>
      <w:bookmarkStart w:id="1197" w:name="_Toc11657"/>
      <w:bookmarkStart w:id="1198" w:name="_Toc10041"/>
      <w:bookmarkStart w:id="1199" w:name="_Toc19342"/>
      <w:bookmarkStart w:id="1200" w:name="_Toc905"/>
      <w:bookmarkStart w:id="1201" w:name="_Toc19561"/>
      <w:bookmarkStart w:id="1202" w:name="_Toc15488"/>
      <w:bookmarkStart w:id="1203" w:name="_Toc19180"/>
      <w:bookmarkStart w:id="1204" w:name="_Toc7583"/>
      <w:bookmarkStart w:id="1205" w:name="_Toc453681338"/>
      <w:bookmarkStart w:id="1206" w:name="_Toc7820"/>
      <w:bookmarkStart w:id="1207" w:name="_Toc4699"/>
      <w:bookmarkStart w:id="1208" w:name="_Toc5792"/>
      <w:bookmarkStart w:id="1209" w:name="_Toc515984588"/>
      <w:bookmarkStart w:id="1210" w:name="_Toc16866"/>
      <w:r>
        <w:rPr>
          <w:rFonts w:hint="eastAsia" w:ascii="Times New Roman" w:hAnsi="Times New Roman" w:cs="黑体"/>
        </w:rPr>
        <w:t>十二、实施标准的措施</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2DAAA0DE">
      <w:pPr>
        <w:tabs>
          <w:tab w:val="left" w:pos="600"/>
        </w:tabs>
        <w:ind w:firstLine="0" w:firstLineChars="0"/>
      </w:pPr>
      <w:r>
        <w:rPr>
          <w:rFonts w:eastAsia="仿宋_GB2312"/>
        </w:rPr>
        <w:tab/>
      </w:r>
      <w:r>
        <w:rPr>
          <w:rFonts w:hint="eastAsia" w:cs="宋体"/>
        </w:rPr>
        <w:t>本标准依据当前突发环境风险控制及应急处置相关法律法规，结合液氨使用与存储安全、环境保护技术发展水平和相关规范情况来进行制定，部分液氨贮存和使用单位在环境风险防控、监测、应急处置技术规范及环境安全隐患排查与整治、风险防控设施等方面离技术规范要求还有一定的差距，通过逐项对比和技术改造等工作，加强环境风险控制和应急处置能力水平。</w:t>
      </w:r>
    </w:p>
    <w:p w14:paraId="764D0508">
      <w:pPr>
        <w:tabs>
          <w:tab w:val="left" w:pos="600"/>
        </w:tabs>
        <w:ind w:firstLine="480"/>
      </w:pPr>
      <w:r>
        <w:rPr>
          <w:rFonts w:hint="eastAsia" w:cs="宋体"/>
        </w:rPr>
        <w:t>对于现有的风险单元，建议结合其工艺技术现状、安全和环保控制措施、环境风险节点情况，重点对环境风险防控设施和维护情况、突发环境事件隐患进行排查，发现存在的环境风险防控和应对的薄弱环节和问题，提出解决方案并实施。</w:t>
      </w:r>
    </w:p>
    <w:p w14:paraId="253628D5">
      <w:pPr>
        <w:tabs>
          <w:tab w:val="left" w:pos="600"/>
        </w:tabs>
        <w:ind w:firstLine="480"/>
      </w:pPr>
      <w:r>
        <w:rPr>
          <w:rFonts w:hint="eastAsia" w:cs="宋体"/>
        </w:rPr>
        <w:t>标准发布后，将制订标准宣贯方案，由生态环境主管部门联合应急管理部门，通过培训、咨询会等多种形式进行标准的宣传和贯彻，介绍标准出台的背景、依据和重要性，重点对标准的主要内容、关键点和注意事项进行讲解和分析。</w:t>
      </w:r>
    </w:p>
    <w:p w14:paraId="7D522DF7">
      <w:pPr>
        <w:tabs>
          <w:tab w:val="left" w:pos="600"/>
        </w:tabs>
        <w:ind w:firstLine="960" w:firstLineChars="400"/>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8CCC">
    <w:pPr>
      <w:pStyle w:val="12"/>
      <w:ind w:right="360" w:firstLine="360"/>
      <w:jc w:val="center"/>
    </w:pPr>
  </w:p>
  <w:p w14:paraId="280743E4">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77EF">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4E90">
    <w:pPr>
      <w:pStyle w:val="12"/>
      <w:ind w:firstLine="360"/>
      <w:jc w:val="center"/>
    </w:pPr>
    <w:r>
      <w:pict>
        <v:shape id="_x0000_s2049" o:spid="_x0000_s2049"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14:paraId="42439BDF">
                <w:pPr>
                  <w:pStyle w:val="12"/>
                  <w:ind w:firstLine="360"/>
                </w:pPr>
                <w:r>
                  <w:fldChar w:fldCharType="begin"/>
                </w:r>
                <w:r>
                  <w:instrText xml:space="preserve"> PAGE  \* MERGEFORMAT </w:instrText>
                </w:r>
                <w:r>
                  <w:fldChar w:fldCharType="separate"/>
                </w:r>
                <w:r>
                  <w:t>II</w:t>
                </w:r>
                <w:r>
                  <w:fldChar w:fldCharType="end"/>
                </w:r>
              </w:p>
            </w:txbxContent>
          </v:textbox>
        </v:shape>
      </w:pict>
    </w:r>
    <w:r>
      <w:pict>
        <v:shape id="文本框 3" o:spid="_x0000_s2050"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14:paraId="131E4993">
                <w:pPr>
                  <w:pStyle w:val="12"/>
                  <w:ind w:firstLine="360"/>
                  <w:jc w:val="center"/>
                </w:pPr>
              </w:p>
              <w:p w14:paraId="6B408612">
                <w:pPr>
                  <w:ind w:firstLine="480"/>
                </w:pPr>
              </w:p>
            </w:txbxContent>
          </v:textbox>
        </v:shape>
      </w:pict>
    </w:r>
  </w:p>
  <w:p w14:paraId="6483182F">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3A5D0">
    <w:pPr>
      <w:pStyle w:val="12"/>
      <w:ind w:firstLine="360"/>
      <w:jc w:val="center"/>
    </w:pPr>
    <w: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14:paraId="76DD445E">
                <w:pPr>
                  <w:pStyle w:val="12"/>
                  <w:ind w:firstLine="360"/>
                  <w:jc w:val="center"/>
                </w:pPr>
                <w:r>
                  <w:fldChar w:fldCharType="begin"/>
                </w:r>
                <w:r>
                  <w:instrText xml:space="preserve"> PAGE   \* MERGEFORMAT </w:instrText>
                </w:r>
                <w:r>
                  <w:fldChar w:fldCharType="separate"/>
                </w:r>
                <w:r>
                  <w:rPr>
                    <w:lang w:val="zh-CN"/>
                  </w:rPr>
                  <w:t>38</w:t>
                </w:r>
                <w:r>
                  <w:rPr>
                    <w:lang w:val="zh-CN"/>
                  </w:rPr>
                  <w:fldChar w:fldCharType="end"/>
                </w:r>
              </w:p>
            </w:txbxContent>
          </v:textbox>
          <w10:anchorlock/>
        </v:shape>
      </w:pict>
    </w:r>
  </w:p>
  <w:p w14:paraId="54980AA3">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1AFCE">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E0D64">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D23C2E"/>
    <w:multiLevelType w:val="singleLevel"/>
    <w:tmpl w:val="B0D23C2E"/>
    <w:lvl w:ilvl="0" w:tentative="0">
      <w:start w:val="1"/>
      <w:numFmt w:val="decimal"/>
      <w:suff w:val="nothing"/>
      <w:lvlText w:val="（%1）"/>
      <w:lvlJc w:val="left"/>
    </w:lvl>
  </w:abstractNum>
  <w:abstractNum w:abstractNumId="1">
    <w:nsid w:val="B8E18C7A"/>
    <w:multiLevelType w:val="singleLevel"/>
    <w:tmpl w:val="B8E18C7A"/>
    <w:lvl w:ilvl="0" w:tentative="0">
      <w:start w:val="1"/>
      <w:numFmt w:val="decimal"/>
      <w:suff w:val="space"/>
      <w:lvlText w:val="（%1）"/>
      <w:lvlJc w:val="left"/>
    </w:lvl>
  </w:abstractNum>
  <w:abstractNum w:abstractNumId="2">
    <w:nsid w:val="FFE17269"/>
    <w:multiLevelType w:val="singleLevel"/>
    <w:tmpl w:val="FFE17269"/>
    <w:lvl w:ilvl="0" w:tentative="0">
      <w:start w:val="4"/>
      <w:numFmt w:val="decimal"/>
      <w:suff w:val="nothing"/>
      <w:lvlText w:val="（%1）"/>
      <w:lvlJc w:val="left"/>
    </w:lvl>
  </w:abstractNum>
  <w:abstractNum w:abstractNumId="3">
    <w:nsid w:val="0DDE2B46"/>
    <w:multiLevelType w:val="multilevel"/>
    <w:tmpl w:val="0DDE2B46"/>
    <w:lvl w:ilvl="0" w:tentative="0">
      <w:start w:val="1"/>
      <w:numFmt w:val="lowerLetter"/>
      <w:pStyle w:val="81"/>
      <w:suff w:val="nothing"/>
      <w:lvlText w:val="%1   "/>
      <w:lvlJc w:val="left"/>
      <w:pPr>
        <w:ind w:left="544" w:hanging="181"/>
      </w:pPr>
      <w:rPr>
        <w:rFonts w:hint="eastAsia" w:ascii="宋体" w:hAnsi="宋体" w:eastAsia="宋体"/>
        <w:b w:val="0"/>
        <w:bCs w:val="0"/>
        <w:i w:val="0"/>
        <w:iCs w:val="0"/>
        <w:sz w:val="18"/>
        <w:szCs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0537CAA"/>
    <w:multiLevelType w:val="multilevel"/>
    <w:tmpl w:val="10537CAA"/>
    <w:lvl w:ilvl="0" w:tentative="0">
      <w:start w:val="1"/>
      <w:numFmt w:val="decimal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1FC91163"/>
    <w:multiLevelType w:val="multilevel"/>
    <w:tmpl w:val="1FC91163"/>
    <w:lvl w:ilvl="0" w:tentative="0">
      <w:start w:val="1"/>
      <w:numFmt w:val="decimal"/>
      <w:suff w:val="nothing"/>
      <w:lvlText w:val="%1　"/>
      <w:lvlJc w:val="left"/>
      <w:pPr>
        <w:ind w:left="1560"/>
      </w:pPr>
      <w:rPr>
        <w:rFonts w:hint="eastAsia" w:ascii="黑体" w:hAnsi="Times New Roman" w:eastAsia="黑体"/>
        <w:b w:val="0"/>
        <w:bCs w:val="0"/>
        <w:i w:val="0"/>
        <w:iCs w:val="0"/>
        <w:sz w:val="21"/>
        <w:szCs w:val="21"/>
      </w:rPr>
    </w:lvl>
    <w:lvl w:ilvl="1" w:tentative="0">
      <w:start w:val="1"/>
      <w:numFmt w:val="decimal"/>
      <w:pStyle w:val="58"/>
      <w:suff w:val="nothing"/>
      <w:lvlText w:val="%1.%2　"/>
      <w:lvlJc w:val="left"/>
      <w:pPr>
        <w:ind w:left="851"/>
      </w:pPr>
      <w:rPr>
        <w:rFonts w:hint="eastAsia" w:ascii="黑体" w:hAnsi="Times New Roman" w:eastAsia="黑体"/>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76"/>
      <w:suff w:val="nothing"/>
      <w:lvlText w:val="%1.%2.%3　"/>
      <w:lvlJc w:val="left"/>
      <w:pPr>
        <w:ind w:left="2127"/>
      </w:pPr>
      <w:rPr>
        <w:rFonts w:hint="eastAsia" w:ascii="黑体" w:hAnsi="Times New Roman" w:eastAsia="黑体"/>
        <w:b w:val="0"/>
        <w:bCs w:val="0"/>
        <w:i w:val="0"/>
        <w:iCs w:val="0"/>
        <w:sz w:val="24"/>
        <w:szCs w:val="24"/>
      </w:rPr>
    </w:lvl>
    <w:lvl w:ilvl="3" w:tentative="0">
      <w:start w:val="1"/>
      <w:numFmt w:val="decimal"/>
      <w:suff w:val="nothing"/>
      <w:lvlText w:val="%1.%2.%3.%4　"/>
      <w:lvlJc w:val="left"/>
      <w:rPr>
        <w:rFonts w:hint="eastAsia" w:ascii="黑体" w:hAnsi="Times New Roman" w:eastAsia="黑体"/>
        <w:b w:val="0"/>
        <w:bCs w:val="0"/>
        <w:i w:val="0"/>
        <w:iCs w:val="0"/>
        <w:sz w:val="24"/>
        <w:szCs w:val="24"/>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C5917C3"/>
    <w:multiLevelType w:val="multilevel"/>
    <w:tmpl w:val="2C5917C3"/>
    <w:lvl w:ilvl="0" w:tentative="0">
      <w:start w:val="1"/>
      <w:numFmt w:val="none"/>
      <w:pStyle w:val="93"/>
      <w:suff w:val="nothing"/>
      <w:lvlText w:val="%1——"/>
      <w:lvlJc w:val="left"/>
      <w:pPr>
        <w:ind w:left="834" w:hanging="408"/>
      </w:pPr>
    </w:lvl>
    <w:lvl w:ilvl="1" w:tentative="0">
      <w:start w:val="1"/>
      <w:numFmt w:val="bullet"/>
      <w:pStyle w:val="75"/>
      <w:lvlText w:val=""/>
      <w:lvlJc w:val="left"/>
      <w:pPr>
        <w:tabs>
          <w:tab w:val="left" w:pos="760"/>
        </w:tabs>
        <w:ind w:left="1264" w:hanging="413"/>
      </w:pPr>
      <w:rPr>
        <w:rFonts w:hint="default" w:ascii="Symbol" w:hAnsi="Symbol"/>
        <w:color w:val="auto"/>
      </w:rPr>
    </w:lvl>
    <w:lvl w:ilvl="2" w:tentative="0">
      <w:start w:val="1"/>
      <w:numFmt w:val="bullet"/>
      <w:pStyle w:val="74"/>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4C5E6B75"/>
    <w:multiLevelType w:val="multilevel"/>
    <w:tmpl w:val="4C5E6B75"/>
    <w:lvl w:ilvl="0" w:tentative="0">
      <w:start w:val="1"/>
      <w:numFmt w:val="decimal"/>
      <w:pStyle w:val="39"/>
      <w:lvlText w:val="%1."/>
      <w:lvlJc w:val="left"/>
      <w:pPr>
        <w:ind w:left="1860" w:hanging="420"/>
      </w:pPr>
      <w:rPr>
        <w:rFonts w:hint="eastAsia"/>
      </w:rPr>
    </w:lvl>
    <w:lvl w:ilvl="1" w:tentative="0">
      <w:start w:val="1"/>
      <w:numFmt w:val="lowerLetter"/>
      <w:lvlText w:val="%2)"/>
      <w:lvlJc w:val="left"/>
      <w:pPr>
        <w:ind w:left="2280" w:hanging="420"/>
      </w:pPr>
    </w:lvl>
    <w:lvl w:ilvl="2" w:tentative="0">
      <w:start w:val="1"/>
      <w:numFmt w:val="lowerRoman"/>
      <w:lvlText w:val="%3."/>
      <w:lvlJc w:val="right"/>
      <w:pPr>
        <w:ind w:left="2700" w:hanging="420"/>
      </w:pPr>
    </w:lvl>
    <w:lvl w:ilvl="3" w:tentative="0">
      <w:start w:val="1"/>
      <w:numFmt w:val="decimal"/>
      <w:lvlText w:val="%4."/>
      <w:lvlJc w:val="left"/>
      <w:pPr>
        <w:ind w:left="3120" w:hanging="420"/>
      </w:pPr>
    </w:lvl>
    <w:lvl w:ilvl="4" w:tentative="0">
      <w:start w:val="1"/>
      <w:numFmt w:val="lowerLetter"/>
      <w:lvlText w:val="%5)"/>
      <w:lvlJc w:val="left"/>
      <w:pPr>
        <w:ind w:left="3540" w:hanging="420"/>
      </w:pPr>
    </w:lvl>
    <w:lvl w:ilvl="5" w:tentative="0">
      <w:start w:val="1"/>
      <w:numFmt w:val="lowerRoman"/>
      <w:lvlText w:val="%6."/>
      <w:lvlJc w:val="right"/>
      <w:pPr>
        <w:ind w:left="3960" w:hanging="420"/>
      </w:pPr>
    </w:lvl>
    <w:lvl w:ilvl="6" w:tentative="0">
      <w:start w:val="1"/>
      <w:numFmt w:val="decimal"/>
      <w:lvlText w:val="%7."/>
      <w:lvlJc w:val="left"/>
      <w:pPr>
        <w:ind w:left="4380" w:hanging="420"/>
      </w:pPr>
    </w:lvl>
    <w:lvl w:ilvl="7" w:tentative="0">
      <w:start w:val="1"/>
      <w:numFmt w:val="lowerLetter"/>
      <w:lvlText w:val="%8)"/>
      <w:lvlJc w:val="left"/>
      <w:pPr>
        <w:ind w:left="4800" w:hanging="420"/>
      </w:pPr>
    </w:lvl>
    <w:lvl w:ilvl="8" w:tentative="0">
      <w:start w:val="1"/>
      <w:numFmt w:val="lowerRoman"/>
      <w:lvlText w:val="%9."/>
      <w:lvlJc w:val="right"/>
      <w:pPr>
        <w:ind w:left="5220" w:hanging="420"/>
      </w:pPr>
    </w:lvl>
  </w:abstractNum>
  <w:abstractNum w:abstractNumId="8">
    <w:nsid w:val="646260FA"/>
    <w:multiLevelType w:val="multilevel"/>
    <w:tmpl w:val="646260FA"/>
    <w:lvl w:ilvl="0" w:tentative="0">
      <w:start w:val="1"/>
      <w:numFmt w:val="decimal"/>
      <w:pStyle w:val="84"/>
      <w:suff w:val="nothing"/>
      <w:lvlText w:val="表%1　"/>
      <w:lvlJc w:val="left"/>
      <w:rPr>
        <w:rFonts w:hint="eastAsia" w:ascii="黑体" w:hAnsi="Times New Roman" w:eastAsia="黑体"/>
        <w:b w:val="0"/>
        <w:bCs w:val="0"/>
        <w:i w:val="0"/>
        <w:iCs w:val="0"/>
        <w:sz w:val="21"/>
        <w:szCs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7"/>
  </w:num>
  <w:num w:numId="2">
    <w:abstractNumId w:val="5"/>
  </w:num>
  <w:num w:numId="3">
    <w:abstractNumId w:val="6"/>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9FD"/>
    <w:rsid w:val="000012A3"/>
    <w:rsid w:val="00003003"/>
    <w:rsid w:val="0001127E"/>
    <w:rsid w:val="00013A60"/>
    <w:rsid w:val="00013E4D"/>
    <w:rsid w:val="00033572"/>
    <w:rsid w:val="0003572C"/>
    <w:rsid w:val="00035CEC"/>
    <w:rsid w:val="000427FD"/>
    <w:rsid w:val="0005162B"/>
    <w:rsid w:val="000541AA"/>
    <w:rsid w:val="00054285"/>
    <w:rsid w:val="000752D0"/>
    <w:rsid w:val="00080248"/>
    <w:rsid w:val="00090008"/>
    <w:rsid w:val="000911DD"/>
    <w:rsid w:val="0009177B"/>
    <w:rsid w:val="000947CB"/>
    <w:rsid w:val="000B47E1"/>
    <w:rsid w:val="000B54AA"/>
    <w:rsid w:val="000C0274"/>
    <w:rsid w:val="000C13C7"/>
    <w:rsid w:val="000C25DA"/>
    <w:rsid w:val="000C29D3"/>
    <w:rsid w:val="000C5ECC"/>
    <w:rsid w:val="000D08FB"/>
    <w:rsid w:val="000D7683"/>
    <w:rsid w:val="000D7FA2"/>
    <w:rsid w:val="000E00ED"/>
    <w:rsid w:val="000E2C3C"/>
    <w:rsid w:val="000F60DF"/>
    <w:rsid w:val="001066F1"/>
    <w:rsid w:val="001077AD"/>
    <w:rsid w:val="00111DDA"/>
    <w:rsid w:val="00112CFC"/>
    <w:rsid w:val="00123DE5"/>
    <w:rsid w:val="00136E71"/>
    <w:rsid w:val="0014287A"/>
    <w:rsid w:val="00142B25"/>
    <w:rsid w:val="001461B2"/>
    <w:rsid w:val="0015034E"/>
    <w:rsid w:val="001539C0"/>
    <w:rsid w:val="00170265"/>
    <w:rsid w:val="00170C29"/>
    <w:rsid w:val="00175764"/>
    <w:rsid w:val="00191D03"/>
    <w:rsid w:val="00193D63"/>
    <w:rsid w:val="001A0CA5"/>
    <w:rsid w:val="001A31E3"/>
    <w:rsid w:val="001B21B6"/>
    <w:rsid w:val="001B23F6"/>
    <w:rsid w:val="001B7024"/>
    <w:rsid w:val="001C1D2C"/>
    <w:rsid w:val="001C3D28"/>
    <w:rsid w:val="001C5D5F"/>
    <w:rsid w:val="001D079B"/>
    <w:rsid w:val="001D2944"/>
    <w:rsid w:val="001E37BF"/>
    <w:rsid w:val="001E3E77"/>
    <w:rsid w:val="001E5CE4"/>
    <w:rsid w:val="001F2720"/>
    <w:rsid w:val="001F6347"/>
    <w:rsid w:val="001F6EBF"/>
    <w:rsid w:val="002016B1"/>
    <w:rsid w:val="002021CD"/>
    <w:rsid w:val="00207057"/>
    <w:rsid w:val="002070B9"/>
    <w:rsid w:val="00207D0A"/>
    <w:rsid w:val="002342D5"/>
    <w:rsid w:val="00244D6E"/>
    <w:rsid w:val="00247DCD"/>
    <w:rsid w:val="00251439"/>
    <w:rsid w:val="0025170C"/>
    <w:rsid w:val="00252BBD"/>
    <w:rsid w:val="002551AD"/>
    <w:rsid w:val="00263AEB"/>
    <w:rsid w:val="00264E39"/>
    <w:rsid w:val="0027270D"/>
    <w:rsid w:val="0029241A"/>
    <w:rsid w:val="002958D5"/>
    <w:rsid w:val="00295C89"/>
    <w:rsid w:val="002A6FDE"/>
    <w:rsid w:val="002C06A7"/>
    <w:rsid w:val="002D54F4"/>
    <w:rsid w:val="002D749F"/>
    <w:rsid w:val="002E3E6D"/>
    <w:rsid w:val="002E4F3B"/>
    <w:rsid w:val="002E7CFD"/>
    <w:rsid w:val="002F1FFF"/>
    <w:rsid w:val="002F3F8E"/>
    <w:rsid w:val="002F5A0E"/>
    <w:rsid w:val="003112E0"/>
    <w:rsid w:val="00321242"/>
    <w:rsid w:val="00323DAD"/>
    <w:rsid w:val="00323FA3"/>
    <w:rsid w:val="00331181"/>
    <w:rsid w:val="00336C80"/>
    <w:rsid w:val="003436CA"/>
    <w:rsid w:val="00343FDF"/>
    <w:rsid w:val="003505E1"/>
    <w:rsid w:val="003543D1"/>
    <w:rsid w:val="00361645"/>
    <w:rsid w:val="003647BE"/>
    <w:rsid w:val="00367D55"/>
    <w:rsid w:val="00370924"/>
    <w:rsid w:val="00374AEE"/>
    <w:rsid w:val="003813C6"/>
    <w:rsid w:val="00386130"/>
    <w:rsid w:val="0039294E"/>
    <w:rsid w:val="003951B3"/>
    <w:rsid w:val="00397ED0"/>
    <w:rsid w:val="003A5936"/>
    <w:rsid w:val="003B43D5"/>
    <w:rsid w:val="003C2709"/>
    <w:rsid w:val="003E06FA"/>
    <w:rsid w:val="003E605F"/>
    <w:rsid w:val="003F047D"/>
    <w:rsid w:val="003F39D6"/>
    <w:rsid w:val="003F4A4D"/>
    <w:rsid w:val="00410CE4"/>
    <w:rsid w:val="00425762"/>
    <w:rsid w:val="004348CE"/>
    <w:rsid w:val="004427C6"/>
    <w:rsid w:val="00456B19"/>
    <w:rsid w:val="004608F8"/>
    <w:rsid w:val="00463FB7"/>
    <w:rsid w:val="00464DB6"/>
    <w:rsid w:val="00467C3C"/>
    <w:rsid w:val="004719FD"/>
    <w:rsid w:val="00471A0B"/>
    <w:rsid w:val="004724E0"/>
    <w:rsid w:val="00474B11"/>
    <w:rsid w:val="00480783"/>
    <w:rsid w:val="00481D1B"/>
    <w:rsid w:val="004840F7"/>
    <w:rsid w:val="004A4541"/>
    <w:rsid w:val="004C60C5"/>
    <w:rsid w:val="004D1844"/>
    <w:rsid w:val="004D1FD8"/>
    <w:rsid w:val="004E2988"/>
    <w:rsid w:val="004E50DC"/>
    <w:rsid w:val="004E5AF5"/>
    <w:rsid w:val="004F40FE"/>
    <w:rsid w:val="004F5135"/>
    <w:rsid w:val="00515D38"/>
    <w:rsid w:val="00521337"/>
    <w:rsid w:val="00547FF8"/>
    <w:rsid w:val="00570B86"/>
    <w:rsid w:val="00577E46"/>
    <w:rsid w:val="005A377B"/>
    <w:rsid w:val="005B088E"/>
    <w:rsid w:val="005C4990"/>
    <w:rsid w:val="005C7B43"/>
    <w:rsid w:val="005D0F78"/>
    <w:rsid w:val="005D4AE0"/>
    <w:rsid w:val="005E031D"/>
    <w:rsid w:val="005E3778"/>
    <w:rsid w:val="005E7B34"/>
    <w:rsid w:val="005F2951"/>
    <w:rsid w:val="00601345"/>
    <w:rsid w:val="006162E8"/>
    <w:rsid w:val="00617918"/>
    <w:rsid w:val="00622480"/>
    <w:rsid w:val="00623082"/>
    <w:rsid w:val="00636A4A"/>
    <w:rsid w:val="00636C27"/>
    <w:rsid w:val="00645653"/>
    <w:rsid w:val="00661A90"/>
    <w:rsid w:val="006679E6"/>
    <w:rsid w:val="00675150"/>
    <w:rsid w:val="0068380B"/>
    <w:rsid w:val="00685320"/>
    <w:rsid w:val="00685D37"/>
    <w:rsid w:val="00691A39"/>
    <w:rsid w:val="006E75C3"/>
    <w:rsid w:val="00702F78"/>
    <w:rsid w:val="007238CF"/>
    <w:rsid w:val="007355D9"/>
    <w:rsid w:val="007540A3"/>
    <w:rsid w:val="0075452C"/>
    <w:rsid w:val="0075580A"/>
    <w:rsid w:val="00760F45"/>
    <w:rsid w:val="00765472"/>
    <w:rsid w:val="00765927"/>
    <w:rsid w:val="00775105"/>
    <w:rsid w:val="0078387F"/>
    <w:rsid w:val="007922E7"/>
    <w:rsid w:val="00796E2E"/>
    <w:rsid w:val="007A022B"/>
    <w:rsid w:val="007C1FE0"/>
    <w:rsid w:val="007C30D9"/>
    <w:rsid w:val="007E0E14"/>
    <w:rsid w:val="007E170E"/>
    <w:rsid w:val="007E533B"/>
    <w:rsid w:val="008133C2"/>
    <w:rsid w:val="0081545E"/>
    <w:rsid w:val="00815F6F"/>
    <w:rsid w:val="00820CED"/>
    <w:rsid w:val="00822B8D"/>
    <w:rsid w:val="00825F91"/>
    <w:rsid w:val="008469AC"/>
    <w:rsid w:val="0085272E"/>
    <w:rsid w:val="008662DB"/>
    <w:rsid w:val="00874107"/>
    <w:rsid w:val="00885906"/>
    <w:rsid w:val="00895B00"/>
    <w:rsid w:val="008C009E"/>
    <w:rsid w:val="008C30FF"/>
    <w:rsid w:val="008C4E08"/>
    <w:rsid w:val="008D5658"/>
    <w:rsid w:val="008E6B3E"/>
    <w:rsid w:val="008E709C"/>
    <w:rsid w:val="008F324C"/>
    <w:rsid w:val="00900AFE"/>
    <w:rsid w:val="00914049"/>
    <w:rsid w:val="00915AC8"/>
    <w:rsid w:val="00916F3F"/>
    <w:rsid w:val="009215F8"/>
    <w:rsid w:val="009337B3"/>
    <w:rsid w:val="009344B3"/>
    <w:rsid w:val="00936C63"/>
    <w:rsid w:val="00937930"/>
    <w:rsid w:val="0094624F"/>
    <w:rsid w:val="00946DE5"/>
    <w:rsid w:val="009832C8"/>
    <w:rsid w:val="00984ABD"/>
    <w:rsid w:val="0099478C"/>
    <w:rsid w:val="00994CA3"/>
    <w:rsid w:val="009A1366"/>
    <w:rsid w:val="009A254B"/>
    <w:rsid w:val="009A4882"/>
    <w:rsid w:val="009B3C77"/>
    <w:rsid w:val="009C03C0"/>
    <w:rsid w:val="009C1762"/>
    <w:rsid w:val="009D7028"/>
    <w:rsid w:val="009F314B"/>
    <w:rsid w:val="009F3537"/>
    <w:rsid w:val="00A1090C"/>
    <w:rsid w:val="00A10B82"/>
    <w:rsid w:val="00A11E11"/>
    <w:rsid w:val="00A130BB"/>
    <w:rsid w:val="00A306AB"/>
    <w:rsid w:val="00A3421E"/>
    <w:rsid w:val="00A36D71"/>
    <w:rsid w:val="00A36D87"/>
    <w:rsid w:val="00A62F77"/>
    <w:rsid w:val="00A73A7B"/>
    <w:rsid w:val="00A77FF1"/>
    <w:rsid w:val="00A81C01"/>
    <w:rsid w:val="00A82E62"/>
    <w:rsid w:val="00A9723B"/>
    <w:rsid w:val="00AA3BA8"/>
    <w:rsid w:val="00AA47E6"/>
    <w:rsid w:val="00AB0515"/>
    <w:rsid w:val="00AB487E"/>
    <w:rsid w:val="00AB5FE1"/>
    <w:rsid w:val="00AD4654"/>
    <w:rsid w:val="00AF0344"/>
    <w:rsid w:val="00AF1A66"/>
    <w:rsid w:val="00B030E0"/>
    <w:rsid w:val="00B12407"/>
    <w:rsid w:val="00B14C55"/>
    <w:rsid w:val="00B2015D"/>
    <w:rsid w:val="00B31D91"/>
    <w:rsid w:val="00B338E5"/>
    <w:rsid w:val="00B34330"/>
    <w:rsid w:val="00B3565E"/>
    <w:rsid w:val="00B379F8"/>
    <w:rsid w:val="00B469AB"/>
    <w:rsid w:val="00B5120C"/>
    <w:rsid w:val="00B5534A"/>
    <w:rsid w:val="00B57773"/>
    <w:rsid w:val="00B63370"/>
    <w:rsid w:val="00B82C65"/>
    <w:rsid w:val="00BB2C5C"/>
    <w:rsid w:val="00BB5DE9"/>
    <w:rsid w:val="00BC45E1"/>
    <w:rsid w:val="00BD07DB"/>
    <w:rsid w:val="00BE028A"/>
    <w:rsid w:val="00BF60F5"/>
    <w:rsid w:val="00C13108"/>
    <w:rsid w:val="00C138D1"/>
    <w:rsid w:val="00C20901"/>
    <w:rsid w:val="00C22EDC"/>
    <w:rsid w:val="00C23024"/>
    <w:rsid w:val="00C444E1"/>
    <w:rsid w:val="00C62042"/>
    <w:rsid w:val="00C956D8"/>
    <w:rsid w:val="00C96326"/>
    <w:rsid w:val="00CA1573"/>
    <w:rsid w:val="00CA2679"/>
    <w:rsid w:val="00CB0911"/>
    <w:rsid w:val="00CB14C4"/>
    <w:rsid w:val="00CC11E8"/>
    <w:rsid w:val="00CE336F"/>
    <w:rsid w:val="00CF7976"/>
    <w:rsid w:val="00D02E39"/>
    <w:rsid w:val="00D12EEA"/>
    <w:rsid w:val="00D21EC7"/>
    <w:rsid w:val="00D2748A"/>
    <w:rsid w:val="00D31F49"/>
    <w:rsid w:val="00D3435B"/>
    <w:rsid w:val="00D36C7C"/>
    <w:rsid w:val="00D51083"/>
    <w:rsid w:val="00D56C10"/>
    <w:rsid w:val="00D6152C"/>
    <w:rsid w:val="00D6224C"/>
    <w:rsid w:val="00D67D35"/>
    <w:rsid w:val="00D70151"/>
    <w:rsid w:val="00D848A4"/>
    <w:rsid w:val="00D96CD8"/>
    <w:rsid w:val="00DA2B84"/>
    <w:rsid w:val="00DA5FD7"/>
    <w:rsid w:val="00DB1394"/>
    <w:rsid w:val="00DB3ED3"/>
    <w:rsid w:val="00DC282F"/>
    <w:rsid w:val="00DD1C60"/>
    <w:rsid w:val="00DD5944"/>
    <w:rsid w:val="00DD7892"/>
    <w:rsid w:val="00DE1B26"/>
    <w:rsid w:val="00DE662E"/>
    <w:rsid w:val="00DF7AC3"/>
    <w:rsid w:val="00E00005"/>
    <w:rsid w:val="00E05DE7"/>
    <w:rsid w:val="00E11D08"/>
    <w:rsid w:val="00E13862"/>
    <w:rsid w:val="00E15713"/>
    <w:rsid w:val="00E173D8"/>
    <w:rsid w:val="00E37E73"/>
    <w:rsid w:val="00E4276A"/>
    <w:rsid w:val="00E50497"/>
    <w:rsid w:val="00E5259D"/>
    <w:rsid w:val="00E80BA5"/>
    <w:rsid w:val="00E834C3"/>
    <w:rsid w:val="00E96705"/>
    <w:rsid w:val="00EB576A"/>
    <w:rsid w:val="00EC4EF0"/>
    <w:rsid w:val="00ED2691"/>
    <w:rsid w:val="00ED5B90"/>
    <w:rsid w:val="00ED5EA7"/>
    <w:rsid w:val="00EE038A"/>
    <w:rsid w:val="00EF0126"/>
    <w:rsid w:val="00EF5978"/>
    <w:rsid w:val="00EF5B45"/>
    <w:rsid w:val="00F00808"/>
    <w:rsid w:val="00F01845"/>
    <w:rsid w:val="00F05446"/>
    <w:rsid w:val="00F13CBB"/>
    <w:rsid w:val="00F14197"/>
    <w:rsid w:val="00F14813"/>
    <w:rsid w:val="00F16FCB"/>
    <w:rsid w:val="00F30AB3"/>
    <w:rsid w:val="00F3367D"/>
    <w:rsid w:val="00F44DDE"/>
    <w:rsid w:val="00F46934"/>
    <w:rsid w:val="00F46CE7"/>
    <w:rsid w:val="00F502A5"/>
    <w:rsid w:val="00F617D7"/>
    <w:rsid w:val="00F6206D"/>
    <w:rsid w:val="00F700C4"/>
    <w:rsid w:val="00F70291"/>
    <w:rsid w:val="00F707C8"/>
    <w:rsid w:val="00F723D2"/>
    <w:rsid w:val="00F864C8"/>
    <w:rsid w:val="00F92E09"/>
    <w:rsid w:val="00F97F4A"/>
    <w:rsid w:val="00FB0DDC"/>
    <w:rsid w:val="00FB7134"/>
    <w:rsid w:val="00FD1616"/>
    <w:rsid w:val="00FF2648"/>
    <w:rsid w:val="00FF787E"/>
    <w:rsid w:val="01D06593"/>
    <w:rsid w:val="01FF426C"/>
    <w:rsid w:val="033F6D3D"/>
    <w:rsid w:val="03566FC3"/>
    <w:rsid w:val="03AA6F61"/>
    <w:rsid w:val="05DC6759"/>
    <w:rsid w:val="075664C9"/>
    <w:rsid w:val="08380E08"/>
    <w:rsid w:val="09EE3FDB"/>
    <w:rsid w:val="0C0A227A"/>
    <w:rsid w:val="0D1F24E2"/>
    <w:rsid w:val="0F3A3CBC"/>
    <w:rsid w:val="102C6939"/>
    <w:rsid w:val="10413967"/>
    <w:rsid w:val="1179664C"/>
    <w:rsid w:val="13AE2096"/>
    <w:rsid w:val="15726147"/>
    <w:rsid w:val="15854E24"/>
    <w:rsid w:val="163E1515"/>
    <w:rsid w:val="17D25908"/>
    <w:rsid w:val="1AAC2A06"/>
    <w:rsid w:val="1B4807D5"/>
    <w:rsid w:val="1BE211FF"/>
    <w:rsid w:val="1BED031B"/>
    <w:rsid w:val="1ECD0C46"/>
    <w:rsid w:val="1F315553"/>
    <w:rsid w:val="206C594F"/>
    <w:rsid w:val="20941ABB"/>
    <w:rsid w:val="2151063D"/>
    <w:rsid w:val="23162EC4"/>
    <w:rsid w:val="241D5857"/>
    <w:rsid w:val="257D61B9"/>
    <w:rsid w:val="2BCE2D10"/>
    <w:rsid w:val="2BE9481C"/>
    <w:rsid w:val="2BF2101A"/>
    <w:rsid w:val="2D2766A3"/>
    <w:rsid w:val="2D89369E"/>
    <w:rsid w:val="302B0E91"/>
    <w:rsid w:val="31C922D5"/>
    <w:rsid w:val="325C2B5E"/>
    <w:rsid w:val="341A3FC3"/>
    <w:rsid w:val="38385356"/>
    <w:rsid w:val="3ACB5640"/>
    <w:rsid w:val="3B216ABE"/>
    <w:rsid w:val="3CD8643B"/>
    <w:rsid w:val="3CEF665B"/>
    <w:rsid w:val="3FA01562"/>
    <w:rsid w:val="42CA25B8"/>
    <w:rsid w:val="42D61A5F"/>
    <w:rsid w:val="42E7359A"/>
    <w:rsid w:val="45E1095A"/>
    <w:rsid w:val="47B648FB"/>
    <w:rsid w:val="47BD6DAE"/>
    <w:rsid w:val="47CA5106"/>
    <w:rsid w:val="494C51F7"/>
    <w:rsid w:val="498A76FA"/>
    <w:rsid w:val="4C870525"/>
    <w:rsid w:val="4D3679C7"/>
    <w:rsid w:val="4EEC71A3"/>
    <w:rsid w:val="4FD90DB0"/>
    <w:rsid w:val="50262D93"/>
    <w:rsid w:val="50E95A7B"/>
    <w:rsid w:val="53FB3DE6"/>
    <w:rsid w:val="541F38DC"/>
    <w:rsid w:val="542F46A3"/>
    <w:rsid w:val="55024E3D"/>
    <w:rsid w:val="56680079"/>
    <w:rsid w:val="56FB727B"/>
    <w:rsid w:val="587025D0"/>
    <w:rsid w:val="5AA74861"/>
    <w:rsid w:val="5C35275F"/>
    <w:rsid w:val="5D192022"/>
    <w:rsid w:val="5FC34EC6"/>
    <w:rsid w:val="621401B2"/>
    <w:rsid w:val="64913E51"/>
    <w:rsid w:val="67F03D64"/>
    <w:rsid w:val="690E0CF3"/>
    <w:rsid w:val="6C220405"/>
    <w:rsid w:val="6F975B95"/>
    <w:rsid w:val="70D432D0"/>
    <w:rsid w:val="71576BE9"/>
    <w:rsid w:val="715C457F"/>
    <w:rsid w:val="73094987"/>
    <w:rsid w:val="74940EE6"/>
    <w:rsid w:val="75853A5B"/>
    <w:rsid w:val="75FF2FAD"/>
    <w:rsid w:val="76504703"/>
    <w:rsid w:val="7AB76BA9"/>
    <w:rsid w:val="7BF76742"/>
    <w:rsid w:val="7C475E82"/>
    <w:rsid w:val="7D1026FE"/>
    <w:rsid w:val="7DC0233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410"/>
        <o:r id="V:Rule2" type="connector" idref="#AutoShape 397"/>
        <o:r id="V:Rule3" type="connector" idref="#AutoShape 401"/>
        <o:r id="V:Rule4" type="connector" idref="#AutoShape 402"/>
        <o:r id="V:Rule5" type="connector" idref="#AutoShape 406"/>
        <o:r id="V:Rule6" type="connector" idref="#AutoShape 407"/>
        <o:r id="V:Rule7" type="connector" idref="#AutoShape 408"/>
        <o:r id="V:Rule8" type="connector" idref="#_x0000_s1098"/>
        <o:r id="V:Rule9" type="connector" idref="#AutoShape 416"/>
        <o:r id="V:Rule10" type="connector" idref="#AutoShape 4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nhideWhenUsed="0" w:uiPriority="99" w:name="toc 3"/>
    <w:lsdException w:qFormat="1" w:unhideWhenUsed="0" w:uiPriority="99" w:name="toc 4"/>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99"/>
    <w:pPr>
      <w:keepNext/>
      <w:keepLines/>
      <w:widowControl/>
      <w:spacing w:before="120" w:after="120"/>
      <w:outlineLvl w:val="1"/>
    </w:pPr>
    <w:rPr>
      <w:rFonts w:ascii="Arial" w:hAnsi="Arial" w:eastAsia="黑体" w:cs="Arial"/>
      <w:kern w:val="0"/>
      <w:sz w:val="28"/>
      <w:szCs w:val="28"/>
    </w:rPr>
  </w:style>
  <w:style w:type="paragraph" w:styleId="4">
    <w:name w:val="heading 3"/>
    <w:basedOn w:val="1"/>
    <w:next w:val="1"/>
    <w:link w:val="30"/>
    <w:qFormat/>
    <w:uiPriority w:val="99"/>
    <w:pPr>
      <w:keepNext/>
      <w:keepLines/>
      <w:widowControl/>
      <w:spacing w:before="120" w:after="120"/>
      <w:outlineLvl w:val="2"/>
    </w:pPr>
    <w:rPr>
      <w:rFonts w:ascii="Arial" w:hAnsi="Arial" w:eastAsia="黑体" w:cs="Arial"/>
      <w:kern w:val="0"/>
    </w:rPr>
  </w:style>
  <w:style w:type="paragraph" w:styleId="5">
    <w:name w:val="heading 4"/>
    <w:basedOn w:val="1"/>
    <w:next w:val="1"/>
    <w:link w:val="31"/>
    <w:qFormat/>
    <w:uiPriority w:val="99"/>
    <w:pPr>
      <w:keepNext/>
      <w:keepLines/>
      <w:spacing w:before="280" w:after="290" w:line="376" w:lineRule="auto"/>
      <w:outlineLvl w:val="3"/>
    </w:pPr>
    <w:rPr>
      <w:rFonts w:ascii="Cambria" w:hAnsi="Cambria" w:cs="Cambria"/>
      <w:b/>
      <w:bCs/>
      <w:kern w:val="0"/>
      <w:sz w:val="28"/>
      <w:szCs w:val="28"/>
    </w:rPr>
  </w:style>
  <w:style w:type="character" w:default="1" w:styleId="23">
    <w:name w:val="Default Paragraph Font"/>
    <w:semiHidden/>
    <w:uiPriority w:val="99"/>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85"/>
    <w:semiHidden/>
    <w:qFormat/>
    <w:uiPriority w:val="99"/>
    <w:rPr>
      <w:rFonts w:ascii="宋体" w:cs="宋体"/>
      <w:kern w:val="0"/>
      <w:sz w:val="18"/>
      <w:szCs w:val="18"/>
    </w:rPr>
  </w:style>
  <w:style w:type="paragraph" w:styleId="7">
    <w:name w:val="annotation text"/>
    <w:basedOn w:val="1"/>
    <w:link w:val="72"/>
    <w:semiHidden/>
    <w:uiPriority w:val="99"/>
    <w:pPr>
      <w:jc w:val="left"/>
    </w:pPr>
    <w:rPr>
      <w:rFonts w:ascii="Calibri" w:hAnsi="Calibri" w:cs="Calibri"/>
    </w:rPr>
  </w:style>
  <w:style w:type="paragraph" w:styleId="8">
    <w:name w:val="Body Text"/>
    <w:basedOn w:val="1"/>
    <w:link w:val="86"/>
    <w:qFormat/>
    <w:uiPriority w:val="99"/>
    <w:pPr>
      <w:spacing w:after="120"/>
    </w:pPr>
  </w:style>
  <w:style w:type="paragraph" w:styleId="9">
    <w:name w:val="toc 3"/>
    <w:basedOn w:val="1"/>
    <w:next w:val="1"/>
    <w:semiHidden/>
    <w:uiPriority w:val="99"/>
    <w:pPr>
      <w:ind w:left="840" w:leftChars="400"/>
    </w:pPr>
  </w:style>
  <w:style w:type="paragraph" w:styleId="10">
    <w:name w:val="Date"/>
    <w:basedOn w:val="1"/>
    <w:next w:val="1"/>
    <w:link w:val="88"/>
    <w:uiPriority w:val="99"/>
    <w:pPr>
      <w:ind w:left="100" w:leftChars="2500"/>
    </w:pPr>
    <w:rPr>
      <w:kern w:val="0"/>
      <w:sz w:val="20"/>
      <w:szCs w:val="20"/>
    </w:rPr>
  </w:style>
  <w:style w:type="paragraph" w:styleId="11">
    <w:name w:val="Balloon Text"/>
    <w:basedOn w:val="1"/>
    <w:link w:val="90"/>
    <w:semiHidden/>
    <w:qFormat/>
    <w:uiPriority w:val="99"/>
    <w:rPr>
      <w:kern w:val="0"/>
      <w:sz w:val="18"/>
      <w:szCs w:val="18"/>
    </w:rPr>
  </w:style>
  <w:style w:type="paragraph" w:styleId="12">
    <w:name w:val="footer"/>
    <w:basedOn w:val="1"/>
    <w:link w:val="91"/>
    <w:qFormat/>
    <w:uiPriority w:val="99"/>
    <w:pPr>
      <w:tabs>
        <w:tab w:val="center" w:pos="4153"/>
        <w:tab w:val="right" w:pos="8306"/>
      </w:tabs>
      <w:snapToGrid w:val="0"/>
      <w:jc w:val="left"/>
    </w:pPr>
    <w:rPr>
      <w:kern w:val="0"/>
      <w:sz w:val="18"/>
      <w:szCs w:val="18"/>
    </w:rPr>
  </w:style>
  <w:style w:type="paragraph" w:styleId="13">
    <w:name w:val="header"/>
    <w:basedOn w:val="1"/>
    <w:link w:val="89"/>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semiHidden/>
    <w:qFormat/>
    <w:uiPriority w:val="99"/>
    <w:pPr>
      <w:ind w:firstLine="0" w:firstLineChars="0"/>
    </w:pPr>
  </w:style>
  <w:style w:type="paragraph" w:styleId="15">
    <w:name w:val="toc 4"/>
    <w:basedOn w:val="1"/>
    <w:next w:val="1"/>
    <w:semiHidden/>
    <w:qFormat/>
    <w:uiPriority w:val="99"/>
    <w:pPr>
      <w:ind w:left="1260" w:leftChars="600"/>
    </w:pPr>
  </w:style>
  <w:style w:type="paragraph" w:styleId="16">
    <w:name w:val="Subtitle"/>
    <w:basedOn w:val="1"/>
    <w:next w:val="1"/>
    <w:link w:val="92"/>
    <w:qFormat/>
    <w:uiPriority w:val="99"/>
    <w:pPr>
      <w:spacing w:before="240" w:after="60" w:line="312" w:lineRule="auto"/>
      <w:jc w:val="center"/>
      <w:outlineLvl w:val="1"/>
    </w:pPr>
    <w:rPr>
      <w:b/>
      <w:bCs/>
      <w:kern w:val="28"/>
      <w:sz w:val="32"/>
      <w:szCs w:val="32"/>
    </w:rPr>
  </w:style>
  <w:style w:type="paragraph" w:styleId="17">
    <w:name w:val="toc 2"/>
    <w:basedOn w:val="1"/>
    <w:next w:val="1"/>
    <w:semiHidden/>
    <w:qFormat/>
    <w:uiPriority w:val="99"/>
    <w:pPr>
      <w:tabs>
        <w:tab w:val="right" w:leader="dot" w:pos="8296"/>
      </w:tabs>
    </w:pPr>
  </w:style>
  <w:style w:type="paragraph" w:styleId="18">
    <w:name w:val="Normal (Web)"/>
    <w:basedOn w:val="1"/>
    <w:qFormat/>
    <w:uiPriority w:val="99"/>
    <w:pPr>
      <w:widowControl/>
      <w:spacing w:before="100" w:beforeAutospacing="1" w:after="100" w:afterAutospacing="1"/>
      <w:jc w:val="left"/>
    </w:pPr>
    <w:rPr>
      <w:rFonts w:ascii="宋体" w:hAnsi="宋体" w:cs="宋体"/>
      <w:kern w:val="0"/>
    </w:rPr>
  </w:style>
  <w:style w:type="paragraph" w:styleId="19">
    <w:name w:val="Title"/>
    <w:basedOn w:val="1"/>
    <w:next w:val="1"/>
    <w:link w:val="87"/>
    <w:qFormat/>
    <w:uiPriority w:val="99"/>
    <w:pPr>
      <w:spacing w:before="240" w:after="60"/>
      <w:jc w:val="center"/>
      <w:outlineLvl w:val="0"/>
    </w:pPr>
    <w:rPr>
      <w:rFonts w:ascii="Cambria" w:hAnsi="Cambria" w:cs="Cambria"/>
      <w:b/>
      <w:bCs/>
      <w:kern w:val="0"/>
      <w:sz w:val="32"/>
      <w:szCs w:val="32"/>
    </w:rPr>
  </w:style>
  <w:style w:type="paragraph" w:styleId="20">
    <w:name w:val="annotation subject"/>
    <w:basedOn w:val="7"/>
    <w:next w:val="7"/>
    <w:link w:val="73"/>
    <w:semiHidden/>
    <w:qFormat/>
    <w:uiPriority w:val="99"/>
    <w:rPr>
      <w:rFonts w:ascii="Times New Roman" w:hAnsi="Times New Roman" w:cs="Times New Roman"/>
      <w:b/>
      <w:bCs/>
      <w:kern w:val="0"/>
      <w:sz w:val="20"/>
      <w:szCs w:val="20"/>
    </w:rPr>
  </w:style>
  <w:style w:type="table" w:styleId="22">
    <w:name w:val="Table Grid"/>
    <w:basedOn w:val="21"/>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locked/>
    <w:uiPriority w:val="99"/>
  </w:style>
  <w:style w:type="character" w:styleId="25">
    <w:name w:val="FollowedHyperlink"/>
    <w:basedOn w:val="23"/>
    <w:qFormat/>
    <w:uiPriority w:val="99"/>
    <w:rPr>
      <w:color w:val="auto"/>
      <w:u w:val="none"/>
    </w:rPr>
  </w:style>
  <w:style w:type="character" w:styleId="26">
    <w:name w:val="Hyperlink"/>
    <w:basedOn w:val="23"/>
    <w:qFormat/>
    <w:uiPriority w:val="99"/>
    <w:rPr>
      <w:color w:val="0000FF"/>
      <w:u w:val="single"/>
    </w:rPr>
  </w:style>
  <w:style w:type="character" w:styleId="27">
    <w:name w:val="annotation reference"/>
    <w:basedOn w:val="23"/>
    <w:semiHidden/>
    <w:qFormat/>
    <w:uiPriority w:val="99"/>
    <w:rPr>
      <w:sz w:val="21"/>
      <w:szCs w:val="21"/>
    </w:rPr>
  </w:style>
  <w:style w:type="character" w:customStyle="1" w:styleId="28">
    <w:name w:val="Heading 1 Char"/>
    <w:basedOn w:val="23"/>
    <w:link w:val="2"/>
    <w:qFormat/>
    <w:locked/>
    <w:uiPriority w:val="99"/>
    <w:rPr>
      <w:rFonts w:ascii="Times New Roman" w:hAnsi="Times New Roman" w:eastAsia="宋体" w:cs="Times New Roman"/>
      <w:b/>
      <w:bCs/>
      <w:kern w:val="44"/>
      <w:sz w:val="44"/>
      <w:szCs w:val="44"/>
    </w:rPr>
  </w:style>
  <w:style w:type="character" w:customStyle="1" w:styleId="29">
    <w:name w:val="Heading 2 Char"/>
    <w:basedOn w:val="23"/>
    <w:link w:val="3"/>
    <w:qFormat/>
    <w:locked/>
    <w:uiPriority w:val="99"/>
    <w:rPr>
      <w:rFonts w:ascii="Arial" w:hAnsi="Arial" w:eastAsia="黑体" w:cs="Arial"/>
      <w:kern w:val="0"/>
      <w:sz w:val="28"/>
      <w:szCs w:val="28"/>
    </w:rPr>
  </w:style>
  <w:style w:type="character" w:customStyle="1" w:styleId="30">
    <w:name w:val="Heading 3 Char"/>
    <w:basedOn w:val="23"/>
    <w:link w:val="4"/>
    <w:qFormat/>
    <w:locked/>
    <w:uiPriority w:val="99"/>
    <w:rPr>
      <w:rFonts w:ascii="Arial" w:hAnsi="Arial" w:eastAsia="黑体" w:cs="Arial"/>
      <w:kern w:val="0"/>
      <w:sz w:val="26"/>
      <w:szCs w:val="26"/>
    </w:rPr>
  </w:style>
  <w:style w:type="character" w:customStyle="1" w:styleId="31">
    <w:name w:val="Heading 4 Char"/>
    <w:basedOn w:val="23"/>
    <w:link w:val="5"/>
    <w:semiHidden/>
    <w:qFormat/>
    <w:locked/>
    <w:uiPriority w:val="99"/>
    <w:rPr>
      <w:rFonts w:ascii="Cambria" w:hAnsi="Cambria" w:eastAsia="宋体" w:cs="Cambria"/>
      <w:b/>
      <w:bCs/>
      <w:sz w:val="28"/>
      <w:szCs w:val="28"/>
    </w:rPr>
  </w:style>
  <w:style w:type="character" w:customStyle="1" w:styleId="32">
    <w:name w:val="地标一级标题 Char"/>
    <w:link w:val="33"/>
    <w:qFormat/>
    <w:locked/>
    <w:uiPriority w:val="99"/>
    <w:rPr>
      <w:rFonts w:ascii="黑体" w:hAnsi="Times New Roman" w:eastAsia="黑体" w:cs="黑体"/>
      <w:kern w:val="0"/>
      <w:sz w:val="20"/>
      <w:szCs w:val="20"/>
    </w:rPr>
  </w:style>
  <w:style w:type="paragraph" w:customStyle="1" w:styleId="33">
    <w:name w:val="地标一级标题"/>
    <w:basedOn w:val="34"/>
    <w:link w:val="32"/>
    <w:qFormat/>
    <w:uiPriority w:val="99"/>
    <w:pPr>
      <w:spacing w:before="100" w:after="100" w:line="360" w:lineRule="auto"/>
      <w:ind w:left="0"/>
    </w:pPr>
    <w:rPr>
      <w:sz w:val="24"/>
      <w:szCs w:val="24"/>
    </w:rPr>
  </w:style>
  <w:style w:type="paragraph" w:customStyle="1" w:styleId="34">
    <w:name w:val="章标题"/>
    <w:next w:val="35"/>
    <w:qFormat/>
    <w:uiPriority w:val="99"/>
    <w:pPr>
      <w:spacing w:beforeLines="100" w:afterLines="100"/>
      <w:ind w:left="1560"/>
      <w:jc w:val="both"/>
      <w:outlineLvl w:val="1"/>
    </w:pPr>
    <w:rPr>
      <w:rFonts w:ascii="黑体" w:hAnsi="Times New Roman" w:eastAsia="黑体" w:cs="黑体"/>
      <w:kern w:val="0"/>
      <w:sz w:val="21"/>
      <w:szCs w:val="21"/>
      <w:lang w:val="en-US" w:eastAsia="zh-CN" w:bidi="ar-SA"/>
    </w:rPr>
  </w:style>
  <w:style w:type="paragraph" w:customStyle="1" w:styleId="35">
    <w:name w:val="段"/>
    <w:link w:val="55"/>
    <w:qFormat/>
    <w:uiPriority w:val="99"/>
    <w:pPr>
      <w:tabs>
        <w:tab w:val="center" w:pos="4201"/>
        <w:tab w:val="right" w:leader="dot" w:pos="9298"/>
      </w:tabs>
      <w:autoSpaceDE w:val="0"/>
      <w:autoSpaceDN w:val="0"/>
      <w:ind w:firstLine="420" w:firstLineChars="200"/>
      <w:jc w:val="both"/>
    </w:pPr>
    <w:rPr>
      <w:rFonts w:ascii="宋体" w:hAnsi="宋体" w:eastAsia="宋体" w:cs="宋体"/>
      <w:kern w:val="2"/>
      <w:sz w:val="21"/>
      <w:szCs w:val="21"/>
      <w:lang w:val="en-US" w:eastAsia="zh-CN" w:bidi="ar-SA"/>
    </w:rPr>
  </w:style>
  <w:style w:type="character" w:customStyle="1" w:styleId="36">
    <w:name w:val="Date Char"/>
    <w:link w:val="10"/>
    <w:locked/>
    <w:uiPriority w:val="99"/>
    <w:rPr>
      <w:rFonts w:ascii="Times New Roman" w:hAnsi="Times New Roman" w:eastAsia="宋体" w:cs="Times New Roman"/>
      <w:sz w:val="24"/>
      <w:szCs w:val="24"/>
    </w:rPr>
  </w:style>
  <w:style w:type="character" w:customStyle="1" w:styleId="37">
    <w:name w:val="地标三级标题 Char"/>
    <w:link w:val="38"/>
    <w:qFormat/>
    <w:locked/>
    <w:uiPriority w:val="99"/>
    <w:rPr>
      <w:rFonts w:ascii="宋体" w:hAnsi="宋体" w:eastAsia="宋体" w:cs="宋体"/>
      <w:sz w:val="24"/>
      <w:szCs w:val="24"/>
    </w:rPr>
  </w:style>
  <w:style w:type="paragraph" w:customStyle="1" w:styleId="38">
    <w:name w:val="地标三级标题"/>
    <w:basedOn w:val="39"/>
    <w:link w:val="37"/>
    <w:qFormat/>
    <w:uiPriority w:val="99"/>
    <w:pPr>
      <w:numPr>
        <w:numId w:val="0"/>
      </w:numPr>
      <w:ind w:left="2127" w:firstLine="200" w:firstLineChars="200"/>
    </w:pPr>
  </w:style>
  <w:style w:type="paragraph" w:customStyle="1" w:styleId="39">
    <w:name w:val="地标三级标题1"/>
    <w:basedOn w:val="1"/>
    <w:link w:val="42"/>
    <w:qFormat/>
    <w:uiPriority w:val="99"/>
    <w:pPr>
      <w:widowControl/>
      <w:numPr>
        <w:ilvl w:val="0"/>
        <w:numId w:val="1"/>
      </w:numPr>
      <w:ind w:firstLine="0" w:firstLineChars="0"/>
      <w:jc w:val="left"/>
      <w:outlineLvl w:val="3"/>
    </w:pPr>
    <w:rPr>
      <w:rFonts w:ascii="宋体" w:hAnsi="宋体" w:cs="宋体"/>
      <w:kern w:val="0"/>
    </w:rPr>
  </w:style>
  <w:style w:type="character" w:customStyle="1" w:styleId="40">
    <w:name w:val="Comment Subject Char"/>
    <w:link w:val="20"/>
    <w:semiHidden/>
    <w:qFormat/>
    <w:locked/>
    <w:uiPriority w:val="99"/>
    <w:rPr>
      <w:rFonts w:ascii="Times New Roman" w:hAnsi="Times New Roman" w:eastAsia="宋体" w:cs="Times New Roman"/>
      <w:b/>
      <w:bCs/>
      <w:sz w:val="24"/>
      <w:szCs w:val="24"/>
    </w:rPr>
  </w:style>
  <w:style w:type="character" w:customStyle="1" w:styleId="41">
    <w:name w:val="Balloon Text Char"/>
    <w:link w:val="11"/>
    <w:qFormat/>
    <w:locked/>
    <w:uiPriority w:val="99"/>
    <w:rPr>
      <w:rFonts w:ascii="Times New Roman" w:hAnsi="Times New Roman" w:eastAsia="宋体" w:cs="Times New Roman"/>
      <w:sz w:val="18"/>
      <w:szCs w:val="18"/>
    </w:rPr>
  </w:style>
  <w:style w:type="character" w:customStyle="1" w:styleId="42">
    <w:name w:val="地标三级标题1 Char"/>
    <w:link w:val="39"/>
    <w:qFormat/>
    <w:locked/>
    <w:uiPriority w:val="99"/>
    <w:rPr>
      <w:rFonts w:ascii="宋体" w:hAnsi="宋体" w:eastAsia="宋体" w:cs="宋体"/>
      <w:kern w:val="0"/>
      <w:sz w:val="24"/>
      <w:szCs w:val="24"/>
    </w:rPr>
  </w:style>
  <w:style w:type="character" w:customStyle="1" w:styleId="43">
    <w:name w:val="Subtitle Char"/>
    <w:link w:val="16"/>
    <w:qFormat/>
    <w:locked/>
    <w:uiPriority w:val="99"/>
    <w:rPr>
      <w:b/>
      <w:bCs/>
      <w:kern w:val="28"/>
      <w:sz w:val="32"/>
      <w:szCs w:val="32"/>
    </w:rPr>
  </w:style>
  <w:style w:type="character" w:customStyle="1" w:styleId="44">
    <w:name w:val="地标正文 Char"/>
    <w:link w:val="45"/>
    <w:locked/>
    <w:uiPriority w:val="99"/>
    <w:rPr>
      <w:rFonts w:ascii="宋体" w:hAnsi="Times New Roman" w:eastAsia="宋体" w:cs="宋体"/>
      <w:kern w:val="0"/>
      <w:sz w:val="20"/>
      <w:szCs w:val="20"/>
    </w:rPr>
  </w:style>
  <w:style w:type="paragraph" w:customStyle="1" w:styleId="45">
    <w:name w:val="地标正文"/>
    <w:basedOn w:val="35"/>
    <w:link w:val="44"/>
    <w:uiPriority w:val="99"/>
    <w:pPr>
      <w:spacing w:line="360" w:lineRule="auto"/>
      <w:ind w:firstLine="480"/>
    </w:pPr>
    <w:rPr>
      <w:rFonts w:hAnsi="Times New Roman"/>
      <w:kern w:val="0"/>
      <w:sz w:val="24"/>
      <w:szCs w:val="24"/>
    </w:rPr>
  </w:style>
  <w:style w:type="character" w:customStyle="1" w:styleId="46">
    <w:name w:val="标题三 Char"/>
    <w:link w:val="47"/>
    <w:qFormat/>
    <w:locked/>
    <w:uiPriority w:val="99"/>
    <w:rPr>
      <w:rFonts w:ascii="Times New Roman" w:hAnsi="Times New Roman" w:eastAsia="黑体" w:cs="Times New Roman"/>
      <w:sz w:val="20"/>
      <w:szCs w:val="20"/>
    </w:rPr>
  </w:style>
  <w:style w:type="paragraph" w:customStyle="1" w:styleId="47">
    <w:name w:val="标题三"/>
    <w:basedOn w:val="1"/>
    <w:link w:val="46"/>
    <w:qFormat/>
    <w:uiPriority w:val="99"/>
    <w:pPr>
      <w:spacing w:before="240" w:after="240"/>
      <w:ind w:left="50" w:leftChars="50" w:firstLine="0" w:firstLineChars="0"/>
      <w:jc w:val="left"/>
    </w:pPr>
    <w:rPr>
      <w:rFonts w:eastAsia="黑体"/>
      <w:kern w:val="0"/>
      <w:sz w:val="28"/>
      <w:szCs w:val="28"/>
    </w:rPr>
  </w:style>
  <w:style w:type="character" w:customStyle="1" w:styleId="48">
    <w:name w:val="Document Map Char"/>
    <w:link w:val="6"/>
    <w:semiHidden/>
    <w:locked/>
    <w:uiPriority w:val="99"/>
    <w:rPr>
      <w:rFonts w:ascii="宋体" w:hAnsi="Times New Roman" w:eastAsia="宋体" w:cs="宋体"/>
      <w:sz w:val="18"/>
      <w:szCs w:val="18"/>
    </w:rPr>
  </w:style>
  <w:style w:type="character" w:customStyle="1" w:styleId="49">
    <w:name w:val="标题四 Char"/>
    <w:link w:val="50"/>
    <w:qFormat/>
    <w:locked/>
    <w:uiPriority w:val="99"/>
    <w:rPr>
      <w:rFonts w:ascii="Times New Roman" w:hAnsi="Times New Roman" w:eastAsia="黑体" w:cs="Times New Roman"/>
      <w:sz w:val="28"/>
      <w:szCs w:val="28"/>
    </w:rPr>
  </w:style>
  <w:style w:type="paragraph" w:customStyle="1" w:styleId="50">
    <w:name w:val="标题四"/>
    <w:basedOn w:val="1"/>
    <w:link w:val="49"/>
    <w:qFormat/>
    <w:uiPriority w:val="99"/>
    <w:pPr>
      <w:spacing w:before="240" w:after="240"/>
      <w:ind w:firstLine="0" w:firstLineChars="0"/>
      <w:jc w:val="left"/>
    </w:pPr>
    <w:rPr>
      <w:rFonts w:eastAsia="黑体"/>
      <w:kern w:val="0"/>
    </w:rPr>
  </w:style>
  <w:style w:type="character" w:customStyle="1" w:styleId="51">
    <w:name w:val="33333333333333333 Char"/>
    <w:link w:val="52"/>
    <w:qFormat/>
    <w:locked/>
    <w:uiPriority w:val="99"/>
    <w:rPr>
      <w:rFonts w:ascii="Times New Roman" w:hAnsi="Times New Roman" w:eastAsia="仿宋_GB2312" w:cs="Times New Roman"/>
      <w:b/>
      <w:bCs/>
      <w:kern w:val="0"/>
      <w:sz w:val="24"/>
      <w:szCs w:val="24"/>
    </w:rPr>
  </w:style>
  <w:style w:type="paragraph" w:customStyle="1" w:styleId="52">
    <w:name w:val="33333333333333333"/>
    <w:basedOn w:val="1"/>
    <w:link w:val="51"/>
    <w:qFormat/>
    <w:uiPriority w:val="99"/>
    <w:pPr>
      <w:keepNext/>
      <w:keepLines/>
      <w:adjustRightInd w:val="0"/>
      <w:snapToGrid w:val="0"/>
      <w:ind w:firstLine="482"/>
      <w:outlineLvl w:val="2"/>
    </w:pPr>
    <w:rPr>
      <w:rFonts w:eastAsia="仿宋_GB2312"/>
      <w:b/>
      <w:bCs/>
      <w:kern w:val="0"/>
    </w:rPr>
  </w:style>
  <w:style w:type="character" w:customStyle="1" w:styleId="53">
    <w:name w:val="样式22222 Char"/>
    <w:link w:val="54"/>
    <w:locked/>
    <w:uiPriority w:val="99"/>
    <w:rPr>
      <w:rFonts w:ascii="仿宋_GB2312" w:hAnsi="Times New Roman" w:eastAsia="仿宋_GB2312" w:cs="仿宋_GB2312"/>
      <w:b/>
      <w:bCs/>
      <w:kern w:val="0"/>
      <w:sz w:val="24"/>
      <w:szCs w:val="24"/>
    </w:rPr>
  </w:style>
  <w:style w:type="paragraph" w:customStyle="1" w:styleId="54">
    <w:name w:val="样式22222"/>
    <w:basedOn w:val="3"/>
    <w:link w:val="53"/>
    <w:qFormat/>
    <w:uiPriority w:val="99"/>
    <w:pPr>
      <w:widowControl w:val="0"/>
      <w:adjustRightInd w:val="0"/>
      <w:snapToGrid w:val="0"/>
      <w:spacing w:before="0" w:after="0"/>
      <w:ind w:firstLine="482"/>
    </w:pPr>
    <w:rPr>
      <w:rFonts w:ascii="仿宋_GB2312" w:hAnsi="Times New Roman" w:eastAsia="仿宋_GB2312" w:cs="仿宋_GB2312"/>
      <w:b/>
      <w:bCs/>
      <w:sz w:val="24"/>
      <w:szCs w:val="24"/>
    </w:rPr>
  </w:style>
  <w:style w:type="character" w:customStyle="1" w:styleId="55">
    <w:name w:val="段 Char"/>
    <w:link w:val="35"/>
    <w:qFormat/>
    <w:locked/>
    <w:uiPriority w:val="99"/>
    <w:rPr>
      <w:rFonts w:ascii="宋体" w:eastAsia="宋体" w:cs="宋体"/>
      <w:kern w:val="2"/>
      <w:sz w:val="22"/>
      <w:szCs w:val="22"/>
      <w:lang w:val="en-US" w:eastAsia="zh-CN"/>
    </w:rPr>
  </w:style>
  <w:style w:type="character" w:customStyle="1" w:styleId="56">
    <w:name w:val="地标二级标题 Char"/>
    <w:link w:val="57"/>
    <w:qFormat/>
    <w:locked/>
    <w:uiPriority w:val="99"/>
    <w:rPr>
      <w:rFonts w:ascii="黑体" w:hAnsi="Times New Roman" w:eastAsia="黑体" w:cs="黑体"/>
      <w:kern w:val="0"/>
      <w:sz w:val="21"/>
      <w:szCs w:val="21"/>
    </w:rPr>
  </w:style>
  <w:style w:type="paragraph" w:customStyle="1" w:styleId="57">
    <w:name w:val="地标二级标题"/>
    <w:basedOn w:val="58"/>
    <w:link w:val="56"/>
    <w:uiPriority w:val="99"/>
    <w:rPr>
      <w:sz w:val="24"/>
      <w:szCs w:val="24"/>
    </w:rPr>
  </w:style>
  <w:style w:type="paragraph" w:customStyle="1" w:styleId="58">
    <w:name w:val="一级条标题"/>
    <w:next w:val="35"/>
    <w:qFormat/>
    <w:uiPriority w:val="99"/>
    <w:pPr>
      <w:numPr>
        <w:ilvl w:val="1"/>
        <w:numId w:val="2"/>
      </w:numPr>
      <w:spacing w:beforeLines="50" w:afterLines="50"/>
      <w:outlineLvl w:val="2"/>
    </w:pPr>
    <w:rPr>
      <w:rFonts w:ascii="黑体" w:hAnsi="Times New Roman" w:eastAsia="黑体" w:cs="黑体"/>
      <w:kern w:val="0"/>
      <w:sz w:val="20"/>
      <w:szCs w:val="20"/>
      <w:lang w:val="en-US" w:eastAsia="zh-CN" w:bidi="ar-SA"/>
    </w:rPr>
  </w:style>
  <w:style w:type="character" w:customStyle="1" w:styleId="59">
    <w:name w:val="标题一 Char"/>
    <w:link w:val="60"/>
    <w:qFormat/>
    <w:locked/>
    <w:uiPriority w:val="99"/>
    <w:rPr>
      <w:rFonts w:ascii="仿宋_GB2312" w:hAnsi="仿宋_GB2312" w:eastAsia="黑体" w:cs="仿宋_GB2312"/>
      <w:b/>
      <w:bCs/>
      <w:kern w:val="44"/>
      <w:sz w:val="28"/>
      <w:szCs w:val="28"/>
    </w:rPr>
  </w:style>
  <w:style w:type="paragraph" w:customStyle="1" w:styleId="60">
    <w:name w:val="标题一"/>
    <w:basedOn w:val="61"/>
    <w:link w:val="59"/>
    <w:qFormat/>
    <w:uiPriority w:val="99"/>
    <w:pPr>
      <w:spacing w:before="240" w:after="240"/>
      <w:ind w:firstLine="0" w:firstLineChars="0"/>
      <w:jc w:val="left"/>
    </w:pPr>
    <w:rPr>
      <w:rFonts w:hAnsi="仿宋_GB2312" w:eastAsia="黑体"/>
      <w:sz w:val="30"/>
      <w:szCs w:val="30"/>
    </w:rPr>
  </w:style>
  <w:style w:type="paragraph" w:customStyle="1" w:styleId="61">
    <w:name w:val="样式11111"/>
    <w:basedOn w:val="2"/>
    <w:link w:val="66"/>
    <w:qFormat/>
    <w:uiPriority w:val="99"/>
    <w:pPr>
      <w:adjustRightInd w:val="0"/>
      <w:snapToGrid w:val="0"/>
      <w:spacing w:before="0" w:after="0" w:line="360" w:lineRule="auto"/>
      <w:ind w:firstLine="562"/>
    </w:pPr>
    <w:rPr>
      <w:rFonts w:ascii="仿宋_GB2312" w:eastAsia="仿宋_GB2312" w:cs="仿宋_GB2312"/>
      <w:sz w:val="28"/>
      <w:szCs w:val="28"/>
    </w:rPr>
  </w:style>
  <w:style w:type="character" w:customStyle="1" w:styleId="62">
    <w:name w:val="Footer Char"/>
    <w:link w:val="12"/>
    <w:qFormat/>
    <w:locked/>
    <w:uiPriority w:val="99"/>
    <w:rPr>
      <w:sz w:val="18"/>
      <w:szCs w:val="18"/>
    </w:rPr>
  </w:style>
  <w:style w:type="character" w:customStyle="1" w:styleId="63">
    <w:name w:val="标题二 Char"/>
    <w:link w:val="64"/>
    <w:qFormat/>
    <w:locked/>
    <w:uiPriority w:val="99"/>
    <w:rPr>
      <w:rFonts w:ascii="Times New Roman" w:hAnsi="黑体" w:eastAsia="黑体" w:cs="Times New Roman"/>
      <w:kern w:val="0"/>
      <w:sz w:val="20"/>
      <w:szCs w:val="20"/>
    </w:rPr>
  </w:style>
  <w:style w:type="paragraph" w:customStyle="1" w:styleId="64">
    <w:name w:val="标题二"/>
    <w:basedOn w:val="57"/>
    <w:link w:val="63"/>
    <w:qFormat/>
    <w:uiPriority w:val="99"/>
    <w:pPr>
      <w:numPr>
        <w:ilvl w:val="0"/>
        <w:numId w:val="0"/>
      </w:numPr>
      <w:spacing w:beforeLines="0" w:afterLines="0"/>
    </w:pPr>
    <w:rPr>
      <w:rFonts w:ascii="Times New Roman" w:hAnsi="黑体" w:cs="Times New Roman"/>
      <w:sz w:val="30"/>
      <w:szCs w:val="30"/>
    </w:rPr>
  </w:style>
  <w:style w:type="character" w:customStyle="1" w:styleId="65">
    <w:name w:val="xref"/>
    <w:qFormat/>
    <w:uiPriority w:val="99"/>
  </w:style>
  <w:style w:type="character" w:customStyle="1" w:styleId="66">
    <w:name w:val="样式11111 Char"/>
    <w:link w:val="61"/>
    <w:qFormat/>
    <w:locked/>
    <w:uiPriority w:val="99"/>
    <w:rPr>
      <w:rFonts w:ascii="仿宋_GB2312" w:hAnsi="Times New Roman" w:eastAsia="仿宋_GB2312" w:cs="仿宋_GB2312"/>
      <w:b/>
      <w:bCs/>
      <w:kern w:val="44"/>
      <w:sz w:val="28"/>
      <w:szCs w:val="28"/>
    </w:rPr>
  </w:style>
  <w:style w:type="character" w:customStyle="1" w:styleId="67">
    <w:name w:val="Comment Text Char"/>
    <w:basedOn w:val="23"/>
    <w:link w:val="7"/>
    <w:semiHidden/>
    <w:qFormat/>
    <w:locked/>
    <w:uiPriority w:val="99"/>
  </w:style>
  <w:style w:type="character" w:customStyle="1" w:styleId="68">
    <w:name w:val="Title Char"/>
    <w:link w:val="19"/>
    <w:qFormat/>
    <w:locked/>
    <w:uiPriority w:val="99"/>
    <w:rPr>
      <w:rFonts w:ascii="Cambria" w:hAnsi="Cambria" w:eastAsia="宋体" w:cs="Cambria"/>
      <w:b/>
      <w:bCs/>
      <w:sz w:val="32"/>
      <w:szCs w:val="32"/>
    </w:rPr>
  </w:style>
  <w:style w:type="character" w:customStyle="1" w:styleId="69">
    <w:name w:val="样式3333 Char"/>
    <w:link w:val="70"/>
    <w:qFormat/>
    <w:locked/>
    <w:uiPriority w:val="99"/>
    <w:rPr>
      <w:rFonts w:ascii="仿宋_GB2312" w:hAnsi="Times New Roman" w:eastAsia="仿宋_GB2312" w:cs="仿宋_GB2312"/>
      <w:b/>
      <w:bCs/>
      <w:kern w:val="0"/>
      <w:sz w:val="24"/>
      <w:szCs w:val="24"/>
    </w:rPr>
  </w:style>
  <w:style w:type="paragraph" w:customStyle="1" w:styleId="70">
    <w:name w:val="样式3333"/>
    <w:basedOn w:val="4"/>
    <w:link w:val="69"/>
    <w:qFormat/>
    <w:uiPriority w:val="99"/>
    <w:pPr>
      <w:widowControl w:val="0"/>
      <w:adjustRightInd w:val="0"/>
      <w:snapToGrid w:val="0"/>
      <w:spacing w:before="0" w:after="0"/>
      <w:ind w:firstLine="482"/>
    </w:pPr>
    <w:rPr>
      <w:rFonts w:ascii="仿宋_GB2312" w:hAnsi="Times New Roman" w:eastAsia="仿宋_GB2312" w:cs="仿宋_GB2312"/>
      <w:b/>
      <w:bCs/>
    </w:rPr>
  </w:style>
  <w:style w:type="character" w:customStyle="1" w:styleId="71">
    <w:name w:val="Header Char"/>
    <w:link w:val="13"/>
    <w:qFormat/>
    <w:locked/>
    <w:uiPriority w:val="99"/>
    <w:rPr>
      <w:sz w:val="18"/>
      <w:szCs w:val="18"/>
    </w:rPr>
  </w:style>
  <w:style w:type="character" w:customStyle="1" w:styleId="72">
    <w:name w:val="Comment Text Char1"/>
    <w:basedOn w:val="23"/>
    <w:link w:val="7"/>
    <w:semiHidden/>
    <w:qFormat/>
    <w:uiPriority w:val="99"/>
    <w:rPr>
      <w:sz w:val="24"/>
      <w:szCs w:val="24"/>
    </w:rPr>
  </w:style>
  <w:style w:type="character" w:customStyle="1" w:styleId="73">
    <w:name w:val="Comment Subject Char1"/>
    <w:basedOn w:val="67"/>
    <w:link w:val="20"/>
    <w:semiHidden/>
    <w:qFormat/>
    <w:uiPriority w:val="99"/>
    <w:rPr>
      <w:b/>
      <w:bCs/>
      <w:sz w:val="24"/>
      <w:szCs w:val="24"/>
    </w:rPr>
  </w:style>
  <w:style w:type="paragraph" w:customStyle="1" w:styleId="74">
    <w:name w:val="列项◆（三级）"/>
    <w:basedOn w:val="1"/>
    <w:qFormat/>
    <w:uiPriority w:val="99"/>
    <w:pPr>
      <w:numPr>
        <w:ilvl w:val="2"/>
        <w:numId w:val="3"/>
      </w:numPr>
    </w:pPr>
    <w:rPr>
      <w:rFonts w:ascii="宋体" w:cs="宋体"/>
    </w:rPr>
  </w:style>
  <w:style w:type="paragraph" w:customStyle="1" w:styleId="75">
    <w:name w:val="列项●（二级）"/>
    <w:qFormat/>
    <w:uiPriority w:val="99"/>
    <w:pPr>
      <w:numPr>
        <w:ilvl w:val="1"/>
        <w:numId w:val="3"/>
      </w:numPr>
      <w:tabs>
        <w:tab w:val="left" w:pos="840"/>
      </w:tabs>
      <w:jc w:val="both"/>
    </w:pPr>
    <w:rPr>
      <w:rFonts w:ascii="宋体" w:hAnsi="Times New Roman" w:eastAsia="宋体" w:cs="宋体"/>
      <w:kern w:val="0"/>
      <w:sz w:val="21"/>
      <w:szCs w:val="21"/>
      <w:lang w:val="en-US" w:eastAsia="zh-CN" w:bidi="ar-SA"/>
    </w:rPr>
  </w:style>
  <w:style w:type="paragraph" w:customStyle="1" w:styleId="76">
    <w:name w:val="二级条标题"/>
    <w:basedOn w:val="58"/>
    <w:next w:val="35"/>
    <w:qFormat/>
    <w:uiPriority w:val="99"/>
    <w:pPr>
      <w:numPr>
        <w:ilvl w:val="2"/>
      </w:numPr>
      <w:spacing w:before="50" w:after="50"/>
      <w:outlineLvl w:val="3"/>
    </w:pPr>
  </w:style>
  <w:style w:type="paragraph" w:customStyle="1" w:styleId="77">
    <w:name w:val="五级条标题"/>
    <w:basedOn w:val="78"/>
    <w:next w:val="35"/>
    <w:qFormat/>
    <w:uiPriority w:val="99"/>
    <w:pPr>
      <w:outlineLvl w:val="6"/>
    </w:pPr>
  </w:style>
  <w:style w:type="paragraph" w:customStyle="1" w:styleId="78">
    <w:name w:val="四级条标题"/>
    <w:basedOn w:val="79"/>
    <w:next w:val="35"/>
    <w:qFormat/>
    <w:uiPriority w:val="99"/>
    <w:pPr>
      <w:outlineLvl w:val="5"/>
    </w:pPr>
    <w:rPr>
      <w:sz w:val="21"/>
      <w:szCs w:val="21"/>
    </w:rPr>
  </w:style>
  <w:style w:type="paragraph" w:customStyle="1" w:styleId="79">
    <w:name w:val="三级条标题"/>
    <w:basedOn w:val="76"/>
    <w:next w:val="35"/>
    <w:qFormat/>
    <w:uiPriority w:val="99"/>
    <w:pPr>
      <w:numPr>
        <w:ilvl w:val="0"/>
        <w:numId w:val="0"/>
      </w:numPr>
      <w:outlineLvl w:val="4"/>
    </w:pPr>
  </w:style>
  <w:style w:type="paragraph" w:customStyle="1" w:styleId="80">
    <w:name w:val="TOC 标题1"/>
    <w:basedOn w:val="2"/>
    <w:next w:val="1"/>
    <w:qFormat/>
    <w:uiPriority w:val="99"/>
    <w:pPr>
      <w:widowControl/>
      <w:spacing w:before="240" w:after="0" w:line="259" w:lineRule="auto"/>
      <w:jc w:val="left"/>
      <w:outlineLvl w:val="9"/>
    </w:pPr>
    <w:rPr>
      <w:rFonts w:ascii="Cambria" w:hAnsi="Cambria" w:cs="Cambria"/>
      <w:b w:val="0"/>
      <w:bCs w:val="0"/>
      <w:color w:val="365F91"/>
      <w:kern w:val="0"/>
      <w:sz w:val="32"/>
      <w:szCs w:val="32"/>
    </w:rPr>
  </w:style>
  <w:style w:type="paragraph" w:customStyle="1" w:styleId="81">
    <w:name w:val="图表脚注说明"/>
    <w:basedOn w:val="1"/>
    <w:qFormat/>
    <w:uiPriority w:val="99"/>
    <w:pPr>
      <w:numPr>
        <w:ilvl w:val="0"/>
        <w:numId w:val="4"/>
      </w:numPr>
    </w:pPr>
    <w:rPr>
      <w:rFonts w:ascii="宋体" w:cs="宋体"/>
      <w:sz w:val="18"/>
      <w:szCs w:val="18"/>
    </w:rPr>
  </w:style>
  <w:style w:type="paragraph" w:styleId="82">
    <w:name w:val="List Paragraph"/>
    <w:basedOn w:val="1"/>
    <w:qFormat/>
    <w:uiPriority w:val="99"/>
    <w:pPr>
      <w:ind w:firstLine="420"/>
    </w:pPr>
  </w:style>
  <w:style w:type="paragraph" w:customStyle="1" w:styleId="83">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84">
    <w:name w:val="正文表标题"/>
    <w:next w:val="35"/>
    <w:qFormat/>
    <w:uiPriority w:val="99"/>
    <w:pPr>
      <w:numPr>
        <w:ilvl w:val="0"/>
        <w:numId w:val="5"/>
      </w:numPr>
      <w:tabs>
        <w:tab w:val="left" w:pos="360"/>
      </w:tabs>
      <w:spacing w:beforeLines="50" w:afterLines="50"/>
      <w:jc w:val="center"/>
    </w:pPr>
    <w:rPr>
      <w:rFonts w:ascii="黑体" w:hAnsi="Times New Roman" w:eastAsia="黑体" w:cs="黑体"/>
      <w:kern w:val="0"/>
      <w:sz w:val="21"/>
      <w:szCs w:val="21"/>
      <w:lang w:val="en-US" w:eastAsia="zh-CN" w:bidi="ar-SA"/>
    </w:rPr>
  </w:style>
  <w:style w:type="character" w:customStyle="1" w:styleId="85">
    <w:name w:val="Document Map Char1"/>
    <w:basedOn w:val="23"/>
    <w:link w:val="6"/>
    <w:semiHidden/>
    <w:qFormat/>
    <w:uiPriority w:val="99"/>
    <w:rPr>
      <w:sz w:val="0"/>
      <w:szCs w:val="0"/>
    </w:rPr>
  </w:style>
  <w:style w:type="character" w:customStyle="1" w:styleId="86">
    <w:name w:val="Body Text Char"/>
    <w:basedOn w:val="23"/>
    <w:link w:val="8"/>
    <w:semiHidden/>
    <w:qFormat/>
    <w:uiPriority w:val="99"/>
    <w:rPr>
      <w:sz w:val="24"/>
      <w:szCs w:val="24"/>
    </w:rPr>
  </w:style>
  <w:style w:type="character" w:customStyle="1" w:styleId="87">
    <w:name w:val="Title Char1"/>
    <w:basedOn w:val="23"/>
    <w:link w:val="19"/>
    <w:qFormat/>
    <w:uiPriority w:val="10"/>
    <w:rPr>
      <w:rFonts w:asciiTheme="majorHAnsi" w:hAnsiTheme="majorHAnsi" w:cstheme="majorBidi"/>
      <w:b/>
      <w:bCs/>
      <w:sz w:val="32"/>
      <w:szCs w:val="32"/>
    </w:rPr>
  </w:style>
  <w:style w:type="character" w:customStyle="1" w:styleId="88">
    <w:name w:val="Date Char1"/>
    <w:basedOn w:val="23"/>
    <w:link w:val="10"/>
    <w:semiHidden/>
    <w:qFormat/>
    <w:uiPriority w:val="99"/>
    <w:rPr>
      <w:sz w:val="24"/>
      <w:szCs w:val="24"/>
    </w:rPr>
  </w:style>
  <w:style w:type="character" w:customStyle="1" w:styleId="89">
    <w:name w:val="Header Char1"/>
    <w:basedOn w:val="23"/>
    <w:link w:val="13"/>
    <w:semiHidden/>
    <w:qFormat/>
    <w:uiPriority w:val="99"/>
    <w:rPr>
      <w:sz w:val="18"/>
      <w:szCs w:val="18"/>
    </w:rPr>
  </w:style>
  <w:style w:type="character" w:customStyle="1" w:styleId="90">
    <w:name w:val="Balloon Text Char1"/>
    <w:basedOn w:val="23"/>
    <w:link w:val="11"/>
    <w:semiHidden/>
    <w:qFormat/>
    <w:uiPriority w:val="99"/>
    <w:rPr>
      <w:sz w:val="0"/>
      <w:szCs w:val="0"/>
    </w:rPr>
  </w:style>
  <w:style w:type="character" w:customStyle="1" w:styleId="91">
    <w:name w:val="Footer Char1"/>
    <w:basedOn w:val="23"/>
    <w:link w:val="12"/>
    <w:semiHidden/>
    <w:qFormat/>
    <w:uiPriority w:val="99"/>
    <w:rPr>
      <w:sz w:val="18"/>
      <w:szCs w:val="18"/>
    </w:rPr>
  </w:style>
  <w:style w:type="character" w:customStyle="1" w:styleId="92">
    <w:name w:val="Subtitle Char1"/>
    <w:basedOn w:val="23"/>
    <w:link w:val="16"/>
    <w:qFormat/>
    <w:uiPriority w:val="11"/>
    <w:rPr>
      <w:rFonts w:asciiTheme="majorHAnsi" w:hAnsiTheme="majorHAnsi" w:cstheme="majorBidi"/>
      <w:b/>
      <w:bCs/>
      <w:kern w:val="28"/>
      <w:sz w:val="32"/>
      <w:szCs w:val="32"/>
    </w:rPr>
  </w:style>
  <w:style w:type="paragraph" w:customStyle="1" w:styleId="93">
    <w:name w:val="列项——（一级）"/>
    <w:qFormat/>
    <w:uiPriority w:val="99"/>
    <w:pPr>
      <w:widowControl w:val="0"/>
      <w:numPr>
        <w:ilvl w:val="0"/>
        <w:numId w:val="3"/>
      </w:numPr>
      <w:jc w:val="both"/>
    </w:pPr>
    <w:rPr>
      <w:rFonts w:ascii="宋体" w:hAnsi="Times New Roman" w:eastAsia="宋体" w:cs="宋体"/>
      <w:kern w:val="0"/>
      <w:sz w:val="21"/>
      <w:szCs w:val="21"/>
      <w:lang w:val="en-US" w:eastAsia="zh-CN" w:bidi="ar-SA"/>
    </w:rPr>
  </w:style>
  <w:style w:type="paragraph" w:customStyle="1" w:styleId="94">
    <w:name w:val="Default"/>
    <w:qFormat/>
    <w:uiPriority w:val="99"/>
    <w:pPr>
      <w:widowControl w:val="0"/>
      <w:autoSpaceDE w:val="0"/>
      <w:autoSpaceDN w:val="0"/>
      <w:adjustRightInd w:val="0"/>
    </w:pPr>
    <w:rPr>
      <w:rFonts w:ascii="黑体" w:hAnsi="黑体" w:eastAsia="黑体" w:cs="黑体"/>
      <w:color w:val="000000"/>
      <w:kern w:val="0"/>
      <w:sz w:val="24"/>
      <w:szCs w:val="24"/>
      <w:lang w:val="en-US" w:eastAsia="zh-CN" w:bidi="ar-SA"/>
    </w:rPr>
  </w:style>
  <w:style w:type="paragraph" w:customStyle="1" w:styleId="95">
    <w:name w:val="Char"/>
    <w:basedOn w:val="1"/>
    <w:next w:val="5"/>
    <w:qFormat/>
    <w:uiPriority w:val="99"/>
    <w:pPr>
      <w:widowControl/>
      <w:spacing w:after="160" w:line="240" w:lineRule="exact"/>
      <w:ind w:firstLine="0" w:firstLineChars="0"/>
      <w:jc w:val="left"/>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2052"/>
    <customShpInfo spid="_x0000_s1029"/>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3"/>
    <customShpInfo spid="_x0000_s1064"/>
    <customShpInfo spid="_x0000_s1065"/>
    <customShpInfo spid="_x0000_s1060"/>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1"/>
    <customShpInfo spid="_x0000_s1082"/>
    <customShpInfo spid="_x0000_s1083"/>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100"/>
    <customShpInfo spid="_x0000_s1101"/>
    <customShpInfo spid="_x0000_s1102"/>
    <customShpInfo spid="_x0000_s1103"/>
    <customShpInfo spid="_x0000_s1099"/>
    <customShpInfo spid="_x0000_s1104"/>
    <customShpInfo spid="_x0000_s1105"/>
    <customShpInfo spid="_x0000_s1106"/>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40</Pages>
  <Words>5119</Words>
  <Characters>5411</Characters>
  <Lines>0</Lines>
  <Paragraphs>0</Paragraphs>
  <TotalTime>127</TotalTime>
  <ScaleCrop>false</ScaleCrop>
  <LinksUpToDate>false</LinksUpToDate>
  <CharactersWithSpaces>5462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2019-06-28T02:53:00Z</dcterms:created>
  <dc:creator>www</dc:creator>
  <cp:lastModifiedBy>Administrator</cp:lastModifiedBy>
  <cp:lastPrinted>2019-07-11T09:24:00Z</cp:lastPrinted>
  <dcterms:modified xsi:type="dcterms:W3CDTF">2025-01-02T09:29:19Z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2E121739ADD94EF0B0B6C278D54C610C_12</vt:lpwstr>
  </property>
</Properties>
</file>