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52B87">
      <w:pPr>
        <w:ind w:firstLine="640"/>
      </w:pPr>
    </w:p>
    <w:p w14:paraId="6EB42C9F">
      <w:pPr>
        <w:ind w:firstLine="640"/>
      </w:pPr>
    </w:p>
    <w:p w14:paraId="2DE60E04">
      <w:pPr>
        <w:ind w:firstLine="640"/>
      </w:pPr>
    </w:p>
    <w:p w14:paraId="7942A123">
      <w:pPr>
        <w:rPr>
          <w:rFonts w:ascii="黑体" w:hAnsi="黑体" w:eastAsia="黑体"/>
          <w:b/>
          <w:bCs/>
          <w:sz w:val="48"/>
          <w:szCs w:val="52"/>
        </w:rPr>
      </w:pPr>
      <w:r>
        <w:rPr>
          <w:rFonts w:hint="eastAsia" w:ascii="黑体" w:hAnsi="黑体" w:eastAsia="黑体"/>
          <w:b/>
          <w:bCs/>
          <w:sz w:val="48"/>
          <w:szCs w:val="52"/>
        </w:rPr>
        <w:t>《环境空气颗粒物网格化监测评价技术</w:t>
      </w:r>
    </w:p>
    <w:p w14:paraId="373A4DFB">
      <w:pPr>
        <w:ind w:firstLine="964"/>
        <w:jc w:val="center"/>
        <w:rPr>
          <w:rFonts w:ascii="黑体" w:hAnsi="黑体" w:eastAsia="黑体"/>
          <w:b/>
          <w:bCs/>
          <w:sz w:val="48"/>
          <w:szCs w:val="52"/>
        </w:rPr>
      </w:pPr>
      <w:r>
        <w:rPr>
          <w:rFonts w:hint="eastAsia" w:ascii="黑体" w:hAnsi="黑体" w:eastAsia="黑体"/>
          <w:b/>
          <w:bCs/>
          <w:sz w:val="48"/>
          <w:szCs w:val="52"/>
        </w:rPr>
        <w:t>规范》（征求意见稿）</w:t>
      </w:r>
    </w:p>
    <w:p w14:paraId="20C25DBF">
      <w:pPr>
        <w:ind w:firstLine="964"/>
        <w:jc w:val="center"/>
        <w:rPr>
          <w:rFonts w:ascii="黑体" w:hAnsi="黑体" w:eastAsia="黑体"/>
          <w:b/>
          <w:bCs/>
          <w:sz w:val="48"/>
          <w:szCs w:val="52"/>
        </w:rPr>
      </w:pPr>
    </w:p>
    <w:p w14:paraId="0A79544C">
      <w:pPr>
        <w:jc w:val="center"/>
        <w:rPr>
          <w:rFonts w:ascii="黑体" w:hAnsi="黑体" w:eastAsia="黑体"/>
          <w:b/>
          <w:bCs/>
          <w:sz w:val="48"/>
          <w:szCs w:val="52"/>
        </w:rPr>
      </w:pPr>
      <w:r>
        <w:rPr>
          <w:rFonts w:hint="eastAsia" w:ascii="黑体" w:hAnsi="黑体" w:eastAsia="黑体"/>
          <w:b/>
          <w:bCs/>
          <w:sz w:val="48"/>
          <w:szCs w:val="52"/>
        </w:rPr>
        <w:t>编制说明</w:t>
      </w:r>
    </w:p>
    <w:p w14:paraId="6ECF27FA">
      <w:pPr>
        <w:ind w:firstLine="640"/>
      </w:pPr>
    </w:p>
    <w:p w14:paraId="37299569">
      <w:pPr>
        <w:ind w:firstLine="640"/>
      </w:pPr>
    </w:p>
    <w:p w14:paraId="4C03B4FB">
      <w:pPr>
        <w:ind w:firstLine="640"/>
      </w:pPr>
    </w:p>
    <w:p w14:paraId="5A1A09BF">
      <w:pPr>
        <w:ind w:firstLine="640"/>
      </w:pPr>
    </w:p>
    <w:p w14:paraId="1067D78C">
      <w:pPr>
        <w:ind w:firstLine="640"/>
      </w:pPr>
    </w:p>
    <w:p w14:paraId="7DE1BC79">
      <w:pPr>
        <w:ind w:firstLine="640"/>
      </w:pPr>
    </w:p>
    <w:p w14:paraId="2EDC6BA4">
      <w:pPr>
        <w:ind w:firstLine="640"/>
      </w:pPr>
    </w:p>
    <w:p w14:paraId="2CA3E8B8">
      <w:pPr>
        <w:ind w:firstLine="640"/>
      </w:pPr>
    </w:p>
    <w:p w14:paraId="15269323">
      <w:pPr>
        <w:ind w:firstLine="640"/>
      </w:pPr>
    </w:p>
    <w:p w14:paraId="559F9D3F">
      <w:pPr>
        <w:ind w:firstLine="640"/>
      </w:pPr>
    </w:p>
    <w:p w14:paraId="3AAA4A1F">
      <w:pPr>
        <w:jc w:val="center"/>
        <w:rPr>
          <w:rFonts w:ascii="仿宋" w:hAnsi="仿宋" w:eastAsia="仿宋"/>
          <w:b/>
          <w:bCs/>
          <w:sz w:val="32"/>
          <w:szCs w:val="36"/>
        </w:rPr>
      </w:pPr>
      <w:r>
        <w:rPr>
          <w:rFonts w:hint="eastAsia" w:ascii="仿宋" w:hAnsi="仿宋" w:eastAsia="仿宋"/>
          <w:b/>
          <w:bCs/>
          <w:sz w:val="32"/>
          <w:szCs w:val="36"/>
        </w:rPr>
        <w:t>《环境空气颗粒物网格化监测评价技术规范（试行）》</w:t>
      </w:r>
    </w:p>
    <w:p w14:paraId="2168F440">
      <w:pPr>
        <w:jc w:val="center"/>
        <w:rPr>
          <w:rFonts w:ascii="仿宋" w:hAnsi="仿宋" w:eastAsia="仿宋"/>
          <w:b/>
          <w:bCs/>
          <w:sz w:val="32"/>
          <w:szCs w:val="36"/>
        </w:rPr>
      </w:pPr>
      <w:r>
        <w:rPr>
          <w:rFonts w:hint="eastAsia" w:ascii="仿宋" w:hAnsi="仿宋" w:eastAsia="仿宋"/>
          <w:b/>
          <w:bCs/>
          <w:sz w:val="32"/>
          <w:szCs w:val="36"/>
        </w:rPr>
        <w:t>编制组</w:t>
      </w:r>
    </w:p>
    <w:p w14:paraId="021CD8C3">
      <w:pPr>
        <w:jc w:val="center"/>
      </w:pPr>
      <w:r>
        <w:rPr>
          <w:rFonts w:hint="eastAsia" w:ascii="仿宋" w:hAnsi="仿宋" w:eastAsia="仿宋"/>
          <w:b/>
          <w:bCs/>
          <w:sz w:val="32"/>
          <w:szCs w:val="36"/>
        </w:rPr>
        <w:t>二〇二〇年九月</w:t>
      </w:r>
    </w:p>
    <w:p w14:paraId="6BCDE353">
      <w:pPr>
        <w:widowControl/>
        <w:spacing w:line="240" w:lineRule="auto"/>
        <w:jc w:val="left"/>
        <w:rPr>
          <w:rFonts w:ascii="黑体" w:hAnsi="黑体" w:eastAsia="黑体"/>
          <w:sz w:val="32"/>
          <w:szCs w:val="36"/>
        </w:rPr>
      </w:pPr>
      <w:r>
        <w:br w:type="page"/>
      </w:r>
      <w:r>
        <w:rPr>
          <w:rFonts w:hint="eastAsia" w:ascii="黑体" w:hAnsi="黑体" w:eastAsia="黑体"/>
          <w:sz w:val="32"/>
          <w:szCs w:val="36"/>
        </w:rPr>
        <w:t>项目名称：环境空气颗粒物网格化监测评价技术规范</w:t>
      </w:r>
    </w:p>
    <w:p w14:paraId="15B0F51F">
      <w:pPr>
        <w:widowControl/>
        <w:spacing w:line="240" w:lineRule="auto"/>
        <w:jc w:val="left"/>
        <w:rPr>
          <w:rFonts w:ascii="黑体" w:hAnsi="黑体" w:eastAsia="黑体"/>
          <w:sz w:val="32"/>
          <w:szCs w:val="36"/>
        </w:rPr>
      </w:pPr>
      <w:r>
        <w:rPr>
          <w:rFonts w:hint="eastAsia" w:ascii="黑体" w:hAnsi="黑体" w:eastAsia="黑体"/>
          <w:sz w:val="32"/>
          <w:szCs w:val="36"/>
        </w:rPr>
        <w:t>项目统一编号：20191053</w:t>
      </w:r>
    </w:p>
    <w:p w14:paraId="17C6CE82">
      <w:pPr>
        <w:widowControl/>
        <w:spacing w:line="240" w:lineRule="auto"/>
        <w:jc w:val="left"/>
        <w:rPr>
          <w:rFonts w:ascii="黑体" w:hAnsi="黑体" w:eastAsia="黑体"/>
          <w:sz w:val="32"/>
          <w:szCs w:val="36"/>
        </w:rPr>
      </w:pPr>
      <w:r>
        <w:rPr>
          <w:rFonts w:hint="eastAsia" w:ascii="黑体" w:hAnsi="黑体" w:eastAsia="黑体"/>
          <w:sz w:val="32"/>
          <w:szCs w:val="36"/>
        </w:rPr>
        <w:t>承担单位：北京市生态环境监测中心</w:t>
      </w:r>
    </w:p>
    <w:p w14:paraId="7FE8E122">
      <w:pPr>
        <w:widowControl/>
        <w:spacing w:line="240" w:lineRule="auto"/>
        <w:ind w:firstLine="720"/>
        <w:jc w:val="left"/>
        <w:rPr>
          <w:rFonts w:ascii="黑体" w:hAnsi="黑体" w:eastAsia="黑体"/>
          <w:sz w:val="36"/>
          <w:szCs w:val="40"/>
        </w:rPr>
      </w:pPr>
    </w:p>
    <w:p w14:paraId="3FB58355">
      <w:pPr>
        <w:widowControl/>
        <w:spacing w:line="240" w:lineRule="auto"/>
        <w:ind w:firstLine="640"/>
        <w:jc w:val="left"/>
      </w:pPr>
      <w:r>
        <w:br w:type="page"/>
      </w:r>
    </w:p>
    <w:p w14:paraId="279AAB3C">
      <w:pPr>
        <w:widowControl/>
        <w:spacing w:line="240" w:lineRule="auto"/>
        <w:jc w:val="left"/>
      </w:pPr>
    </w:p>
    <w:p w14:paraId="498358AF">
      <w:pPr>
        <w:jc w:val="center"/>
        <w:rPr>
          <w:rFonts w:ascii="黑体" w:hAnsi="黑体" w:eastAsia="黑体"/>
          <w:sz w:val="32"/>
          <w:szCs w:val="36"/>
        </w:rPr>
      </w:pPr>
      <w:r>
        <w:rPr>
          <w:rFonts w:hint="eastAsia" w:ascii="黑体" w:hAnsi="黑体" w:eastAsia="黑体"/>
          <w:sz w:val="32"/>
          <w:szCs w:val="36"/>
        </w:rPr>
        <w:t xml:space="preserve">目 </w:t>
      </w:r>
      <w:r>
        <w:rPr>
          <w:rFonts w:ascii="黑体" w:hAnsi="黑体" w:eastAsia="黑体"/>
          <w:sz w:val="32"/>
          <w:szCs w:val="36"/>
        </w:rPr>
        <w:t xml:space="preserve">  </w:t>
      </w:r>
      <w:r>
        <w:rPr>
          <w:rFonts w:hint="eastAsia" w:ascii="黑体" w:hAnsi="黑体" w:eastAsia="黑体"/>
          <w:sz w:val="32"/>
          <w:szCs w:val="36"/>
        </w:rPr>
        <w:t>录</w:t>
      </w:r>
    </w:p>
    <w:sdt>
      <w:sdtPr>
        <w:rPr>
          <w:rFonts w:ascii="Times New Roman" w:hAnsi="Times New Roman" w:eastAsia="宋体" w:cstheme="minorBidi"/>
          <w:color w:val="auto"/>
          <w:kern w:val="2"/>
          <w:sz w:val="21"/>
          <w:szCs w:val="22"/>
          <w:lang w:val="zh-CN"/>
        </w:rPr>
        <w:id w:val="-1034815003"/>
        <w:docPartObj>
          <w:docPartGallery w:val="Table of Contents"/>
          <w:docPartUnique/>
        </w:docPartObj>
      </w:sdtPr>
      <w:sdtEndPr>
        <w:rPr>
          <w:rFonts w:ascii="宋体" w:hAnsi="宋体" w:eastAsia="宋体" w:cstheme="minorBidi"/>
          <w:color w:val="auto"/>
          <w:kern w:val="2"/>
          <w:sz w:val="21"/>
          <w:szCs w:val="21"/>
          <w:lang w:val="zh-CN"/>
        </w:rPr>
      </w:sdtEndPr>
      <w:sdtContent>
        <w:p w14:paraId="60562EA6">
          <w:pPr>
            <w:pStyle w:val="34"/>
            <w:rPr>
              <w:rFonts w:ascii="Times New Roman" w:hAnsi="Times New Roman" w:eastAsia="宋体"/>
              <w:color w:val="auto"/>
              <w:sz w:val="28"/>
            </w:rPr>
          </w:pPr>
        </w:p>
        <w:p w14:paraId="279514AB">
          <w:pPr>
            <w:pStyle w:val="9"/>
            <w:tabs>
              <w:tab w:val="right" w:leader="dot" w:pos="8296"/>
            </w:tabs>
            <w:rPr>
              <w:rFonts w:ascii="宋体" w:hAnsi="宋体" w:eastAsia="宋体" w:cstheme="minorBidi"/>
              <w:kern w:val="2"/>
              <w:sz w:val="21"/>
              <w:szCs w:val="21"/>
            </w:rPr>
          </w:pPr>
          <w:r>
            <w:rPr>
              <w:rFonts w:ascii="宋体" w:hAnsi="宋体" w:eastAsia="宋体"/>
              <w:sz w:val="21"/>
              <w:szCs w:val="21"/>
            </w:rPr>
            <w:fldChar w:fldCharType="begin"/>
          </w:r>
          <w:r>
            <w:rPr>
              <w:rFonts w:ascii="宋体" w:hAnsi="宋体" w:eastAsia="宋体"/>
              <w:sz w:val="21"/>
              <w:szCs w:val="21"/>
            </w:rPr>
            <w:instrText xml:space="preserve"> TOC \o "1-3" \h \z \u </w:instrText>
          </w:r>
          <w:r>
            <w:rPr>
              <w:rFonts w:ascii="宋体" w:hAnsi="宋体" w:eastAsia="宋体"/>
              <w:sz w:val="21"/>
              <w:szCs w:val="21"/>
            </w:rPr>
            <w:fldChar w:fldCharType="separate"/>
          </w:r>
          <w:r>
            <w:fldChar w:fldCharType="begin"/>
          </w:r>
          <w:r>
            <w:instrText xml:space="preserve"> HYPERLINK \l "_Toc55252127" </w:instrText>
          </w:r>
          <w:r>
            <w:fldChar w:fldCharType="separate"/>
          </w:r>
          <w:r>
            <w:rPr>
              <w:rStyle w:val="14"/>
              <w:rFonts w:ascii="宋体" w:hAnsi="宋体" w:eastAsia="宋体"/>
              <w:sz w:val="21"/>
              <w:szCs w:val="21"/>
            </w:rPr>
            <w:t>1 项目背景</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_Toc55252127 \h </w:instrText>
          </w:r>
          <w:r>
            <w:rPr>
              <w:rFonts w:ascii="宋体" w:hAnsi="宋体" w:eastAsia="宋体"/>
              <w:sz w:val="21"/>
              <w:szCs w:val="21"/>
            </w:rPr>
            <w:fldChar w:fldCharType="separate"/>
          </w:r>
          <w:r>
            <w:rPr>
              <w:rFonts w:ascii="宋体" w:hAnsi="宋体" w:eastAsia="宋体"/>
              <w:sz w:val="21"/>
              <w:szCs w:val="21"/>
            </w:rPr>
            <w:t>5</w:t>
          </w:r>
          <w:r>
            <w:rPr>
              <w:rFonts w:ascii="宋体" w:hAnsi="宋体" w:eastAsia="宋体"/>
              <w:sz w:val="21"/>
              <w:szCs w:val="21"/>
            </w:rPr>
            <w:fldChar w:fldCharType="end"/>
          </w:r>
          <w:r>
            <w:rPr>
              <w:rFonts w:ascii="宋体" w:hAnsi="宋体" w:eastAsia="宋体"/>
              <w:sz w:val="21"/>
              <w:szCs w:val="21"/>
            </w:rPr>
            <w:fldChar w:fldCharType="end"/>
          </w:r>
        </w:p>
        <w:p w14:paraId="7AE012C2">
          <w:pPr>
            <w:pStyle w:val="10"/>
            <w:tabs>
              <w:tab w:val="right" w:leader="dot" w:pos="8296"/>
            </w:tabs>
            <w:rPr>
              <w:rFonts w:ascii="宋体" w:hAnsi="宋体" w:eastAsia="宋体" w:cstheme="minorBidi"/>
              <w:kern w:val="2"/>
              <w:sz w:val="21"/>
              <w:szCs w:val="21"/>
            </w:rPr>
          </w:pPr>
          <w:r>
            <w:fldChar w:fldCharType="begin"/>
          </w:r>
          <w:r>
            <w:instrText xml:space="preserve"> HYPERLINK \l "_Toc55252128" </w:instrText>
          </w:r>
          <w:r>
            <w:fldChar w:fldCharType="separate"/>
          </w:r>
          <w:r>
            <w:rPr>
              <w:rStyle w:val="14"/>
              <w:rFonts w:ascii="宋体" w:hAnsi="宋体" w:eastAsia="宋体"/>
              <w:sz w:val="21"/>
              <w:szCs w:val="21"/>
            </w:rPr>
            <w:t>1.1 任务来源</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_Toc55252128 \h </w:instrText>
          </w:r>
          <w:r>
            <w:rPr>
              <w:rFonts w:ascii="宋体" w:hAnsi="宋体" w:eastAsia="宋体"/>
              <w:sz w:val="21"/>
              <w:szCs w:val="21"/>
            </w:rPr>
            <w:fldChar w:fldCharType="separate"/>
          </w:r>
          <w:r>
            <w:rPr>
              <w:rFonts w:ascii="宋体" w:hAnsi="宋体" w:eastAsia="宋体"/>
              <w:sz w:val="21"/>
              <w:szCs w:val="21"/>
            </w:rPr>
            <w:t>5</w:t>
          </w:r>
          <w:r>
            <w:rPr>
              <w:rFonts w:ascii="宋体" w:hAnsi="宋体" w:eastAsia="宋体"/>
              <w:sz w:val="21"/>
              <w:szCs w:val="21"/>
            </w:rPr>
            <w:fldChar w:fldCharType="end"/>
          </w:r>
          <w:r>
            <w:rPr>
              <w:rFonts w:ascii="宋体" w:hAnsi="宋体" w:eastAsia="宋体"/>
              <w:sz w:val="21"/>
              <w:szCs w:val="21"/>
            </w:rPr>
            <w:fldChar w:fldCharType="end"/>
          </w:r>
        </w:p>
        <w:p w14:paraId="3241E9EC">
          <w:pPr>
            <w:pStyle w:val="10"/>
            <w:tabs>
              <w:tab w:val="right" w:leader="dot" w:pos="8296"/>
            </w:tabs>
            <w:rPr>
              <w:rFonts w:ascii="宋体" w:hAnsi="宋体" w:eastAsia="宋体" w:cstheme="minorBidi"/>
              <w:kern w:val="2"/>
              <w:sz w:val="21"/>
              <w:szCs w:val="21"/>
            </w:rPr>
          </w:pPr>
          <w:r>
            <w:fldChar w:fldCharType="begin"/>
          </w:r>
          <w:r>
            <w:instrText xml:space="preserve"> HYPERLINK \l "_Toc55252129" </w:instrText>
          </w:r>
          <w:r>
            <w:fldChar w:fldCharType="separate"/>
          </w:r>
          <w:r>
            <w:rPr>
              <w:rStyle w:val="14"/>
              <w:rFonts w:ascii="宋体" w:hAnsi="宋体" w:eastAsia="宋体"/>
              <w:sz w:val="21"/>
              <w:szCs w:val="21"/>
            </w:rPr>
            <w:t>1.2 工作过程</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_Toc55252129 \h </w:instrText>
          </w:r>
          <w:r>
            <w:rPr>
              <w:rFonts w:ascii="宋体" w:hAnsi="宋体" w:eastAsia="宋体"/>
              <w:sz w:val="21"/>
              <w:szCs w:val="21"/>
            </w:rPr>
            <w:fldChar w:fldCharType="separate"/>
          </w:r>
          <w:r>
            <w:rPr>
              <w:rFonts w:ascii="宋体" w:hAnsi="宋体" w:eastAsia="宋体"/>
              <w:sz w:val="21"/>
              <w:szCs w:val="21"/>
            </w:rPr>
            <w:t>5</w:t>
          </w:r>
          <w:r>
            <w:rPr>
              <w:rFonts w:ascii="宋体" w:hAnsi="宋体" w:eastAsia="宋体"/>
              <w:sz w:val="21"/>
              <w:szCs w:val="21"/>
            </w:rPr>
            <w:fldChar w:fldCharType="end"/>
          </w:r>
          <w:r>
            <w:rPr>
              <w:rFonts w:ascii="宋体" w:hAnsi="宋体" w:eastAsia="宋体"/>
              <w:sz w:val="21"/>
              <w:szCs w:val="21"/>
            </w:rPr>
            <w:fldChar w:fldCharType="end"/>
          </w:r>
        </w:p>
        <w:p w14:paraId="276450E5">
          <w:pPr>
            <w:pStyle w:val="9"/>
            <w:tabs>
              <w:tab w:val="right" w:leader="dot" w:pos="8296"/>
            </w:tabs>
            <w:rPr>
              <w:rFonts w:ascii="宋体" w:hAnsi="宋体" w:eastAsia="宋体" w:cstheme="minorBidi"/>
              <w:kern w:val="2"/>
              <w:sz w:val="21"/>
              <w:szCs w:val="21"/>
            </w:rPr>
          </w:pPr>
          <w:r>
            <w:fldChar w:fldCharType="begin"/>
          </w:r>
          <w:r>
            <w:instrText xml:space="preserve"> HYPERLINK \l "_Toc55252130" </w:instrText>
          </w:r>
          <w:r>
            <w:fldChar w:fldCharType="separate"/>
          </w:r>
          <w:r>
            <w:rPr>
              <w:rStyle w:val="14"/>
              <w:rFonts w:ascii="宋体" w:hAnsi="宋体" w:eastAsia="宋体"/>
              <w:sz w:val="21"/>
              <w:szCs w:val="21"/>
            </w:rPr>
            <w:t>2 制定本标准的必要性和意义</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_Toc55252130 \h </w:instrText>
          </w:r>
          <w:r>
            <w:rPr>
              <w:rFonts w:ascii="宋体" w:hAnsi="宋体" w:eastAsia="宋体"/>
              <w:sz w:val="21"/>
              <w:szCs w:val="21"/>
            </w:rPr>
            <w:fldChar w:fldCharType="separate"/>
          </w:r>
          <w:r>
            <w:rPr>
              <w:rFonts w:ascii="宋体" w:hAnsi="宋体" w:eastAsia="宋体"/>
              <w:sz w:val="21"/>
              <w:szCs w:val="21"/>
            </w:rPr>
            <w:t>6</w:t>
          </w:r>
          <w:r>
            <w:rPr>
              <w:rFonts w:ascii="宋体" w:hAnsi="宋体" w:eastAsia="宋体"/>
              <w:sz w:val="21"/>
              <w:szCs w:val="21"/>
            </w:rPr>
            <w:fldChar w:fldCharType="end"/>
          </w:r>
          <w:r>
            <w:rPr>
              <w:rFonts w:ascii="宋体" w:hAnsi="宋体" w:eastAsia="宋体"/>
              <w:sz w:val="21"/>
              <w:szCs w:val="21"/>
            </w:rPr>
            <w:fldChar w:fldCharType="end"/>
          </w:r>
        </w:p>
        <w:p w14:paraId="33533F06">
          <w:pPr>
            <w:pStyle w:val="10"/>
            <w:tabs>
              <w:tab w:val="right" w:leader="dot" w:pos="8296"/>
            </w:tabs>
            <w:rPr>
              <w:rFonts w:ascii="宋体" w:hAnsi="宋体" w:eastAsia="宋体" w:cstheme="minorBidi"/>
              <w:kern w:val="2"/>
              <w:sz w:val="21"/>
              <w:szCs w:val="21"/>
            </w:rPr>
          </w:pPr>
          <w:r>
            <w:fldChar w:fldCharType="begin"/>
          </w:r>
          <w:r>
            <w:instrText xml:space="preserve"> HYPERLINK \l "_Toc55252131" </w:instrText>
          </w:r>
          <w:r>
            <w:fldChar w:fldCharType="separate"/>
          </w:r>
          <w:r>
            <w:rPr>
              <w:rStyle w:val="14"/>
              <w:rFonts w:ascii="宋体" w:hAnsi="宋体" w:eastAsia="宋体"/>
              <w:sz w:val="21"/>
              <w:szCs w:val="21"/>
            </w:rPr>
            <w:t>2.1 北京市大气污染和网格化监测现状</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_Toc55252131 \h </w:instrText>
          </w:r>
          <w:r>
            <w:rPr>
              <w:rFonts w:ascii="宋体" w:hAnsi="宋体" w:eastAsia="宋体"/>
              <w:sz w:val="21"/>
              <w:szCs w:val="21"/>
            </w:rPr>
            <w:fldChar w:fldCharType="separate"/>
          </w:r>
          <w:r>
            <w:rPr>
              <w:rFonts w:ascii="宋体" w:hAnsi="宋体" w:eastAsia="宋体"/>
              <w:sz w:val="21"/>
              <w:szCs w:val="21"/>
            </w:rPr>
            <w:t>6</w:t>
          </w:r>
          <w:r>
            <w:rPr>
              <w:rFonts w:ascii="宋体" w:hAnsi="宋体" w:eastAsia="宋体"/>
              <w:sz w:val="21"/>
              <w:szCs w:val="21"/>
            </w:rPr>
            <w:fldChar w:fldCharType="end"/>
          </w:r>
          <w:r>
            <w:rPr>
              <w:rFonts w:ascii="宋体" w:hAnsi="宋体" w:eastAsia="宋体"/>
              <w:sz w:val="21"/>
              <w:szCs w:val="21"/>
            </w:rPr>
            <w:fldChar w:fldCharType="end"/>
          </w:r>
        </w:p>
        <w:p w14:paraId="5941EC59">
          <w:pPr>
            <w:pStyle w:val="10"/>
            <w:tabs>
              <w:tab w:val="right" w:leader="dot" w:pos="8296"/>
            </w:tabs>
            <w:rPr>
              <w:rFonts w:ascii="宋体" w:hAnsi="宋体" w:eastAsia="宋体" w:cstheme="minorBidi"/>
              <w:kern w:val="2"/>
              <w:sz w:val="21"/>
              <w:szCs w:val="21"/>
            </w:rPr>
          </w:pPr>
          <w:r>
            <w:fldChar w:fldCharType="begin"/>
          </w:r>
          <w:r>
            <w:instrText xml:space="preserve"> HYPERLINK \l "_Toc55252132" </w:instrText>
          </w:r>
          <w:r>
            <w:fldChar w:fldCharType="separate"/>
          </w:r>
          <w:r>
            <w:rPr>
              <w:rStyle w:val="14"/>
              <w:rFonts w:ascii="宋体" w:hAnsi="宋体" w:eastAsia="宋体"/>
              <w:sz w:val="21"/>
              <w:szCs w:val="21"/>
            </w:rPr>
            <w:t>2.2 国内外网格化监测评价的主要做法</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_Toc55252132 \h </w:instrText>
          </w:r>
          <w:r>
            <w:rPr>
              <w:rFonts w:ascii="宋体" w:hAnsi="宋体" w:eastAsia="宋体"/>
              <w:sz w:val="21"/>
              <w:szCs w:val="21"/>
            </w:rPr>
            <w:fldChar w:fldCharType="separate"/>
          </w:r>
          <w:r>
            <w:rPr>
              <w:rFonts w:ascii="宋体" w:hAnsi="宋体" w:eastAsia="宋体"/>
              <w:sz w:val="21"/>
              <w:szCs w:val="21"/>
            </w:rPr>
            <w:t>8</w:t>
          </w:r>
          <w:r>
            <w:rPr>
              <w:rFonts w:ascii="宋体" w:hAnsi="宋体" w:eastAsia="宋体"/>
              <w:sz w:val="21"/>
              <w:szCs w:val="21"/>
            </w:rPr>
            <w:fldChar w:fldCharType="end"/>
          </w:r>
          <w:r>
            <w:rPr>
              <w:rFonts w:ascii="宋体" w:hAnsi="宋体" w:eastAsia="宋体"/>
              <w:sz w:val="21"/>
              <w:szCs w:val="21"/>
            </w:rPr>
            <w:fldChar w:fldCharType="end"/>
          </w:r>
        </w:p>
        <w:p w14:paraId="415518D0">
          <w:pPr>
            <w:pStyle w:val="10"/>
            <w:tabs>
              <w:tab w:val="right" w:leader="dot" w:pos="8296"/>
            </w:tabs>
            <w:rPr>
              <w:rFonts w:ascii="宋体" w:hAnsi="宋体" w:eastAsia="宋体" w:cstheme="minorBidi"/>
              <w:kern w:val="2"/>
              <w:sz w:val="21"/>
              <w:szCs w:val="21"/>
            </w:rPr>
          </w:pPr>
          <w:r>
            <w:fldChar w:fldCharType="begin"/>
          </w:r>
          <w:r>
            <w:instrText xml:space="preserve"> HYPERLINK \l "_Toc55252133" </w:instrText>
          </w:r>
          <w:r>
            <w:fldChar w:fldCharType="separate"/>
          </w:r>
          <w:r>
            <w:rPr>
              <w:rStyle w:val="14"/>
              <w:rFonts w:ascii="宋体" w:hAnsi="宋体" w:eastAsia="宋体"/>
              <w:sz w:val="21"/>
              <w:szCs w:val="21"/>
            </w:rPr>
            <w:t>2.3 环境空气颗粒物网格化监测评价面临的主要问题和对策</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_Toc55252133 \h </w:instrText>
          </w:r>
          <w:r>
            <w:rPr>
              <w:rFonts w:ascii="宋体" w:hAnsi="宋体" w:eastAsia="宋体"/>
              <w:sz w:val="21"/>
              <w:szCs w:val="21"/>
            </w:rPr>
            <w:fldChar w:fldCharType="separate"/>
          </w:r>
          <w:r>
            <w:rPr>
              <w:rFonts w:ascii="宋体" w:hAnsi="宋体" w:eastAsia="宋体"/>
              <w:sz w:val="21"/>
              <w:szCs w:val="21"/>
            </w:rPr>
            <w:t>9</w:t>
          </w:r>
          <w:r>
            <w:rPr>
              <w:rFonts w:ascii="宋体" w:hAnsi="宋体" w:eastAsia="宋体"/>
              <w:sz w:val="21"/>
              <w:szCs w:val="21"/>
            </w:rPr>
            <w:fldChar w:fldCharType="end"/>
          </w:r>
          <w:r>
            <w:rPr>
              <w:rFonts w:ascii="宋体" w:hAnsi="宋体" w:eastAsia="宋体"/>
              <w:sz w:val="21"/>
              <w:szCs w:val="21"/>
            </w:rPr>
            <w:fldChar w:fldCharType="end"/>
          </w:r>
        </w:p>
        <w:p w14:paraId="3847E84D">
          <w:pPr>
            <w:pStyle w:val="9"/>
            <w:tabs>
              <w:tab w:val="right" w:leader="dot" w:pos="8296"/>
            </w:tabs>
            <w:rPr>
              <w:rFonts w:ascii="宋体" w:hAnsi="宋体" w:eastAsia="宋体" w:cstheme="minorBidi"/>
              <w:kern w:val="2"/>
              <w:sz w:val="21"/>
              <w:szCs w:val="21"/>
            </w:rPr>
          </w:pPr>
          <w:r>
            <w:fldChar w:fldCharType="begin"/>
          </w:r>
          <w:r>
            <w:instrText xml:space="preserve"> HYPERLINK \l "_Toc55252134" </w:instrText>
          </w:r>
          <w:r>
            <w:fldChar w:fldCharType="separate"/>
          </w:r>
          <w:r>
            <w:rPr>
              <w:rStyle w:val="14"/>
              <w:rFonts w:ascii="宋体" w:hAnsi="宋体" w:eastAsia="宋体"/>
              <w:sz w:val="21"/>
              <w:szCs w:val="21"/>
            </w:rPr>
            <w:t>3编制原则和编制依据</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_Toc55252134 \h </w:instrText>
          </w:r>
          <w:r>
            <w:rPr>
              <w:rFonts w:ascii="宋体" w:hAnsi="宋体" w:eastAsia="宋体"/>
              <w:sz w:val="21"/>
              <w:szCs w:val="21"/>
            </w:rPr>
            <w:fldChar w:fldCharType="separate"/>
          </w:r>
          <w:r>
            <w:rPr>
              <w:rFonts w:ascii="宋体" w:hAnsi="宋体" w:eastAsia="宋体"/>
              <w:sz w:val="21"/>
              <w:szCs w:val="21"/>
            </w:rPr>
            <w:t>10</w:t>
          </w:r>
          <w:r>
            <w:rPr>
              <w:rFonts w:ascii="宋体" w:hAnsi="宋体" w:eastAsia="宋体"/>
              <w:sz w:val="21"/>
              <w:szCs w:val="21"/>
            </w:rPr>
            <w:fldChar w:fldCharType="end"/>
          </w:r>
          <w:r>
            <w:rPr>
              <w:rFonts w:ascii="宋体" w:hAnsi="宋体" w:eastAsia="宋体"/>
              <w:sz w:val="21"/>
              <w:szCs w:val="21"/>
            </w:rPr>
            <w:fldChar w:fldCharType="end"/>
          </w:r>
        </w:p>
        <w:p w14:paraId="67177FD2">
          <w:pPr>
            <w:pStyle w:val="10"/>
            <w:tabs>
              <w:tab w:val="right" w:leader="dot" w:pos="8296"/>
            </w:tabs>
            <w:rPr>
              <w:rFonts w:ascii="宋体" w:hAnsi="宋体" w:eastAsia="宋体" w:cstheme="minorBidi"/>
              <w:kern w:val="2"/>
              <w:sz w:val="21"/>
              <w:szCs w:val="21"/>
            </w:rPr>
          </w:pPr>
          <w:r>
            <w:fldChar w:fldCharType="begin"/>
          </w:r>
          <w:r>
            <w:instrText xml:space="preserve"> HYPERLINK \l "_Toc55252135" </w:instrText>
          </w:r>
          <w:r>
            <w:fldChar w:fldCharType="separate"/>
          </w:r>
          <w:r>
            <w:rPr>
              <w:rStyle w:val="14"/>
              <w:rFonts w:ascii="宋体" w:hAnsi="宋体" w:eastAsia="宋体"/>
              <w:sz w:val="21"/>
              <w:szCs w:val="21"/>
            </w:rPr>
            <w:t>3.1 编制原则</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_Toc55252135 \h </w:instrText>
          </w:r>
          <w:r>
            <w:rPr>
              <w:rFonts w:ascii="宋体" w:hAnsi="宋体" w:eastAsia="宋体"/>
              <w:sz w:val="21"/>
              <w:szCs w:val="21"/>
            </w:rPr>
            <w:fldChar w:fldCharType="separate"/>
          </w:r>
          <w:r>
            <w:rPr>
              <w:rFonts w:ascii="宋体" w:hAnsi="宋体" w:eastAsia="宋体"/>
              <w:sz w:val="21"/>
              <w:szCs w:val="21"/>
            </w:rPr>
            <w:t>10</w:t>
          </w:r>
          <w:r>
            <w:rPr>
              <w:rFonts w:ascii="宋体" w:hAnsi="宋体" w:eastAsia="宋体"/>
              <w:sz w:val="21"/>
              <w:szCs w:val="21"/>
            </w:rPr>
            <w:fldChar w:fldCharType="end"/>
          </w:r>
          <w:r>
            <w:rPr>
              <w:rFonts w:ascii="宋体" w:hAnsi="宋体" w:eastAsia="宋体"/>
              <w:sz w:val="21"/>
              <w:szCs w:val="21"/>
            </w:rPr>
            <w:fldChar w:fldCharType="end"/>
          </w:r>
        </w:p>
        <w:p w14:paraId="7A3C1DB3">
          <w:pPr>
            <w:pStyle w:val="10"/>
            <w:tabs>
              <w:tab w:val="right" w:leader="dot" w:pos="8296"/>
            </w:tabs>
            <w:rPr>
              <w:rFonts w:ascii="宋体" w:hAnsi="宋体" w:eastAsia="宋体" w:cstheme="minorBidi"/>
              <w:kern w:val="2"/>
              <w:sz w:val="21"/>
              <w:szCs w:val="21"/>
            </w:rPr>
          </w:pPr>
          <w:r>
            <w:fldChar w:fldCharType="begin"/>
          </w:r>
          <w:r>
            <w:instrText xml:space="preserve"> HYPERLINK \l "_Toc55252136" </w:instrText>
          </w:r>
          <w:r>
            <w:fldChar w:fldCharType="separate"/>
          </w:r>
          <w:r>
            <w:rPr>
              <w:rStyle w:val="14"/>
              <w:rFonts w:ascii="宋体" w:hAnsi="宋体" w:eastAsia="宋体"/>
              <w:sz w:val="21"/>
              <w:szCs w:val="21"/>
            </w:rPr>
            <w:t>3.2 编制依据</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_Toc55252136 \h </w:instrText>
          </w:r>
          <w:r>
            <w:rPr>
              <w:rFonts w:ascii="宋体" w:hAnsi="宋体" w:eastAsia="宋体"/>
              <w:sz w:val="21"/>
              <w:szCs w:val="21"/>
            </w:rPr>
            <w:fldChar w:fldCharType="separate"/>
          </w:r>
          <w:r>
            <w:rPr>
              <w:rFonts w:ascii="宋体" w:hAnsi="宋体" w:eastAsia="宋体"/>
              <w:sz w:val="21"/>
              <w:szCs w:val="21"/>
            </w:rPr>
            <w:t>10</w:t>
          </w:r>
          <w:r>
            <w:rPr>
              <w:rFonts w:ascii="宋体" w:hAnsi="宋体" w:eastAsia="宋体"/>
              <w:sz w:val="21"/>
              <w:szCs w:val="21"/>
            </w:rPr>
            <w:fldChar w:fldCharType="end"/>
          </w:r>
          <w:r>
            <w:rPr>
              <w:rFonts w:ascii="宋体" w:hAnsi="宋体" w:eastAsia="宋体"/>
              <w:sz w:val="21"/>
              <w:szCs w:val="21"/>
            </w:rPr>
            <w:fldChar w:fldCharType="end"/>
          </w:r>
        </w:p>
        <w:p w14:paraId="62EC1077">
          <w:pPr>
            <w:pStyle w:val="9"/>
            <w:tabs>
              <w:tab w:val="right" w:leader="dot" w:pos="8296"/>
            </w:tabs>
            <w:rPr>
              <w:rFonts w:ascii="宋体" w:hAnsi="宋体" w:eastAsia="宋体" w:cstheme="minorBidi"/>
              <w:kern w:val="2"/>
              <w:sz w:val="21"/>
              <w:szCs w:val="21"/>
            </w:rPr>
          </w:pPr>
          <w:r>
            <w:fldChar w:fldCharType="begin"/>
          </w:r>
          <w:r>
            <w:instrText xml:space="preserve"> HYPERLINK \l "_Toc55252137" </w:instrText>
          </w:r>
          <w:r>
            <w:fldChar w:fldCharType="separate"/>
          </w:r>
          <w:r>
            <w:rPr>
              <w:rStyle w:val="14"/>
              <w:rFonts w:ascii="宋体" w:hAnsi="宋体" w:eastAsia="宋体"/>
              <w:sz w:val="21"/>
              <w:szCs w:val="21"/>
            </w:rPr>
            <w:t>4 标准的主要技术内容</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_Toc55252137 \h </w:instrText>
          </w:r>
          <w:r>
            <w:rPr>
              <w:rFonts w:ascii="宋体" w:hAnsi="宋体" w:eastAsia="宋体"/>
              <w:sz w:val="21"/>
              <w:szCs w:val="21"/>
            </w:rPr>
            <w:fldChar w:fldCharType="separate"/>
          </w:r>
          <w:r>
            <w:rPr>
              <w:rFonts w:ascii="宋体" w:hAnsi="宋体" w:eastAsia="宋体"/>
              <w:sz w:val="21"/>
              <w:szCs w:val="21"/>
            </w:rPr>
            <w:t>10</w:t>
          </w:r>
          <w:r>
            <w:rPr>
              <w:rFonts w:ascii="宋体" w:hAnsi="宋体" w:eastAsia="宋体"/>
              <w:sz w:val="21"/>
              <w:szCs w:val="21"/>
            </w:rPr>
            <w:fldChar w:fldCharType="end"/>
          </w:r>
          <w:r>
            <w:rPr>
              <w:rFonts w:ascii="宋体" w:hAnsi="宋体" w:eastAsia="宋体"/>
              <w:sz w:val="21"/>
              <w:szCs w:val="21"/>
            </w:rPr>
            <w:fldChar w:fldCharType="end"/>
          </w:r>
        </w:p>
        <w:p w14:paraId="1614C88B">
          <w:pPr>
            <w:pStyle w:val="10"/>
            <w:tabs>
              <w:tab w:val="right" w:leader="dot" w:pos="8296"/>
            </w:tabs>
            <w:rPr>
              <w:rFonts w:ascii="宋体" w:hAnsi="宋体" w:eastAsia="宋体" w:cstheme="minorBidi"/>
              <w:kern w:val="2"/>
              <w:sz w:val="21"/>
              <w:szCs w:val="21"/>
            </w:rPr>
          </w:pPr>
          <w:r>
            <w:fldChar w:fldCharType="begin"/>
          </w:r>
          <w:r>
            <w:instrText xml:space="preserve"> HYPERLINK \l "_Toc55252138" </w:instrText>
          </w:r>
          <w:r>
            <w:fldChar w:fldCharType="separate"/>
          </w:r>
          <w:r>
            <w:rPr>
              <w:rStyle w:val="14"/>
              <w:rFonts w:ascii="宋体" w:hAnsi="宋体" w:eastAsia="宋体"/>
              <w:sz w:val="21"/>
              <w:szCs w:val="21"/>
            </w:rPr>
            <w:t>4.1 适用范围</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_Toc55252138 \h </w:instrText>
          </w:r>
          <w:r>
            <w:rPr>
              <w:rFonts w:ascii="宋体" w:hAnsi="宋体" w:eastAsia="宋体"/>
              <w:sz w:val="21"/>
              <w:szCs w:val="21"/>
            </w:rPr>
            <w:fldChar w:fldCharType="separate"/>
          </w:r>
          <w:r>
            <w:rPr>
              <w:rFonts w:ascii="宋体" w:hAnsi="宋体" w:eastAsia="宋体"/>
              <w:sz w:val="21"/>
              <w:szCs w:val="21"/>
            </w:rPr>
            <w:t>10</w:t>
          </w:r>
          <w:r>
            <w:rPr>
              <w:rFonts w:ascii="宋体" w:hAnsi="宋体" w:eastAsia="宋体"/>
              <w:sz w:val="21"/>
              <w:szCs w:val="21"/>
            </w:rPr>
            <w:fldChar w:fldCharType="end"/>
          </w:r>
          <w:r>
            <w:rPr>
              <w:rFonts w:ascii="宋体" w:hAnsi="宋体" w:eastAsia="宋体"/>
              <w:sz w:val="21"/>
              <w:szCs w:val="21"/>
            </w:rPr>
            <w:fldChar w:fldCharType="end"/>
          </w:r>
        </w:p>
        <w:p w14:paraId="00DBF7EE">
          <w:pPr>
            <w:pStyle w:val="10"/>
            <w:tabs>
              <w:tab w:val="right" w:leader="dot" w:pos="8296"/>
            </w:tabs>
            <w:rPr>
              <w:rFonts w:ascii="宋体" w:hAnsi="宋体" w:eastAsia="宋体" w:cstheme="minorBidi"/>
              <w:kern w:val="2"/>
              <w:sz w:val="21"/>
              <w:szCs w:val="21"/>
            </w:rPr>
          </w:pPr>
          <w:r>
            <w:fldChar w:fldCharType="begin"/>
          </w:r>
          <w:r>
            <w:instrText xml:space="preserve"> HYPERLINK \l "_Toc55252139" </w:instrText>
          </w:r>
          <w:r>
            <w:fldChar w:fldCharType="separate"/>
          </w:r>
          <w:r>
            <w:rPr>
              <w:rStyle w:val="14"/>
              <w:rFonts w:ascii="宋体" w:hAnsi="宋体" w:eastAsia="宋体"/>
              <w:sz w:val="21"/>
              <w:szCs w:val="21"/>
            </w:rPr>
            <w:t>4.2 术语和定义</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_Toc55252139 \h </w:instrText>
          </w:r>
          <w:r>
            <w:rPr>
              <w:rFonts w:ascii="宋体" w:hAnsi="宋体" w:eastAsia="宋体"/>
              <w:sz w:val="21"/>
              <w:szCs w:val="21"/>
            </w:rPr>
            <w:fldChar w:fldCharType="separate"/>
          </w:r>
          <w:r>
            <w:rPr>
              <w:rFonts w:ascii="宋体" w:hAnsi="宋体" w:eastAsia="宋体"/>
              <w:sz w:val="21"/>
              <w:szCs w:val="21"/>
            </w:rPr>
            <w:t>11</w:t>
          </w:r>
          <w:r>
            <w:rPr>
              <w:rFonts w:ascii="宋体" w:hAnsi="宋体" w:eastAsia="宋体"/>
              <w:sz w:val="21"/>
              <w:szCs w:val="21"/>
            </w:rPr>
            <w:fldChar w:fldCharType="end"/>
          </w:r>
          <w:r>
            <w:rPr>
              <w:rFonts w:ascii="宋体" w:hAnsi="宋体" w:eastAsia="宋体"/>
              <w:sz w:val="21"/>
              <w:szCs w:val="21"/>
            </w:rPr>
            <w:fldChar w:fldCharType="end"/>
          </w:r>
        </w:p>
        <w:p w14:paraId="4E17E990">
          <w:pPr>
            <w:pStyle w:val="10"/>
            <w:tabs>
              <w:tab w:val="right" w:leader="dot" w:pos="8296"/>
            </w:tabs>
            <w:rPr>
              <w:rFonts w:ascii="宋体" w:hAnsi="宋体" w:eastAsia="宋体" w:cstheme="minorBidi"/>
              <w:kern w:val="2"/>
              <w:sz w:val="21"/>
              <w:szCs w:val="21"/>
            </w:rPr>
          </w:pPr>
          <w:r>
            <w:fldChar w:fldCharType="begin"/>
          </w:r>
          <w:r>
            <w:instrText xml:space="preserve"> HYPERLINK \l "_Toc55252144" </w:instrText>
          </w:r>
          <w:r>
            <w:fldChar w:fldCharType="separate"/>
          </w:r>
          <w:r>
            <w:rPr>
              <w:rStyle w:val="14"/>
              <w:rFonts w:ascii="宋体" w:hAnsi="宋体" w:eastAsia="宋体"/>
              <w:sz w:val="21"/>
              <w:szCs w:val="21"/>
            </w:rPr>
            <w:t>4.3 评价对象和评价项目</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_Toc55252144 \h </w:instrText>
          </w:r>
          <w:r>
            <w:rPr>
              <w:rFonts w:ascii="宋体" w:hAnsi="宋体" w:eastAsia="宋体"/>
              <w:sz w:val="21"/>
              <w:szCs w:val="21"/>
            </w:rPr>
            <w:fldChar w:fldCharType="separate"/>
          </w:r>
          <w:r>
            <w:rPr>
              <w:rFonts w:ascii="宋体" w:hAnsi="宋体" w:eastAsia="宋体"/>
              <w:sz w:val="21"/>
              <w:szCs w:val="21"/>
            </w:rPr>
            <w:t>12</w:t>
          </w:r>
          <w:r>
            <w:rPr>
              <w:rFonts w:ascii="宋体" w:hAnsi="宋体" w:eastAsia="宋体"/>
              <w:sz w:val="21"/>
              <w:szCs w:val="21"/>
            </w:rPr>
            <w:fldChar w:fldCharType="end"/>
          </w:r>
          <w:r>
            <w:rPr>
              <w:rFonts w:ascii="宋体" w:hAnsi="宋体" w:eastAsia="宋体"/>
              <w:sz w:val="21"/>
              <w:szCs w:val="21"/>
            </w:rPr>
            <w:fldChar w:fldCharType="end"/>
          </w:r>
        </w:p>
        <w:p w14:paraId="5A3D058B">
          <w:pPr>
            <w:pStyle w:val="10"/>
            <w:tabs>
              <w:tab w:val="right" w:leader="dot" w:pos="8296"/>
            </w:tabs>
            <w:rPr>
              <w:rFonts w:ascii="宋体" w:hAnsi="宋体" w:eastAsia="宋体" w:cstheme="minorBidi"/>
              <w:kern w:val="2"/>
              <w:sz w:val="21"/>
              <w:szCs w:val="21"/>
            </w:rPr>
          </w:pPr>
          <w:r>
            <w:fldChar w:fldCharType="begin"/>
          </w:r>
          <w:r>
            <w:instrText xml:space="preserve"> HYPERLINK \l "_Toc55252147" </w:instrText>
          </w:r>
          <w:r>
            <w:fldChar w:fldCharType="separate"/>
          </w:r>
          <w:r>
            <w:rPr>
              <w:rStyle w:val="14"/>
              <w:rFonts w:ascii="宋体" w:hAnsi="宋体" w:eastAsia="宋体"/>
              <w:sz w:val="21"/>
              <w:szCs w:val="21"/>
            </w:rPr>
            <w:t>4.4 评价方法</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_Toc55252147 \h </w:instrText>
          </w:r>
          <w:r>
            <w:rPr>
              <w:rFonts w:ascii="宋体" w:hAnsi="宋体" w:eastAsia="宋体"/>
              <w:sz w:val="21"/>
              <w:szCs w:val="21"/>
            </w:rPr>
            <w:fldChar w:fldCharType="separate"/>
          </w:r>
          <w:r>
            <w:rPr>
              <w:rFonts w:ascii="宋体" w:hAnsi="宋体" w:eastAsia="宋体"/>
              <w:sz w:val="21"/>
              <w:szCs w:val="21"/>
            </w:rPr>
            <w:t>12</w:t>
          </w:r>
          <w:r>
            <w:rPr>
              <w:rFonts w:ascii="宋体" w:hAnsi="宋体" w:eastAsia="宋体"/>
              <w:sz w:val="21"/>
              <w:szCs w:val="21"/>
            </w:rPr>
            <w:fldChar w:fldCharType="end"/>
          </w:r>
          <w:r>
            <w:rPr>
              <w:rFonts w:ascii="宋体" w:hAnsi="宋体" w:eastAsia="宋体"/>
              <w:sz w:val="21"/>
              <w:szCs w:val="21"/>
            </w:rPr>
            <w:fldChar w:fldCharType="end"/>
          </w:r>
        </w:p>
        <w:p w14:paraId="0CE6D98C">
          <w:pPr>
            <w:pStyle w:val="10"/>
            <w:tabs>
              <w:tab w:val="right" w:leader="dot" w:pos="8296"/>
            </w:tabs>
            <w:rPr>
              <w:rFonts w:ascii="宋体" w:hAnsi="宋体" w:eastAsia="宋体" w:cstheme="minorBidi"/>
              <w:kern w:val="2"/>
              <w:sz w:val="21"/>
              <w:szCs w:val="21"/>
            </w:rPr>
          </w:pPr>
          <w:r>
            <w:fldChar w:fldCharType="begin"/>
          </w:r>
          <w:r>
            <w:instrText xml:space="preserve"> HYPERLINK \l "_Toc55252150" </w:instrText>
          </w:r>
          <w:r>
            <w:fldChar w:fldCharType="separate"/>
          </w:r>
          <w:r>
            <w:rPr>
              <w:rStyle w:val="14"/>
              <w:rFonts w:ascii="宋体" w:hAnsi="宋体" w:eastAsia="宋体"/>
              <w:sz w:val="21"/>
              <w:szCs w:val="21"/>
            </w:rPr>
            <w:t>4.5数据统计的有效性要求</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_Toc55252150 \h </w:instrText>
          </w:r>
          <w:r>
            <w:rPr>
              <w:rFonts w:ascii="宋体" w:hAnsi="宋体" w:eastAsia="宋体"/>
              <w:sz w:val="21"/>
              <w:szCs w:val="21"/>
            </w:rPr>
            <w:fldChar w:fldCharType="separate"/>
          </w:r>
          <w:r>
            <w:rPr>
              <w:rFonts w:ascii="宋体" w:hAnsi="宋体" w:eastAsia="宋体"/>
              <w:sz w:val="21"/>
              <w:szCs w:val="21"/>
            </w:rPr>
            <w:t>14</w:t>
          </w:r>
          <w:r>
            <w:rPr>
              <w:rFonts w:ascii="宋体" w:hAnsi="宋体" w:eastAsia="宋体"/>
              <w:sz w:val="21"/>
              <w:szCs w:val="21"/>
            </w:rPr>
            <w:fldChar w:fldCharType="end"/>
          </w:r>
          <w:r>
            <w:rPr>
              <w:rFonts w:ascii="宋体" w:hAnsi="宋体" w:eastAsia="宋体"/>
              <w:sz w:val="21"/>
              <w:szCs w:val="21"/>
            </w:rPr>
            <w:fldChar w:fldCharType="end"/>
          </w:r>
        </w:p>
        <w:p w14:paraId="078403D0">
          <w:pPr>
            <w:pStyle w:val="10"/>
            <w:tabs>
              <w:tab w:val="right" w:leader="dot" w:pos="8296"/>
            </w:tabs>
            <w:rPr>
              <w:rFonts w:ascii="宋体" w:hAnsi="宋体" w:eastAsia="宋体" w:cstheme="minorBidi"/>
              <w:kern w:val="2"/>
              <w:sz w:val="21"/>
              <w:szCs w:val="21"/>
            </w:rPr>
          </w:pPr>
          <w:r>
            <w:fldChar w:fldCharType="begin"/>
          </w:r>
          <w:r>
            <w:instrText xml:space="preserve"> HYPERLINK \l "_Toc55252151" </w:instrText>
          </w:r>
          <w:r>
            <w:fldChar w:fldCharType="separate"/>
          </w:r>
          <w:r>
            <w:rPr>
              <w:rStyle w:val="14"/>
              <w:rFonts w:ascii="宋体" w:hAnsi="宋体" w:eastAsia="宋体"/>
              <w:sz w:val="21"/>
              <w:szCs w:val="21"/>
            </w:rPr>
            <w:t>4.6 数值修约要求</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_Toc55252151 \h </w:instrText>
          </w:r>
          <w:r>
            <w:rPr>
              <w:rFonts w:ascii="宋体" w:hAnsi="宋体" w:eastAsia="宋体"/>
              <w:sz w:val="21"/>
              <w:szCs w:val="21"/>
            </w:rPr>
            <w:fldChar w:fldCharType="separate"/>
          </w:r>
          <w:r>
            <w:rPr>
              <w:rFonts w:ascii="宋体" w:hAnsi="宋体" w:eastAsia="宋体"/>
              <w:sz w:val="21"/>
              <w:szCs w:val="21"/>
            </w:rPr>
            <w:t>15</w:t>
          </w:r>
          <w:r>
            <w:rPr>
              <w:rFonts w:ascii="宋体" w:hAnsi="宋体" w:eastAsia="宋体"/>
              <w:sz w:val="21"/>
              <w:szCs w:val="21"/>
            </w:rPr>
            <w:fldChar w:fldCharType="end"/>
          </w:r>
          <w:r>
            <w:rPr>
              <w:rFonts w:ascii="宋体" w:hAnsi="宋体" w:eastAsia="宋体"/>
              <w:sz w:val="21"/>
              <w:szCs w:val="21"/>
            </w:rPr>
            <w:fldChar w:fldCharType="end"/>
          </w:r>
        </w:p>
        <w:p w14:paraId="05C18B95">
          <w:pPr>
            <w:pStyle w:val="10"/>
            <w:tabs>
              <w:tab w:val="right" w:leader="dot" w:pos="8296"/>
            </w:tabs>
            <w:rPr>
              <w:rFonts w:ascii="宋体" w:hAnsi="宋体" w:eastAsia="宋体" w:cstheme="minorBidi"/>
              <w:kern w:val="2"/>
              <w:sz w:val="21"/>
              <w:szCs w:val="21"/>
            </w:rPr>
          </w:pPr>
          <w:r>
            <w:fldChar w:fldCharType="begin"/>
          </w:r>
          <w:r>
            <w:instrText xml:space="preserve"> HYPERLINK \l "_Toc55252152" </w:instrText>
          </w:r>
          <w:r>
            <w:fldChar w:fldCharType="separate"/>
          </w:r>
          <w:r>
            <w:rPr>
              <w:rStyle w:val="14"/>
              <w:rFonts w:ascii="宋体" w:hAnsi="宋体" w:eastAsia="宋体"/>
              <w:sz w:val="21"/>
              <w:szCs w:val="21"/>
            </w:rPr>
            <w:t>4.8 数据统计方法</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_Toc55252152 \h </w:instrText>
          </w:r>
          <w:r>
            <w:rPr>
              <w:rFonts w:ascii="宋体" w:hAnsi="宋体" w:eastAsia="宋体"/>
              <w:sz w:val="21"/>
              <w:szCs w:val="21"/>
            </w:rPr>
            <w:fldChar w:fldCharType="separate"/>
          </w:r>
          <w:r>
            <w:rPr>
              <w:rFonts w:ascii="宋体" w:hAnsi="宋体" w:eastAsia="宋体"/>
              <w:sz w:val="21"/>
              <w:szCs w:val="21"/>
            </w:rPr>
            <w:t>15</w:t>
          </w:r>
          <w:r>
            <w:rPr>
              <w:rFonts w:ascii="宋体" w:hAnsi="宋体" w:eastAsia="宋体"/>
              <w:sz w:val="21"/>
              <w:szCs w:val="21"/>
            </w:rPr>
            <w:fldChar w:fldCharType="end"/>
          </w:r>
          <w:r>
            <w:rPr>
              <w:rFonts w:ascii="宋体" w:hAnsi="宋体" w:eastAsia="宋体"/>
              <w:sz w:val="21"/>
              <w:szCs w:val="21"/>
            </w:rPr>
            <w:fldChar w:fldCharType="end"/>
          </w:r>
        </w:p>
        <w:p w14:paraId="4018DFB0">
          <w:pPr>
            <w:pStyle w:val="9"/>
            <w:tabs>
              <w:tab w:val="right" w:leader="dot" w:pos="8296"/>
            </w:tabs>
            <w:rPr>
              <w:rFonts w:ascii="宋体" w:hAnsi="宋体" w:eastAsia="宋体" w:cstheme="minorBidi"/>
              <w:kern w:val="2"/>
              <w:sz w:val="21"/>
              <w:szCs w:val="21"/>
            </w:rPr>
          </w:pPr>
          <w:r>
            <w:fldChar w:fldCharType="begin"/>
          </w:r>
          <w:r>
            <w:instrText xml:space="preserve"> HYPERLINK \l "_Toc55252159" </w:instrText>
          </w:r>
          <w:r>
            <w:fldChar w:fldCharType="separate"/>
          </w:r>
          <w:r>
            <w:rPr>
              <w:rStyle w:val="14"/>
              <w:rFonts w:ascii="宋体" w:hAnsi="宋体" w:eastAsia="宋体"/>
              <w:sz w:val="21"/>
              <w:szCs w:val="21"/>
            </w:rPr>
            <w:t>5 专家论证和征求意见</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_Toc55252159 \h </w:instrText>
          </w:r>
          <w:r>
            <w:rPr>
              <w:rFonts w:ascii="宋体" w:hAnsi="宋体" w:eastAsia="宋体"/>
              <w:sz w:val="21"/>
              <w:szCs w:val="21"/>
            </w:rPr>
            <w:fldChar w:fldCharType="separate"/>
          </w:r>
          <w:r>
            <w:rPr>
              <w:rFonts w:ascii="宋体" w:hAnsi="宋体" w:eastAsia="宋体"/>
              <w:sz w:val="21"/>
              <w:szCs w:val="21"/>
            </w:rPr>
            <w:t>19</w:t>
          </w:r>
          <w:r>
            <w:rPr>
              <w:rFonts w:ascii="宋体" w:hAnsi="宋体" w:eastAsia="宋体"/>
              <w:sz w:val="21"/>
              <w:szCs w:val="21"/>
            </w:rPr>
            <w:fldChar w:fldCharType="end"/>
          </w:r>
          <w:r>
            <w:rPr>
              <w:rFonts w:ascii="宋体" w:hAnsi="宋体" w:eastAsia="宋体"/>
              <w:sz w:val="21"/>
              <w:szCs w:val="21"/>
            </w:rPr>
            <w:fldChar w:fldCharType="end"/>
          </w:r>
        </w:p>
        <w:p w14:paraId="22791B02">
          <w:pPr>
            <w:pStyle w:val="9"/>
            <w:tabs>
              <w:tab w:val="right" w:leader="dot" w:pos="8296"/>
            </w:tabs>
            <w:rPr>
              <w:rFonts w:ascii="宋体" w:hAnsi="宋体" w:eastAsia="宋体" w:cstheme="minorBidi"/>
              <w:kern w:val="2"/>
              <w:sz w:val="21"/>
              <w:szCs w:val="21"/>
            </w:rPr>
          </w:pPr>
          <w:r>
            <w:fldChar w:fldCharType="begin"/>
          </w:r>
          <w:r>
            <w:instrText xml:space="preserve"> HYPERLINK \l "_Toc55252160" </w:instrText>
          </w:r>
          <w:r>
            <w:fldChar w:fldCharType="separate"/>
          </w:r>
          <w:r>
            <w:rPr>
              <w:rStyle w:val="14"/>
              <w:rFonts w:ascii="宋体" w:hAnsi="宋体" w:eastAsia="宋体"/>
              <w:sz w:val="21"/>
              <w:szCs w:val="21"/>
            </w:rPr>
            <w:t>6 标准实施建议</w:t>
          </w:r>
          <w:r>
            <w:rPr>
              <w:rFonts w:ascii="宋体" w:hAnsi="宋体" w:eastAsia="宋体"/>
              <w:sz w:val="21"/>
              <w:szCs w:val="21"/>
            </w:rPr>
            <w:tab/>
          </w:r>
          <w:r>
            <w:rPr>
              <w:rFonts w:ascii="宋体" w:hAnsi="宋体" w:eastAsia="宋体"/>
              <w:sz w:val="21"/>
              <w:szCs w:val="21"/>
            </w:rPr>
            <w:fldChar w:fldCharType="begin"/>
          </w:r>
          <w:r>
            <w:rPr>
              <w:rFonts w:ascii="宋体" w:hAnsi="宋体" w:eastAsia="宋体"/>
              <w:sz w:val="21"/>
              <w:szCs w:val="21"/>
            </w:rPr>
            <w:instrText xml:space="preserve"> PAGEREF _Toc55252160 \h </w:instrText>
          </w:r>
          <w:r>
            <w:rPr>
              <w:rFonts w:ascii="宋体" w:hAnsi="宋体" w:eastAsia="宋体"/>
              <w:sz w:val="21"/>
              <w:szCs w:val="21"/>
            </w:rPr>
            <w:fldChar w:fldCharType="separate"/>
          </w:r>
          <w:r>
            <w:rPr>
              <w:rFonts w:ascii="宋体" w:hAnsi="宋体" w:eastAsia="宋体"/>
              <w:sz w:val="21"/>
              <w:szCs w:val="21"/>
            </w:rPr>
            <w:t>19</w:t>
          </w:r>
          <w:r>
            <w:rPr>
              <w:rFonts w:ascii="宋体" w:hAnsi="宋体" w:eastAsia="宋体"/>
              <w:sz w:val="21"/>
              <w:szCs w:val="21"/>
            </w:rPr>
            <w:fldChar w:fldCharType="end"/>
          </w:r>
          <w:r>
            <w:rPr>
              <w:rFonts w:ascii="宋体" w:hAnsi="宋体" w:eastAsia="宋体"/>
              <w:sz w:val="21"/>
              <w:szCs w:val="21"/>
            </w:rPr>
            <w:fldChar w:fldCharType="end"/>
          </w:r>
        </w:p>
        <w:p w14:paraId="0A6EB39B">
          <w:pPr>
            <w:ind w:firstLine="640"/>
            <w:rPr>
              <w:rFonts w:ascii="宋体" w:hAnsi="宋体"/>
              <w:szCs w:val="21"/>
            </w:rPr>
          </w:pPr>
          <w:r>
            <w:rPr>
              <w:rFonts w:ascii="宋体" w:hAnsi="宋体"/>
              <w:szCs w:val="21"/>
              <w:lang w:val="zh-CN"/>
            </w:rPr>
            <w:fldChar w:fldCharType="end"/>
          </w:r>
        </w:p>
      </w:sdtContent>
    </w:sdt>
    <w:p w14:paraId="643A42E1">
      <w:pPr>
        <w:ind w:firstLine="640"/>
        <w:jc w:val="left"/>
      </w:pPr>
    </w:p>
    <w:p w14:paraId="211307D4">
      <w:pPr>
        <w:widowControl/>
        <w:spacing w:line="240" w:lineRule="auto"/>
        <w:ind w:firstLine="640"/>
        <w:jc w:val="left"/>
      </w:pPr>
      <w:r>
        <w:br w:type="page"/>
      </w:r>
    </w:p>
    <w:p w14:paraId="6D83979E">
      <w:pPr>
        <w:jc w:val="center"/>
        <w:rPr>
          <w:rFonts w:ascii="黑体" w:hAnsi="黑体" w:eastAsia="黑体"/>
          <w:sz w:val="32"/>
          <w:szCs w:val="36"/>
        </w:rPr>
      </w:pPr>
      <w:r>
        <w:rPr>
          <w:rFonts w:hint="eastAsia" w:ascii="黑体" w:hAnsi="黑体" w:eastAsia="黑体"/>
          <w:sz w:val="32"/>
          <w:szCs w:val="36"/>
        </w:rPr>
        <w:t>《环境空气颗粒物网格化监测评价技术规范》</w:t>
      </w:r>
    </w:p>
    <w:p w14:paraId="3AD1361A">
      <w:pPr>
        <w:jc w:val="center"/>
        <w:rPr>
          <w:rFonts w:ascii="黑体" w:hAnsi="黑体" w:eastAsia="黑体"/>
          <w:sz w:val="32"/>
          <w:szCs w:val="36"/>
        </w:rPr>
      </w:pPr>
      <w:r>
        <w:rPr>
          <w:rFonts w:hint="eastAsia" w:ascii="黑体" w:hAnsi="黑体" w:eastAsia="黑体"/>
          <w:sz w:val="32"/>
          <w:szCs w:val="36"/>
        </w:rPr>
        <w:t>编制说明</w:t>
      </w:r>
    </w:p>
    <w:p w14:paraId="0B208E84">
      <w:pPr>
        <w:ind w:firstLine="640"/>
        <w:jc w:val="left"/>
      </w:pPr>
    </w:p>
    <w:p w14:paraId="201F1F55">
      <w:pPr>
        <w:pStyle w:val="2"/>
      </w:pPr>
      <w:bookmarkStart w:id="0" w:name="_Toc55252127"/>
      <w:r>
        <w:rPr>
          <w:rFonts w:hint="eastAsia"/>
        </w:rPr>
        <w:t>1</w:t>
      </w:r>
      <w:r>
        <w:t xml:space="preserve"> </w:t>
      </w:r>
      <w:r>
        <w:rPr>
          <w:rFonts w:hint="eastAsia"/>
        </w:rPr>
        <w:t>项目背景</w:t>
      </w:r>
      <w:bookmarkEnd w:id="0"/>
    </w:p>
    <w:p w14:paraId="4FA62CC3">
      <w:pPr>
        <w:pStyle w:val="3"/>
      </w:pPr>
      <w:bookmarkStart w:id="1" w:name="_Toc55252128"/>
      <w:r>
        <w:rPr>
          <w:rFonts w:hint="eastAsia"/>
        </w:rPr>
        <w:t>1</w:t>
      </w:r>
      <w:r>
        <w:t xml:space="preserve">.1 </w:t>
      </w:r>
      <w:r>
        <w:rPr>
          <w:rFonts w:hint="eastAsia"/>
        </w:rPr>
        <w:t>任务来源</w:t>
      </w:r>
      <w:bookmarkEnd w:id="1"/>
    </w:p>
    <w:p w14:paraId="2566ED00">
      <w:pPr>
        <w:ind w:firstLine="420" w:firstLineChars="200"/>
      </w:pPr>
      <w:r>
        <w:rPr>
          <w:rFonts w:hint="eastAsia"/>
        </w:rPr>
        <w:t>经北京市生态环境局申请，北京市市场监督管理局批准并将本技术规范列入《2</w:t>
      </w:r>
      <w:r>
        <w:t>019</w:t>
      </w:r>
      <w:r>
        <w:rPr>
          <w:rFonts w:hint="eastAsia"/>
        </w:rPr>
        <w:t>年北京市地方标准制修订项目计划》，原申报名称《基于网格化监测的环境空气颗粒物（TSP和PM</w:t>
      </w:r>
      <w:r>
        <w:rPr>
          <w:vertAlign w:val="subscript"/>
        </w:rPr>
        <w:t>2.5</w:t>
      </w:r>
      <w:r>
        <w:rPr>
          <w:rFonts w:hint="eastAsia"/>
        </w:rPr>
        <w:t>）评价技术规范》调整为《环境空气颗粒物网格化监测评价技术规范》，项目编号</w:t>
      </w:r>
      <w:r>
        <w:t>20191053</w:t>
      </w:r>
      <w:r>
        <w:rPr>
          <w:rFonts w:hint="eastAsia"/>
        </w:rPr>
        <w:t>。</w:t>
      </w:r>
    </w:p>
    <w:p w14:paraId="511B1DA3">
      <w:pPr>
        <w:pStyle w:val="3"/>
      </w:pPr>
      <w:bookmarkStart w:id="2" w:name="_Toc55252129"/>
      <w:r>
        <w:rPr>
          <w:rFonts w:hint="eastAsia"/>
        </w:rPr>
        <w:t>1</w:t>
      </w:r>
      <w:r>
        <w:t xml:space="preserve">.2 </w:t>
      </w:r>
      <w:r>
        <w:rPr>
          <w:rFonts w:hint="eastAsia"/>
        </w:rPr>
        <w:t>工作过程</w:t>
      </w:r>
      <w:bookmarkEnd w:id="2"/>
    </w:p>
    <w:p w14:paraId="3AD21F34">
      <w:pPr>
        <w:ind w:firstLine="420" w:firstLineChars="200"/>
      </w:pPr>
      <w:r>
        <w:rPr>
          <w:rFonts w:hint="eastAsia"/>
        </w:rPr>
        <w:t>2</w:t>
      </w:r>
      <w:r>
        <w:t>019</w:t>
      </w:r>
      <w:r>
        <w:rPr>
          <w:rFonts w:hint="eastAsia"/>
        </w:rPr>
        <w:t>年4月，原北京市环境保护监测中心接到制定《环境空气颗粒物网格化监测评价技术规范》任务后，成立了标准编制组，并启动了本标准的制定工作。</w:t>
      </w:r>
    </w:p>
    <w:p w14:paraId="10975F51">
      <w:pPr>
        <w:ind w:firstLine="420" w:firstLineChars="200"/>
      </w:pPr>
      <w:r>
        <w:rPr>
          <w:rFonts w:hint="eastAsia"/>
        </w:rPr>
        <w:t>2</w:t>
      </w:r>
      <w:r>
        <w:t>019</w:t>
      </w:r>
      <w:r>
        <w:rPr>
          <w:rFonts w:hint="eastAsia"/>
        </w:rPr>
        <w:t>年</w:t>
      </w:r>
      <w:r>
        <w:t>5</w:t>
      </w:r>
      <w:r>
        <w:rPr>
          <w:rFonts w:hint="eastAsia"/>
        </w:rPr>
        <w:t>月，在综合调研的基础上，明确了本标准的技术路线和待研究内容，完成了讨论稿编制。</w:t>
      </w:r>
    </w:p>
    <w:p w14:paraId="0EE5A035">
      <w:pPr>
        <w:ind w:firstLine="420" w:firstLineChars="200"/>
      </w:pPr>
      <w:r>
        <w:rPr>
          <w:rFonts w:hint="eastAsia"/>
        </w:rPr>
        <w:t>2</w:t>
      </w:r>
      <w:r>
        <w:t>019</w:t>
      </w:r>
      <w:r>
        <w:rPr>
          <w:rFonts w:hint="eastAsia"/>
        </w:rPr>
        <w:t>年8月，召开《大气高密度网络传感器监测技术研讨会》，讨论现行高密度网格化监测网的设备性能、数据评价与应用等内容。</w:t>
      </w:r>
    </w:p>
    <w:p w14:paraId="78416546">
      <w:pPr>
        <w:ind w:firstLine="420" w:firstLineChars="200"/>
      </w:pPr>
      <w:r>
        <w:rPr>
          <w:rFonts w:hint="eastAsia"/>
        </w:rPr>
        <w:t>2</w:t>
      </w:r>
      <w:r>
        <w:t>019</w:t>
      </w:r>
      <w:r>
        <w:rPr>
          <w:rFonts w:hint="eastAsia"/>
        </w:rPr>
        <w:t>年9月，召开《环境空气颗粒物网格化监测评价技术规范》内部专家讨论会，并赴大气网格化监测相关企业调研了颗粒物传感器监测设备性能、现行数据统计方法及在北京市内的安装应用情况。</w:t>
      </w:r>
    </w:p>
    <w:p w14:paraId="7FBE109F">
      <w:pPr>
        <w:ind w:firstLine="420" w:firstLineChars="200"/>
      </w:pPr>
      <w:r>
        <w:rPr>
          <w:rFonts w:hint="eastAsia"/>
        </w:rPr>
        <w:t>2</w:t>
      </w:r>
      <w:r>
        <w:t>019</w:t>
      </w:r>
      <w:r>
        <w:rPr>
          <w:rFonts w:hint="eastAsia"/>
        </w:rPr>
        <w:t>年1</w:t>
      </w:r>
      <w:r>
        <w:t>1</w:t>
      </w:r>
      <w:r>
        <w:rPr>
          <w:rFonts w:hint="eastAsia"/>
        </w:rPr>
        <w:t>月，结合2</w:t>
      </w:r>
      <w:r>
        <w:t>019</w:t>
      </w:r>
      <w:r>
        <w:rPr>
          <w:rFonts w:hint="eastAsia"/>
        </w:rPr>
        <w:t>年1-</w:t>
      </w:r>
      <w:r>
        <w:t>9</w:t>
      </w:r>
      <w:r>
        <w:rPr>
          <w:rFonts w:hint="eastAsia"/>
        </w:rPr>
        <w:t>月最新的TSP网格化监测情况，更新形成《环境空气颗粒物网格化监测评价技术规范》征求意见稿编制。</w:t>
      </w:r>
    </w:p>
    <w:p w14:paraId="65B69151">
      <w:pPr>
        <w:ind w:firstLine="420" w:firstLineChars="200"/>
      </w:pPr>
      <w:r>
        <w:rPr>
          <w:rFonts w:hint="eastAsia"/>
        </w:rPr>
        <w:t>2</w:t>
      </w:r>
      <w:r>
        <w:t>020</w:t>
      </w:r>
      <w:r>
        <w:rPr>
          <w:rFonts w:hint="eastAsia"/>
        </w:rPr>
        <w:t>年</w:t>
      </w:r>
      <w:r>
        <w:t>4</w:t>
      </w:r>
      <w:r>
        <w:rPr>
          <w:rFonts w:hint="eastAsia"/>
        </w:rPr>
        <w:t>月，结合2</w:t>
      </w:r>
      <w:r>
        <w:t>019</w:t>
      </w:r>
      <w:r>
        <w:rPr>
          <w:rFonts w:hint="eastAsia"/>
        </w:rPr>
        <w:t>-</w:t>
      </w:r>
      <w:r>
        <w:t>2020</w:t>
      </w:r>
      <w:r>
        <w:rPr>
          <w:rFonts w:hint="eastAsia"/>
        </w:rPr>
        <w:t>秋冬季网格化监测应用情况，调整和更新标准评价方法。</w:t>
      </w:r>
    </w:p>
    <w:p w14:paraId="4CCEB313">
      <w:pPr>
        <w:ind w:firstLine="420" w:firstLineChars="200"/>
      </w:pPr>
      <w:r>
        <w:rPr>
          <w:rFonts w:hint="eastAsia"/>
        </w:rPr>
        <w:t>2</w:t>
      </w:r>
      <w:r>
        <w:t>020</w:t>
      </w:r>
      <w:r>
        <w:rPr>
          <w:rFonts w:hint="eastAsia"/>
        </w:rPr>
        <w:t>年</w:t>
      </w:r>
      <w:r>
        <w:t>7</w:t>
      </w:r>
      <w:r>
        <w:rPr>
          <w:rFonts w:hint="eastAsia"/>
        </w:rPr>
        <w:t>月，组织开展《环境空气颗粒物网格化监测评价技术规范》内部征求意见。</w:t>
      </w:r>
    </w:p>
    <w:p w14:paraId="0BBA04C9">
      <w:pPr>
        <w:pStyle w:val="2"/>
      </w:pPr>
      <w:bookmarkStart w:id="3" w:name="_Toc55252130"/>
      <w:r>
        <w:rPr>
          <w:rFonts w:hint="eastAsia"/>
        </w:rPr>
        <w:t>2</w:t>
      </w:r>
      <w:r>
        <w:t xml:space="preserve"> </w:t>
      </w:r>
      <w:r>
        <w:rPr>
          <w:rFonts w:hint="eastAsia"/>
        </w:rPr>
        <w:t>制定本标准的必要性和意义</w:t>
      </w:r>
      <w:bookmarkEnd w:id="3"/>
    </w:p>
    <w:p w14:paraId="0A2ECAD9">
      <w:pPr>
        <w:ind w:firstLine="420" w:firstLineChars="200"/>
      </w:pPr>
      <w:r>
        <w:rPr>
          <w:rFonts w:hint="eastAsia"/>
        </w:rPr>
        <w:t>近几年来北京市的大气污染防治工作形势和大气监测能力发生了很大变化，创新的监测手段为环境管理提供了更广泛的科技支撑，这些变化要求北京市在大气网格化监测工作的前期基础上，整合现有环境空气质量评价方法，探索并建立适应新型监测方法和工作需求的评价方法。《环境颗粒物网格化监测评价技术规范》是《环境空气质量评价技术规范》（HJ</w:t>
      </w:r>
      <w:r>
        <w:t>663</w:t>
      </w:r>
      <w:r>
        <w:rPr>
          <w:rFonts w:hint="eastAsia"/>
        </w:rPr>
        <w:t>-</w:t>
      </w:r>
      <w:r>
        <w:t>2013</w:t>
      </w:r>
      <w:r>
        <w:rPr>
          <w:rFonts w:hint="eastAsia"/>
        </w:rPr>
        <w:t>）的必要补充，适用于北京市范围内的环境颗粒物网格化监测评价工作，为管理部门提供决策依据。</w:t>
      </w:r>
    </w:p>
    <w:p w14:paraId="51D48B8D">
      <w:pPr>
        <w:pStyle w:val="3"/>
      </w:pPr>
      <w:bookmarkStart w:id="4" w:name="_Toc55252131"/>
      <w:r>
        <w:t xml:space="preserve">2.1 </w:t>
      </w:r>
      <w:r>
        <w:rPr>
          <w:rFonts w:hint="eastAsia"/>
        </w:rPr>
        <w:t>北京市大气污染和网格化监测现状</w:t>
      </w:r>
      <w:bookmarkEnd w:id="4"/>
    </w:p>
    <w:p w14:paraId="5CC13A3F">
      <w:pPr>
        <w:ind w:firstLine="420" w:firstLineChars="200"/>
      </w:pPr>
      <w:r>
        <w:rPr>
          <w:rFonts w:hint="eastAsia"/>
        </w:rPr>
        <w:t>随着《北京市2</w:t>
      </w:r>
      <w:r>
        <w:t>013</w:t>
      </w:r>
      <w:r>
        <w:rPr>
          <w:rFonts w:hint="eastAsia"/>
        </w:rPr>
        <w:t>-</w:t>
      </w:r>
      <w:r>
        <w:t>2017</w:t>
      </w:r>
      <w:r>
        <w:rPr>
          <w:rFonts w:hint="eastAsia"/>
        </w:rPr>
        <w:t>年清洁空气行动计划》的开展和落实，北京市空气质量在此期间得到大幅改善，此后相关工作继续推进，2</w:t>
      </w:r>
      <w:r>
        <w:t>018</w:t>
      </w:r>
      <w:r>
        <w:rPr>
          <w:rFonts w:hint="eastAsia"/>
        </w:rPr>
        <w:t>年PM</w:t>
      </w:r>
      <w:r>
        <w:rPr>
          <w:vertAlign w:val="subscript"/>
        </w:rPr>
        <w:t>2.5</w:t>
      </w:r>
      <w:r>
        <w:rPr>
          <w:rFonts w:hint="eastAsia"/>
        </w:rPr>
        <w:t>年均浓度为5</w:t>
      </w:r>
      <w:r>
        <w:t>1</w:t>
      </w:r>
      <w:r>
        <w:rPr>
          <w:rFonts w:hint="eastAsia"/>
        </w:rPr>
        <w:t>微克/立方米，较2</w:t>
      </w:r>
      <w:r>
        <w:t>013</w:t>
      </w:r>
      <w:r>
        <w:rPr>
          <w:rFonts w:hint="eastAsia"/>
        </w:rPr>
        <w:t>年下降4</w:t>
      </w:r>
      <w:r>
        <w:t>2.7</w:t>
      </w:r>
      <w:r>
        <w:rPr>
          <w:rFonts w:hint="eastAsia"/>
        </w:rPr>
        <w:t>%，但是仍然超过国家标准（3</w:t>
      </w:r>
      <w:r>
        <w:t>5</w:t>
      </w:r>
      <w:r>
        <w:rPr>
          <w:rFonts w:hint="eastAsia"/>
        </w:rPr>
        <w:t>微克/立方米）4</w:t>
      </w:r>
      <w:r>
        <w:t>6</w:t>
      </w:r>
      <w:r>
        <w:rPr>
          <w:rFonts w:hint="eastAsia"/>
        </w:rPr>
        <w:t>%。2</w:t>
      </w:r>
      <w:r>
        <w:t>017</w:t>
      </w:r>
      <w:r>
        <w:rPr>
          <w:rFonts w:hint="eastAsia"/>
        </w:rPr>
        <w:t>年北京市PM</w:t>
      </w:r>
      <w:r>
        <w:rPr>
          <w:vertAlign w:val="subscript"/>
        </w:rPr>
        <w:t>2.5</w:t>
      </w:r>
      <w:r>
        <w:rPr>
          <w:rFonts w:hint="eastAsia"/>
        </w:rPr>
        <w:t>来源解析情况显示，在本地污染源排放贡献中，移动源、扬尘源、工业源、生活面源和燃煤源分别占4</w:t>
      </w:r>
      <w:r>
        <w:t>5</w:t>
      </w:r>
      <w:r>
        <w:rPr>
          <w:rFonts w:hint="eastAsia"/>
        </w:rPr>
        <w:t>%、1</w:t>
      </w:r>
      <w:r>
        <w:t>6</w:t>
      </w:r>
      <w:r>
        <w:rPr>
          <w:rFonts w:hint="eastAsia"/>
        </w:rPr>
        <w:t>%、1</w:t>
      </w:r>
      <w:r>
        <w:t>2</w:t>
      </w:r>
      <w:r>
        <w:rPr>
          <w:rFonts w:hint="eastAsia"/>
        </w:rPr>
        <w:t>%、1</w:t>
      </w:r>
      <w:r>
        <w:t>2</w:t>
      </w:r>
      <w:r>
        <w:rPr>
          <w:rFonts w:hint="eastAsia"/>
        </w:rPr>
        <w:t>%和3%，与前一阶段（2</w:t>
      </w:r>
      <w:r>
        <w:t>013</w:t>
      </w:r>
      <w:r>
        <w:rPr>
          <w:rFonts w:hint="eastAsia"/>
        </w:rPr>
        <w:t>年）的源解析结果相比，尽管全部源类的绝对贡献量都有明显下降，但是从相对贡献率上来看燃煤源和工业源贡献率下降，移动源和扬尘源贡献率出现上升。PM</w:t>
      </w:r>
      <w:r>
        <w:rPr>
          <w:vertAlign w:val="subscript"/>
        </w:rPr>
        <w:t>2.5</w:t>
      </w:r>
      <w:r>
        <w:rPr>
          <w:rFonts w:hint="eastAsia"/>
        </w:rPr>
        <w:t>以及TSP等污染物仍是北京市大气污染的重点问题，进一步改善存在巨大挑战。</w:t>
      </w:r>
    </w:p>
    <w:p w14:paraId="2197341D">
      <w:pPr>
        <w:ind w:firstLine="420" w:firstLineChars="200"/>
        <w:rPr>
          <w:rFonts w:cs="Times New Roman"/>
          <w:color w:val="000000"/>
          <w:szCs w:val="24"/>
        </w:rPr>
      </w:pPr>
      <w:r>
        <w:rPr>
          <w:rFonts w:cs="Times New Roman"/>
          <w:color w:val="000000"/>
          <w:szCs w:val="24"/>
        </w:rPr>
        <w:t>北京市于2015年</w:t>
      </w:r>
      <w:r>
        <w:rPr>
          <w:rFonts w:hint="eastAsia" w:cs="Times New Roman"/>
          <w:color w:val="000000"/>
          <w:szCs w:val="24"/>
        </w:rPr>
        <w:t>开始</w:t>
      </w:r>
      <w:r>
        <w:rPr>
          <w:rFonts w:cs="Times New Roman"/>
          <w:color w:val="000000"/>
          <w:szCs w:val="24"/>
        </w:rPr>
        <w:t>开展</w:t>
      </w:r>
      <w:r>
        <w:rPr>
          <w:rFonts w:hint="eastAsia" w:cs="Times New Roman"/>
          <w:color w:val="000000"/>
          <w:szCs w:val="24"/>
        </w:rPr>
        <w:t>基于小型传感器的</w:t>
      </w:r>
      <w:r>
        <w:rPr>
          <w:rFonts w:cs="Times New Roman"/>
          <w:color w:val="000000"/>
          <w:szCs w:val="24"/>
        </w:rPr>
        <w:t>PM</w:t>
      </w:r>
      <w:r>
        <w:rPr>
          <w:rFonts w:cs="Times New Roman"/>
          <w:color w:val="000000"/>
          <w:szCs w:val="24"/>
          <w:vertAlign w:val="subscript"/>
        </w:rPr>
        <w:t>2.5</w:t>
      </w:r>
      <w:r>
        <w:rPr>
          <w:rFonts w:hint="eastAsia" w:cs="Times New Roman"/>
          <w:color w:val="000000"/>
          <w:szCs w:val="24"/>
        </w:rPr>
        <w:t>高密度</w:t>
      </w:r>
      <w:r>
        <w:rPr>
          <w:rFonts w:cs="Times New Roman"/>
          <w:color w:val="000000"/>
          <w:szCs w:val="24"/>
        </w:rPr>
        <w:t>监测</w:t>
      </w:r>
      <w:r>
        <w:rPr>
          <w:rFonts w:hint="eastAsia" w:cs="Times New Roman"/>
          <w:color w:val="000000"/>
          <w:szCs w:val="24"/>
        </w:rPr>
        <w:t>相关</w:t>
      </w:r>
      <w:r>
        <w:rPr>
          <w:rFonts w:cs="Times New Roman"/>
          <w:color w:val="000000"/>
          <w:szCs w:val="24"/>
        </w:rPr>
        <w:t>技术研究，</w:t>
      </w:r>
      <w:r>
        <w:rPr>
          <w:rFonts w:hint="eastAsia" w:cs="Times New Roman"/>
          <w:color w:val="000000"/>
          <w:szCs w:val="24"/>
        </w:rPr>
        <w:t>2</w:t>
      </w:r>
      <w:r>
        <w:rPr>
          <w:rFonts w:cs="Times New Roman"/>
          <w:color w:val="000000"/>
          <w:szCs w:val="24"/>
        </w:rPr>
        <w:t>016</w:t>
      </w:r>
      <w:r>
        <w:rPr>
          <w:rFonts w:hint="eastAsia" w:cs="Times New Roman"/>
          <w:color w:val="000000"/>
          <w:szCs w:val="24"/>
        </w:rPr>
        <w:t>年开始</w:t>
      </w:r>
      <w:r>
        <w:rPr>
          <w:rFonts w:cs="Times New Roman"/>
          <w:color w:val="000000"/>
          <w:szCs w:val="24"/>
        </w:rPr>
        <w:t>在</w:t>
      </w:r>
      <w:r>
        <w:rPr>
          <w:rFonts w:hint="eastAsia" w:cs="Times New Roman"/>
          <w:color w:val="000000"/>
          <w:szCs w:val="24"/>
        </w:rPr>
        <w:t>全市域范围内网格化布设PM</w:t>
      </w:r>
      <w:r>
        <w:rPr>
          <w:rFonts w:cs="Times New Roman"/>
          <w:color w:val="000000"/>
          <w:szCs w:val="24"/>
          <w:vertAlign w:val="subscript"/>
        </w:rPr>
        <w:t>2.5</w:t>
      </w:r>
      <w:r>
        <w:rPr>
          <w:rFonts w:hint="eastAsia" w:cs="Times New Roman"/>
          <w:color w:val="000000"/>
          <w:szCs w:val="24"/>
        </w:rPr>
        <w:t>传感器监测网络，一期总规模超过1</w:t>
      </w:r>
      <w:r>
        <w:rPr>
          <w:rFonts w:cs="Times New Roman"/>
          <w:color w:val="000000"/>
          <w:szCs w:val="24"/>
        </w:rPr>
        <w:t>300</w:t>
      </w:r>
      <w:r>
        <w:rPr>
          <w:rFonts w:hint="eastAsia" w:cs="Times New Roman"/>
          <w:color w:val="000000"/>
          <w:szCs w:val="24"/>
        </w:rPr>
        <w:t>个。2</w:t>
      </w:r>
      <w:r>
        <w:rPr>
          <w:rFonts w:cs="Times New Roman"/>
          <w:color w:val="000000"/>
          <w:szCs w:val="24"/>
        </w:rPr>
        <w:t>017</w:t>
      </w:r>
      <w:r>
        <w:rPr>
          <w:rFonts w:hint="eastAsia" w:cs="Times New Roman"/>
          <w:color w:val="000000"/>
          <w:szCs w:val="24"/>
        </w:rPr>
        <w:t>年北京市PM</w:t>
      </w:r>
      <w:r>
        <w:rPr>
          <w:rFonts w:cs="Times New Roman"/>
          <w:color w:val="000000"/>
          <w:szCs w:val="24"/>
          <w:vertAlign w:val="subscript"/>
        </w:rPr>
        <w:t>2.5</w:t>
      </w:r>
      <w:r>
        <w:rPr>
          <w:rFonts w:hint="eastAsia" w:cs="Times New Roman"/>
          <w:color w:val="000000"/>
          <w:szCs w:val="24"/>
        </w:rPr>
        <w:t>高密度（网格化）监测网络开始业务化运行。在服务管理方面，网格化监测数据一方面用于乡镇（街道）级别的空气质量评价和考核，这是点位相对稀疏的标准监测站网无法做到的；另一方面是通过5</w:t>
      </w:r>
      <w:r>
        <w:rPr>
          <w:rFonts w:cs="Times New Roman"/>
          <w:color w:val="000000"/>
          <w:szCs w:val="24"/>
        </w:rPr>
        <w:t>00</w:t>
      </w:r>
      <w:r>
        <w:rPr>
          <w:rFonts w:hint="eastAsia" w:cs="Times New Roman"/>
          <w:color w:val="000000"/>
          <w:szCs w:val="24"/>
        </w:rPr>
        <w:t>米×5</w:t>
      </w:r>
      <w:r>
        <w:rPr>
          <w:rFonts w:cs="Times New Roman"/>
          <w:color w:val="000000"/>
          <w:szCs w:val="24"/>
        </w:rPr>
        <w:t>00</w:t>
      </w:r>
      <w:r>
        <w:rPr>
          <w:rFonts w:hint="eastAsia" w:cs="Times New Roman"/>
          <w:color w:val="000000"/>
          <w:szCs w:val="24"/>
        </w:rPr>
        <w:t>米网格反演后的分析数据筛选可能存在的高污染排放网格，以“报警网格”（也称“高值网格”、“敏感网格”等）的形式推送给监察执法部门做进一步的现场核实。</w:t>
      </w:r>
    </w:p>
    <w:p w14:paraId="0225EBDB">
      <w:pPr>
        <w:keepNext/>
        <w:jc w:val="center"/>
        <w:rPr>
          <w:rFonts w:cs="Times New Roman"/>
          <w:szCs w:val="24"/>
        </w:rPr>
      </w:pPr>
      <w:r>
        <w:drawing>
          <wp:inline distT="0" distB="0" distL="0" distR="0">
            <wp:extent cx="3188970" cy="3162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231380" cy="3205001"/>
                    </a:xfrm>
                    <a:prstGeom prst="rect">
                      <a:avLst/>
                    </a:prstGeom>
                  </pic:spPr>
                </pic:pic>
              </a:graphicData>
            </a:graphic>
          </wp:inline>
        </w:drawing>
      </w:r>
    </w:p>
    <w:p w14:paraId="3BDCE94D">
      <w:pPr>
        <w:widowControl/>
        <w:spacing w:before="31" w:beforeLines="10" w:after="31" w:afterLines="10"/>
        <w:jc w:val="center"/>
        <w:rPr>
          <w:rFonts w:cs="Times New Roman"/>
          <w:bCs/>
          <w:color w:val="000000"/>
          <w:szCs w:val="24"/>
        </w:rPr>
      </w:pPr>
      <w:r>
        <w:rPr>
          <w:rFonts w:cs="Times New Roman"/>
          <w:bCs/>
          <w:color w:val="000000"/>
          <w:szCs w:val="24"/>
        </w:rPr>
        <w:t>图</w:t>
      </w:r>
      <w:r>
        <w:rPr>
          <w:rFonts w:hint="eastAsia" w:cs="Times New Roman"/>
          <w:bCs/>
          <w:color w:val="000000"/>
          <w:szCs w:val="24"/>
        </w:rPr>
        <w:t>1</w:t>
      </w:r>
      <w:r>
        <w:rPr>
          <w:rFonts w:cs="Times New Roman"/>
          <w:bCs/>
          <w:color w:val="000000"/>
          <w:szCs w:val="24"/>
        </w:rPr>
        <w:t xml:space="preserve"> 北京市大气PM</w:t>
      </w:r>
      <w:r>
        <w:rPr>
          <w:rFonts w:cs="Times New Roman"/>
          <w:bCs/>
          <w:color w:val="000000"/>
          <w:szCs w:val="24"/>
          <w:vertAlign w:val="subscript"/>
        </w:rPr>
        <w:t>2.5</w:t>
      </w:r>
      <w:r>
        <w:rPr>
          <w:rFonts w:cs="Times New Roman"/>
          <w:bCs/>
          <w:color w:val="000000"/>
          <w:szCs w:val="24"/>
        </w:rPr>
        <w:t>高密度监测</w:t>
      </w:r>
      <w:r>
        <w:rPr>
          <w:rFonts w:hint="eastAsia" w:cs="Times New Roman"/>
          <w:bCs/>
          <w:color w:val="000000"/>
          <w:szCs w:val="24"/>
        </w:rPr>
        <w:t>网格化选址示意图</w:t>
      </w:r>
    </w:p>
    <w:p w14:paraId="6DD5BD3E">
      <w:pPr>
        <w:ind w:firstLine="420" w:firstLineChars="200"/>
        <w:rPr>
          <w:rFonts w:cs="Times New Roman"/>
          <w:color w:val="000000"/>
          <w:szCs w:val="24"/>
        </w:rPr>
      </w:pPr>
    </w:p>
    <w:p w14:paraId="1C66842D">
      <w:pPr>
        <w:ind w:firstLine="420" w:firstLineChars="200"/>
        <w:rPr>
          <w:rFonts w:cs="Times New Roman"/>
          <w:color w:val="000000"/>
          <w:szCs w:val="24"/>
        </w:rPr>
      </w:pPr>
      <w:r>
        <w:rPr>
          <w:rFonts w:hint="eastAsia" w:cs="Times New Roman"/>
          <w:color w:val="000000"/>
          <w:szCs w:val="24"/>
        </w:rPr>
        <w:t>北京市PM</w:t>
      </w:r>
      <w:r>
        <w:rPr>
          <w:rFonts w:cs="Times New Roman"/>
          <w:color w:val="000000"/>
          <w:szCs w:val="24"/>
          <w:vertAlign w:val="subscript"/>
        </w:rPr>
        <w:t>2.5</w:t>
      </w:r>
      <w:r>
        <w:rPr>
          <w:rFonts w:hint="eastAsia" w:cs="Times New Roman"/>
          <w:color w:val="000000"/>
          <w:szCs w:val="24"/>
        </w:rPr>
        <w:t>网格化监测的技术体系和实施方法获得了生态环境部和相关单位的高度认可。生态环境部基于北京市实践经验，于2</w:t>
      </w:r>
      <w:r>
        <w:rPr>
          <w:rFonts w:cs="Times New Roman"/>
          <w:color w:val="000000"/>
          <w:szCs w:val="24"/>
        </w:rPr>
        <w:t>017</w:t>
      </w:r>
      <w:r>
        <w:rPr>
          <w:rFonts w:hint="eastAsia" w:cs="Times New Roman"/>
          <w:color w:val="000000"/>
          <w:szCs w:val="24"/>
        </w:rPr>
        <w:t>年组织编写并发布了《大气PM</w:t>
      </w:r>
      <w:r>
        <w:rPr>
          <w:rFonts w:hint="eastAsia" w:cs="Times New Roman"/>
          <w:color w:val="000000"/>
          <w:szCs w:val="24"/>
          <w:vertAlign w:val="subscript"/>
        </w:rPr>
        <w:t>2.5</w:t>
      </w:r>
      <w:r>
        <w:rPr>
          <w:rFonts w:hint="eastAsia" w:cs="Times New Roman"/>
          <w:color w:val="000000"/>
          <w:szCs w:val="24"/>
        </w:rPr>
        <w:t>网格化监测点位布设技术指南（试行）》、《大气PM</w:t>
      </w:r>
      <w:r>
        <w:rPr>
          <w:rFonts w:hint="eastAsia" w:cs="Times New Roman"/>
          <w:color w:val="000000"/>
          <w:szCs w:val="24"/>
          <w:vertAlign w:val="subscript"/>
        </w:rPr>
        <w:t>2.5</w:t>
      </w:r>
      <w:r>
        <w:rPr>
          <w:rFonts w:hint="eastAsia" w:cs="Times New Roman"/>
          <w:color w:val="000000"/>
          <w:szCs w:val="24"/>
        </w:rPr>
        <w:t>网格化监测系统安装和验收技术指南（试行）》、《大气PM</w:t>
      </w:r>
      <w:r>
        <w:rPr>
          <w:rFonts w:hint="eastAsia" w:cs="Times New Roman"/>
          <w:color w:val="000000"/>
          <w:szCs w:val="24"/>
          <w:vertAlign w:val="subscript"/>
        </w:rPr>
        <w:t>2.5</w:t>
      </w:r>
      <w:r>
        <w:rPr>
          <w:rFonts w:hint="eastAsia" w:cs="Times New Roman"/>
          <w:color w:val="000000"/>
          <w:szCs w:val="24"/>
        </w:rPr>
        <w:t>网格化监测系统质保质控与运行技术指南（试行）》、《大气PM</w:t>
      </w:r>
      <w:r>
        <w:rPr>
          <w:rFonts w:hint="eastAsia" w:cs="Times New Roman"/>
          <w:color w:val="000000"/>
          <w:szCs w:val="24"/>
          <w:vertAlign w:val="subscript"/>
        </w:rPr>
        <w:t>2.5</w:t>
      </w:r>
      <w:r>
        <w:rPr>
          <w:rFonts w:hint="eastAsia" w:cs="Times New Roman"/>
          <w:color w:val="000000"/>
          <w:szCs w:val="24"/>
        </w:rPr>
        <w:t>网格化监测技术要求和检测方法技术指南（试行）》等技术规范，用于指导“2+</w:t>
      </w:r>
      <w:r>
        <w:rPr>
          <w:rFonts w:cs="Times New Roman"/>
          <w:color w:val="000000"/>
          <w:szCs w:val="24"/>
        </w:rPr>
        <w:t>26</w:t>
      </w:r>
      <w:r>
        <w:rPr>
          <w:rFonts w:hint="eastAsia" w:cs="Times New Roman"/>
          <w:color w:val="000000"/>
          <w:szCs w:val="24"/>
        </w:rPr>
        <w:t>城市”等地的PM</w:t>
      </w:r>
      <w:r>
        <w:rPr>
          <w:rFonts w:cs="Times New Roman"/>
          <w:color w:val="000000"/>
          <w:szCs w:val="24"/>
          <w:vertAlign w:val="subscript"/>
        </w:rPr>
        <w:t>2.5</w:t>
      </w:r>
      <w:r>
        <w:rPr>
          <w:rFonts w:hint="eastAsia" w:cs="Times New Roman"/>
          <w:color w:val="000000"/>
          <w:szCs w:val="24"/>
        </w:rPr>
        <w:t>“热点网格”监管工作。同时在北京市内，顺义、平谷、密云、怀柔、朝阳、丰台、西城、东城、大兴等多个区和一些乡镇（街道），也采用类似技术方法在属地内加密布设了大气网格化监测设备，形成区级的网格化监测能力和精细化管理支撑框架，进一步指导辖区内各村（社区）属地大气污染攻坚工作。</w:t>
      </w:r>
    </w:p>
    <w:p w14:paraId="118823A7">
      <w:pPr>
        <w:ind w:firstLine="420" w:firstLineChars="200"/>
        <w:rPr>
          <w:rFonts w:cs="Times New Roman"/>
          <w:color w:val="000000"/>
          <w:szCs w:val="24"/>
        </w:rPr>
      </w:pPr>
      <w:r>
        <w:rPr>
          <w:rFonts w:hint="eastAsia" w:cs="Times New Roman"/>
          <w:color w:val="000000"/>
          <w:szCs w:val="24"/>
        </w:rPr>
        <w:t>2</w:t>
      </w:r>
      <w:r>
        <w:rPr>
          <w:rFonts w:cs="Times New Roman"/>
          <w:color w:val="000000"/>
          <w:szCs w:val="24"/>
        </w:rPr>
        <w:t>018</w:t>
      </w:r>
      <w:r>
        <w:rPr>
          <w:rFonts w:hint="eastAsia" w:cs="Times New Roman"/>
          <w:color w:val="000000"/>
          <w:szCs w:val="24"/>
        </w:rPr>
        <w:t>年初，为了进一步深化城市网格化管理，推进环境污染治理责任向街乡镇基层政府传导，降低大气中降尘等大颗粒物的浓度水平，北京市开始在全市布设总悬浮颗粒物（TSP）高密度监测网络。与此同时，为做好街乡镇空气质量量化考核的监测保障，TSP高密度监测网络的点位布局在网格化的基础上更加侧重对各街道（乡镇）属地行政边界的覆盖，达到每街道2个点位，每乡镇4个点位，完善了网格化监测网络的布局和基础设施，可以支撑属地的空气质量评价。TSP高密度监测网络于2</w:t>
      </w:r>
      <w:r>
        <w:rPr>
          <w:rFonts w:cs="Times New Roman"/>
          <w:color w:val="000000"/>
          <w:szCs w:val="24"/>
        </w:rPr>
        <w:t>018</w:t>
      </w:r>
      <w:r>
        <w:rPr>
          <w:rFonts w:hint="eastAsia" w:cs="Times New Roman"/>
          <w:color w:val="000000"/>
          <w:szCs w:val="24"/>
        </w:rPr>
        <w:t>年1</w:t>
      </w:r>
      <w:r>
        <w:rPr>
          <w:rFonts w:cs="Times New Roman"/>
          <w:color w:val="000000"/>
          <w:szCs w:val="24"/>
        </w:rPr>
        <w:t>0</w:t>
      </w:r>
      <w:r>
        <w:rPr>
          <w:rFonts w:hint="eastAsia" w:cs="Times New Roman"/>
          <w:color w:val="000000"/>
          <w:szCs w:val="24"/>
        </w:rPr>
        <w:t>月建设完成，2</w:t>
      </w:r>
      <w:r>
        <w:rPr>
          <w:rFonts w:cs="Times New Roman"/>
          <w:color w:val="000000"/>
          <w:szCs w:val="24"/>
        </w:rPr>
        <w:t>019</w:t>
      </w:r>
      <w:r>
        <w:rPr>
          <w:rFonts w:hint="eastAsia" w:cs="Times New Roman"/>
          <w:color w:val="000000"/>
          <w:szCs w:val="24"/>
        </w:rPr>
        <w:t>年1月开始业务运行应用。</w:t>
      </w:r>
    </w:p>
    <w:p w14:paraId="560EAA22">
      <w:pPr>
        <w:jc w:val="center"/>
        <w:rPr>
          <w:rFonts w:cs="Times New Roman"/>
          <w:color w:val="000000"/>
          <w:szCs w:val="24"/>
        </w:rPr>
      </w:pPr>
      <w:r>
        <w:drawing>
          <wp:inline distT="0" distB="0" distL="0" distR="0">
            <wp:extent cx="3286125" cy="33051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308973" cy="3328155"/>
                    </a:xfrm>
                    <a:prstGeom prst="rect">
                      <a:avLst/>
                    </a:prstGeom>
                  </pic:spPr>
                </pic:pic>
              </a:graphicData>
            </a:graphic>
          </wp:inline>
        </w:drawing>
      </w:r>
    </w:p>
    <w:p w14:paraId="77706A5C">
      <w:pPr>
        <w:widowControl/>
        <w:spacing w:before="31" w:beforeLines="10" w:after="31" w:afterLines="10"/>
        <w:jc w:val="center"/>
        <w:rPr>
          <w:rFonts w:cs="Times New Roman"/>
          <w:bCs/>
          <w:color w:val="000000"/>
          <w:szCs w:val="24"/>
        </w:rPr>
      </w:pPr>
      <w:r>
        <w:rPr>
          <w:rFonts w:cs="Times New Roman"/>
          <w:bCs/>
          <w:color w:val="000000"/>
          <w:szCs w:val="24"/>
        </w:rPr>
        <w:t>图</w:t>
      </w:r>
      <w:r>
        <w:rPr>
          <w:rFonts w:hint="eastAsia" w:cs="Times New Roman"/>
          <w:bCs/>
          <w:color w:val="000000"/>
          <w:szCs w:val="24"/>
        </w:rPr>
        <w:t>2</w:t>
      </w:r>
      <w:r>
        <w:rPr>
          <w:rFonts w:cs="Times New Roman"/>
          <w:bCs/>
          <w:color w:val="000000"/>
          <w:szCs w:val="24"/>
        </w:rPr>
        <w:t xml:space="preserve"> 北京市大气</w:t>
      </w:r>
      <w:r>
        <w:rPr>
          <w:rFonts w:hint="eastAsia" w:cs="Times New Roman"/>
          <w:bCs/>
          <w:color w:val="000000"/>
          <w:szCs w:val="24"/>
        </w:rPr>
        <w:t>TSP</w:t>
      </w:r>
      <w:r>
        <w:rPr>
          <w:rFonts w:cs="Times New Roman"/>
          <w:bCs/>
          <w:color w:val="000000"/>
          <w:szCs w:val="24"/>
        </w:rPr>
        <w:t>高密度监测点位</w:t>
      </w:r>
    </w:p>
    <w:p w14:paraId="69ECE8CF">
      <w:pPr>
        <w:widowControl/>
        <w:spacing w:before="31" w:beforeLines="10" w:after="31" w:afterLines="10"/>
        <w:jc w:val="center"/>
        <w:rPr>
          <w:rFonts w:cs="Times New Roman"/>
          <w:bCs/>
          <w:color w:val="000000"/>
          <w:szCs w:val="24"/>
        </w:rPr>
      </w:pPr>
    </w:p>
    <w:p w14:paraId="3464B801">
      <w:pPr>
        <w:ind w:firstLine="420" w:firstLineChars="200"/>
      </w:pPr>
      <w:r>
        <w:rPr>
          <w:rFonts w:hint="eastAsia" w:cs="Times New Roman"/>
          <w:color w:val="000000"/>
          <w:szCs w:val="24"/>
        </w:rPr>
        <w:t>北京市已经覆盖全市规模的PM</w:t>
      </w:r>
      <w:r>
        <w:rPr>
          <w:rFonts w:cs="Times New Roman"/>
          <w:color w:val="000000"/>
          <w:szCs w:val="24"/>
          <w:vertAlign w:val="subscript"/>
        </w:rPr>
        <w:t>2.5</w:t>
      </w:r>
      <w:r>
        <w:rPr>
          <w:rFonts w:hint="eastAsia" w:cs="Times New Roman"/>
          <w:color w:val="000000"/>
          <w:szCs w:val="24"/>
        </w:rPr>
        <w:t>和TSP网格化监测网，部分区覆盖了PM</w:t>
      </w:r>
      <w:r>
        <w:rPr>
          <w:rFonts w:cs="Times New Roman"/>
          <w:color w:val="000000"/>
          <w:szCs w:val="24"/>
          <w:vertAlign w:val="subscript"/>
        </w:rPr>
        <w:t>10</w:t>
      </w:r>
      <w:r>
        <w:rPr>
          <w:rFonts w:hint="eastAsia" w:cs="Times New Roman"/>
          <w:color w:val="000000"/>
          <w:szCs w:val="24"/>
        </w:rPr>
        <w:t>网格化监测网，环境颗粒物网格化监测网建设和应用广泛。网格化监测数据主要用于对单个点位所代表的周边局地和对乡镇（街道）等行政属地进行环境空气污染水平评价。本标准旨在为以上评价工作提供技术规范。</w:t>
      </w:r>
    </w:p>
    <w:p w14:paraId="2350483D">
      <w:pPr>
        <w:pStyle w:val="3"/>
      </w:pPr>
      <w:bookmarkStart w:id="5" w:name="_Toc55252132"/>
      <w:r>
        <w:rPr>
          <w:rFonts w:hint="eastAsia"/>
        </w:rPr>
        <w:t>2</w:t>
      </w:r>
      <w:r>
        <w:t xml:space="preserve">.2 </w:t>
      </w:r>
      <w:r>
        <w:rPr>
          <w:rFonts w:hint="eastAsia"/>
        </w:rPr>
        <w:t>国内外网格化监测评价的主要做法</w:t>
      </w:r>
      <w:bookmarkEnd w:id="5"/>
    </w:p>
    <w:p w14:paraId="220DB6B4">
      <w:pPr>
        <w:ind w:firstLine="420" w:firstLineChars="200"/>
      </w:pPr>
      <w:r>
        <w:rPr>
          <w:rFonts w:hint="eastAsia"/>
        </w:rPr>
        <w:t>国外应用小型传感器连续监测环境空气质量的项目主要有美国国家环保署的Village</w:t>
      </w:r>
      <w:r>
        <w:t xml:space="preserve"> </w:t>
      </w:r>
      <w:r>
        <w:rPr>
          <w:rFonts w:hint="eastAsia"/>
        </w:rPr>
        <w:t>Green项目，欧盟的Citi-Sense项目，英国伦敦的Breath</w:t>
      </w:r>
      <w:r>
        <w:t xml:space="preserve"> </w:t>
      </w:r>
      <w:r>
        <w:rPr>
          <w:rFonts w:hint="eastAsia"/>
        </w:rPr>
        <w:t>London项目等。从监测网络来看，国外空气传感器监测项目的监测点位数量较少（不超过1</w:t>
      </w:r>
      <w:r>
        <w:t>00</w:t>
      </w:r>
      <w:r>
        <w:rPr>
          <w:rFonts w:hint="eastAsia"/>
        </w:rPr>
        <w:t>个），没有形成与国内体量相当的网格化规模；从监测项目来看，国外空气传感器监测以NO</w:t>
      </w:r>
      <w:r>
        <w:rPr>
          <w:vertAlign w:val="subscript"/>
        </w:rPr>
        <w:t>2</w:t>
      </w:r>
      <w:r>
        <w:rPr>
          <w:rFonts w:hint="eastAsia"/>
        </w:rPr>
        <w:t>，VOC等气态污染物为主；从数据的应用来看，国外空气传感器监测项目多用于研究暴露水平和提供公众信息，与大气环境管理没有直接的关联。</w:t>
      </w:r>
    </w:p>
    <w:p w14:paraId="741D0D5C">
      <w:pPr>
        <w:ind w:firstLine="420" w:firstLineChars="200"/>
      </w:pPr>
      <w:r>
        <w:rPr>
          <w:rFonts w:hint="eastAsia"/>
        </w:rPr>
        <w:t>国内多个城市已经建设了环境空气网格化监测网，北方城市全部以颗粒物为重点监测项目。在评价方面基本沿用《环境空气质量评价技术规范（试行）》的相关要求，其中属地评价在点位数量和有效数据统计上没有标准的计算口径，在管理中最常用的排名评价方面也没有统一的方法。</w:t>
      </w:r>
    </w:p>
    <w:p w14:paraId="0A957AFB">
      <w:pPr>
        <w:pStyle w:val="3"/>
      </w:pPr>
      <w:bookmarkStart w:id="6" w:name="_Toc55252133"/>
      <w:r>
        <w:rPr>
          <w:rFonts w:hint="eastAsia"/>
        </w:rPr>
        <w:t>2</w:t>
      </w:r>
      <w:r>
        <w:t xml:space="preserve">.3 </w:t>
      </w:r>
      <w:r>
        <w:rPr>
          <w:rFonts w:hint="eastAsia"/>
        </w:rPr>
        <w:t>环境空气颗粒物网格化监测评价面临的主要问题和对策</w:t>
      </w:r>
      <w:bookmarkEnd w:id="6"/>
    </w:p>
    <w:p w14:paraId="0233933E">
      <w:pPr>
        <w:ind w:firstLine="420" w:firstLineChars="200"/>
      </w:pPr>
      <w:r>
        <w:rPr>
          <w:rFonts w:hint="eastAsia"/>
        </w:rPr>
        <w:t>我国基于标准方法空气质量监测手段的环境空气质量评价得到长期广泛业务应用，对环境管理决策和公众信息服务起到了积极作用，促进了城市大气环境质量的改善。但是随着监测手段的发展及北京等重点城市空气污染治理工作的不断深入，要求环境空气质量评价工作能够与时俱进，科学、客观地评估基层属地和地理网格。但是现行的环境空气质量评价方法面向城市尺度，且只针对标准检测方法，在精细化的环境管理需求下尚存在空白。</w:t>
      </w:r>
    </w:p>
    <w:p w14:paraId="3D6405E1">
      <w:pPr>
        <w:ind w:firstLine="420" w:firstLineChars="200"/>
      </w:pPr>
      <w:r>
        <w:rPr>
          <w:rFonts w:hint="eastAsia"/>
        </w:rPr>
        <w:t>环境空气颗粒物网格化监测评价面临的主要问题是采用了非标准监测方法，监测设备的性能指标仍存在不确定性，网络建设和应用实践经验都比较少，对这些问题的主要思考和对策如下：</w:t>
      </w:r>
    </w:p>
    <w:p w14:paraId="6952B92A">
      <w:pPr>
        <w:ind w:firstLine="420" w:firstLineChars="200"/>
      </w:pPr>
      <w:r>
        <w:rPr>
          <w:rFonts w:hint="eastAsia"/>
        </w:rPr>
        <w:t>第一，本标准在研究和编写过程中充分调研北京市实际安装的颗粒物传感器监测设备的稳定性和数据质量控制方法，对尽可能长时间的运行情况和历史监测数据进行分析，认为其已经接近标准方法自动监测设备在数据评价方面的要求。同时也相信作为空间小尺度环境空气质量监测的低成本解决方案，小型空气监测传感器未来应用前景广泛，关键性能指标还将继续提高。</w:t>
      </w:r>
    </w:p>
    <w:p w14:paraId="40562B47">
      <w:pPr>
        <w:ind w:firstLine="420" w:firstLineChars="200"/>
      </w:pPr>
      <w:r>
        <w:rPr>
          <w:rFonts w:hint="eastAsia"/>
        </w:rPr>
        <w:t>第二，在评价方法方面，各评价项目是否达到浓度限值仅作为参考性评价，全市和各区仍采用标准方法监测设备的数据进行评价。在乡镇（街道）层面更多的采用排名和排名变化来进行评价，侧重于评价属地在所处地区的相对水平，促进排名落后和排名下降的属地加大污染治理力度。</w:t>
      </w:r>
    </w:p>
    <w:p w14:paraId="6B29CA20">
      <w:pPr>
        <w:ind w:firstLine="420" w:firstLineChars="200"/>
      </w:pPr>
      <w:r>
        <w:rPr>
          <w:rFonts w:hint="eastAsia"/>
        </w:rPr>
        <w:t>第三，本标准暂不涉及仍处在探索阶段的网格浓度计算和“热点网格”评价等内容，未来将根据最新的研究和应用进展及时修订。</w:t>
      </w:r>
    </w:p>
    <w:p w14:paraId="071FBE49">
      <w:pPr>
        <w:pStyle w:val="2"/>
      </w:pPr>
      <w:bookmarkStart w:id="7" w:name="_Toc55252134"/>
      <w:r>
        <w:rPr>
          <w:rFonts w:hint="eastAsia"/>
        </w:rPr>
        <w:t>3编制原则和编制依据</w:t>
      </w:r>
      <w:bookmarkEnd w:id="7"/>
    </w:p>
    <w:p w14:paraId="7FCF8F8E">
      <w:pPr>
        <w:pStyle w:val="3"/>
      </w:pPr>
      <w:bookmarkStart w:id="8" w:name="_Toc55252135"/>
      <w:r>
        <w:rPr>
          <w:rFonts w:hint="eastAsia"/>
        </w:rPr>
        <w:t>3</w:t>
      </w:r>
      <w:r>
        <w:t xml:space="preserve">.1 </w:t>
      </w:r>
      <w:r>
        <w:rPr>
          <w:rFonts w:hint="eastAsia"/>
        </w:rPr>
        <w:t>编制原则</w:t>
      </w:r>
      <w:bookmarkEnd w:id="8"/>
    </w:p>
    <w:p w14:paraId="3B69FEB4">
      <w:pPr>
        <w:ind w:firstLine="420" w:firstLineChars="200"/>
      </w:pPr>
      <w:r>
        <w:rPr>
          <w:rFonts w:hint="eastAsia"/>
        </w:rPr>
        <w:t>以我市现有的环境空气网格化监测体系和现行的环境空气质量评价方法为技术基础，结合近2年来环境空气颗粒物网格化监测数据在实际工作中的应用情况，与《环境空气质量评价技术规范（试行）》（HJ</w:t>
      </w:r>
      <w:r>
        <w:t>663-2013</w:t>
      </w:r>
      <w:r>
        <w:rPr>
          <w:rFonts w:hint="eastAsia"/>
        </w:rPr>
        <w:t>）充分衔接，着眼未来发展，兼顾各方需要，制定具有科学性、先进性和可操作性的环境空气颗粒物评价技术规范。</w:t>
      </w:r>
    </w:p>
    <w:p w14:paraId="57B4B4D0">
      <w:pPr>
        <w:pStyle w:val="3"/>
      </w:pPr>
      <w:bookmarkStart w:id="9" w:name="_Toc55252136"/>
      <w:r>
        <w:rPr>
          <w:rFonts w:hint="eastAsia"/>
        </w:rPr>
        <w:t>3</w:t>
      </w:r>
      <w:r>
        <w:t xml:space="preserve">.2 </w:t>
      </w:r>
      <w:r>
        <w:rPr>
          <w:rFonts w:hint="eastAsia"/>
        </w:rPr>
        <w:t>编制依据</w:t>
      </w:r>
      <w:bookmarkEnd w:id="9"/>
    </w:p>
    <w:p w14:paraId="6963FC05">
      <w:pPr>
        <w:ind w:firstLine="420" w:firstLineChars="200"/>
      </w:pPr>
      <w:r>
        <w:rPr>
          <w:rFonts w:hint="eastAsia"/>
        </w:rPr>
        <w:t>本标准引用下列文件或其中的条款。凡是未注明日期的引用文件，适用其最新版本。</w:t>
      </w:r>
    </w:p>
    <w:p w14:paraId="7843A7CE">
      <w:pPr>
        <w:ind w:firstLine="420" w:firstLineChars="200"/>
        <w:jc w:val="center"/>
      </w:pPr>
      <w:r>
        <w:rPr>
          <w:rFonts w:hint="eastAsia"/>
        </w:rPr>
        <w:t>表1</w:t>
      </w:r>
      <w:r>
        <w:t xml:space="preserve"> </w:t>
      </w:r>
      <w:r>
        <w:rPr>
          <w:rFonts w:hint="eastAsia"/>
        </w:rPr>
        <w:t>本标准引用文件列表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0"/>
        <w:gridCol w:w="6052"/>
      </w:tblGrid>
      <w:tr w14:paraId="5434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vAlign w:val="center"/>
          </w:tcPr>
          <w:p w14:paraId="17FA513B">
            <w:r>
              <w:t>GB 3095</w:t>
            </w:r>
          </w:p>
        </w:tc>
        <w:tc>
          <w:tcPr>
            <w:tcW w:w="6052" w:type="dxa"/>
            <w:vAlign w:val="center"/>
          </w:tcPr>
          <w:p w14:paraId="3C7FA76F">
            <w:r>
              <w:rPr>
                <w:rFonts w:hint="eastAsia"/>
              </w:rPr>
              <w:t>环境空气质量标准</w:t>
            </w:r>
          </w:p>
        </w:tc>
      </w:tr>
      <w:tr w14:paraId="7AD3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vAlign w:val="center"/>
          </w:tcPr>
          <w:p w14:paraId="2CE2E6CA">
            <w:r>
              <w:t>GB/T 8170</w:t>
            </w:r>
          </w:p>
        </w:tc>
        <w:tc>
          <w:tcPr>
            <w:tcW w:w="6052" w:type="dxa"/>
            <w:vAlign w:val="center"/>
          </w:tcPr>
          <w:p w14:paraId="2D8D8C7A">
            <w:r>
              <w:rPr>
                <w:rFonts w:hint="eastAsia"/>
              </w:rPr>
              <w:t xml:space="preserve">数值修约规则与极限数值的表示和判定 </w:t>
            </w:r>
          </w:p>
        </w:tc>
      </w:tr>
      <w:tr w14:paraId="75E3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vAlign w:val="center"/>
          </w:tcPr>
          <w:p w14:paraId="56B147BF">
            <w:r>
              <w:rPr>
                <w:rFonts w:hint="eastAsia"/>
              </w:rPr>
              <w:t>HJ</w:t>
            </w:r>
            <w:r>
              <w:t xml:space="preserve"> 663</w:t>
            </w:r>
          </w:p>
        </w:tc>
        <w:tc>
          <w:tcPr>
            <w:tcW w:w="6052" w:type="dxa"/>
            <w:vAlign w:val="center"/>
          </w:tcPr>
          <w:p w14:paraId="139AC424">
            <w:r>
              <w:rPr>
                <w:rFonts w:hint="eastAsia"/>
              </w:rPr>
              <w:t>环境空气质量评价技术规范（试行）</w:t>
            </w:r>
          </w:p>
        </w:tc>
      </w:tr>
    </w:tbl>
    <w:p w14:paraId="09237E5B">
      <w:pPr>
        <w:ind w:firstLine="640"/>
      </w:pPr>
    </w:p>
    <w:p w14:paraId="0B0126D5">
      <w:pPr>
        <w:ind w:firstLine="420" w:firstLineChars="200"/>
      </w:pPr>
      <w:r>
        <w:rPr>
          <w:rFonts w:hint="eastAsia"/>
        </w:rPr>
        <w:t>本标准同时参照生态环境部发布的《大气PM</w:t>
      </w:r>
      <w:r>
        <w:rPr>
          <w:rFonts w:hint="eastAsia"/>
          <w:vertAlign w:val="subscript"/>
        </w:rPr>
        <w:t>2.5</w:t>
      </w:r>
      <w:r>
        <w:rPr>
          <w:rFonts w:hint="eastAsia"/>
        </w:rPr>
        <w:t>网格化监测点位布设技术指南（试行）》、《大气PM</w:t>
      </w:r>
      <w:r>
        <w:rPr>
          <w:rFonts w:hint="eastAsia"/>
          <w:vertAlign w:val="subscript"/>
        </w:rPr>
        <w:t>2.5</w:t>
      </w:r>
      <w:r>
        <w:rPr>
          <w:rFonts w:hint="eastAsia"/>
        </w:rPr>
        <w:t>网格化监测系统安装和验收技术指南（试行）》、《大气PM</w:t>
      </w:r>
      <w:r>
        <w:rPr>
          <w:rFonts w:hint="eastAsia"/>
          <w:vertAlign w:val="subscript"/>
        </w:rPr>
        <w:t>2.5</w:t>
      </w:r>
      <w:r>
        <w:rPr>
          <w:rFonts w:hint="eastAsia"/>
        </w:rPr>
        <w:t>网格化监测系统质保质控与运行技术指南（试行）》、《大气PM</w:t>
      </w:r>
      <w:r>
        <w:rPr>
          <w:rFonts w:hint="eastAsia"/>
          <w:vertAlign w:val="subscript"/>
        </w:rPr>
        <w:t>2.5</w:t>
      </w:r>
      <w:r>
        <w:rPr>
          <w:rFonts w:hint="eastAsia"/>
        </w:rPr>
        <w:t>网格化监测技术要求和检测方法技术指南（试行）》等四部技术指南，以及《关于调整城市环境空气质量监测数据有效性统计方法的通知》（总站气字[</w:t>
      </w:r>
      <w:r>
        <w:t>2016]276</w:t>
      </w:r>
      <w:r>
        <w:rPr>
          <w:rFonts w:hint="eastAsia"/>
        </w:rPr>
        <w:t>号）和《城市环境空气质量排名技术规定》（环办监测[</w:t>
      </w:r>
      <w:r>
        <w:t>2018]19</w:t>
      </w:r>
      <w:r>
        <w:rPr>
          <w:rFonts w:hint="eastAsia"/>
        </w:rPr>
        <w:t>号）。</w:t>
      </w:r>
    </w:p>
    <w:p w14:paraId="46508582">
      <w:pPr>
        <w:pStyle w:val="2"/>
      </w:pPr>
      <w:bookmarkStart w:id="10" w:name="_Toc55252137"/>
      <w:r>
        <w:rPr>
          <w:rFonts w:hint="eastAsia"/>
        </w:rPr>
        <w:t>4</w:t>
      </w:r>
      <w:r>
        <w:t xml:space="preserve"> </w:t>
      </w:r>
      <w:r>
        <w:rPr>
          <w:rFonts w:hint="eastAsia"/>
        </w:rPr>
        <w:t>标准的主要技术内容</w:t>
      </w:r>
      <w:bookmarkEnd w:id="10"/>
    </w:p>
    <w:p w14:paraId="1E48805B">
      <w:pPr>
        <w:pStyle w:val="3"/>
      </w:pPr>
      <w:bookmarkStart w:id="11" w:name="_Toc55252138"/>
      <w:r>
        <w:t xml:space="preserve">4.1 </w:t>
      </w:r>
      <w:r>
        <w:rPr>
          <w:rFonts w:hint="eastAsia"/>
        </w:rPr>
        <w:t>适用范围</w:t>
      </w:r>
      <w:bookmarkEnd w:id="11"/>
    </w:p>
    <w:p w14:paraId="21DD82BD">
      <w:pPr>
        <w:ind w:firstLine="420" w:firstLineChars="200"/>
      </w:pPr>
      <w:r>
        <w:rPr>
          <w:rFonts w:hint="eastAsia"/>
        </w:rPr>
        <w:t>本标准规定了基于网格化监测的环境空气颗粒物评价的评价对象、评价项目、评价方法和数据统计方法等内容。作为《环境空气质量标准》（GB</w:t>
      </w:r>
      <w:r>
        <w:t>3095</w:t>
      </w:r>
      <w:r>
        <w:rPr>
          <w:rFonts w:hint="eastAsia"/>
        </w:rPr>
        <w:t>-</w:t>
      </w:r>
      <w:r>
        <w:t>2012</w:t>
      </w:r>
      <w:r>
        <w:rPr>
          <w:rFonts w:hint="eastAsia"/>
        </w:rPr>
        <w:t>）和《环境空气质量评价技术规范（试行）》（HJ</w:t>
      </w:r>
      <w:r>
        <w:t>663-2013</w:t>
      </w:r>
      <w:r>
        <w:rPr>
          <w:rFonts w:hint="eastAsia"/>
        </w:rPr>
        <w:t>）的延伸，其内容上涵盖了对单点和属地的环境颗粒物评价，为北京市网格化监测的环境颗粒物评价工作提供标准依据和方法规范。</w:t>
      </w:r>
    </w:p>
    <w:p w14:paraId="7746466F">
      <w:pPr>
        <w:pStyle w:val="3"/>
      </w:pPr>
      <w:bookmarkStart w:id="12" w:name="_Toc55252139"/>
      <w:r>
        <w:rPr>
          <w:rFonts w:hint="eastAsia"/>
        </w:rPr>
        <w:t>4</w:t>
      </w:r>
      <w:r>
        <w:t xml:space="preserve">.2 </w:t>
      </w:r>
      <w:r>
        <w:rPr>
          <w:rFonts w:hint="eastAsia"/>
        </w:rPr>
        <w:t>术语和定义</w:t>
      </w:r>
      <w:bookmarkEnd w:id="12"/>
    </w:p>
    <w:p w14:paraId="692FAD69">
      <w:pPr>
        <w:ind w:firstLine="420" w:firstLineChars="200"/>
      </w:pPr>
      <w:r>
        <w:rPr>
          <w:rFonts w:hint="eastAsia"/>
        </w:rPr>
        <w:t>本标准对环境空气颗粒物网格化监测评价中涉及的常见名词进行了定义，包括网格化监测、环境空气颗粒物网格化监测、网格化监测环境监控点、和属地等。</w:t>
      </w:r>
    </w:p>
    <w:p w14:paraId="33C4CEF0">
      <w:pPr>
        <w:ind w:firstLine="420" w:firstLineChars="200"/>
      </w:pPr>
      <w:r>
        <w:rPr>
          <w:rFonts w:hint="eastAsia"/>
        </w:rPr>
        <w:t>GB3095-2012和HJ663-2013界定的以及下列术语和定义适用于本文件，包括：环境空气、总悬浮颗粒物、颗粒物（粒径小于等于1</w:t>
      </w:r>
      <w:r>
        <w:t>0</w:t>
      </w:r>
      <w:r>
        <w:rPr>
          <w:rFonts w:cs="Times New Roman"/>
        </w:rPr>
        <w:t>μ</w:t>
      </w:r>
      <w:r>
        <w:rPr>
          <w:rFonts w:hint="eastAsia"/>
        </w:rPr>
        <w:t>m）、颗粒物（粒径小于等于2</w:t>
      </w:r>
      <w:r>
        <w:t>.5</w:t>
      </w:r>
      <w:r>
        <w:rPr>
          <w:rFonts w:cs="Times New Roman"/>
        </w:rPr>
        <w:t>μ</w:t>
      </w:r>
      <w:r>
        <w:rPr>
          <w:rFonts w:hint="eastAsia"/>
        </w:rPr>
        <w:t>m）、1小时平均、2</w:t>
      </w:r>
      <w:r>
        <w:t>4</w:t>
      </w:r>
      <w:r>
        <w:rPr>
          <w:rFonts w:hint="eastAsia"/>
        </w:rPr>
        <w:t>小时平均（日平均）、月平均、季平均、年平均、环境空气质量评价等。</w:t>
      </w:r>
    </w:p>
    <w:p w14:paraId="51A8BA2C">
      <w:pPr>
        <w:outlineLvl w:val="2"/>
        <w:rPr>
          <w:b/>
          <w:bCs/>
        </w:rPr>
      </w:pPr>
      <w:bookmarkStart w:id="13" w:name="_Toc55252140"/>
      <w:r>
        <w:rPr>
          <w:rFonts w:hint="eastAsia"/>
          <w:b/>
          <w:bCs/>
        </w:rPr>
        <w:t>（1）网格化监测 grid</w:t>
      </w:r>
      <w:r>
        <w:rPr>
          <w:b/>
          <w:bCs/>
        </w:rPr>
        <w:t xml:space="preserve"> </w:t>
      </w:r>
      <w:r>
        <w:rPr>
          <w:rFonts w:hint="eastAsia"/>
          <w:b/>
          <w:bCs/>
        </w:rPr>
        <w:t>monitoring</w:t>
      </w:r>
      <w:bookmarkEnd w:id="13"/>
    </w:p>
    <w:p w14:paraId="798EE05D">
      <w:pPr>
        <w:ind w:firstLine="420" w:firstLineChars="200"/>
      </w:pPr>
      <w:r>
        <w:rPr>
          <w:rFonts w:hint="eastAsia"/>
        </w:rPr>
        <w:t>网格化监测区别于传统的空气质量监测，根据《大气PM</w:t>
      </w:r>
      <w:r>
        <w:rPr>
          <w:vertAlign w:val="subscript"/>
        </w:rPr>
        <w:t>2.5</w:t>
      </w:r>
      <w:r>
        <w:rPr>
          <w:rFonts w:hint="eastAsia"/>
        </w:rPr>
        <w:t>网格化监测技术要求和检测方法技术指南（试行）》，网格化监测指为达到大气污染防治精细化管理的目的，根据不同监控需求及环境特征，将目标区域分为不同的网格进行点位布设，对各网格中相关污染物浓度进行实时监测。</w:t>
      </w:r>
    </w:p>
    <w:p w14:paraId="72C304B5">
      <w:pPr>
        <w:outlineLvl w:val="2"/>
        <w:rPr>
          <w:b/>
          <w:bCs/>
        </w:rPr>
      </w:pPr>
      <w:bookmarkStart w:id="14" w:name="_Toc55252141"/>
      <w:r>
        <w:rPr>
          <w:rFonts w:hint="eastAsia"/>
          <w:b/>
          <w:bCs/>
        </w:rPr>
        <w:t xml:space="preserve">（2）环境空气颗粒物网格化监测 </w:t>
      </w:r>
      <w:r>
        <w:rPr>
          <w:b/>
          <w:bCs/>
        </w:rPr>
        <w:t>ambient particulate matter grid monitoring</w:t>
      </w:r>
      <w:bookmarkEnd w:id="14"/>
    </w:p>
    <w:p w14:paraId="09D73D09">
      <w:pPr>
        <w:ind w:firstLine="420" w:firstLineChars="200"/>
      </w:pPr>
      <w:r>
        <w:rPr>
          <w:rFonts w:hint="eastAsia"/>
        </w:rPr>
        <w:t>环境空气颗粒物网格化监测使用与《环境空气颗粒物（PM</w:t>
      </w:r>
      <w:r>
        <w:rPr>
          <w:vertAlign w:val="subscript"/>
        </w:rPr>
        <w:t>10</w:t>
      </w:r>
      <w:r>
        <w:rPr>
          <w:rFonts w:hint="eastAsia"/>
        </w:rPr>
        <w:t>和PM</w:t>
      </w:r>
      <w:r>
        <w:rPr>
          <w:vertAlign w:val="subscript"/>
        </w:rPr>
        <w:t>2.5</w:t>
      </w:r>
      <w:r>
        <w:rPr>
          <w:rFonts w:hint="eastAsia"/>
        </w:rPr>
        <w:t>）连续自动监测系统技术要求及检测方法》（HJ</w:t>
      </w:r>
      <w:r>
        <w:t>653</w:t>
      </w:r>
      <w:r>
        <w:rPr>
          <w:rFonts w:hint="eastAsia"/>
        </w:rPr>
        <w:t>-</w:t>
      </w:r>
      <w:r>
        <w:t>2013</w:t>
      </w:r>
      <w:r>
        <w:rPr>
          <w:rFonts w:hint="eastAsia"/>
        </w:rPr>
        <w:t>）中不同的监测方法和监测设备，因此也会有可能产生不同的数据评价有效性指标。根据《大气PM</w:t>
      </w:r>
      <w:r>
        <w:rPr>
          <w:vertAlign w:val="subscript"/>
        </w:rPr>
        <w:t>2.5</w:t>
      </w:r>
      <w:r>
        <w:rPr>
          <w:rFonts w:hint="eastAsia"/>
        </w:rPr>
        <w:t>网格化监测技术要求和检测方法技术指南（试行）》，网格化监测设备指采用光散射的检测方法，设备体积小、重量轻，用于连续自动监测环境空气中PM</w:t>
      </w:r>
      <w:r>
        <w:rPr>
          <w:rFonts w:hint="eastAsia"/>
          <w:vertAlign w:val="subscript"/>
        </w:rPr>
        <w:t>2.5</w:t>
      </w:r>
      <w:r>
        <w:rPr>
          <w:rFonts w:hint="eastAsia"/>
        </w:rPr>
        <w:t>的污染状况。经调研目前北京市已安装使用的PM</w:t>
      </w:r>
      <w:r>
        <w:rPr>
          <w:vertAlign w:val="subscript"/>
        </w:rPr>
        <w:t>10</w:t>
      </w:r>
      <w:r>
        <w:rPr>
          <w:rFonts w:hint="eastAsia"/>
        </w:rPr>
        <w:t>和TSP网格化监测设备也都使用光散射的检测方法。</w:t>
      </w:r>
    </w:p>
    <w:p w14:paraId="7C54B057">
      <w:pPr>
        <w:outlineLvl w:val="2"/>
        <w:rPr>
          <w:b/>
          <w:bCs/>
        </w:rPr>
      </w:pPr>
      <w:bookmarkStart w:id="15" w:name="_Toc55252142"/>
      <w:r>
        <w:rPr>
          <w:rFonts w:hint="eastAsia"/>
          <w:b/>
          <w:bCs/>
        </w:rPr>
        <w:t xml:space="preserve">（3）环境监控点 </w:t>
      </w:r>
      <w:r>
        <w:rPr>
          <w:b/>
          <w:bCs/>
        </w:rPr>
        <w:t>grid assessing nodes</w:t>
      </w:r>
      <w:bookmarkEnd w:id="15"/>
    </w:p>
    <w:p w14:paraId="71F0C283">
      <w:pPr>
        <w:ind w:firstLine="420" w:firstLineChars="200"/>
      </w:pPr>
      <w:r>
        <w:rPr>
          <w:rFonts w:hint="eastAsia"/>
        </w:rPr>
        <w:t>引用《大气PM</w:t>
      </w:r>
      <w:r>
        <w:rPr>
          <w:rFonts w:hint="eastAsia"/>
          <w:vertAlign w:val="subscript"/>
        </w:rPr>
        <w:t>2.5</w:t>
      </w:r>
      <w:r>
        <w:rPr>
          <w:rFonts w:hint="eastAsia"/>
        </w:rPr>
        <w:t>网格化监测点位布设技术指南（试行）》中的相关内容特别对网格化监测网络中环境监控点进行定义，主要目的是在评价过程中区别于污染源监控点、以监测道路交通环境为目的设置的路边监测点和移动监测点。其中由于北京市的网格化监测并不局限于热点网格，故将“指监测各热点网格内的空气整体状况和变化趋势为目的而设置的监测点”中的“热点网格”替换为“所在网格”。</w:t>
      </w:r>
    </w:p>
    <w:p w14:paraId="0215BD26">
      <w:pPr>
        <w:outlineLvl w:val="2"/>
        <w:rPr>
          <w:b/>
          <w:bCs/>
        </w:rPr>
      </w:pPr>
      <w:bookmarkStart w:id="16" w:name="_Toc55252143"/>
      <w:r>
        <w:rPr>
          <w:rFonts w:hint="eastAsia"/>
          <w:b/>
          <w:bCs/>
        </w:rPr>
        <w:t>（</w:t>
      </w:r>
      <w:r>
        <w:rPr>
          <w:b/>
          <w:bCs/>
        </w:rPr>
        <w:t>4</w:t>
      </w:r>
      <w:r>
        <w:rPr>
          <w:rFonts w:hint="eastAsia"/>
          <w:b/>
          <w:bCs/>
        </w:rPr>
        <w:t>）属地 subdistrict</w:t>
      </w:r>
      <w:bookmarkEnd w:id="16"/>
    </w:p>
    <w:p w14:paraId="45F1F34A">
      <w:pPr>
        <w:ind w:firstLine="420" w:firstLineChars="200"/>
      </w:pPr>
      <w:r>
        <w:rPr>
          <w:rFonts w:hint="eastAsia"/>
        </w:rPr>
        <w:t>属地指环境空气颗粒物网格化监测网络所覆盖的乡镇（街道）、社区（村）等，是环境空气颗粒物网格化监测评价的主要评价对象。市内的产业园区等重点地区可参照属地进行评价。</w:t>
      </w:r>
    </w:p>
    <w:p w14:paraId="7582EDEF">
      <w:pPr>
        <w:pStyle w:val="3"/>
      </w:pPr>
      <w:bookmarkStart w:id="17" w:name="_Toc55252144"/>
      <w:r>
        <w:rPr>
          <w:rFonts w:hint="eastAsia"/>
        </w:rPr>
        <w:t>4</w:t>
      </w:r>
      <w:r>
        <w:t xml:space="preserve">.3 </w:t>
      </w:r>
      <w:r>
        <w:rPr>
          <w:rFonts w:hint="eastAsia"/>
        </w:rPr>
        <w:t>评价对象和评价项目</w:t>
      </w:r>
      <w:bookmarkEnd w:id="17"/>
    </w:p>
    <w:p w14:paraId="1A728202">
      <w:pPr>
        <w:pStyle w:val="4"/>
        <w:ind w:left="0" w:leftChars="0"/>
      </w:pPr>
      <w:bookmarkStart w:id="18" w:name="_Toc55252145"/>
      <w:r>
        <w:rPr>
          <w:rFonts w:hint="eastAsia"/>
        </w:rPr>
        <w:t>4</w:t>
      </w:r>
      <w:r>
        <w:t xml:space="preserve">.3.1. </w:t>
      </w:r>
      <w:r>
        <w:rPr>
          <w:rFonts w:hint="eastAsia"/>
        </w:rPr>
        <w:t>评价对象</w:t>
      </w:r>
      <w:bookmarkEnd w:id="18"/>
    </w:p>
    <w:p w14:paraId="3438822B">
      <w:pPr>
        <w:ind w:firstLine="420" w:firstLineChars="200"/>
      </w:pPr>
      <w:r>
        <w:rPr>
          <w:rFonts w:hint="eastAsia"/>
        </w:rPr>
        <w:t>本标准的评价对象分为单点环境空气颗粒物评价和属地环境空气颗粒物评价。</w:t>
      </w:r>
    </w:p>
    <w:p w14:paraId="07377CF6">
      <w:pPr>
        <w:ind w:firstLine="420" w:firstLineChars="200"/>
      </w:pPr>
      <w:r>
        <w:rPr>
          <w:rFonts w:hint="eastAsia"/>
        </w:rPr>
        <w:t>在实际环境管理应用中，单点评价用于判断点位所在网格或点位所在周边局地空气质量的达标情况，分析变化趋势，比较不同点位之间的空气质量优劣。点位评价适用的监测点位包括《大气PM</w:t>
      </w:r>
      <w:r>
        <w:rPr>
          <w:rFonts w:hint="eastAsia"/>
          <w:vertAlign w:val="subscript"/>
        </w:rPr>
        <w:t>2.5</w:t>
      </w:r>
      <w:r>
        <w:rPr>
          <w:rFonts w:hint="eastAsia"/>
        </w:rPr>
        <w:t>网格化监测点位布设技术指南（试行）》中定义环境监控点、污染监测点和区域背景点等。</w:t>
      </w:r>
    </w:p>
    <w:p w14:paraId="06F47204">
      <w:pPr>
        <w:ind w:firstLine="420" w:firstLineChars="200"/>
      </w:pPr>
      <w:r>
        <w:rPr>
          <w:rFonts w:hint="eastAsia"/>
        </w:rPr>
        <w:t>属地评价指针对北京市境内和乡镇（街道）和社区（村）属地范围的环境空气颗粒物水平进行评价，是目前网格化监测最主要的评价对象。对于全市和市内各区的环境空气质量评价仍使用标准方法监测设备的监测数据。属地评价只适用于环境监控点。</w:t>
      </w:r>
    </w:p>
    <w:p w14:paraId="28B7ECC0">
      <w:pPr>
        <w:pStyle w:val="4"/>
        <w:ind w:left="0" w:leftChars="0"/>
      </w:pPr>
      <w:bookmarkStart w:id="19" w:name="_Toc55252146"/>
      <w:r>
        <w:rPr>
          <w:rFonts w:hint="eastAsia"/>
        </w:rPr>
        <w:t>4</w:t>
      </w:r>
      <w:r>
        <w:t xml:space="preserve">.3.2. </w:t>
      </w:r>
      <w:r>
        <w:rPr>
          <w:rFonts w:hint="eastAsia"/>
        </w:rPr>
        <w:t>评价项目</w:t>
      </w:r>
      <w:bookmarkEnd w:id="19"/>
    </w:p>
    <w:p w14:paraId="11DE8235">
      <w:pPr>
        <w:ind w:firstLine="420" w:firstLineChars="200"/>
        <w:rPr>
          <w:color w:val="000000"/>
        </w:rPr>
      </w:pPr>
      <w:r>
        <w:rPr>
          <w:color w:val="000000"/>
        </w:rPr>
        <w:t>《环境空气质量标准》（GB3095-2012）</w:t>
      </w:r>
      <w:r>
        <w:rPr>
          <w:rFonts w:hint="eastAsia"/>
          <w:color w:val="000000"/>
        </w:rPr>
        <w:t>中涉及的颗粒物污染物有PM</w:t>
      </w:r>
      <w:r>
        <w:rPr>
          <w:color w:val="000000"/>
          <w:vertAlign w:val="subscript"/>
        </w:rPr>
        <w:t>10</w:t>
      </w:r>
      <w:r>
        <w:rPr>
          <w:rFonts w:hint="eastAsia"/>
          <w:color w:val="000000"/>
        </w:rPr>
        <w:t>、PM</w:t>
      </w:r>
      <w:r>
        <w:rPr>
          <w:color w:val="000000"/>
          <w:vertAlign w:val="subscript"/>
        </w:rPr>
        <w:t>2.5</w:t>
      </w:r>
      <w:r>
        <w:rPr>
          <w:rFonts w:hint="eastAsia"/>
          <w:color w:val="000000"/>
        </w:rPr>
        <w:t>和TSP三项。目前北京全市范围已经建设的网格化监测网络内同时包含PM</w:t>
      </w:r>
      <w:r>
        <w:rPr>
          <w:color w:val="000000"/>
          <w:vertAlign w:val="subscript"/>
        </w:rPr>
        <w:t>2.5</w:t>
      </w:r>
      <w:r>
        <w:rPr>
          <w:rFonts w:hint="eastAsia"/>
          <w:color w:val="000000"/>
        </w:rPr>
        <w:t>和TSP，并且已有多个区建设了包含PM</w:t>
      </w:r>
      <w:r>
        <w:rPr>
          <w:color w:val="000000"/>
          <w:vertAlign w:val="subscript"/>
        </w:rPr>
        <w:t>2.5</w:t>
      </w:r>
      <w:r>
        <w:rPr>
          <w:rFonts w:hint="eastAsia"/>
          <w:color w:val="000000"/>
        </w:rPr>
        <w:t>和PM</w:t>
      </w:r>
      <w:r>
        <w:rPr>
          <w:rFonts w:hint="eastAsia"/>
          <w:color w:val="000000"/>
          <w:vertAlign w:val="subscript"/>
        </w:rPr>
        <w:t>10</w:t>
      </w:r>
      <w:r>
        <w:rPr>
          <w:rFonts w:hint="eastAsia"/>
          <w:color w:val="000000"/>
        </w:rPr>
        <w:t>在内的6项常规污染物的网格化监测点。因此本标准中的评价项目为PM</w:t>
      </w:r>
      <w:r>
        <w:rPr>
          <w:color w:val="000000"/>
          <w:vertAlign w:val="subscript"/>
        </w:rPr>
        <w:t>10</w:t>
      </w:r>
      <w:r>
        <w:rPr>
          <w:rFonts w:hint="eastAsia"/>
          <w:color w:val="000000"/>
        </w:rPr>
        <w:t>、PM</w:t>
      </w:r>
      <w:r>
        <w:rPr>
          <w:color w:val="000000"/>
          <w:vertAlign w:val="subscript"/>
        </w:rPr>
        <w:t>2.5</w:t>
      </w:r>
      <w:r>
        <w:rPr>
          <w:rFonts w:hint="eastAsia"/>
          <w:color w:val="000000"/>
        </w:rPr>
        <w:t>和TSP三项。</w:t>
      </w:r>
    </w:p>
    <w:p w14:paraId="6B9D6155">
      <w:pPr>
        <w:ind w:firstLine="420" w:firstLineChars="200"/>
        <w:rPr>
          <w:color w:val="000000"/>
        </w:rPr>
      </w:pPr>
      <w:r>
        <w:rPr>
          <w:rFonts w:hint="eastAsia"/>
          <w:color w:val="000000"/>
        </w:rPr>
        <w:t>本标准采用单项目评价，各评价项目独立统计和评价。</w:t>
      </w:r>
    </w:p>
    <w:p w14:paraId="437697D7">
      <w:pPr>
        <w:pStyle w:val="3"/>
      </w:pPr>
      <w:bookmarkStart w:id="20" w:name="_Toc55252147"/>
      <w:r>
        <w:t xml:space="preserve">4.4 </w:t>
      </w:r>
      <w:r>
        <w:rPr>
          <w:rFonts w:hint="eastAsia"/>
        </w:rPr>
        <w:t>评价方法</w:t>
      </w:r>
      <w:bookmarkEnd w:id="20"/>
    </w:p>
    <w:p w14:paraId="5F648B13">
      <w:pPr>
        <w:pStyle w:val="4"/>
        <w:ind w:left="0" w:leftChars="0"/>
      </w:pPr>
      <w:bookmarkStart w:id="21" w:name="_Toc55252148"/>
      <w:r>
        <w:rPr>
          <w:rFonts w:hint="eastAsia"/>
        </w:rPr>
        <w:t>4</w:t>
      </w:r>
      <w:r>
        <w:t xml:space="preserve">.4.1 </w:t>
      </w:r>
      <w:r>
        <w:rPr>
          <w:rFonts w:hint="eastAsia"/>
        </w:rPr>
        <w:t>浓度参考评价</w:t>
      </w:r>
      <w:bookmarkEnd w:id="21"/>
    </w:p>
    <w:p w14:paraId="713202CE">
      <w:pPr>
        <w:ind w:firstLine="420" w:firstLineChars="200"/>
        <w:rPr>
          <w:color w:val="000000"/>
        </w:rPr>
      </w:pPr>
      <w:r>
        <w:rPr>
          <w:rFonts w:hint="eastAsia"/>
          <w:color w:val="000000"/>
        </w:rPr>
        <w:t>浓度参考评价适用于对单点和属地环境颗粒物各评价项目的达标情况进行评价，鉴于环境空气颗粒物网格化监测网络采用非标准监测方法，该评价为参考性评价。全市和市内各区的环境颗粒物评价仍使用标准方法监测设备的监测数据，不应使用网格化监测数据统计全市和各区的环境空气颗粒物浓度。</w:t>
      </w:r>
    </w:p>
    <w:p w14:paraId="4E6AA4AA">
      <w:pPr>
        <w:ind w:firstLine="420" w:firstLineChars="200"/>
        <w:rPr>
          <w:color w:val="000000"/>
        </w:rPr>
      </w:pPr>
      <w:r>
        <w:rPr>
          <w:rFonts w:hint="eastAsia"/>
          <w:color w:val="000000"/>
        </w:rPr>
        <w:t>单点评价以GB3095-2012中污染物的浓度限值为依据，对各评价项目的评价指标进行达标情况判断。属地的颗粒物评价的评价方法与单点评价相同，但需使用属地尺度的监测数据进行评价。具体的统计方法在附录A及</w:t>
      </w:r>
      <w:r>
        <w:rPr>
          <w:rFonts w:hint="eastAsia"/>
        </w:rPr>
        <w:t>HJ</w:t>
      </w:r>
      <w:r>
        <w:t>663-2013</w:t>
      </w:r>
      <w:r>
        <w:rPr>
          <w:rFonts w:hint="eastAsia"/>
        </w:rPr>
        <w:t>附录A</w:t>
      </w:r>
      <w:r>
        <w:rPr>
          <w:rFonts w:hint="eastAsia"/>
          <w:color w:val="000000"/>
        </w:rPr>
        <w:t>中阐述（见4</w:t>
      </w:r>
      <w:r>
        <w:rPr>
          <w:color w:val="000000"/>
        </w:rPr>
        <w:t>.8.1</w:t>
      </w:r>
      <w:r>
        <w:rPr>
          <w:rFonts w:hint="eastAsia"/>
          <w:color w:val="000000"/>
        </w:rPr>
        <w:t>）。</w:t>
      </w:r>
    </w:p>
    <w:p w14:paraId="32D4DFB4">
      <w:pPr>
        <w:pStyle w:val="4"/>
        <w:ind w:left="0" w:leftChars="0"/>
      </w:pPr>
      <w:bookmarkStart w:id="22" w:name="_Toc55252149"/>
      <w:r>
        <w:rPr>
          <w:rFonts w:hint="eastAsia"/>
        </w:rPr>
        <w:t>4</w:t>
      </w:r>
      <w:r>
        <w:t xml:space="preserve">.4.2 </w:t>
      </w:r>
      <w:r>
        <w:rPr>
          <w:rFonts w:hint="eastAsia"/>
        </w:rPr>
        <w:t>排名评价</w:t>
      </w:r>
      <w:bookmarkEnd w:id="22"/>
    </w:p>
    <w:p w14:paraId="066B4A38">
      <w:pPr>
        <w:pStyle w:val="18"/>
        <w:spacing w:line="360" w:lineRule="auto"/>
      </w:pPr>
      <w:r>
        <w:rPr>
          <w:rFonts w:hint="eastAsia"/>
        </w:rPr>
        <w:t>排名评价适用于对单点和属地各评价项目在所处地区的相对水平、变化趋势及优劣关系进行评价。排名评价是网格化监测的重要评价方法，侧重于评价属地的环境空气颗粒物浓度在所处地区的相对水平，以及同比和环比的变化幅度。</w:t>
      </w:r>
    </w:p>
    <w:p w14:paraId="714CD86B">
      <w:pPr>
        <w:pStyle w:val="18"/>
        <w:spacing w:line="360" w:lineRule="auto"/>
      </w:pPr>
      <w:r>
        <w:rPr>
          <w:rFonts w:hint="eastAsia"/>
        </w:rPr>
        <w:t>对单一时段的排名评价统计评价对象的排名名次。排名方法包括：一般排名、序数排名和百分位排名。其中一般排名中浓度相同的做并列处理，用于整体排名情况的报表和信息发布；序数排名对浓度相同的排名对象做进一步比较和排序，用于得到各评价对象的最终排名，也决定一般排名中并列项的先后显示顺序；百分比排名将排名结果分布在1-</w:t>
      </w:r>
      <w:r>
        <w:t>100</w:t>
      </w:r>
      <w:r>
        <w:rPr>
          <w:rFonts w:hint="eastAsia"/>
        </w:rPr>
        <w:t>的名次区间，对不同排名范围的排名结果进行归一化，主要用于对比不同排名范围（区）内各属地（街道乡镇）的相对位置。</w:t>
      </w:r>
    </w:p>
    <w:p w14:paraId="3D5B01D8">
      <w:pPr>
        <w:ind w:firstLine="420" w:firstLineChars="200"/>
      </w:pPr>
      <w:r>
        <w:rPr>
          <w:rFonts w:hint="eastAsia"/>
        </w:rPr>
        <w:t>排名周期指用于排名的浓度平均之间，包括小时、日、月、季、年和多日累计等评价时间尺度。小时评价是指对整点时刻前1小时时段内环境空气颗粒物状况的评价。日评价指对自然日（即00:00至24:00）时段内</w:t>
      </w:r>
      <w:r>
        <w:rPr>
          <w:rFonts w:hint="eastAsia"/>
          <w:lang w:val="en-US" w:eastAsia="zh-CN"/>
        </w:rPr>
        <w:t>环境</w:t>
      </w:r>
      <w:r>
        <w:rPr>
          <w:rFonts w:hint="eastAsia"/>
        </w:rPr>
        <w:t>空气颗粒物状况的评价。本标准与《环境空气质量指数（AQI）技术规定（试行）》采用的日报周期一致。月评价指对一个日历月时段内环境空气颗粒物状况的评价。年评价是指对日历年时段内环境空气颗粒物的评价。多日累计评价指对多个连续自然日的环境空气颗粒物的评价，在实际工作中主要针对周、半月、半年、截至某日当年累计等统计和评价需求。</w:t>
      </w:r>
    </w:p>
    <w:p w14:paraId="302B3FF7">
      <w:pPr>
        <w:ind w:firstLine="420" w:firstLineChars="200"/>
      </w:pPr>
      <w:r>
        <w:rPr>
          <w:rFonts w:hint="eastAsia"/>
        </w:rPr>
        <w:t>排名变化适用于对单点或属地在两个排名周期间排名的变化趋势和变化程度进行评价。如某街道粗颗粒物（TSP）2月在全市倒序排名比1月下降了</w:t>
      </w:r>
      <w:r>
        <w:t>5</w:t>
      </w:r>
      <w:r>
        <w:rPr>
          <w:rFonts w:hint="eastAsia"/>
        </w:rPr>
        <w:t>位，表明该街道TSP浓度在全市水平相对改善，改善幅度是5位。</w:t>
      </w:r>
    </w:p>
    <w:p w14:paraId="20C1CD64">
      <w:pPr>
        <w:ind w:firstLine="420" w:firstLineChars="200"/>
        <w:rPr>
          <w:highlight w:val="yellow"/>
        </w:rPr>
      </w:pPr>
      <w:r>
        <w:rPr>
          <w:rFonts w:hint="eastAsia"/>
        </w:rPr>
        <w:t>累计关注次数统计排名名次处在所关注的排名区间的次数，适用于对单点或属地在多个排名周期内的总体排名情况进行评价。如某镇细颗粒物（PM</w:t>
      </w:r>
      <w:r>
        <w:rPr>
          <w:vertAlign w:val="subscript"/>
        </w:rPr>
        <w:t>2.5</w:t>
      </w:r>
      <w:r>
        <w:rPr>
          <w:rFonts w:hint="eastAsia"/>
        </w:rPr>
        <w:t>）1-</w:t>
      </w:r>
      <w:r>
        <w:t>9</w:t>
      </w:r>
      <w:r>
        <w:rPr>
          <w:rFonts w:hint="eastAsia"/>
        </w:rPr>
        <w:t>月累计进入全市后3</w:t>
      </w:r>
      <w:r>
        <w:t>0</w:t>
      </w:r>
      <w:r>
        <w:rPr>
          <w:rFonts w:hint="eastAsia"/>
        </w:rPr>
        <w:t>名（倒序前3</w:t>
      </w:r>
      <w:r>
        <w:t>0</w:t>
      </w:r>
      <w:r>
        <w:rPr>
          <w:rFonts w:hint="eastAsia"/>
        </w:rPr>
        <w:t>位）</w:t>
      </w:r>
      <w:r>
        <w:t>7</w:t>
      </w:r>
      <w:r>
        <w:rPr>
          <w:rFonts w:hint="eastAsia"/>
        </w:rPr>
        <w:t>次，表明该镇在9个月中整体排名情况较差。</w:t>
      </w:r>
    </w:p>
    <w:p w14:paraId="1CE86699">
      <w:pPr>
        <w:pStyle w:val="18"/>
        <w:spacing w:line="360" w:lineRule="auto"/>
      </w:pPr>
      <w:r>
        <w:rPr>
          <w:rFonts w:hint="eastAsia"/>
        </w:rPr>
        <w:t>对产业园区、进京入口等重点地区的环境空气颗粒物排名参照属地排名的评价方法，但须使用该重点地区范围内能够代表改地区环境空气质量的监测点位数据进行评价。</w:t>
      </w:r>
    </w:p>
    <w:p w14:paraId="69F78A2C">
      <w:pPr>
        <w:pStyle w:val="18"/>
        <w:spacing w:line="360" w:lineRule="auto"/>
      </w:pPr>
      <w:r>
        <w:rPr>
          <w:rFonts w:hint="eastAsia"/>
        </w:rPr>
        <w:t>排名评价的数据统计方法见附录A中阐述（见</w:t>
      </w:r>
      <w:r>
        <w:t>4</w:t>
      </w:r>
      <w:r>
        <w:rPr>
          <w:rFonts w:hint="eastAsia"/>
        </w:rPr>
        <w:t>.</w:t>
      </w:r>
      <w:r>
        <w:t>8.2</w:t>
      </w:r>
      <w:r>
        <w:rPr>
          <w:rFonts w:hint="eastAsia"/>
        </w:rPr>
        <w:t>-</w:t>
      </w:r>
      <w:r>
        <w:t>4.8.6</w:t>
      </w:r>
      <w:r>
        <w:rPr>
          <w:rFonts w:hint="eastAsia"/>
        </w:rPr>
        <w:t>）。</w:t>
      </w:r>
    </w:p>
    <w:p w14:paraId="6F8B59B5">
      <w:pPr>
        <w:pStyle w:val="3"/>
      </w:pPr>
      <w:bookmarkStart w:id="23" w:name="_Toc55252150"/>
      <w:r>
        <w:rPr>
          <w:rFonts w:hint="eastAsia"/>
        </w:rPr>
        <w:t>4</w:t>
      </w:r>
      <w:r>
        <w:t>.5</w:t>
      </w:r>
      <w:r>
        <w:rPr>
          <w:rFonts w:hint="eastAsia"/>
        </w:rPr>
        <w:t>数据统计的有效性要求</w:t>
      </w:r>
      <w:bookmarkEnd w:id="23"/>
    </w:p>
    <w:p w14:paraId="0D4F492D">
      <w:pPr>
        <w:ind w:firstLine="420" w:firstLineChars="200"/>
      </w:pPr>
      <w:r>
        <w:rPr>
          <w:rFonts w:hint="eastAsia"/>
        </w:rPr>
        <w:t>数据统计的有效性规定是对时间序列统计量的数据代表性的最低要求。《环境空气质量标准》（GB</w:t>
      </w:r>
      <w:r>
        <w:t>3095</w:t>
      </w:r>
      <w:r>
        <w:rPr>
          <w:rFonts w:hint="eastAsia"/>
        </w:rPr>
        <w:t>-</w:t>
      </w:r>
      <w:r>
        <w:t>2012</w:t>
      </w:r>
      <w:r>
        <w:rPr>
          <w:rFonts w:hint="eastAsia"/>
        </w:rPr>
        <w:t>）和《环境空气质量评价技术规范（试行）》（HJ</w:t>
      </w:r>
      <w:r>
        <w:t>663-2013</w:t>
      </w:r>
      <w:r>
        <w:rPr>
          <w:rFonts w:hint="eastAsia"/>
        </w:rPr>
        <w:t>）对污染物浓度数值的数据统计有效性进行了规定，其中自动监测方法污染物的统计要求按照国际上通行做法，以所有取值时间段内的数据应至少获得75%的数据为有效。本标准以此为基础，针对网格化监测设备的性能和实际运行统计情况进行适当加严，力争评价结果能够更完整的体现点位的污染特征。</w:t>
      </w:r>
    </w:p>
    <w:p w14:paraId="283D84B8">
      <w:pPr>
        <w:ind w:firstLine="420" w:firstLineChars="200"/>
      </w:pPr>
      <w:r>
        <w:rPr>
          <w:rFonts w:hint="eastAsia"/>
        </w:rPr>
        <w:t>历史监测数据的有效性统计工作针对北京市生态环境监测中心运行的PM</w:t>
      </w:r>
      <w:r>
        <w:rPr>
          <w:vertAlign w:val="subscript"/>
        </w:rPr>
        <w:t>2.5</w:t>
      </w:r>
      <w:r>
        <w:rPr>
          <w:rFonts w:hint="eastAsia"/>
        </w:rPr>
        <w:t>和TSP网格化监测网络开展（约1</w:t>
      </w:r>
      <w:r>
        <w:t>000</w:t>
      </w:r>
      <w:r>
        <w:rPr>
          <w:rFonts w:hint="eastAsia"/>
        </w:rPr>
        <w:t>个点位），其中PM</w:t>
      </w:r>
      <w:r>
        <w:rPr>
          <w:vertAlign w:val="subscript"/>
        </w:rPr>
        <w:t>2.5</w:t>
      </w:r>
      <w:r>
        <w:rPr>
          <w:rFonts w:hint="eastAsia"/>
        </w:rPr>
        <w:t>统计2</w:t>
      </w:r>
      <w:r>
        <w:t>018</w:t>
      </w:r>
      <w:r>
        <w:rPr>
          <w:rFonts w:hint="eastAsia"/>
        </w:rPr>
        <w:t>年全年监测数据，TSP统计2</w:t>
      </w:r>
      <w:r>
        <w:t>019</w:t>
      </w:r>
      <w:r>
        <w:rPr>
          <w:rFonts w:hint="eastAsia"/>
        </w:rPr>
        <w:t>年1-</w:t>
      </w:r>
      <w:r>
        <w:t>9</w:t>
      </w:r>
      <w:r>
        <w:rPr>
          <w:rFonts w:hint="eastAsia"/>
        </w:rPr>
        <w:t>月监测数据，包含了冬春夏三季。</w:t>
      </w:r>
    </w:p>
    <w:p w14:paraId="18AAFFD2">
      <w:pPr>
        <w:ind w:firstLine="420" w:firstLineChars="200"/>
      </w:pPr>
      <w:r>
        <w:rPr>
          <w:rFonts w:hint="eastAsia"/>
        </w:rPr>
        <w:t>《环境空气质量标准》（GB</w:t>
      </w:r>
      <w:r>
        <w:t>3095</w:t>
      </w:r>
      <w:r>
        <w:rPr>
          <w:rFonts w:hint="eastAsia"/>
        </w:rPr>
        <w:t>-</w:t>
      </w:r>
      <w:r>
        <w:t>2012</w:t>
      </w:r>
      <w:r>
        <w:rPr>
          <w:rFonts w:hint="eastAsia"/>
        </w:rPr>
        <w:t>）对于连续监测的污染物在进行2</w:t>
      </w:r>
      <w:r>
        <w:t>4</w:t>
      </w:r>
      <w:r>
        <w:rPr>
          <w:rFonts w:hint="eastAsia"/>
        </w:rPr>
        <w:t>小时平均时的数据有效性规定为每日至少有2</w:t>
      </w:r>
      <w:r>
        <w:t>0</w:t>
      </w:r>
      <w:r>
        <w:rPr>
          <w:rFonts w:hint="eastAsia"/>
        </w:rPr>
        <w:t>个小时平均浓度值或采样时间。颗粒物网格化监测设备为连续监测设备，采用相同的数据有效性要求。历史监测数据统计得到的日评价有效性结果显示，</w:t>
      </w:r>
      <w:r>
        <w:t>2018</w:t>
      </w:r>
      <w:r>
        <w:rPr>
          <w:rFonts w:hint="eastAsia"/>
        </w:rPr>
        <w:t>年网格化监测</w:t>
      </w:r>
      <w:r>
        <w:t>PM</w:t>
      </w:r>
      <w:r>
        <w:rPr>
          <w:vertAlign w:val="subscript"/>
        </w:rPr>
        <w:t>2.5</w:t>
      </w:r>
      <w:r>
        <w:rPr>
          <w:rFonts w:hint="eastAsia"/>
        </w:rPr>
        <w:t>监测设备的每日有效时长统计情况显示，每日平均有效时长不少于20小时的点位数量在全网占比为95.25%。2</w:t>
      </w:r>
      <w:r>
        <w:t>019</w:t>
      </w:r>
      <w:r>
        <w:rPr>
          <w:rFonts w:hint="eastAsia"/>
        </w:rPr>
        <w:t>年1-9月，网格化TSP监测设备的每日有效时长统计情况显示，每日平均有效时长不少于20小时的点位数量全网占比为96.64%。点位出现有效时长不足2</w:t>
      </w:r>
      <w:r>
        <w:t>4</w:t>
      </w:r>
      <w:r>
        <w:rPr>
          <w:rFonts w:hint="eastAsia"/>
        </w:rPr>
        <w:t>小时的主要原因为现场运维操作，短时异常监测数据的后期剔除等。造成点位监测数据不足2</w:t>
      </w:r>
      <w:r>
        <w:t>0</w:t>
      </w:r>
      <w:r>
        <w:rPr>
          <w:rFonts w:hint="eastAsia"/>
        </w:rPr>
        <w:t>小时的主要原因为设备故障及停电、通讯故障等现场外部原因。颗粒物网格化监测设备在运维及时、现场操作规范的前提下，2</w:t>
      </w:r>
      <w:r>
        <w:t>0</w:t>
      </w:r>
      <w:r>
        <w:rPr>
          <w:rFonts w:hint="eastAsia"/>
        </w:rPr>
        <w:t>小时的日评价有效数据量可以满足实际应用需求。</w:t>
      </w:r>
    </w:p>
    <w:p w14:paraId="6433BA84">
      <w:pPr>
        <w:ind w:firstLine="420" w:firstLineChars="200"/>
      </w:pPr>
      <w:r>
        <w:rPr>
          <w:rFonts w:hint="eastAsia"/>
        </w:rPr>
        <w:t>月评价和年评价的数据统计有效性规定沿用《环境空气质量评价技术规范（试行）》中的相关要求，季评价的数据统计有效性由月评价推算得到。历史监测数据的数据有效性统计结果显示，2</w:t>
      </w:r>
      <w:r>
        <w:t>018</w:t>
      </w:r>
      <w:r>
        <w:rPr>
          <w:rFonts w:hint="eastAsia"/>
        </w:rPr>
        <w:t>年全市环境监控点PM</w:t>
      </w:r>
      <w:r>
        <w:rPr>
          <w:vertAlign w:val="subscript"/>
        </w:rPr>
        <w:t>2.5</w:t>
      </w:r>
      <w:r>
        <w:rPr>
          <w:rFonts w:hint="eastAsia"/>
        </w:rPr>
        <w:t>月评价有效天数平均为3</w:t>
      </w:r>
      <w:r>
        <w:t>0.2</w:t>
      </w:r>
      <w:r>
        <w:rPr>
          <w:rFonts w:hint="eastAsia"/>
        </w:rPr>
        <w:t>天（二月为2</w:t>
      </w:r>
      <w:r>
        <w:t>7.9</w:t>
      </w:r>
      <w:r>
        <w:rPr>
          <w:rFonts w:hint="eastAsia"/>
        </w:rPr>
        <w:t>天），4个季度的季评价有效天数平均为9</w:t>
      </w:r>
      <w:r>
        <w:t>0.1</w:t>
      </w:r>
      <w:r>
        <w:rPr>
          <w:rFonts w:hint="eastAsia"/>
        </w:rPr>
        <w:t>天，年评价有效天数平均为3</w:t>
      </w:r>
      <w:r>
        <w:t>55.9</w:t>
      </w:r>
      <w:r>
        <w:rPr>
          <w:rFonts w:hint="eastAsia"/>
        </w:rPr>
        <w:t>天。2</w:t>
      </w:r>
      <w:r>
        <w:t>019</w:t>
      </w:r>
      <w:r>
        <w:rPr>
          <w:rFonts w:hint="eastAsia"/>
        </w:rPr>
        <w:t>年1-</w:t>
      </w:r>
      <w:r>
        <w:t>9</w:t>
      </w:r>
      <w:r>
        <w:rPr>
          <w:rFonts w:hint="eastAsia"/>
        </w:rPr>
        <w:t>月环境监控点TSP月评价有效天数平均为3</w:t>
      </w:r>
      <w:r>
        <w:t>0.3</w:t>
      </w:r>
      <w:r>
        <w:rPr>
          <w:rFonts w:hint="eastAsia"/>
        </w:rPr>
        <w:t>天（二月为2</w:t>
      </w:r>
      <w:r>
        <w:t>8</w:t>
      </w:r>
      <w:r>
        <w:rPr>
          <w:rFonts w:hint="eastAsia"/>
        </w:rPr>
        <w:t>天），3个季度的季评价有效天数平均为9</w:t>
      </w:r>
      <w:r>
        <w:t>0.3</w:t>
      </w:r>
      <w:r>
        <w:rPr>
          <w:rFonts w:hint="eastAsia"/>
        </w:rPr>
        <w:t>天，全部2</w:t>
      </w:r>
      <w:r>
        <w:t>73</w:t>
      </w:r>
      <w:r>
        <w:rPr>
          <w:rFonts w:hint="eastAsia"/>
        </w:rPr>
        <w:t>天的有效天数平均为</w:t>
      </w:r>
      <w:r>
        <w:t>269</w:t>
      </w:r>
      <w:r>
        <w:rPr>
          <w:rFonts w:hint="eastAsia"/>
        </w:rPr>
        <w:t>.4天。均远超过有效性规定的最低要求。多日累计统计中日平均浓度值的个数应不低于总天数的8</w:t>
      </w:r>
      <w:r>
        <w:t>5</w:t>
      </w:r>
      <w:r>
        <w:rPr>
          <w:rFonts w:hint="eastAsia"/>
        </w:rPr>
        <w:t>%，与月、季、年的有效性要求相当，其中较为常用的周评价至少有6个日平均浓度值，半月评价至少有1</w:t>
      </w:r>
      <w:r>
        <w:t>3</w:t>
      </w:r>
      <w:r>
        <w:rPr>
          <w:rFonts w:hint="eastAsia"/>
        </w:rPr>
        <w:t>个日平均浓度值。</w:t>
      </w:r>
    </w:p>
    <w:p w14:paraId="5D2E93BE">
      <w:pPr>
        <w:ind w:firstLine="420" w:firstLineChars="200"/>
      </w:pPr>
      <w:r>
        <w:rPr>
          <w:rFonts w:hint="eastAsia"/>
        </w:rPr>
        <w:t>进行属地评价时属地内所有有效监测的环境监控点必须全部参加统计和评价，且有效监测点位的数量不得低于属地内环境监控点总数量的75%（总数量小于4个时，不低于50%）。此有效性沿用《环境空气质量评价技术规范（试行）》中关于城市尺度评价时的相关要求。目前北京市每乡镇（街道）的网格化监测点位数量为1-</w:t>
      </w:r>
      <w:r>
        <w:t>4</w:t>
      </w:r>
      <w:r>
        <w:rPr>
          <w:rFonts w:hint="eastAsia"/>
        </w:rPr>
        <w:t>个，其中乡镇普遍为</w:t>
      </w:r>
      <w:r>
        <w:t>4</w:t>
      </w:r>
      <w:r>
        <w:rPr>
          <w:rFonts w:hint="eastAsia"/>
        </w:rPr>
        <w:t>个，街道普遍为2个。按照本项要求即包含4个环境监控点位的属地有效监测点位至少为</w:t>
      </w:r>
      <w:r>
        <w:t>3</w:t>
      </w:r>
      <w:r>
        <w:rPr>
          <w:rFonts w:hint="eastAsia"/>
        </w:rPr>
        <w:t>个，包含</w:t>
      </w:r>
      <w:r>
        <w:t>3</w:t>
      </w:r>
      <w:r>
        <w:rPr>
          <w:rFonts w:hint="eastAsia"/>
        </w:rPr>
        <w:t>个环境监控点位的属地有效监测点位至少为</w:t>
      </w:r>
      <w:r>
        <w:t>2</w:t>
      </w:r>
      <w:r>
        <w:rPr>
          <w:rFonts w:hint="eastAsia"/>
        </w:rPr>
        <w:t>个，包含1-</w:t>
      </w:r>
      <w:r>
        <w:t>2</w:t>
      </w:r>
      <w:r>
        <w:rPr>
          <w:rFonts w:hint="eastAsia"/>
        </w:rPr>
        <w:t>个环境监控点位的属地有效监测点位至少为1个。《大气PM2.5网格化监测系统安装和验收技术指南（试行）》中要求试运行（至少14天）结束时，每台仪器数据捕获率应大于90%，全网设备有效率应大于90%，正常情况下应可以满足本标准规定的有效点位数。</w:t>
      </w:r>
    </w:p>
    <w:p w14:paraId="4D2ED743">
      <w:pPr>
        <w:pStyle w:val="3"/>
      </w:pPr>
      <w:bookmarkStart w:id="24" w:name="_Toc55252151"/>
      <w:r>
        <w:rPr>
          <w:rFonts w:hint="eastAsia"/>
        </w:rPr>
        <w:t>4</w:t>
      </w:r>
      <w:r>
        <w:t xml:space="preserve">.6 </w:t>
      </w:r>
      <w:r>
        <w:rPr>
          <w:rFonts w:hint="eastAsia"/>
        </w:rPr>
        <w:t>数值修约要求</w:t>
      </w:r>
      <w:bookmarkEnd w:id="24"/>
    </w:p>
    <w:p w14:paraId="437E5C43">
      <w:pPr>
        <w:ind w:firstLine="420" w:firstLineChars="200"/>
      </w:pPr>
      <w:r>
        <w:rPr>
          <w:rFonts w:hint="eastAsia"/>
        </w:rPr>
        <w:t>本标准沿用《环境空气质量评价技术规范（试行）》中规定的污染物PM</w:t>
      </w:r>
      <w:r>
        <w:rPr>
          <w:vertAlign w:val="subscript"/>
        </w:rPr>
        <w:t>10</w:t>
      </w:r>
      <w:r>
        <w:rPr>
          <w:rFonts w:hint="eastAsia"/>
        </w:rPr>
        <w:t>、PM</w:t>
      </w:r>
      <w:r>
        <w:rPr>
          <w:vertAlign w:val="subscript"/>
        </w:rPr>
        <w:t>2.5</w:t>
      </w:r>
      <w:r>
        <w:rPr>
          <w:rFonts w:hint="eastAsia"/>
        </w:rPr>
        <w:t>和TSP的保留小数位数为0，单位为微克/立方米。排名和排名变化的单位为位，保留小数位数为0。其中属地排名方面全市范围乡镇街道的百分位排名可能出现小数，考虑到取整后的并列排名的个数约为3个且均匀分布，应可满足评价需求。累计关注次数的单位为次，为整数。</w:t>
      </w:r>
    </w:p>
    <w:p w14:paraId="1F415A35">
      <w:pPr>
        <w:pStyle w:val="3"/>
      </w:pPr>
      <w:bookmarkStart w:id="25" w:name="_Toc55252152"/>
      <w:r>
        <w:rPr>
          <w:rFonts w:hint="eastAsia"/>
        </w:rPr>
        <w:t>4</w:t>
      </w:r>
      <w:r>
        <w:t xml:space="preserve">.8 </w:t>
      </w:r>
      <w:r>
        <w:rPr>
          <w:rFonts w:hint="eastAsia"/>
        </w:rPr>
        <w:t>数据统计方法</w:t>
      </w:r>
      <w:bookmarkEnd w:id="25"/>
    </w:p>
    <w:p w14:paraId="0D921092">
      <w:pPr>
        <w:pStyle w:val="4"/>
        <w:ind w:left="0" w:leftChars="0"/>
      </w:pPr>
      <w:bookmarkStart w:id="26" w:name="_Toc55252153"/>
      <w:r>
        <w:rPr>
          <w:rFonts w:hint="eastAsia"/>
        </w:rPr>
        <w:t>4</w:t>
      </w:r>
      <w:r>
        <w:t>.8</w:t>
      </w:r>
      <w:r>
        <w:rPr>
          <w:rFonts w:hint="eastAsia"/>
        </w:rPr>
        <w:t>.</w:t>
      </w:r>
      <w:r>
        <w:t xml:space="preserve">1 </w:t>
      </w:r>
      <w:r>
        <w:rPr>
          <w:rFonts w:hint="eastAsia"/>
        </w:rPr>
        <w:t>单点和属地污染物浓度统计方法</w:t>
      </w:r>
      <w:bookmarkEnd w:id="26"/>
    </w:p>
    <w:p w14:paraId="012CC5A9">
      <w:pPr>
        <w:ind w:firstLine="420" w:firstLineChars="200"/>
      </w:pPr>
      <w:r>
        <w:rPr>
          <w:rFonts w:hint="eastAsia" w:hAnsi="宋体"/>
        </w:rPr>
        <w:t>单点和属地污染物浓度统计方法按照</w:t>
      </w:r>
      <w:r>
        <w:rPr>
          <w:rFonts w:hint="eastAsia"/>
        </w:rPr>
        <w:t>HJ</w:t>
      </w:r>
      <w:r>
        <w:t>663-2013</w:t>
      </w:r>
      <w:r>
        <w:rPr>
          <w:rFonts w:hint="eastAsia"/>
        </w:rPr>
        <w:t>中的有关规定执行，并在评价时段上进行了拓展。具体的统计方法如表2：</w:t>
      </w:r>
    </w:p>
    <w:p w14:paraId="6B253F0F">
      <w:pPr>
        <w:pStyle w:val="33"/>
        <w:numPr>
          <w:ilvl w:val="0"/>
          <w:numId w:val="0"/>
        </w:numPr>
        <w:spacing w:before="156" w:after="156"/>
        <w:ind w:left="567" w:hanging="567"/>
        <w:rPr>
          <w:rFonts w:ascii="宋体" w:hAnsi="宋体" w:eastAsia="宋体"/>
        </w:rPr>
      </w:pPr>
      <w:r>
        <w:rPr>
          <w:rFonts w:hint="eastAsia" w:ascii="宋体" w:hAnsi="宋体" w:eastAsia="宋体"/>
        </w:rPr>
        <w:t>表</w:t>
      </w:r>
      <w:r>
        <w:rPr>
          <w:rFonts w:ascii="Times New Roman" w:eastAsia="宋体"/>
        </w:rPr>
        <w:t>2</w:t>
      </w:r>
      <w:r>
        <w:rPr>
          <w:rFonts w:hint="eastAsia" w:ascii="宋体" w:hAnsi="宋体" w:eastAsia="宋体"/>
        </w:rPr>
        <w:t xml:space="preserve"> 不同时段内属地评价的统计方法</w:t>
      </w:r>
    </w:p>
    <w:tbl>
      <w:tblPr>
        <w:tblStyle w:val="11"/>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5"/>
        <w:gridCol w:w="3336"/>
        <w:gridCol w:w="3881"/>
      </w:tblGrid>
      <w:tr w14:paraId="6C16C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305" w:type="dxa"/>
            <w:shd w:val="clear" w:color="auto" w:fill="auto"/>
            <w:vAlign w:val="center"/>
          </w:tcPr>
          <w:p w14:paraId="7F87E2AA">
            <w:pPr>
              <w:widowControl/>
              <w:tabs>
                <w:tab w:val="center" w:pos="4201"/>
                <w:tab w:val="right" w:leader="dot" w:pos="9298"/>
              </w:tabs>
              <w:autoSpaceDE w:val="0"/>
              <w:autoSpaceDN w:val="0"/>
              <w:spacing w:line="240" w:lineRule="auto"/>
              <w:jc w:val="center"/>
              <w:rPr>
                <w:rFonts w:cs="Times New Roman"/>
                <w:kern w:val="0"/>
                <w:szCs w:val="18"/>
              </w:rPr>
            </w:pPr>
            <w:r>
              <w:rPr>
                <w:rFonts w:cs="Times New Roman"/>
                <w:kern w:val="0"/>
                <w:szCs w:val="18"/>
              </w:rPr>
              <w:t>评价时段</w:t>
            </w:r>
          </w:p>
        </w:tc>
        <w:tc>
          <w:tcPr>
            <w:tcW w:w="3336" w:type="dxa"/>
            <w:vAlign w:val="center"/>
          </w:tcPr>
          <w:p w14:paraId="048C380C">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单点污染物浓度数据统计方法</w:t>
            </w:r>
          </w:p>
        </w:tc>
        <w:tc>
          <w:tcPr>
            <w:tcW w:w="3881" w:type="dxa"/>
            <w:shd w:val="clear" w:color="auto" w:fill="auto"/>
            <w:vAlign w:val="center"/>
          </w:tcPr>
          <w:p w14:paraId="41A0E03C">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属地污染物浓度数据统计方法</w:t>
            </w:r>
          </w:p>
        </w:tc>
      </w:tr>
      <w:tr w14:paraId="3CFD4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305" w:type="dxa"/>
            <w:shd w:val="clear" w:color="auto" w:fill="auto"/>
            <w:vAlign w:val="center"/>
          </w:tcPr>
          <w:p w14:paraId="722BC2C9">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1</w:t>
            </w:r>
            <w:r>
              <w:rPr>
                <w:rFonts w:cs="Times New Roman"/>
                <w:kern w:val="0"/>
                <w:szCs w:val="18"/>
              </w:rPr>
              <w:t>小时</w:t>
            </w:r>
          </w:p>
        </w:tc>
        <w:tc>
          <w:tcPr>
            <w:tcW w:w="3336" w:type="dxa"/>
            <w:vMerge w:val="restart"/>
            <w:vAlign w:val="center"/>
          </w:tcPr>
          <w:p w14:paraId="24623B4F">
            <w:pPr>
              <w:widowControl/>
              <w:tabs>
                <w:tab w:val="center" w:pos="4201"/>
                <w:tab w:val="right" w:leader="dot" w:pos="9298"/>
              </w:tabs>
              <w:autoSpaceDE w:val="0"/>
              <w:autoSpaceDN w:val="0"/>
              <w:spacing w:line="240" w:lineRule="auto"/>
              <w:jc w:val="center"/>
              <w:rPr>
                <w:rFonts w:cs="Times New Roman"/>
                <w:color w:val="000000"/>
                <w:kern w:val="0"/>
                <w:szCs w:val="18"/>
              </w:rPr>
            </w:pPr>
            <w:r>
              <w:rPr>
                <w:rFonts w:hint="eastAsia" w:cs="Times New Roman"/>
                <w:kern w:val="0"/>
                <w:szCs w:val="18"/>
              </w:rPr>
              <w:t>按照HJ</w:t>
            </w:r>
            <w:r>
              <w:rPr>
                <w:rFonts w:cs="Times New Roman"/>
                <w:kern w:val="0"/>
                <w:szCs w:val="18"/>
              </w:rPr>
              <w:t>663</w:t>
            </w:r>
            <w:r>
              <w:rPr>
                <w:rFonts w:hint="eastAsia" w:cs="Times New Roman"/>
                <w:kern w:val="0"/>
                <w:szCs w:val="18"/>
              </w:rPr>
              <w:t>-</w:t>
            </w:r>
            <w:r>
              <w:rPr>
                <w:rFonts w:cs="Times New Roman"/>
                <w:kern w:val="0"/>
                <w:szCs w:val="18"/>
              </w:rPr>
              <w:t>2013</w:t>
            </w:r>
            <w:r>
              <w:rPr>
                <w:rFonts w:hint="eastAsia" w:cs="Times New Roman"/>
                <w:kern w:val="0"/>
                <w:szCs w:val="18"/>
              </w:rPr>
              <w:t>中附录A中</w:t>
            </w:r>
            <w:r>
              <w:rPr>
                <w:rFonts w:hint="eastAsia" w:cs="Times New Roman"/>
                <w:color w:val="000000"/>
                <w:kern w:val="0"/>
                <w:szCs w:val="18"/>
              </w:rPr>
              <w:t>的</w:t>
            </w:r>
          </w:p>
          <w:p w14:paraId="7A1EC4A7">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color w:val="000000"/>
                <w:kern w:val="0"/>
                <w:szCs w:val="18"/>
              </w:rPr>
              <w:t>有关</w:t>
            </w:r>
            <w:r>
              <w:rPr>
                <w:rFonts w:hint="eastAsia" w:cs="Times New Roman"/>
                <w:kern w:val="0"/>
                <w:szCs w:val="18"/>
              </w:rPr>
              <w:t>规定执行</w:t>
            </w:r>
          </w:p>
        </w:tc>
        <w:tc>
          <w:tcPr>
            <w:tcW w:w="3881" w:type="dxa"/>
            <w:vAlign w:val="center"/>
          </w:tcPr>
          <w:p w14:paraId="3EF4417E">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各点位1小时平均浓度值的平均值</w:t>
            </w:r>
          </w:p>
        </w:tc>
      </w:tr>
      <w:tr w14:paraId="52B63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305" w:type="dxa"/>
            <w:shd w:val="clear" w:color="auto" w:fill="auto"/>
            <w:vAlign w:val="center"/>
          </w:tcPr>
          <w:p w14:paraId="6F409FD3">
            <w:pPr>
              <w:widowControl/>
              <w:tabs>
                <w:tab w:val="center" w:pos="4201"/>
                <w:tab w:val="right" w:leader="dot" w:pos="9298"/>
              </w:tabs>
              <w:autoSpaceDE w:val="0"/>
              <w:autoSpaceDN w:val="0"/>
              <w:spacing w:line="240" w:lineRule="auto"/>
              <w:jc w:val="center"/>
              <w:rPr>
                <w:rFonts w:cs="Times New Roman"/>
                <w:kern w:val="0"/>
                <w:szCs w:val="18"/>
              </w:rPr>
            </w:pPr>
            <w:r>
              <w:rPr>
                <w:rFonts w:cs="Times New Roman"/>
                <w:kern w:val="0"/>
                <w:szCs w:val="18"/>
              </w:rPr>
              <w:t>日</w:t>
            </w:r>
          </w:p>
        </w:tc>
        <w:tc>
          <w:tcPr>
            <w:tcW w:w="3336" w:type="dxa"/>
            <w:vMerge w:val="continue"/>
            <w:vAlign w:val="center"/>
          </w:tcPr>
          <w:p w14:paraId="7A87C6D2">
            <w:pPr>
              <w:widowControl/>
              <w:tabs>
                <w:tab w:val="center" w:pos="4201"/>
                <w:tab w:val="right" w:leader="dot" w:pos="9298"/>
              </w:tabs>
              <w:autoSpaceDE w:val="0"/>
              <w:autoSpaceDN w:val="0"/>
              <w:spacing w:line="240" w:lineRule="auto"/>
              <w:ind w:firstLine="420" w:firstLineChars="200"/>
              <w:jc w:val="center"/>
              <w:rPr>
                <w:rFonts w:cs="Times New Roman"/>
                <w:kern w:val="0"/>
                <w:szCs w:val="18"/>
              </w:rPr>
            </w:pPr>
          </w:p>
        </w:tc>
        <w:tc>
          <w:tcPr>
            <w:tcW w:w="3881" w:type="dxa"/>
            <w:vAlign w:val="center"/>
          </w:tcPr>
          <w:p w14:paraId="3CCCC59F">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各点位日平均浓度值的算数平均值</w:t>
            </w:r>
          </w:p>
        </w:tc>
      </w:tr>
      <w:tr w14:paraId="081D7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305" w:type="dxa"/>
            <w:shd w:val="clear" w:color="auto" w:fill="auto"/>
            <w:vAlign w:val="center"/>
          </w:tcPr>
          <w:p w14:paraId="5EC63E2D">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年</w:t>
            </w:r>
          </w:p>
        </w:tc>
        <w:tc>
          <w:tcPr>
            <w:tcW w:w="3336" w:type="dxa"/>
            <w:vMerge w:val="continue"/>
            <w:vAlign w:val="center"/>
          </w:tcPr>
          <w:p w14:paraId="4E041812">
            <w:pPr>
              <w:widowControl/>
              <w:tabs>
                <w:tab w:val="center" w:pos="4201"/>
                <w:tab w:val="right" w:leader="dot" w:pos="9298"/>
              </w:tabs>
              <w:autoSpaceDE w:val="0"/>
              <w:autoSpaceDN w:val="0"/>
              <w:spacing w:line="240" w:lineRule="auto"/>
              <w:ind w:firstLine="420" w:firstLineChars="200"/>
              <w:jc w:val="center"/>
              <w:rPr>
                <w:rFonts w:cs="Times New Roman"/>
                <w:kern w:val="0"/>
                <w:szCs w:val="18"/>
              </w:rPr>
            </w:pPr>
          </w:p>
        </w:tc>
        <w:tc>
          <w:tcPr>
            <w:tcW w:w="3881" w:type="dxa"/>
            <w:vAlign w:val="center"/>
          </w:tcPr>
          <w:p w14:paraId="427479CF">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1个日历年内属地日平均浓度的</w:t>
            </w:r>
          </w:p>
          <w:p w14:paraId="4CE9DC8B">
            <w:pPr>
              <w:widowControl/>
              <w:tabs>
                <w:tab w:val="center" w:pos="4201"/>
                <w:tab w:val="right" w:leader="dot" w:pos="9298"/>
              </w:tabs>
              <w:autoSpaceDE w:val="0"/>
              <w:autoSpaceDN w:val="0"/>
              <w:spacing w:line="240" w:lineRule="auto"/>
              <w:ind w:firstLine="640"/>
              <w:jc w:val="center"/>
              <w:rPr>
                <w:rFonts w:cs="Times New Roman"/>
                <w:kern w:val="0"/>
                <w:szCs w:val="18"/>
              </w:rPr>
            </w:pPr>
            <w:r>
              <w:rPr>
                <w:rFonts w:hint="eastAsia" w:cs="Times New Roman"/>
                <w:kern w:val="0"/>
                <w:szCs w:val="18"/>
              </w:rPr>
              <w:t>算数平均值</w:t>
            </w:r>
          </w:p>
        </w:tc>
      </w:tr>
      <w:tr w14:paraId="18A00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305" w:type="dxa"/>
            <w:shd w:val="clear" w:color="auto" w:fill="auto"/>
            <w:vAlign w:val="center"/>
          </w:tcPr>
          <w:p w14:paraId="763ABDD8">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月</w:t>
            </w:r>
          </w:p>
        </w:tc>
        <w:tc>
          <w:tcPr>
            <w:tcW w:w="3336" w:type="dxa"/>
            <w:vAlign w:val="center"/>
          </w:tcPr>
          <w:p w14:paraId="3933D849">
            <w:pPr>
              <w:widowControl/>
              <w:tabs>
                <w:tab w:val="center" w:pos="4201"/>
                <w:tab w:val="right" w:leader="dot" w:pos="9298"/>
              </w:tabs>
              <w:autoSpaceDE w:val="0"/>
              <w:autoSpaceDN w:val="0"/>
              <w:spacing w:line="240" w:lineRule="auto"/>
              <w:jc w:val="center"/>
              <w:rPr>
                <w:rFonts w:cs="Times New Roman"/>
                <w:kern w:val="0"/>
                <w:szCs w:val="18"/>
              </w:rPr>
            </w:pPr>
            <w:r>
              <w:rPr>
                <w:rFonts w:cs="Times New Roman"/>
                <w:kern w:val="0"/>
                <w:szCs w:val="18"/>
              </w:rPr>
              <w:t>1个日历</w:t>
            </w:r>
            <w:r>
              <w:rPr>
                <w:rFonts w:hint="eastAsia" w:cs="Times New Roman"/>
                <w:kern w:val="0"/>
                <w:szCs w:val="18"/>
              </w:rPr>
              <w:t>月</w:t>
            </w:r>
            <w:r>
              <w:rPr>
                <w:rFonts w:cs="Times New Roman"/>
                <w:kern w:val="0"/>
                <w:szCs w:val="18"/>
              </w:rPr>
              <w:t>内各日平均浓度的</w:t>
            </w:r>
          </w:p>
          <w:p w14:paraId="1DBBB2FA">
            <w:pPr>
              <w:widowControl/>
              <w:tabs>
                <w:tab w:val="center" w:pos="4201"/>
                <w:tab w:val="right" w:leader="dot" w:pos="9298"/>
              </w:tabs>
              <w:autoSpaceDE w:val="0"/>
              <w:autoSpaceDN w:val="0"/>
              <w:spacing w:line="240" w:lineRule="auto"/>
              <w:jc w:val="center"/>
              <w:rPr>
                <w:rFonts w:cs="Times New Roman"/>
                <w:kern w:val="0"/>
                <w:szCs w:val="18"/>
              </w:rPr>
            </w:pPr>
            <w:r>
              <w:rPr>
                <w:rFonts w:cs="Times New Roman"/>
                <w:kern w:val="0"/>
                <w:szCs w:val="18"/>
              </w:rPr>
              <w:t>算术平均值</w:t>
            </w:r>
          </w:p>
        </w:tc>
        <w:tc>
          <w:tcPr>
            <w:tcW w:w="3881" w:type="dxa"/>
            <w:shd w:val="clear" w:color="auto" w:fill="auto"/>
            <w:vAlign w:val="center"/>
          </w:tcPr>
          <w:p w14:paraId="45274827">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1个日历月内属地日平均浓度的</w:t>
            </w:r>
          </w:p>
          <w:p w14:paraId="0927904B">
            <w:pPr>
              <w:widowControl/>
              <w:tabs>
                <w:tab w:val="center" w:pos="4201"/>
                <w:tab w:val="right" w:leader="dot" w:pos="9298"/>
              </w:tabs>
              <w:autoSpaceDE w:val="0"/>
              <w:autoSpaceDN w:val="0"/>
              <w:spacing w:line="240" w:lineRule="auto"/>
              <w:ind w:firstLine="640"/>
              <w:jc w:val="center"/>
              <w:rPr>
                <w:rFonts w:cs="Times New Roman"/>
                <w:kern w:val="0"/>
                <w:szCs w:val="18"/>
              </w:rPr>
            </w:pPr>
            <w:r>
              <w:rPr>
                <w:rFonts w:hint="eastAsia" w:cs="Times New Roman"/>
                <w:kern w:val="0"/>
                <w:szCs w:val="18"/>
              </w:rPr>
              <w:t>算数平均值</w:t>
            </w:r>
          </w:p>
        </w:tc>
      </w:tr>
      <w:tr w14:paraId="6F16E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305" w:type="dxa"/>
            <w:shd w:val="clear" w:color="auto" w:fill="auto"/>
            <w:vAlign w:val="center"/>
          </w:tcPr>
          <w:p w14:paraId="33D4DE8C">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季</w:t>
            </w:r>
          </w:p>
        </w:tc>
        <w:tc>
          <w:tcPr>
            <w:tcW w:w="3336" w:type="dxa"/>
            <w:vAlign w:val="center"/>
          </w:tcPr>
          <w:p w14:paraId="2B95F392">
            <w:pPr>
              <w:widowControl/>
              <w:tabs>
                <w:tab w:val="center" w:pos="4201"/>
                <w:tab w:val="right" w:leader="dot" w:pos="9298"/>
              </w:tabs>
              <w:autoSpaceDE w:val="0"/>
              <w:autoSpaceDN w:val="0"/>
              <w:spacing w:line="240" w:lineRule="auto"/>
              <w:jc w:val="center"/>
              <w:rPr>
                <w:rFonts w:cs="Times New Roman"/>
                <w:kern w:val="0"/>
                <w:szCs w:val="18"/>
              </w:rPr>
            </w:pPr>
            <w:r>
              <w:rPr>
                <w:rFonts w:cs="Times New Roman"/>
                <w:kern w:val="0"/>
                <w:szCs w:val="18"/>
              </w:rPr>
              <w:t>1个日历</w:t>
            </w:r>
            <w:r>
              <w:rPr>
                <w:rFonts w:hint="eastAsia" w:cs="Times New Roman"/>
                <w:kern w:val="0"/>
                <w:szCs w:val="18"/>
              </w:rPr>
              <w:t>季</w:t>
            </w:r>
            <w:r>
              <w:rPr>
                <w:rFonts w:cs="Times New Roman"/>
                <w:kern w:val="0"/>
                <w:szCs w:val="18"/>
              </w:rPr>
              <w:t>内各日平均浓度的</w:t>
            </w:r>
          </w:p>
          <w:p w14:paraId="1EF66266">
            <w:pPr>
              <w:widowControl/>
              <w:tabs>
                <w:tab w:val="center" w:pos="4201"/>
                <w:tab w:val="right" w:leader="dot" w:pos="9298"/>
              </w:tabs>
              <w:autoSpaceDE w:val="0"/>
              <w:autoSpaceDN w:val="0"/>
              <w:spacing w:line="240" w:lineRule="auto"/>
              <w:jc w:val="center"/>
              <w:rPr>
                <w:rFonts w:cs="Times New Roman"/>
                <w:kern w:val="0"/>
                <w:szCs w:val="18"/>
              </w:rPr>
            </w:pPr>
            <w:r>
              <w:rPr>
                <w:rFonts w:cs="Times New Roman"/>
                <w:kern w:val="0"/>
                <w:szCs w:val="18"/>
              </w:rPr>
              <w:t>算术平均值</w:t>
            </w:r>
          </w:p>
        </w:tc>
        <w:tc>
          <w:tcPr>
            <w:tcW w:w="3881" w:type="dxa"/>
            <w:shd w:val="clear" w:color="auto" w:fill="auto"/>
            <w:vAlign w:val="center"/>
          </w:tcPr>
          <w:p w14:paraId="397A6022">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1个日历季内属地日平均浓度的</w:t>
            </w:r>
          </w:p>
          <w:p w14:paraId="4289F149">
            <w:pPr>
              <w:widowControl/>
              <w:tabs>
                <w:tab w:val="center" w:pos="4201"/>
                <w:tab w:val="right" w:leader="dot" w:pos="9298"/>
              </w:tabs>
              <w:autoSpaceDE w:val="0"/>
              <w:autoSpaceDN w:val="0"/>
              <w:spacing w:line="240" w:lineRule="auto"/>
              <w:ind w:firstLine="640"/>
              <w:jc w:val="center"/>
              <w:rPr>
                <w:rFonts w:cs="Times New Roman"/>
                <w:kern w:val="0"/>
                <w:szCs w:val="18"/>
              </w:rPr>
            </w:pPr>
            <w:r>
              <w:rPr>
                <w:rFonts w:hint="eastAsia" w:cs="Times New Roman"/>
                <w:kern w:val="0"/>
                <w:szCs w:val="18"/>
              </w:rPr>
              <w:t>算数平均值</w:t>
            </w:r>
          </w:p>
        </w:tc>
      </w:tr>
      <w:tr w14:paraId="31AB7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305" w:type="dxa"/>
            <w:shd w:val="clear" w:color="auto" w:fill="auto"/>
            <w:vAlign w:val="center"/>
          </w:tcPr>
          <w:p w14:paraId="5038CF7C">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多日累计</w:t>
            </w:r>
          </w:p>
        </w:tc>
        <w:tc>
          <w:tcPr>
            <w:tcW w:w="3336" w:type="dxa"/>
            <w:vAlign w:val="center"/>
          </w:tcPr>
          <w:p w14:paraId="3AA898D8">
            <w:pPr>
              <w:widowControl/>
              <w:tabs>
                <w:tab w:val="center" w:pos="4201"/>
                <w:tab w:val="right" w:leader="dot" w:pos="9298"/>
              </w:tabs>
              <w:autoSpaceDE w:val="0"/>
              <w:autoSpaceDN w:val="0"/>
              <w:spacing w:line="240" w:lineRule="auto"/>
              <w:jc w:val="center"/>
              <w:rPr>
                <w:rFonts w:cs="Times New Roman"/>
                <w:kern w:val="0"/>
                <w:szCs w:val="18"/>
              </w:rPr>
            </w:pPr>
            <w:r>
              <w:rPr>
                <w:rFonts w:hint="eastAsia" w:cs="Times New Roman"/>
                <w:kern w:val="0"/>
                <w:szCs w:val="18"/>
              </w:rPr>
              <w:t>连续时段内各日平均浓度的算数平均值</w:t>
            </w:r>
          </w:p>
        </w:tc>
        <w:tc>
          <w:tcPr>
            <w:tcW w:w="3881" w:type="dxa"/>
            <w:shd w:val="clear" w:color="auto" w:fill="auto"/>
            <w:vAlign w:val="center"/>
          </w:tcPr>
          <w:p w14:paraId="3FAA33FD">
            <w:pPr>
              <w:widowControl/>
              <w:tabs>
                <w:tab w:val="center" w:pos="4201"/>
                <w:tab w:val="right" w:leader="dot" w:pos="9298"/>
              </w:tabs>
              <w:autoSpaceDE w:val="0"/>
              <w:autoSpaceDN w:val="0"/>
              <w:spacing w:line="240" w:lineRule="auto"/>
              <w:ind w:firstLine="640"/>
              <w:jc w:val="center"/>
              <w:rPr>
                <w:rFonts w:cs="Times New Roman"/>
                <w:kern w:val="0"/>
                <w:szCs w:val="18"/>
              </w:rPr>
            </w:pPr>
            <w:r>
              <w:rPr>
                <w:rFonts w:hint="eastAsia" w:cs="Times New Roman"/>
                <w:kern w:val="0"/>
                <w:szCs w:val="18"/>
              </w:rPr>
              <w:t>连续时段内属地日平均浓度的算数平均值</w:t>
            </w:r>
          </w:p>
        </w:tc>
      </w:tr>
    </w:tbl>
    <w:p w14:paraId="06907B6C">
      <w:pPr>
        <w:spacing w:before="156" w:beforeLines="50"/>
        <w:ind w:firstLine="420" w:firstLineChars="200"/>
        <w:rPr>
          <w:rFonts w:hAnsi="宋体"/>
        </w:rPr>
      </w:pPr>
      <w:r>
        <w:rPr>
          <w:rFonts w:hint="eastAsia" w:hAnsi="宋体"/>
        </w:rPr>
        <w:t>属地污染物浓度数据统计方法中的点位指环境监控点。属地内为监测交通环境、污染源、区域背景等而设置的监测点不计入浓度统计。</w:t>
      </w:r>
    </w:p>
    <w:p w14:paraId="16B84FD2">
      <w:pPr>
        <w:spacing w:before="156" w:beforeLines="50"/>
        <w:ind w:firstLine="420" w:firstLineChars="200"/>
        <w:rPr>
          <w:rFonts w:hAnsi="宋体"/>
        </w:rPr>
      </w:pPr>
      <w:r>
        <w:rPr>
          <w:rFonts w:hint="eastAsia" w:hAnsi="宋体"/>
        </w:rPr>
        <w:t>按照总站气字[</w:t>
      </w:r>
      <w:r>
        <w:rPr>
          <w:rFonts w:hAnsi="宋体"/>
        </w:rPr>
        <w:t>2016]276</w:t>
      </w:r>
      <w:r>
        <w:rPr>
          <w:rFonts w:hint="eastAsia" w:hAnsi="宋体"/>
        </w:rPr>
        <w:t>号《关于调整城市环境空气质量监测数据有效性统计方法的通知》的要求，城市某项污染物的有效数据点位数量不满足7</w:t>
      </w:r>
      <w:r>
        <w:rPr>
          <w:rFonts w:hAnsi="宋体"/>
        </w:rPr>
        <w:t>5</w:t>
      </w:r>
      <w:r>
        <w:rPr>
          <w:rFonts w:hint="eastAsia" w:hAnsi="宋体"/>
        </w:rPr>
        <w:t>%（总评价点位数量少于4个时为5</w:t>
      </w:r>
      <w:r>
        <w:rPr>
          <w:rFonts w:hAnsi="宋体"/>
        </w:rPr>
        <w:t>0</w:t>
      </w:r>
      <w:r>
        <w:rPr>
          <w:rFonts w:hint="eastAsia" w:hAnsi="宋体"/>
        </w:rPr>
        <w:t>%）有效性要求时，该项污染物的城市日均值按照有效数据点位的最大值计算。本标准力求在属地排名评价是能够得到完整的排名结果，规定进行7日以上排名周期的属地排名时，当某评价项目有效监测点位数量不满足有效性统计要求时，该评价项目的属地日均值浓度按照所有待排名属地的当日最高值计算。7日及7日以内属地排名的浓度计算不作替换，点位数量不满足有效性统计要求是按无效处理。在实际工作中，一般性的监测设备故障应可以在7日内解决，当点位由于不可控非人为原因（如自然灾害、建筑物拆除、站房改造等）造成长时间停运且已经网格化监测网主管生态环境</w:t>
      </w:r>
      <w:bookmarkStart w:id="34" w:name="_GoBack"/>
      <w:bookmarkEnd w:id="34"/>
      <w:r>
        <w:rPr>
          <w:rFonts w:hint="eastAsia" w:hAnsi="宋体"/>
        </w:rPr>
        <w:t>部门同意的，该站点不计入属地环境监测站点个数。</w:t>
      </w:r>
    </w:p>
    <w:p w14:paraId="2FB3A086">
      <w:pPr>
        <w:pStyle w:val="4"/>
        <w:ind w:left="0" w:leftChars="0"/>
      </w:pPr>
      <w:bookmarkStart w:id="27" w:name="_Toc55252154"/>
      <w:r>
        <w:rPr>
          <w:rFonts w:hint="eastAsia"/>
        </w:rPr>
        <w:t>4</w:t>
      </w:r>
      <w:r>
        <w:t xml:space="preserve">.8.2 </w:t>
      </w:r>
      <w:r>
        <w:rPr>
          <w:rFonts w:hint="eastAsia"/>
        </w:rPr>
        <w:t>一般排名统计方法</w:t>
      </w:r>
      <w:bookmarkEnd w:id="27"/>
    </w:p>
    <w:p w14:paraId="53A63E8B">
      <w:pPr>
        <w:spacing w:before="240"/>
        <w:ind w:firstLine="420" w:firstLineChars="200"/>
      </w:pPr>
      <w:r>
        <w:rPr>
          <w:rFonts w:hint="eastAsia"/>
        </w:rPr>
        <w:t>一般排名首先将排名周期内所属区域各单点或属地的评价项目浓度值进行排序。正序排名中浓度值由低到高排序，倒序排名中浓度值由高到低排序。排名第一位的点位或属地的一般排名结果为1，以此类推。浓度值相同的点位或属地的一般排名相同，并列排名占用名次，即“1</w:t>
      </w:r>
      <w:r>
        <w:t>224</w:t>
      </w:r>
      <w:r>
        <w:rPr>
          <w:rFonts w:hint="eastAsia"/>
        </w:rPr>
        <w:t>”排名。</w:t>
      </w:r>
    </w:p>
    <w:p w14:paraId="4B293250">
      <w:pPr>
        <w:spacing w:before="240"/>
        <w:ind w:firstLine="420" w:firstLineChars="200"/>
      </w:pPr>
      <w:r>
        <w:rPr>
          <w:rFonts w:hint="eastAsia"/>
        </w:rPr>
        <w:t>如门头沟区某月各乡镇（街道）PM</w:t>
      </w:r>
      <w:r>
        <w:rPr>
          <w:vertAlign w:val="subscript"/>
        </w:rPr>
        <w:t>2.5</w:t>
      </w:r>
      <w:r>
        <w:rPr>
          <w:rFonts w:hint="eastAsia"/>
        </w:rPr>
        <w:t>平均浓度及一般排名（倒序）结果如表3。其中潭柘寺镇和龙泉镇、东辛房街道和大峪街道为并列排名。</w:t>
      </w:r>
    </w:p>
    <w:p w14:paraId="518D8A29">
      <w:pPr>
        <w:pStyle w:val="33"/>
        <w:numPr>
          <w:ilvl w:val="0"/>
          <w:numId w:val="0"/>
        </w:numPr>
        <w:spacing w:before="156" w:after="156"/>
        <w:ind w:left="567" w:hanging="567"/>
        <w:rPr>
          <w:rFonts w:ascii="宋体" w:hAnsi="宋体" w:eastAsia="宋体"/>
        </w:rPr>
      </w:pPr>
      <w:r>
        <w:rPr>
          <w:rFonts w:hint="eastAsia" w:ascii="宋体" w:hAnsi="宋体" w:eastAsia="宋体"/>
        </w:rPr>
        <w:t>表</w:t>
      </w:r>
      <w:r>
        <w:rPr>
          <w:rFonts w:ascii="Times New Roman" w:eastAsia="宋体"/>
        </w:rPr>
        <w:t>3</w:t>
      </w:r>
      <w:r>
        <w:rPr>
          <w:rFonts w:hint="eastAsia" w:ascii="宋体" w:hAnsi="宋体" w:eastAsia="宋体"/>
        </w:rPr>
        <w:t xml:space="preserve"> 门头沟区某月各乡镇（街道）</w:t>
      </w:r>
      <w:r>
        <w:rPr>
          <w:rFonts w:ascii="Times New Roman" w:eastAsia="宋体"/>
        </w:rPr>
        <w:t>PM</w:t>
      </w:r>
      <w:r>
        <w:rPr>
          <w:rFonts w:ascii="Times New Roman" w:eastAsia="宋体"/>
          <w:vertAlign w:val="subscript"/>
        </w:rPr>
        <w:t>2.5</w:t>
      </w:r>
      <w:r>
        <w:rPr>
          <w:rFonts w:hint="eastAsia" w:ascii="宋体" w:hAnsi="宋体" w:eastAsia="宋体"/>
        </w:rPr>
        <w:t>月均浓度及一般排名结果（倒序）</w:t>
      </w:r>
    </w:p>
    <w:tbl>
      <w:tblPr>
        <w:tblStyle w:val="11"/>
        <w:tblW w:w="5980" w:type="dxa"/>
        <w:jc w:val="center"/>
        <w:tblLayout w:type="fixed"/>
        <w:tblCellMar>
          <w:top w:w="0" w:type="dxa"/>
          <w:left w:w="108" w:type="dxa"/>
          <w:bottom w:w="0" w:type="dxa"/>
          <w:right w:w="108" w:type="dxa"/>
        </w:tblCellMar>
      </w:tblPr>
      <w:tblGrid>
        <w:gridCol w:w="2080"/>
        <w:gridCol w:w="1700"/>
        <w:gridCol w:w="2200"/>
      </w:tblGrid>
      <w:tr w14:paraId="43DD1891">
        <w:tblPrEx>
          <w:tblCellMar>
            <w:top w:w="0" w:type="dxa"/>
            <w:left w:w="108" w:type="dxa"/>
            <w:bottom w:w="0" w:type="dxa"/>
            <w:right w:w="108" w:type="dxa"/>
          </w:tblCellMar>
        </w:tblPrEx>
        <w:trPr>
          <w:trHeight w:val="375" w:hRule="atLeast"/>
          <w:jc w:val="center"/>
        </w:trPr>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14:paraId="42DB5BC8">
            <w:pPr>
              <w:widowControl/>
              <w:spacing w:line="240" w:lineRule="auto"/>
              <w:jc w:val="center"/>
              <w:rPr>
                <w:rFonts w:ascii="宋体" w:hAnsi="宋体" w:cs="宋体"/>
                <w:b/>
                <w:bCs/>
                <w:kern w:val="0"/>
                <w:szCs w:val="21"/>
              </w:rPr>
            </w:pPr>
            <w:r>
              <w:rPr>
                <w:rFonts w:hint="eastAsia" w:ascii="宋体" w:hAnsi="宋体" w:cs="宋体"/>
                <w:b/>
                <w:bCs/>
                <w:kern w:val="0"/>
                <w:szCs w:val="21"/>
              </w:rPr>
              <w:t>街乡镇</w:t>
            </w:r>
          </w:p>
        </w:tc>
        <w:tc>
          <w:tcPr>
            <w:tcW w:w="1700" w:type="dxa"/>
            <w:tcBorders>
              <w:top w:val="single" w:color="auto" w:sz="4" w:space="0"/>
              <w:left w:val="nil"/>
              <w:bottom w:val="single" w:color="auto" w:sz="4" w:space="0"/>
              <w:right w:val="single" w:color="auto" w:sz="4" w:space="0"/>
            </w:tcBorders>
            <w:shd w:val="clear" w:color="auto" w:fill="auto"/>
            <w:vAlign w:val="bottom"/>
          </w:tcPr>
          <w:p w14:paraId="630D87EB">
            <w:pPr>
              <w:widowControl/>
              <w:spacing w:line="240" w:lineRule="auto"/>
              <w:jc w:val="center"/>
              <w:rPr>
                <w:rFonts w:ascii="宋体" w:hAnsi="宋体" w:cs="宋体"/>
                <w:b/>
                <w:bCs/>
                <w:color w:val="000000"/>
                <w:kern w:val="0"/>
                <w:szCs w:val="21"/>
              </w:rPr>
            </w:pPr>
            <w:r>
              <w:rPr>
                <w:rFonts w:cs="Times New Roman"/>
                <w:b/>
                <w:bCs/>
                <w:color w:val="000000"/>
                <w:kern w:val="0"/>
                <w:szCs w:val="21"/>
              </w:rPr>
              <w:t>PM</w:t>
            </w:r>
            <w:r>
              <w:rPr>
                <w:rFonts w:cs="Times New Roman"/>
                <w:b/>
                <w:bCs/>
                <w:color w:val="000000"/>
                <w:kern w:val="0"/>
                <w:szCs w:val="21"/>
                <w:vertAlign w:val="subscript"/>
              </w:rPr>
              <w:t>2.5</w:t>
            </w:r>
            <w:r>
              <w:rPr>
                <w:rFonts w:hint="eastAsia" w:ascii="宋体" w:hAnsi="宋体" w:cs="宋体"/>
                <w:b/>
                <w:bCs/>
                <w:color w:val="000000"/>
                <w:kern w:val="0"/>
                <w:szCs w:val="21"/>
              </w:rPr>
              <w:t>月均浓度</w:t>
            </w:r>
          </w:p>
        </w:tc>
        <w:tc>
          <w:tcPr>
            <w:tcW w:w="2200" w:type="dxa"/>
            <w:tcBorders>
              <w:top w:val="single" w:color="auto" w:sz="4" w:space="0"/>
              <w:left w:val="nil"/>
              <w:bottom w:val="single" w:color="auto" w:sz="4" w:space="0"/>
              <w:right w:val="single" w:color="auto" w:sz="4" w:space="0"/>
            </w:tcBorders>
            <w:shd w:val="clear" w:color="auto" w:fill="auto"/>
            <w:vAlign w:val="bottom"/>
          </w:tcPr>
          <w:p w14:paraId="3B8D9739">
            <w:pPr>
              <w:widowControl/>
              <w:spacing w:line="240" w:lineRule="auto"/>
              <w:jc w:val="center"/>
              <w:rPr>
                <w:rFonts w:ascii="宋体" w:hAnsi="宋体" w:cs="宋体"/>
                <w:b/>
                <w:bCs/>
                <w:color w:val="000000"/>
                <w:kern w:val="0"/>
                <w:szCs w:val="21"/>
              </w:rPr>
            </w:pPr>
            <w:r>
              <w:rPr>
                <w:rFonts w:hint="eastAsia" w:ascii="宋体" w:hAnsi="宋体" w:cs="宋体"/>
                <w:b/>
                <w:bCs/>
                <w:color w:val="000000"/>
                <w:kern w:val="0"/>
                <w:szCs w:val="21"/>
              </w:rPr>
              <w:t>一般排名（倒序）</w:t>
            </w:r>
          </w:p>
        </w:tc>
      </w:tr>
      <w:tr w14:paraId="56330BB6">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09EA3729">
            <w:pPr>
              <w:widowControl/>
              <w:spacing w:line="240" w:lineRule="auto"/>
              <w:jc w:val="center"/>
              <w:rPr>
                <w:rFonts w:ascii="宋体" w:hAnsi="宋体" w:cs="宋体"/>
                <w:kern w:val="0"/>
                <w:szCs w:val="21"/>
              </w:rPr>
            </w:pPr>
            <w:r>
              <w:rPr>
                <w:rFonts w:hint="eastAsia" w:ascii="宋体" w:hAnsi="宋体" w:cs="宋体"/>
                <w:kern w:val="0"/>
                <w:szCs w:val="21"/>
              </w:rPr>
              <w:t>城子街道</w:t>
            </w:r>
          </w:p>
        </w:tc>
        <w:tc>
          <w:tcPr>
            <w:tcW w:w="1700" w:type="dxa"/>
            <w:tcBorders>
              <w:top w:val="nil"/>
              <w:left w:val="nil"/>
              <w:bottom w:val="single" w:color="auto" w:sz="4" w:space="0"/>
              <w:right w:val="single" w:color="auto" w:sz="4" w:space="0"/>
            </w:tcBorders>
            <w:shd w:val="clear" w:color="auto" w:fill="auto"/>
            <w:vAlign w:val="bottom"/>
          </w:tcPr>
          <w:p w14:paraId="30A7B086">
            <w:pPr>
              <w:widowControl/>
              <w:spacing w:line="240" w:lineRule="auto"/>
              <w:jc w:val="center"/>
              <w:rPr>
                <w:rFonts w:cs="Times New Roman"/>
                <w:kern w:val="0"/>
                <w:szCs w:val="21"/>
              </w:rPr>
            </w:pPr>
            <w:r>
              <w:rPr>
                <w:rFonts w:cs="Times New Roman"/>
                <w:kern w:val="0"/>
                <w:szCs w:val="21"/>
              </w:rPr>
              <w:t>66</w:t>
            </w:r>
          </w:p>
        </w:tc>
        <w:tc>
          <w:tcPr>
            <w:tcW w:w="2200" w:type="dxa"/>
            <w:tcBorders>
              <w:top w:val="nil"/>
              <w:left w:val="nil"/>
              <w:bottom w:val="single" w:color="auto" w:sz="4" w:space="0"/>
              <w:right w:val="single" w:color="auto" w:sz="4" w:space="0"/>
            </w:tcBorders>
            <w:shd w:val="clear" w:color="auto" w:fill="auto"/>
            <w:vAlign w:val="bottom"/>
          </w:tcPr>
          <w:p w14:paraId="77CB99CF">
            <w:pPr>
              <w:widowControl/>
              <w:spacing w:line="240" w:lineRule="auto"/>
              <w:jc w:val="center"/>
              <w:rPr>
                <w:rFonts w:cs="Times New Roman"/>
                <w:color w:val="000000"/>
                <w:kern w:val="0"/>
                <w:szCs w:val="21"/>
              </w:rPr>
            </w:pPr>
            <w:r>
              <w:rPr>
                <w:rFonts w:cs="Times New Roman"/>
                <w:color w:val="000000"/>
                <w:kern w:val="0"/>
                <w:szCs w:val="21"/>
              </w:rPr>
              <w:t>1</w:t>
            </w:r>
          </w:p>
        </w:tc>
      </w:tr>
      <w:tr w14:paraId="6C58FEB5">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4C18A336">
            <w:pPr>
              <w:widowControl/>
              <w:spacing w:line="240" w:lineRule="auto"/>
              <w:jc w:val="center"/>
              <w:rPr>
                <w:rFonts w:ascii="宋体" w:hAnsi="宋体" w:cs="宋体"/>
                <w:kern w:val="0"/>
                <w:szCs w:val="21"/>
              </w:rPr>
            </w:pPr>
            <w:r>
              <w:rPr>
                <w:rFonts w:hint="eastAsia" w:ascii="宋体" w:hAnsi="宋体" w:cs="宋体"/>
                <w:kern w:val="0"/>
                <w:szCs w:val="21"/>
              </w:rPr>
              <w:t>永定镇</w:t>
            </w:r>
          </w:p>
        </w:tc>
        <w:tc>
          <w:tcPr>
            <w:tcW w:w="1700" w:type="dxa"/>
            <w:tcBorders>
              <w:top w:val="nil"/>
              <w:left w:val="nil"/>
              <w:bottom w:val="single" w:color="auto" w:sz="4" w:space="0"/>
              <w:right w:val="single" w:color="auto" w:sz="4" w:space="0"/>
            </w:tcBorders>
            <w:shd w:val="clear" w:color="auto" w:fill="auto"/>
            <w:vAlign w:val="bottom"/>
          </w:tcPr>
          <w:p w14:paraId="12F88D46">
            <w:pPr>
              <w:widowControl/>
              <w:spacing w:line="240" w:lineRule="auto"/>
              <w:jc w:val="center"/>
              <w:rPr>
                <w:rFonts w:cs="Times New Roman"/>
                <w:kern w:val="0"/>
                <w:szCs w:val="21"/>
              </w:rPr>
            </w:pPr>
            <w:r>
              <w:rPr>
                <w:rFonts w:cs="Times New Roman"/>
                <w:kern w:val="0"/>
                <w:szCs w:val="21"/>
              </w:rPr>
              <w:t>63</w:t>
            </w:r>
          </w:p>
        </w:tc>
        <w:tc>
          <w:tcPr>
            <w:tcW w:w="2200" w:type="dxa"/>
            <w:tcBorders>
              <w:top w:val="nil"/>
              <w:left w:val="nil"/>
              <w:bottom w:val="single" w:color="auto" w:sz="4" w:space="0"/>
              <w:right w:val="single" w:color="auto" w:sz="4" w:space="0"/>
            </w:tcBorders>
            <w:shd w:val="clear" w:color="auto" w:fill="auto"/>
            <w:vAlign w:val="bottom"/>
          </w:tcPr>
          <w:p w14:paraId="38D3BC3A">
            <w:pPr>
              <w:widowControl/>
              <w:spacing w:line="240" w:lineRule="auto"/>
              <w:jc w:val="center"/>
              <w:rPr>
                <w:rFonts w:cs="Times New Roman"/>
                <w:color w:val="000000"/>
                <w:kern w:val="0"/>
                <w:szCs w:val="21"/>
              </w:rPr>
            </w:pPr>
            <w:r>
              <w:rPr>
                <w:rFonts w:cs="Times New Roman"/>
                <w:color w:val="000000"/>
                <w:kern w:val="0"/>
                <w:szCs w:val="21"/>
              </w:rPr>
              <w:t>2</w:t>
            </w:r>
          </w:p>
        </w:tc>
      </w:tr>
      <w:tr w14:paraId="0D5D61FE">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0ED1FB21">
            <w:pPr>
              <w:widowControl/>
              <w:spacing w:line="240" w:lineRule="auto"/>
              <w:jc w:val="center"/>
              <w:rPr>
                <w:rFonts w:ascii="宋体" w:hAnsi="宋体" w:cs="宋体"/>
                <w:kern w:val="0"/>
                <w:szCs w:val="21"/>
              </w:rPr>
            </w:pPr>
            <w:r>
              <w:rPr>
                <w:rFonts w:hint="eastAsia" w:ascii="宋体" w:hAnsi="宋体" w:cs="宋体"/>
                <w:kern w:val="0"/>
                <w:szCs w:val="21"/>
              </w:rPr>
              <w:t>潭柘寺镇</w:t>
            </w:r>
          </w:p>
        </w:tc>
        <w:tc>
          <w:tcPr>
            <w:tcW w:w="1700" w:type="dxa"/>
            <w:tcBorders>
              <w:top w:val="nil"/>
              <w:left w:val="nil"/>
              <w:bottom w:val="single" w:color="auto" w:sz="4" w:space="0"/>
              <w:right w:val="single" w:color="auto" w:sz="4" w:space="0"/>
            </w:tcBorders>
            <w:shd w:val="clear" w:color="auto" w:fill="auto"/>
            <w:vAlign w:val="bottom"/>
          </w:tcPr>
          <w:p w14:paraId="31D3A826">
            <w:pPr>
              <w:widowControl/>
              <w:spacing w:line="240" w:lineRule="auto"/>
              <w:jc w:val="center"/>
              <w:rPr>
                <w:rFonts w:cs="Times New Roman"/>
                <w:kern w:val="0"/>
                <w:szCs w:val="21"/>
              </w:rPr>
            </w:pPr>
            <w:r>
              <w:rPr>
                <w:rFonts w:cs="Times New Roman"/>
                <w:kern w:val="0"/>
                <w:szCs w:val="21"/>
              </w:rPr>
              <w:t>62</w:t>
            </w:r>
          </w:p>
        </w:tc>
        <w:tc>
          <w:tcPr>
            <w:tcW w:w="2200" w:type="dxa"/>
            <w:tcBorders>
              <w:top w:val="nil"/>
              <w:left w:val="nil"/>
              <w:bottom w:val="single" w:color="auto" w:sz="4" w:space="0"/>
              <w:right w:val="single" w:color="auto" w:sz="4" w:space="0"/>
            </w:tcBorders>
            <w:shd w:val="clear" w:color="auto" w:fill="auto"/>
            <w:vAlign w:val="bottom"/>
          </w:tcPr>
          <w:p w14:paraId="217DA8CC">
            <w:pPr>
              <w:widowControl/>
              <w:spacing w:line="240" w:lineRule="auto"/>
              <w:jc w:val="center"/>
              <w:rPr>
                <w:rFonts w:cs="Times New Roman"/>
                <w:color w:val="000000"/>
                <w:kern w:val="0"/>
                <w:szCs w:val="21"/>
              </w:rPr>
            </w:pPr>
            <w:r>
              <w:rPr>
                <w:rFonts w:cs="Times New Roman"/>
                <w:color w:val="000000"/>
                <w:kern w:val="0"/>
                <w:szCs w:val="21"/>
              </w:rPr>
              <w:t>3</w:t>
            </w:r>
          </w:p>
        </w:tc>
      </w:tr>
      <w:tr w14:paraId="373C5913">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2E5535BA">
            <w:pPr>
              <w:widowControl/>
              <w:spacing w:line="240" w:lineRule="auto"/>
              <w:jc w:val="center"/>
              <w:rPr>
                <w:rFonts w:ascii="宋体" w:hAnsi="宋体" w:cs="宋体"/>
                <w:kern w:val="0"/>
                <w:szCs w:val="21"/>
              </w:rPr>
            </w:pPr>
            <w:r>
              <w:rPr>
                <w:rFonts w:hint="eastAsia" w:ascii="宋体" w:hAnsi="宋体" w:cs="宋体"/>
                <w:kern w:val="0"/>
                <w:szCs w:val="21"/>
              </w:rPr>
              <w:t>龙泉镇</w:t>
            </w:r>
          </w:p>
        </w:tc>
        <w:tc>
          <w:tcPr>
            <w:tcW w:w="1700" w:type="dxa"/>
            <w:tcBorders>
              <w:top w:val="nil"/>
              <w:left w:val="nil"/>
              <w:bottom w:val="single" w:color="auto" w:sz="4" w:space="0"/>
              <w:right w:val="single" w:color="auto" w:sz="4" w:space="0"/>
            </w:tcBorders>
            <w:shd w:val="clear" w:color="auto" w:fill="auto"/>
            <w:vAlign w:val="bottom"/>
          </w:tcPr>
          <w:p w14:paraId="350350B3">
            <w:pPr>
              <w:widowControl/>
              <w:spacing w:line="240" w:lineRule="auto"/>
              <w:jc w:val="center"/>
              <w:rPr>
                <w:rFonts w:cs="Times New Roman"/>
                <w:kern w:val="0"/>
                <w:szCs w:val="21"/>
              </w:rPr>
            </w:pPr>
            <w:r>
              <w:rPr>
                <w:rFonts w:cs="Times New Roman"/>
                <w:kern w:val="0"/>
                <w:szCs w:val="21"/>
              </w:rPr>
              <w:t>62</w:t>
            </w:r>
          </w:p>
        </w:tc>
        <w:tc>
          <w:tcPr>
            <w:tcW w:w="2200" w:type="dxa"/>
            <w:tcBorders>
              <w:top w:val="nil"/>
              <w:left w:val="nil"/>
              <w:bottom w:val="single" w:color="auto" w:sz="4" w:space="0"/>
              <w:right w:val="single" w:color="auto" w:sz="4" w:space="0"/>
            </w:tcBorders>
            <w:shd w:val="clear" w:color="auto" w:fill="auto"/>
            <w:vAlign w:val="bottom"/>
          </w:tcPr>
          <w:p w14:paraId="02BBCF19">
            <w:pPr>
              <w:widowControl/>
              <w:spacing w:line="240" w:lineRule="auto"/>
              <w:jc w:val="center"/>
              <w:rPr>
                <w:rFonts w:cs="Times New Roman"/>
                <w:color w:val="000000"/>
                <w:kern w:val="0"/>
                <w:szCs w:val="21"/>
              </w:rPr>
            </w:pPr>
            <w:r>
              <w:rPr>
                <w:rFonts w:cs="Times New Roman"/>
                <w:color w:val="000000"/>
                <w:kern w:val="0"/>
                <w:szCs w:val="21"/>
              </w:rPr>
              <w:t>3</w:t>
            </w:r>
          </w:p>
        </w:tc>
      </w:tr>
      <w:tr w14:paraId="60F35FEC">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6D9FECF8">
            <w:pPr>
              <w:widowControl/>
              <w:spacing w:line="240" w:lineRule="auto"/>
              <w:jc w:val="center"/>
              <w:rPr>
                <w:rFonts w:ascii="宋体" w:hAnsi="宋体" w:cs="宋体"/>
                <w:kern w:val="0"/>
                <w:szCs w:val="21"/>
              </w:rPr>
            </w:pPr>
            <w:r>
              <w:rPr>
                <w:rFonts w:hint="eastAsia" w:ascii="宋体" w:hAnsi="宋体" w:cs="宋体"/>
                <w:kern w:val="0"/>
                <w:szCs w:val="21"/>
              </w:rPr>
              <w:t>东辛房街道</w:t>
            </w:r>
          </w:p>
        </w:tc>
        <w:tc>
          <w:tcPr>
            <w:tcW w:w="1700" w:type="dxa"/>
            <w:tcBorders>
              <w:top w:val="nil"/>
              <w:left w:val="nil"/>
              <w:bottom w:val="single" w:color="auto" w:sz="4" w:space="0"/>
              <w:right w:val="single" w:color="auto" w:sz="4" w:space="0"/>
            </w:tcBorders>
            <w:shd w:val="clear" w:color="auto" w:fill="auto"/>
            <w:vAlign w:val="bottom"/>
          </w:tcPr>
          <w:p w14:paraId="6F1FFC09">
            <w:pPr>
              <w:widowControl/>
              <w:spacing w:line="240" w:lineRule="auto"/>
              <w:jc w:val="center"/>
              <w:rPr>
                <w:rFonts w:cs="Times New Roman"/>
                <w:kern w:val="0"/>
                <w:szCs w:val="21"/>
              </w:rPr>
            </w:pPr>
            <w:r>
              <w:rPr>
                <w:rFonts w:cs="Times New Roman"/>
                <w:kern w:val="0"/>
                <w:szCs w:val="21"/>
              </w:rPr>
              <w:t>61</w:t>
            </w:r>
          </w:p>
        </w:tc>
        <w:tc>
          <w:tcPr>
            <w:tcW w:w="2200" w:type="dxa"/>
            <w:tcBorders>
              <w:top w:val="nil"/>
              <w:left w:val="nil"/>
              <w:bottom w:val="single" w:color="auto" w:sz="4" w:space="0"/>
              <w:right w:val="single" w:color="auto" w:sz="4" w:space="0"/>
            </w:tcBorders>
            <w:shd w:val="clear" w:color="auto" w:fill="auto"/>
            <w:vAlign w:val="bottom"/>
          </w:tcPr>
          <w:p w14:paraId="58162AA3">
            <w:pPr>
              <w:widowControl/>
              <w:spacing w:line="240" w:lineRule="auto"/>
              <w:jc w:val="center"/>
              <w:rPr>
                <w:rFonts w:cs="Times New Roman"/>
                <w:color w:val="000000"/>
                <w:kern w:val="0"/>
                <w:szCs w:val="21"/>
              </w:rPr>
            </w:pPr>
            <w:r>
              <w:rPr>
                <w:rFonts w:cs="Times New Roman"/>
                <w:color w:val="000000"/>
                <w:kern w:val="0"/>
                <w:szCs w:val="21"/>
              </w:rPr>
              <w:t>5</w:t>
            </w:r>
          </w:p>
        </w:tc>
      </w:tr>
      <w:tr w14:paraId="57278DC8">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202505E7">
            <w:pPr>
              <w:widowControl/>
              <w:spacing w:line="240" w:lineRule="auto"/>
              <w:jc w:val="center"/>
              <w:rPr>
                <w:rFonts w:ascii="宋体" w:hAnsi="宋体" w:cs="宋体"/>
                <w:kern w:val="0"/>
                <w:szCs w:val="21"/>
              </w:rPr>
            </w:pPr>
            <w:r>
              <w:rPr>
                <w:rFonts w:hint="eastAsia" w:ascii="宋体" w:hAnsi="宋体" w:cs="宋体"/>
                <w:kern w:val="0"/>
                <w:szCs w:val="21"/>
              </w:rPr>
              <w:t>大峪街道</w:t>
            </w:r>
          </w:p>
        </w:tc>
        <w:tc>
          <w:tcPr>
            <w:tcW w:w="1700" w:type="dxa"/>
            <w:tcBorders>
              <w:top w:val="nil"/>
              <w:left w:val="nil"/>
              <w:bottom w:val="single" w:color="auto" w:sz="4" w:space="0"/>
              <w:right w:val="single" w:color="auto" w:sz="4" w:space="0"/>
            </w:tcBorders>
            <w:shd w:val="clear" w:color="auto" w:fill="auto"/>
            <w:vAlign w:val="bottom"/>
          </w:tcPr>
          <w:p w14:paraId="086CB1F3">
            <w:pPr>
              <w:widowControl/>
              <w:spacing w:line="240" w:lineRule="auto"/>
              <w:jc w:val="center"/>
              <w:rPr>
                <w:rFonts w:cs="Times New Roman"/>
                <w:kern w:val="0"/>
                <w:szCs w:val="21"/>
              </w:rPr>
            </w:pPr>
            <w:r>
              <w:rPr>
                <w:rFonts w:cs="Times New Roman"/>
                <w:kern w:val="0"/>
                <w:szCs w:val="21"/>
              </w:rPr>
              <w:t>61</w:t>
            </w:r>
          </w:p>
        </w:tc>
        <w:tc>
          <w:tcPr>
            <w:tcW w:w="2200" w:type="dxa"/>
            <w:tcBorders>
              <w:top w:val="nil"/>
              <w:left w:val="nil"/>
              <w:bottom w:val="single" w:color="auto" w:sz="4" w:space="0"/>
              <w:right w:val="single" w:color="auto" w:sz="4" w:space="0"/>
            </w:tcBorders>
            <w:shd w:val="clear" w:color="auto" w:fill="auto"/>
            <w:vAlign w:val="bottom"/>
          </w:tcPr>
          <w:p w14:paraId="24BAE074">
            <w:pPr>
              <w:widowControl/>
              <w:spacing w:line="240" w:lineRule="auto"/>
              <w:jc w:val="center"/>
              <w:rPr>
                <w:rFonts w:cs="Times New Roman"/>
                <w:color w:val="000000"/>
                <w:kern w:val="0"/>
                <w:szCs w:val="21"/>
              </w:rPr>
            </w:pPr>
            <w:r>
              <w:rPr>
                <w:rFonts w:cs="Times New Roman"/>
                <w:color w:val="000000"/>
                <w:kern w:val="0"/>
                <w:szCs w:val="21"/>
              </w:rPr>
              <w:t>5</w:t>
            </w:r>
          </w:p>
        </w:tc>
      </w:tr>
      <w:tr w14:paraId="392ECCEE">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742B01DD">
            <w:pPr>
              <w:widowControl/>
              <w:spacing w:line="240" w:lineRule="auto"/>
              <w:jc w:val="center"/>
              <w:rPr>
                <w:rFonts w:ascii="宋体" w:hAnsi="宋体" w:cs="宋体"/>
                <w:kern w:val="0"/>
                <w:szCs w:val="21"/>
              </w:rPr>
            </w:pPr>
            <w:r>
              <w:rPr>
                <w:rFonts w:hint="eastAsia" w:ascii="宋体" w:hAnsi="宋体" w:cs="宋体"/>
                <w:kern w:val="0"/>
                <w:szCs w:val="21"/>
              </w:rPr>
              <w:t>军庄镇</w:t>
            </w:r>
          </w:p>
        </w:tc>
        <w:tc>
          <w:tcPr>
            <w:tcW w:w="1700" w:type="dxa"/>
            <w:tcBorders>
              <w:top w:val="nil"/>
              <w:left w:val="nil"/>
              <w:bottom w:val="single" w:color="auto" w:sz="4" w:space="0"/>
              <w:right w:val="single" w:color="auto" w:sz="4" w:space="0"/>
            </w:tcBorders>
            <w:shd w:val="clear" w:color="auto" w:fill="auto"/>
            <w:vAlign w:val="bottom"/>
          </w:tcPr>
          <w:p w14:paraId="6A040BDF">
            <w:pPr>
              <w:widowControl/>
              <w:spacing w:line="240" w:lineRule="auto"/>
              <w:jc w:val="center"/>
              <w:rPr>
                <w:rFonts w:cs="Times New Roman"/>
                <w:kern w:val="0"/>
                <w:szCs w:val="21"/>
              </w:rPr>
            </w:pPr>
            <w:r>
              <w:rPr>
                <w:rFonts w:cs="Times New Roman"/>
                <w:kern w:val="0"/>
                <w:szCs w:val="21"/>
              </w:rPr>
              <w:t>57</w:t>
            </w:r>
          </w:p>
        </w:tc>
        <w:tc>
          <w:tcPr>
            <w:tcW w:w="2200" w:type="dxa"/>
            <w:tcBorders>
              <w:top w:val="nil"/>
              <w:left w:val="nil"/>
              <w:bottom w:val="single" w:color="auto" w:sz="4" w:space="0"/>
              <w:right w:val="single" w:color="auto" w:sz="4" w:space="0"/>
            </w:tcBorders>
            <w:shd w:val="clear" w:color="auto" w:fill="auto"/>
            <w:vAlign w:val="bottom"/>
          </w:tcPr>
          <w:p w14:paraId="32312FAE">
            <w:pPr>
              <w:widowControl/>
              <w:spacing w:line="240" w:lineRule="auto"/>
              <w:jc w:val="center"/>
              <w:rPr>
                <w:rFonts w:cs="Times New Roman"/>
                <w:color w:val="000000"/>
                <w:kern w:val="0"/>
                <w:szCs w:val="21"/>
              </w:rPr>
            </w:pPr>
            <w:r>
              <w:rPr>
                <w:rFonts w:cs="Times New Roman"/>
                <w:color w:val="000000"/>
                <w:kern w:val="0"/>
                <w:szCs w:val="21"/>
              </w:rPr>
              <w:t>7</w:t>
            </w:r>
          </w:p>
        </w:tc>
      </w:tr>
      <w:tr w14:paraId="0F81B64E">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11EF38FB">
            <w:pPr>
              <w:widowControl/>
              <w:spacing w:line="240" w:lineRule="auto"/>
              <w:jc w:val="center"/>
              <w:rPr>
                <w:rFonts w:ascii="宋体" w:hAnsi="宋体" w:cs="宋体"/>
                <w:kern w:val="0"/>
                <w:szCs w:val="21"/>
              </w:rPr>
            </w:pPr>
            <w:r>
              <w:rPr>
                <w:rFonts w:hint="eastAsia" w:ascii="宋体" w:hAnsi="宋体" w:cs="宋体"/>
                <w:kern w:val="0"/>
                <w:szCs w:val="21"/>
              </w:rPr>
              <w:t>王平镇</w:t>
            </w:r>
          </w:p>
        </w:tc>
        <w:tc>
          <w:tcPr>
            <w:tcW w:w="1700" w:type="dxa"/>
            <w:tcBorders>
              <w:top w:val="nil"/>
              <w:left w:val="nil"/>
              <w:bottom w:val="single" w:color="auto" w:sz="4" w:space="0"/>
              <w:right w:val="single" w:color="auto" w:sz="4" w:space="0"/>
            </w:tcBorders>
            <w:shd w:val="clear" w:color="auto" w:fill="auto"/>
            <w:vAlign w:val="bottom"/>
          </w:tcPr>
          <w:p w14:paraId="0E662C9F">
            <w:pPr>
              <w:widowControl/>
              <w:spacing w:line="240" w:lineRule="auto"/>
              <w:jc w:val="center"/>
              <w:rPr>
                <w:rFonts w:cs="Times New Roman"/>
                <w:kern w:val="0"/>
                <w:szCs w:val="21"/>
              </w:rPr>
            </w:pPr>
            <w:r>
              <w:rPr>
                <w:rFonts w:cs="Times New Roman"/>
                <w:kern w:val="0"/>
                <w:szCs w:val="21"/>
              </w:rPr>
              <w:t>56</w:t>
            </w:r>
          </w:p>
        </w:tc>
        <w:tc>
          <w:tcPr>
            <w:tcW w:w="2200" w:type="dxa"/>
            <w:tcBorders>
              <w:top w:val="nil"/>
              <w:left w:val="nil"/>
              <w:bottom w:val="single" w:color="auto" w:sz="4" w:space="0"/>
              <w:right w:val="single" w:color="auto" w:sz="4" w:space="0"/>
            </w:tcBorders>
            <w:shd w:val="clear" w:color="auto" w:fill="auto"/>
            <w:vAlign w:val="bottom"/>
          </w:tcPr>
          <w:p w14:paraId="3228725E">
            <w:pPr>
              <w:widowControl/>
              <w:spacing w:line="240" w:lineRule="auto"/>
              <w:jc w:val="center"/>
              <w:rPr>
                <w:rFonts w:cs="Times New Roman"/>
                <w:color w:val="000000"/>
                <w:kern w:val="0"/>
                <w:szCs w:val="21"/>
              </w:rPr>
            </w:pPr>
            <w:r>
              <w:rPr>
                <w:rFonts w:cs="Times New Roman"/>
                <w:color w:val="000000"/>
                <w:kern w:val="0"/>
                <w:szCs w:val="21"/>
              </w:rPr>
              <w:t>8</w:t>
            </w:r>
          </w:p>
        </w:tc>
      </w:tr>
      <w:tr w14:paraId="6A74799D">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0377447A">
            <w:pPr>
              <w:widowControl/>
              <w:spacing w:line="240" w:lineRule="auto"/>
              <w:jc w:val="center"/>
              <w:rPr>
                <w:rFonts w:ascii="宋体" w:hAnsi="宋体" w:cs="宋体"/>
                <w:kern w:val="0"/>
                <w:szCs w:val="21"/>
              </w:rPr>
            </w:pPr>
            <w:r>
              <w:rPr>
                <w:rFonts w:hint="eastAsia" w:ascii="宋体" w:hAnsi="宋体" w:cs="宋体"/>
                <w:kern w:val="0"/>
                <w:szCs w:val="21"/>
              </w:rPr>
              <w:t>妙峰山镇</w:t>
            </w:r>
          </w:p>
        </w:tc>
        <w:tc>
          <w:tcPr>
            <w:tcW w:w="1700" w:type="dxa"/>
            <w:tcBorders>
              <w:top w:val="nil"/>
              <w:left w:val="nil"/>
              <w:bottom w:val="single" w:color="auto" w:sz="4" w:space="0"/>
              <w:right w:val="single" w:color="auto" w:sz="4" w:space="0"/>
            </w:tcBorders>
            <w:shd w:val="clear" w:color="auto" w:fill="auto"/>
            <w:vAlign w:val="bottom"/>
          </w:tcPr>
          <w:p w14:paraId="2772829A">
            <w:pPr>
              <w:widowControl/>
              <w:spacing w:line="240" w:lineRule="auto"/>
              <w:jc w:val="center"/>
              <w:rPr>
                <w:rFonts w:cs="Times New Roman"/>
                <w:kern w:val="0"/>
                <w:szCs w:val="21"/>
              </w:rPr>
            </w:pPr>
            <w:r>
              <w:rPr>
                <w:rFonts w:cs="Times New Roman"/>
                <w:kern w:val="0"/>
                <w:szCs w:val="21"/>
              </w:rPr>
              <w:t>52</w:t>
            </w:r>
          </w:p>
        </w:tc>
        <w:tc>
          <w:tcPr>
            <w:tcW w:w="2200" w:type="dxa"/>
            <w:tcBorders>
              <w:top w:val="nil"/>
              <w:left w:val="nil"/>
              <w:bottom w:val="single" w:color="auto" w:sz="4" w:space="0"/>
              <w:right w:val="single" w:color="auto" w:sz="4" w:space="0"/>
            </w:tcBorders>
            <w:shd w:val="clear" w:color="auto" w:fill="auto"/>
            <w:vAlign w:val="bottom"/>
          </w:tcPr>
          <w:p w14:paraId="09430C10">
            <w:pPr>
              <w:widowControl/>
              <w:spacing w:line="240" w:lineRule="auto"/>
              <w:jc w:val="center"/>
              <w:rPr>
                <w:rFonts w:cs="Times New Roman"/>
                <w:color w:val="000000"/>
                <w:kern w:val="0"/>
                <w:szCs w:val="21"/>
              </w:rPr>
            </w:pPr>
            <w:r>
              <w:rPr>
                <w:rFonts w:cs="Times New Roman"/>
                <w:color w:val="000000"/>
                <w:kern w:val="0"/>
                <w:szCs w:val="21"/>
              </w:rPr>
              <w:t>9</w:t>
            </w:r>
          </w:p>
        </w:tc>
      </w:tr>
      <w:tr w14:paraId="1B664190">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1834A0EF">
            <w:pPr>
              <w:widowControl/>
              <w:spacing w:line="240" w:lineRule="auto"/>
              <w:jc w:val="center"/>
              <w:rPr>
                <w:rFonts w:ascii="宋体" w:hAnsi="宋体" w:cs="宋体"/>
                <w:kern w:val="0"/>
                <w:szCs w:val="21"/>
              </w:rPr>
            </w:pPr>
            <w:r>
              <w:rPr>
                <w:rFonts w:hint="eastAsia" w:ascii="宋体" w:hAnsi="宋体" w:cs="宋体"/>
                <w:kern w:val="0"/>
                <w:szCs w:val="21"/>
              </w:rPr>
              <w:t>大台街道</w:t>
            </w:r>
          </w:p>
        </w:tc>
        <w:tc>
          <w:tcPr>
            <w:tcW w:w="1700" w:type="dxa"/>
            <w:tcBorders>
              <w:top w:val="nil"/>
              <w:left w:val="nil"/>
              <w:bottom w:val="single" w:color="auto" w:sz="4" w:space="0"/>
              <w:right w:val="single" w:color="auto" w:sz="4" w:space="0"/>
            </w:tcBorders>
            <w:shd w:val="clear" w:color="auto" w:fill="auto"/>
            <w:vAlign w:val="bottom"/>
          </w:tcPr>
          <w:p w14:paraId="1A132F9A">
            <w:pPr>
              <w:widowControl/>
              <w:spacing w:line="240" w:lineRule="auto"/>
              <w:jc w:val="center"/>
              <w:rPr>
                <w:rFonts w:cs="Times New Roman"/>
                <w:kern w:val="0"/>
                <w:szCs w:val="21"/>
              </w:rPr>
            </w:pPr>
            <w:r>
              <w:rPr>
                <w:rFonts w:cs="Times New Roman"/>
                <w:kern w:val="0"/>
                <w:szCs w:val="21"/>
              </w:rPr>
              <w:t>51</w:t>
            </w:r>
          </w:p>
        </w:tc>
        <w:tc>
          <w:tcPr>
            <w:tcW w:w="2200" w:type="dxa"/>
            <w:tcBorders>
              <w:top w:val="nil"/>
              <w:left w:val="nil"/>
              <w:bottom w:val="single" w:color="auto" w:sz="4" w:space="0"/>
              <w:right w:val="single" w:color="auto" w:sz="4" w:space="0"/>
            </w:tcBorders>
            <w:shd w:val="clear" w:color="auto" w:fill="auto"/>
            <w:vAlign w:val="bottom"/>
          </w:tcPr>
          <w:p w14:paraId="57E311D4">
            <w:pPr>
              <w:widowControl/>
              <w:spacing w:line="240" w:lineRule="auto"/>
              <w:jc w:val="center"/>
              <w:rPr>
                <w:rFonts w:cs="Times New Roman"/>
                <w:color w:val="000000"/>
                <w:kern w:val="0"/>
                <w:szCs w:val="21"/>
              </w:rPr>
            </w:pPr>
            <w:r>
              <w:rPr>
                <w:rFonts w:cs="Times New Roman"/>
                <w:color w:val="000000"/>
                <w:kern w:val="0"/>
                <w:szCs w:val="21"/>
              </w:rPr>
              <w:t>10</w:t>
            </w:r>
          </w:p>
        </w:tc>
      </w:tr>
      <w:tr w14:paraId="4263A759">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033B9F44">
            <w:pPr>
              <w:widowControl/>
              <w:spacing w:line="240" w:lineRule="auto"/>
              <w:jc w:val="center"/>
              <w:rPr>
                <w:rFonts w:ascii="宋体" w:hAnsi="宋体" w:cs="宋体"/>
                <w:kern w:val="0"/>
                <w:szCs w:val="21"/>
              </w:rPr>
            </w:pPr>
            <w:r>
              <w:rPr>
                <w:rFonts w:hint="eastAsia" w:ascii="宋体" w:hAnsi="宋体" w:cs="宋体"/>
                <w:kern w:val="0"/>
                <w:szCs w:val="21"/>
              </w:rPr>
              <w:t>雁翅镇</w:t>
            </w:r>
          </w:p>
        </w:tc>
        <w:tc>
          <w:tcPr>
            <w:tcW w:w="1700" w:type="dxa"/>
            <w:tcBorders>
              <w:top w:val="nil"/>
              <w:left w:val="nil"/>
              <w:bottom w:val="single" w:color="auto" w:sz="4" w:space="0"/>
              <w:right w:val="single" w:color="auto" w:sz="4" w:space="0"/>
            </w:tcBorders>
            <w:shd w:val="clear" w:color="auto" w:fill="auto"/>
            <w:vAlign w:val="bottom"/>
          </w:tcPr>
          <w:p w14:paraId="31670119">
            <w:pPr>
              <w:widowControl/>
              <w:spacing w:line="240" w:lineRule="auto"/>
              <w:jc w:val="center"/>
              <w:rPr>
                <w:rFonts w:cs="Times New Roman"/>
                <w:kern w:val="0"/>
                <w:szCs w:val="21"/>
              </w:rPr>
            </w:pPr>
            <w:r>
              <w:rPr>
                <w:rFonts w:cs="Times New Roman"/>
                <w:kern w:val="0"/>
                <w:szCs w:val="21"/>
              </w:rPr>
              <w:t>50</w:t>
            </w:r>
          </w:p>
        </w:tc>
        <w:tc>
          <w:tcPr>
            <w:tcW w:w="2200" w:type="dxa"/>
            <w:tcBorders>
              <w:top w:val="nil"/>
              <w:left w:val="nil"/>
              <w:bottom w:val="single" w:color="auto" w:sz="4" w:space="0"/>
              <w:right w:val="single" w:color="auto" w:sz="4" w:space="0"/>
            </w:tcBorders>
            <w:shd w:val="clear" w:color="auto" w:fill="auto"/>
            <w:vAlign w:val="bottom"/>
          </w:tcPr>
          <w:p w14:paraId="29C3AF5D">
            <w:pPr>
              <w:widowControl/>
              <w:spacing w:line="240" w:lineRule="auto"/>
              <w:jc w:val="center"/>
              <w:rPr>
                <w:rFonts w:cs="Times New Roman"/>
                <w:color w:val="000000"/>
                <w:kern w:val="0"/>
                <w:szCs w:val="21"/>
              </w:rPr>
            </w:pPr>
            <w:r>
              <w:rPr>
                <w:rFonts w:cs="Times New Roman"/>
                <w:color w:val="000000"/>
                <w:kern w:val="0"/>
                <w:szCs w:val="21"/>
              </w:rPr>
              <w:t>11</w:t>
            </w:r>
          </w:p>
        </w:tc>
      </w:tr>
      <w:tr w14:paraId="0E530C49">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1EA53F4A">
            <w:pPr>
              <w:widowControl/>
              <w:spacing w:line="240" w:lineRule="auto"/>
              <w:jc w:val="center"/>
              <w:rPr>
                <w:rFonts w:ascii="宋体" w:hAnsi="宋体" w:cs="宋体"/>
                <w:kern w:val="0"/>
                <w:szCs w:val="21"/>
              </w:rPr>
            </w:pPr>
            <w:r>
              <w:rPr>
                <w:rFonts w:hint="eastAsia" w:ascii="宋体" w:hAnsi="宋体" w:cs="宋体"/>
                <w:kern w:val="0"/>
                <w:szCs w:val="21"/>
              </w:rPr>
              <w:t>斋堂镇</w:t>
            </w:r>
          </w:p>
        </w:tc>
        <w:tc>
          <w:tcPr>
            <w:tcW w:w="1700" w:type="dxa"/>
            <w:tcBorders>
              <w:top w:val="nil"/>
              <w:left w:val="nil"/>
              <w:bottom w:val="single" w:color="auto" w:sz="4" w:space="0"/>
              <w:right w:val="single" w:color="auto" w:sz="4" w:space="0"/>
            </w:tcBorders>
            <w:shd w:val="clear" w:color="auto" w:fill="auto"/>
            <w:vAlign w:val="bottom"/>
          </w:tcPr>
          <w:p w14:paraId="3544D5B8">
            <w:pPr>
              <w:widowControl/>
              <w:spacing w:line="240" w:lineRule="auto"/>
              <w:jc w:val="center"/>
              <w:rPr>
                <w:rFonts w:cs="Times New Roman"/>
                <w:kern w:val="0"/>
                <w:szCs w:val="21"/>
              </w:rPr>
            </w:pPr>
            <w:r>
              <w:rPr>
                <w:rFonts w:cs="Times New Roman"/>
                <w:kern w:val="0"/>
                <w:szCs w:val="21"/>
              </w:rPr>
              <w:t>45</w:t>
            </w:r>
          </w:p>
        </w:tc>
        <w:tc>
          <w:tcPr>
            <w:tcW w:w="2200" w:type="dxa"/>
            <w:tcBorders>
              <w:top w:val="nil"/>
              <w:left w:val="nil"/>
              <w:bottom w:val="single" w:color="auto" w:sz="4" w:space="0"/>
              <w:right w:val="single" w:color="auto" w:sz="4" w:space="0"/>
            </w:tcBorders>
            <w:shd w:val="clear" w:color="auto" w:fill="auto"/>
            <w:vAlign w:val="bottom"/>
          </w:tcPr>
          <w:p w14:paraId="2563F3A6">
            <w:pPr>
              <w:widowControl/>
              <w:spacing w:line="240" w:lineRule="auto"/>
              <w:jc w:val="center"/>
              <w:rPr>
                <w:rFonts w:cs="Times New Roman"/>
                <w:color w:val="000000"/>
                <w:kern w:val="0"/>
                <w:szCs w:val="21"/>
              </w:rPr>
            </w:pPr>
            <w:r>
              <w:rPr>
                <w:rFonts w:cs="Times New Roman"/>
                <w:color w:val="000000"/>
                <w:kern w:val="0"/>
                <w:szCs w:val="21"/>
              </w:rPr>
              <w:t>12</w:t>
            </w:r>
          </w:p>
        </w:tc>
      </w:tr>
      <w:tr w14:paraId="34009B28">
        <w:tblPrEx>
          <w:tblCellMar>
            <w:top w:w="0" w:type="dxa"/>
            <w:left w:w="108" w:type="dxa"/>
            <w:bottom w:w="0" w:type="dxa"/>
            <w:right w:w="108" w:type="dxa"/>
          </w:tblCellMar>
        </w:tblPrEx>
        <w:trPr>
          <w:trHeight w:val="300" w:hRule="atLeast"/>
          <w:jc w:val="center"/>
        </w:trPr>
        <w:tc>
          <w:tcPr>
            <w:tcW w:w="2080" w:type="dxa"/>
            <w:tcBorders>
              <w:top w:val="nil"/>
              <w:left w:val="single" w:color="auto" w:sz="4" w:space="0"/>
              <w:bottom w:val="single" w:color="auto" w:sz="4" w:space="0"/>
              <w:right w:val="single" w:color="auto" w:sz="4" w:space="0"/>
            </w:tcBorders>
            <w:shd w:val="clear" w:color="auto" w:fill="auto"/>
            <w:vAlign w:val="bottom"/>
          </w:tcPr>
          <w:p w14:paraId="2A4E5E03">
            <w:pPr>
              <w:widowControl/>
              <w:spacing w:line="240" w:lineRule="auto"/>
              <w:jc w:val="center"/>
              <w:rPr>
                <w:rFonts w:ascii="宋体" w:hAnsi="宋体" w:cs="宋体"/>
                <w:kern w:val="0"/>
                <w:szCs w:val="21"/>
              </w:rPr>
            </w:pPr>
            <w:r>
              <w:rPr>
                <w:rFonts w:hint="eastAsia" w:ascii="宋体" w:hAnsi="宋体" w:cs="宋体"/>
                <w:kern w:val="0"/>
                <w:szCs w:val="21"/>
              </w:rPr>
              <w:t>清水镇</w:t>
            </w:r>
          </w:p>
        </w:tc>
        <w:tc>
          <w:tcPr>
            <w:tcW w:w="1700" w:type="dxa"/>
            <w:tcBorders>
              <w:top w:val="nil"/>
              <w:left w:val="nil"/>
              <w:bottom w:val="single" w:color="auto" w:sz="4" w:space="0"/>
              <w:right w:val="single" w:color="auto" w:sz="4" w:space="0"/>
            </w:tcBorders>
            <w:shd w:val="clear" w:color="auto" w:fill="auto"/>
            <w:vAlign w:val="bottom"/>
          </w:tcPr>
          <w:p w14:paraId="7DFB033A">
            <w:pPr>
              <w:widowControl/>
              <w:spacing w:line="240" w:lineRule="auto"/>
              <w:jc w:val="center"/>
              <w:rPr>
                <w:rFonts w:cs="Times New Roman"/>
                <w:kern w:val="0"/>
                <w:szCs w:val="21"/>
              </w:rPr>
            </w:pPr>
            <w:r>
              <w:rPr>
                <w:rFonts w:cs="Times New Roman"/>
                <w:kern w:val="0"/>
                <w:szCs w:val="21"/>
              </w:rPr>
              <w:t>38</w:t>
            </w:r>
          </w:p>
        </w:tc>
        <w:tc>
          <w:tcPr>
            <w:tcW w:w="2200" w:type="dxa"/>
            <w:tcBorders>
              <w:top w:val="nil"/>
              <w:left w:val="nil"/>
              <w:bottom w:val="single" w:color="auto" w:sz="4" w:space="0"/>
              <w:right w:val="single" w:color="auto" w:sz="4" w:space="0"/>
            </w:tcBorders>
            <w:shd w:val="clear" w:color="auto" w:fill="auto"/>
            <w:vAlign w:val="bottom"/>
          </w:tcPr>
          <w:p w14:paraId="1797FA4B">
            <w:pPr>
              <w:widowControl/>
              <w:spacing w:line="240" w:lineRule="auto"/>
              <w:jc w:val="center"/>
              <w:rPr>
                <w:rFonts w:cs="Times New Roman"/>
                <w:color w:val="000000"/>
                <w:kern w:val="0"/>
                <w:szCs w:val="21"/>
              </w:rPr>
            </w:pPr>
            <w:r>
              <w:rPr>
                <w:rFonts w:cs="Times New Roman"/>
                <w:color w:val="000000"/>
                <w:kern w:val="0"/>
                <w:szCs w:val="21"/>
              </w:rPr>
              <w:t>13</w:t>
            </w:r>
          </w:p>
        </w:tc>
      </w:tr>
    </w:tbl>
    <w:p w14:paraId="1B05F84D">
      <w:pPr>
        <w:pStyle w:val="4"/>
        <w:ind w:left="0" w:leftChars="0"/>
      </w:pPr>
      <w:bookmarkStart w:id="28" w:name="_Toc55252155"/>
      <w:r>
        <w:rPr>
          <w:rFonts w:hint="eastAsia"/>
        </w:rPr>
        <w:t>4</w:t>
      </w:r>
      <w:r>
        <w:t xml:space="preserve">.8.3 </w:t>
      </w:r>
      <w:r>
        <w:rPr>
          <w:rFonts w:hint="eastAsia"/>
        </w:rPr>
        <w:t>序数排名统计方法</w:t>
      </w:r>
      <w:bookmarkEnd w:id="28"/>
    </w:p>
    <w:p w14:paraId="7CCCA8FA">
      <w:pPr>
        <w:ind w:firstLine="420" w:firstLineChars="200"/>
      </w:pPr>
      <w:r>
        <w:rPr>
          <w:rFonts w:hint="eastAsia"/>
        </w:rPr>
        <w:t>一般排名以取整后的颗粒物浓度进行排名，随着空气质量的大幅改善，污染浓度的整数取值空间不断减小，造成并列排名越来越多。以2</w:t>
      </w:r>
      <w:r>
        <w:t>019</w:t>
      </w:r>
      <w:r>
        <w:rPr>
          <w:rFonts w:hint="eastAsia"/>
        </w:rPr>
        <w:t>年8月的北京市属地PM</w:t>
      </w:r>
      <w:r>
        <w:rPr>
          <w:vertAlign w:val="subscript"/>
        </w:rPr>
        <w:t>2.5</w:t>
      </w:r>
      <w:r>
        <w:rPr>
          <w:rFonts w:hint="eastAsia"/>
        </w:rPr>
        <w:t>（浓度取整）月评价结果为例，全市污染水平最高的乡镇（街道）为通州区梨园镇，PM</w:t>
      </w:r>
      <w:r>
        <w:rPr>
          <w:vertAlign w:val="subscript"/>
        </w:rPr>
        <w:t>2.5</w:t>
      </w:r>
      <w:r>
        <w:rPr>
          <w:rFonts w:hint="eastAsia"/>
        </w:rPr>
        <w:t>月均浓度为2</w:t>
      </w:r>
      <w:r>
        <w:t>9</w:t>
      </w:r>
      <w:r>
        <w:rPr>
          <w:rFonts w:hint="eastAsia"/>
        </w:rPr>
        <w:t>微克/立方米，全市污染水平最低的乡镇（街道）为门头沟区斋堂镇和清水镇，PM</w:t>
      </w:r>
      <w:r>
        <w:rPr>
          <w:vertAlign w:val="subscript"/>
        </w:rPr>
        <w:t>2.5</w:t>
      </w:r>
      <w:r>
        <w:rPr>
          <w:rFonts w:hint="eastAsia"/>
        </w:rPr>
        <w:t>月均浓度为1</w:t>
      </w:r>
      <w:r>
        <w:t>1</w:t>
      </w:r>
      <w:r>
        <w:rPr>
          <w:rFonts w:hint="eastAsia"/>
        </w:rPr>
        <w:t>微克/立方米。即全市3</w:t>
      </w:r>
      <w:r>
        <w:t>31</w:t>
      </w:r>
      <w:r>
        <w:rPr>
          <w:rFonts w:hint="eastAsia"/>
        </w:rPr>
        <w:t>个乡镇（街道）属地只有1</w:t>
      </w:r>
      <w:r>
        <w:t>9</w:t>
      </w:r>
      <w:r>
        <w:rPr>
          <w:rFonts w:hint="eastAsia"/>
        </w:rPr>
        <w:t>个浓度取值，其中月均浓度为2</w:t>
      </w:r>
      <w:r>
        <w:t>3</w:t>
      </w:r>
      <w:r>
        <w:rPr>
          <w:rFonts w:hint="eastAsia"/>
        </w:rPr>
        <w:t>微克/立方米的乡镇（街道）共有4</w:t>
      </w:r>
      <w:r>
        <w:t>3</w:t>
      </w:r>
      <w:r>
        <w:rPr>
          <w:rFonts w:hint="eastAsia"/>
        </w:rPr>
        <w:t>个，为大气环境精细化管理造成不便。因此有必要将一般排名的并列项进一步区分。</w:t>
      </w:r>
    </w:p>
    <w:p w14:paraId="7B6FCD3C">
      <w:pPr>
        <w:ind w:firstLine="420" w:firstLineChars="200"/>
      </w:pPr>
      <w:r>
        <w:rPr>
          <w:rFonts w:hint="eastAsia"/>
        </w:rPr>
        <w:t>序数排名，即“1</w:t>
      </w:r>
      <w:r>
        <w:t>234</w:t>
      </w:r>
      <w:r>
        <w:rPr>
          <w:rFonts w:hint="eastAsia"/>
        </w:rPr>
        <w:t>”排名。当一般排名出现并列时首先比较颗粒物浓度值统计最后得到的算数平均值的实数。上例中并列排名的序数排名结果见下表4。其次从后之前比较颗粒物统计时间段各时次的浓度值。即当评价时段的浓度均值完全相同时，以更晚出现的浓度值的高低决定其排名，实际统计过程中只有极小可能需要比较具体时次。</w:t>
      </w:r>
    </w:p>
    <w:p w14:paraId="024F2E85">
      <w:pPr>
        <w:pStyle w:val="33"/>
        <w:numPr>
          <w:ilvl w:val="0"/>
          <w:numId w:val="0"/>
        </w:numPr>
        <w:spacing w:before="156" w:after="156"/>
        <w:ind w:left="567" w:hanging="567"/>
        <w:rPr>
          <w:rFonts w:ascii="宋体" w:hAnsi="宋体" w:eastAsia="宋体"/>
        </w:rPr>
      </w:pPr>
      <w:r>
        <w:rPr>
          <w:rFonts w:hint="eastAsia" w:ascii="宋体" w:hAnsi="宋体" w:eastAsia="宋体"/>
        </w:rPr>
        <w:t>表</w:t>
      </w:r>
      <w:r>
        <w:rPr>
          <w:rFonts w:ascii="Times New Roman" w:eastAsia="宋体"/>
        </w:rPr>
        <w:t>4</w:t>
      </w:r>
      <w:r>
        <w:rPr>
          <w:rFonts w:hint="eastAsia" w:ascii="宋体" w:hAnsi="宋体" w:eastAsia="宋体"/>
        </w:rPr>
        <w:t xml:space="preserve"> 门头沟区某月各乡镇（街道）</w:t>
      </w:r>
      <w:r>
        <w:rPr>
          <w:rFonts w:ascii="Times New Roman" w:eastAsia="宋体"/>
        </w:rPr>
        <w:t>PM</w:t>
      </w:r>
      <w:r>
        <w:rPr>
          <w:rFonts w:ascii="Times New Roman" w:eastAsia="宋体"/>
          <w:vertAlign w:val="subscript"/>
        </w:rPr>
        <w:t>2.5</w:t>
      </w:r>
      <w:r>
        <w:rPr>
          <w:rFonts w:hint="eastAsia" w:ascii="宋体" w:hAnsi="宋体" w:eastAsia="宋体"/>
        </w:rPr>
        <w:t>一般排名和序数排名结果（倒序）</w:t>
      </w:r>
    </w:p>
    <w:tbl>
      <w:tblPr>
        <w:tblStyle w:val="11"/>
        <w:tblW w:w="7307" w:type="dxa"/>
        <w:jc w:val="center"/>
        <w:tblLayout w:type="fixed"/>
        <w:tblCellMar>
          <w:top w:w="0" w:type="dxa"/>
          <w:left w:w="108" w:type="dxa"/>
          <w:bottom w:w="0" w:type="dxa"/>
          <w:right w:w="108" w:type="dxa"/>
        </w:tblCellMar>
      </w:tblPr>
      <w:tblGrid>
        <w:gridCol w:w="1266"/>
        <w:gridCol w:w="1596"/>
        <w:gridCol w:w="1060"/>
        <w:gridCol w:w="2325"/>
        <w:gridCol w:w="1060"/>
      </w:tblGrid>
      <w:tr w14:paraId="299F1243">
        <w:tblPrEx>
          <w:tblCellMar>
            <w:top w:w="0" w:type="dxa"/>
            <w:left w:w="108" w:type="dxa"/>
            <w:bottom w:w="0" w:type="dxa"/>
            <w:right w:w="108" w:type="dxa"/>
          </w:tblCellMar>
        </w:tblPrEx>
        <w:trPr>
          <w:trHeight w:val="83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5B99B307">
            <w:pPr>
              <w:widowControl/>
              <w:spacing w:line="240" w:lineRule="auto"/>
              <w:jc w:val="center"/>
              <w:rPr>
                <w:rFonts w:ascii="宋体" w:hAnsi="宋体" w:cs="宋体"/>
                <w:b/>
                <w:bCs/>
                <w:kern w:val="0"/>
                <w:szCs w:val="21"/>
              </w:rPr>
            </w:pPr>
            <w:r>
              <w:rPr>
                <w:rFonts w:hint="eastAsia" w:ascii="宋体" w:hAnsi="宋体" w:cs="宋体"/>
                <w:b/>
                <w:bCs/>
                <w:kern w:val="0"/>
                <w:szCs w:val="21"/>
              </w:rPr>
              <w:t>街乡镇</w:t>
            </w:r>
          </w:p>
        </w:tc>
        <w:tc>
          <w:tcPr>
            <w:tcW w:w="1596" w:type="dxa"/>
            <w:tcBorders>
              <w:top w:val="single" w:color="auto" w:sz="4" w:space="0"/>
              <w:left w:val="nil"/>
              <w:bottom w:val="single" w:color="auto" w:sz="4" w:space="0"/>
              <w:right w:val="single" w:color="auto" w:sz="4" w:space="0"/>
            </w:tcBorders>
            <w:shd w:val="clear" w:color="auto" w:fill="auto"/>
            <w:vAlign w:val="center"/>
          </w:tcPr>
          <w:p w14:paraId="07592900">
            <w:pPr>
              <w:widowControl/>
              <w:spacing w:line="240" w:lineRule="auto"/>
              <w:jc w:val="center"/>
              <w:rPr>
                <w:rFonts w:ascii="宋体" w:hAnsi="宋体" w:cs="宋体"/>
                <w:b/>
                <w:bCs/>
                <w:color w:val="000000"/>
                <w:kern w:val="0"/>
                <w:szCs w:val="21"/>
              </w:rPr>
            </w:pPr>
            <w:r>
              <w:rPr>
                <w:rFonts w:cs="Times New Roman"/>
                <w:b/>
                <w:bCs/>
                <w:color w:val="000000"/>
                <w:kern w:val="0"/>
                <w:szCs w:val="21"/>
              </w:rPr>
              <w:t>PM</w:t>
            </w:r>
            <w:r>
              <w:rPr>
                <w:rFonts w:cs="Times New Roman"/>
                <w:b/>
                <w:bCs/>
                <w:color w:val="000000"/>
                <w:kern w:val="0"/>
                <w:szCs w:val="21"/>
                <w:vertAlign w:val="subscript"/>
              </w:rPr>
              <w:t>2.5</w:t>
            </w:r>
            <w:r>
              <w:rPr>
                <w:rFonts w:hint="eastAsia" w:ascii="宋体" w:hAnsi="宋体" w:cs="宋体"/>
                <w:b/>
                <w:bCs/>
                <w:color w:val="000000"/>
                <w:kern w:val="0"/>
                <w:szCs w:val="21"/>
              </w:rPr>
              <w:t>月均浓度</w:t>
            </w:r>
          </w:p>
        </w:tc>
        <w:tc>
          <w:tcPr>
            <w:tcW w:w="1060" w:type="dxa"/>
            <w:tcBorders>
              <w:top w:val="single" w:color="auto" w:sz="4" w:space="0"/>
              <w:left w:val="nil"/>
              <w:bottom w:val="single" w:color="auto" w:sz="4" w:space="0"/>
              <w:right w:val="single" w:color="auto" w:sz="4" w:space="0"/>
            </w:tcBorders>
            <w:shd w:val="clear" w:color="auto" w:fill="auto"/>
            <w:vAlign w:val="center"/>
          </w:tcPr>
          <w:p w14:paraId="18C8B984">
            <w:pPr>
              <w:widowControl/>
              <w:spacing w:line="240" w:lineRule="auto"/>
              <w:jc w:val="center"/>
              <w:rPr>
                <w:rFonts w:ascii="宋体" w:hAnsi="宋体" w:cs="宋体"/>
                <w:b/>
                <w:bCs/>
                <w:color w:val="000000"/>
                <w:kern w:val="0"/>
                <w:szCs w:val="21"/>
              </w:rPr>
            </w:pPr>
            <w:r>
              <w:rPr>
                <w:rFonts w:hint="eastAsia" w:ascii="宋体" w:hAnsi="宋体" w:cs="宋体"/>
                <w:b/>
                <w:bCs/>
                <w:color w:val="000000"/>
                <w:kern w:val="0"/>
                <w:szCs w:val="21"/>
              </w:rPr>
              <w:t>一般排名</w:t>
            </w:r>
            <w:r>
              <w:rPr>
                <w:rFonts w:hint="eastAsia" w:ascii="宋体" w:hAnsi="宋体" w:cs="宋体"/>
                <w:b/>
                <w:bCs/>
                <w:color w:val="000000"/>
                <w:kern w:val="0"/>
                <w:szCs w:val="21"/>
              </w:rPr>
              <w:br w:type="textWrapping"/>
            </w:r>
            <w:r>
              <w:rPr>
                <w:rFonts w:hint="eastAsia" w:ascii="宋体" w:hAnsi="宋体" w:cs="宋体"/>
                <w:b/>
                <w:bCs/>
                <w:color w:val="000000"/>
                <w:kern w:val="0"/>
                <w:szCs w:val="21"/>
              </w:rPr>
              <w:t>（倒序）</w:t>
            </w:r>
          </w:p>
        </w:tc>
        <w:tc>
          <w:tcPr>
            <w:tcW w:w="2325" w:type="dxa"/>
            <w:tcBorders>
              <w:top w:val="single" w:color="auto" w:sz="4" w:space="0"/>
              <w:left w:val="nil"/>
              <w:bottom w:val="single" w:color="auto" w:sz="4" w:space="0"/>
              <w:right w:val="single" w:color="auto" w:sz="4" w:space="0"/>
            </w:tcBorders>
            <w:shd w:val="clear" w:color="auto" w:fill="auto"/>
            <w:vAlign w:val="center"/>
          </w:tcPr>
          <w:p w14:paraId="21CD05DE">
            <w:pPr>
              <w:widowControl/>
              <w:spacing w:line="240" w:lineRule="auto"/>
              <w:jc w:val="center"/>
              <w:rPr>
                <w:rFonts w:ascii="宋体" w:hAnsi="宋体" w:cs="宋体"/>
                <w:b/>
                <w:bCs/>
                <w:color w:val="000000"/>
                <w:kern w:val="0"/>
                <w:szCs w:val="21"/>
              </w:rPr>
            </w:pPr>
            <w:r>
              <w:rPr>
                <w:rFonts w:hint="eastAsia" w:ascii="宋体" w:hAnsi="宋体" w:cs="宋体"/>
                <w:b/>
                <w:bCs/>
                <w:color w:val="000000"/>
                <w:kern w:val="0"/>
                <w:szCs w:val="21"/>
              </w:rPr>
              <w:t>月均值算数平均值实数</w:t>
            </w:r>
            <w:r>
              <w:rPr>
                <w:rFonts w:hint="eastAsia" w:ascii="宋体" w:hAnsi="宋体" w:cs="宋体"/>
                <w:b/>
                <w:bCs/>
                <w:color w:val="000000"/>
                <w:kern w:val="0"/>
                <w:szCs w:val="21"/>
              </w:rPr>
              <w:br w:type="textWrapping"/>
            </w:r>
            <w:r>
              <w:rPr>
                <w:rFonts w:hint="eastAsia" w:ascii="宋体" w:hAnsi="宋体" w:cs="宋体"/>
                <w:b/>
                <w:bCs/>
                <w:color w:val="000000"/>
                <w:kern w:val="0"/>
                <w:szCs w:val="21"/>
              </w:rPr>
              <w:t>（保留小数点后1位）</w:t>
            </w:r>
          </w:p>
        </w:tc>
        <w:tc>
          <w:tcPr>
            <w:tcW w:w="1060" w:type="dxa"/>
            <w:tcBorders>
              <w:top w:val="single" w:color="auto" w:sz="4" w:space="0"/>
              <w:left w:val="nil"/>
              <w:bottom w:val="single" w:color="auto" w:sz="4" w:space="0"/>
              <w:right w:val="single" w:color="auto" w:sz="4" w:space="0"/>
            </w:tcBorders>
            <w:shd w:val="clear" w:color="auto" w:fill="auto"/>
            <w:vAlign w:val="center"/>
          </w:tcPr>
          <w:p w14:paraId="608F767D">
            <w:pPr>
              <w:widowControl/>
              <w:spacing w:line="240" w:lineRule="auto"/>
              <w:jc w:val="center"/>
              <w:rPr>
                <w:rFonts w:ascii="宋体" w:hAnsi="宋体" w:cs="宋体"/>
                <w:b/>
                <w:bCs/>
                <w:color w:val="000000"/>
                <w:kern w:val="0"/>
                <w:szCs w:val="21"/>
              </w:rPr>
            </w:pPr>
            <w:r>
              <w:rPr>
                <w:rFonts w:hint="eastAsia" w:ascii="宋体" w:hAnsi="宋体" w:cs="宋体"/>
                <w:b/>
                <w:bCs/>
                <w:color w:val="000000"/>
                <w:kern w:val="0"/>
                <w:szCs w:val="21"/>
              </w:rPr>
              <w:t>序数排名</w:t>
            </w:r>
            <w:r>
              <w:rPr>
                <w:rFonts w:hint="eastAsia" w:ascii="宋体" w:hAnsi="宋体" w:cs="宋体"/>
                <w:b/>
                <w:bCs/>
                <w:color w:val="000000"/>
                <w:kern w:val="0"/>
                <w:szCs w:val="21"/>
              </w:rPr>
              <w:br w:type="textWrapping"/>
            </w:r>
            <w:r>
              <w:rPr>
                <w:rFonts w:hint="eastAsia" w:ascii="宋体" w:hAnsi="宋体" w:cs="宋体"/>
                <w:b/>
                <w:bCs/>
                <w:color w:val="000000"/>
                <w:kern w:val="0"/>
                <w:szCs w:val="21"/>
              </w:rPr>
              <w:t>（倒序）</w:t>
            </w:r>
          </w:p>
        </w:tc>
      </w:tr>
      <w:tr w14:paraId="3E2C79BC">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50ACFADD">
            <w:pPr>
              <w:widowControl/>
              <w:spacing w:line="240" w:lineRule="auto"/>
              <w:jc w:val="center"/>
              <w:rPr>
                <w:rFonts w:ascii="宋体" w:hAnsi="宋体" w:cs="宋体"/>
                <w:kern w:val="0"/>
                <w:szCs w:val="21"/>
              </w:rPr>
            </w:pPr>
            <w:r>
              <w:rPr>
                <w:rFonts w:hint="eastAsia" w:ascii="宋体" w:hAnsi="宋体" w:cs="宋体"/>
                <w:kern w:val="0"/>
                <w:szCs w:val="21"/>
              </w:rPr>
              <w:t>城子街道</w:t>
            </w:r>
          </w:p>
        </w:tc>
        <w:tc>
          <w:tcPr>
            <w:tcW w:w="1596" w:type="dxa"/>
            <w:tcBorders>
              <w:top w:val="nil"/>
              <w:left w:val="nil"/>
              <w:bottom w:val="single" w:color="auto" w:sz="4" w:space="0"/>
              <w:right w:val="single" w:color="auto" w:sz="4" w:space="0"/>
            </w:tcBorders>
            <w:shd w:val="clear" w:color="auto" w:fill="auto"/>
            <w:vAlign w:val="center"/>
          </w:tcPr>
          <w:p w14:paraId="4224CCE9">
            <w:pPr>
              <w:widowControl/>
              <w:spacing w:line="240" w:lineRule="auto"/>
              <w:jc w:val="center"/>
              <w:rPr>
                <w:rFonts w:cs="Times New Roman"/>
                <w:kern w:val="0"/>
                <w:szCs w:val="21"/>
              </w:rPr>
            </w:pPr>
            <w:r>
              <w:rPr>
                <w:rFonts w:cs="Times New Roman"/>
                <w:kern w:val="0"/>
                <w:szCs w:val="21"/>
              </w:rPr>
              <w:t>66</w:t>
            </w:r>
          </w:p>
        </w:tc>
        <w:tc>
          <w:tcPr>
            <w:tcW w:w="1060" w:type="dxa"/>
            <w:tcBorders>
              <w:top w:val="nil"/>
              <w:left w:val="nil"/>
              <w:bottom w:val="single" w:color="auto" w:sz="4" w:space="0"/>
              <w:right w:val="single" w:color="auto" w:sz="4" w:space="0"/>
            </w:tcBorders>
            <w:shd w:val="clear" w:color="auto" w:fill="auto"/>
            <w:vAlign w:val="center"/>
          </w:tcPr>
          <w:p w14:paraId="368AC6EC">
            <w:pPr>
              <w:widowControl/>
              <w:spacing w:line="240" w:lineRule="auto"/>
              <w:jc w:val="center"/>
              <w:rPr>
                <w:rFonts w:cs="Times New Roman"/>
                <w:color w:val="000000"/>
                <w:kern w:val="0"/>
                <w:szCs w:val="21"/>
              </w:rPr>
            </w:pPr>
            <w:r>
              <w:rPr>
                <w:rFonts w:cs="Times New Roman"/>
                <w:color w:val="000000"/>
                <w:kern w:val="0"/>
                <w:szCs w:val="21"/>
              </w:rPr>
              <w:t>1</w:t>
            </w:r>
          </w:p>
        </w:tc>
        <w:tc>
          <w:tcPr>
            <w:tcW w:w="2325" w:type="dxa"/>
            <w:tcBorders>
              <w:top w:val="nil"/>
              <w:left w:val="nil"/>
              <w:bottom w:val="single" w:color="auto" w:sz="4" w:space="0"/>
              <w:right w:val="single" w:color="auto" w:sz="4" w:space="0"/>
            </w:tcBorders>
            <w:shd w:val="clear" w:color="auto" w:fill="auto"/>
            <w:vAlign w:val="center"/>
          </w:tcPr>
          <w:p w14:paraId="2B67E6B7">
            <w:pPr>
              <w:widowControl/>
              <w:spacing w:line="240" w:lineRule="auto"/>
              <w:jc w:val="center"/>
              <w:rPr>
                <w:rFonts w:cs="Times New Roman"/>
                <w:color w:val="000000"/>
                <w:kern w:val="0"/>
                <w:szCs w:val="21"/>
              </w:rPr>
            </w:pPr>
            <w:r>
              <w:rPr>
                <w:rFonts w:cs="Times New Roman"/>
                <w:color w:val="000000"/>
                <w:kern w:val="0"/>
                <w:szCs w:val="21"/>
              </w:rPr>
              <w:t>　</w:t>
            </w:r>
          </w:p>
        </w:tc>
        <w:tc>
          <w:tcPr>
            <w:tcW w:w="1060" w:type="dxa"/>
            <w:tcBorders>
              <w:top w:val="nil"/>
              <w:left w:val="nil"/>
              <w:bottom w:val="single" w:color="auto" w:sz="4" w:space="0"/>
              <w:right w:val="single" w:color="auto" w:sz="4" w:space="0"/>
            </w:tcBorders>
            <w:shd w:val="clear" w:color="auto" w:fill="auto"/>
            <w:vAlign w:val="center"/>
          </w:tcPr>
          <w:p w14:paraId="40F866E1">
            <w:pPr>
              <w:widowControl/>
              <w:spacing w:line="240" w:lineRule="auto"/>
              <w:jc w:val="center"/>
              <w:rPr>
                <w:rFonts w:cs="Times New Roman"/>
                <w:color w:val="000000"/>
                <w:kern w:val="0"/>
                <w:szCs w:val="21"/>
              </w:rPr>
            </w:pPr>
            <w:r>
              <w:rPr>
                <w:rFonts w:cs="Times New Roman"/>
                <w:color w:val="000000"/>
                <w:kern w:val="0"/>
                <w:szCs w:val="21"/>
              </w:rPr>
              <w:t>1</w:t>
            </w:r>
          </w:p>
        </w:tc>
      </w:tr>
      <w:tr w14:paraId="4C44BFBA">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4B752C80">
            <w:pPr>
              <w:widowControl/>
              <w:spacing w:line="240" w:lineRule="auto"/>
              <w:jc w:val="center"/>
              <w:rPr>
                <w:rFonts w:ascii="宋体" w:hAnsi="宋体" w:cs="宋体"/>
                <w:kern w:val="0"/>
                <w:szCs w:val="21"/>
              </w:rPr>
            </w:pPr>
            <w:r>
              <w:rPr>
                <w:rFonts w:hint="eastAsia" w:ascii="宋体" w:hAnsi="宋体" w:cs="宋体"/>
                <w:kern w:val="0"/>
                <w:szCs w:val="21"/>
              </w:rPr>
              <w:t>永定镇</w:t>
            </w:r>
          </w:p>
        </w:tc>
        <w:tc>
          <w:tcPr>
            <w:tcW w:w="1596" w:type="dxa"/>
            <w:tcBorders>
              <w:top w:val="nil"/>
              <w:left w:val="nil"/>
              <w:bottom w:val="single" w:color="auto" w:sz="4" w:space="0"/>
              <w:right w:val="single" w:color="auto" w:sz="4" w:space="0"/>
            </w:tcBorders>
            <w:shd w:val="clear" w:color="auto" w:fill="auto"/>
            <w:vAlign w:val="center"/>
          </w:tcPr>
          <w:p w14:paraId="3363DDAA">
            <w:pPr>
              <w:widowControl/>
              <w:spacing w:line="240" w:lineRule="auto"/>
              <w:jc w:val="center"/>
              <w:rPr>
                <w:rFonts w:cs="Times New Roman"/>
                <w:kern w:val="0"/>
                <w:szCs w:val="21"/>
              </w:rPr>
            </w:pPr>
            <w:r>
              <w:rPr>
                <w:rFonts w:cs="Times New Roman"/>
                <w:kern w:val="0"/>
                <w:szCs w:val="21"/>
              </w:rPr>
              <w:t>63</w:t>
            </w:r>
          </w:p>
        </w:tc>
        <w:tc>
          <w:tcPr>
            <w:tcW w:w="1060" w:type="dxa"/>
            <w:tcBorders>
              <w:top w:val="nil"/>
              <w:left w:val="nil"/>
              <w:bottom w:val="single" w:color="auto" w:sz="4" w:space="0"/>
              <w:right w:val="single" w:color="auto" w:sz="4" w:space="0"/>
            </w:tcBorders>
            <w:shd w:val="clear" w:color="auto" w:fill="auto"/>
            <w:vAlign w:val="center"/>
          </w:tcPr>
          <w:p w14:paraId="0F498453">
            <w:pPr>
              <w:widowControl/>
              <w:spacing w:line="240" w:lineRule="auto"/>
              <w:jc w:val="center"/>
              <w:rPr>
                <w:rFonts w:cs="Times New Roman"/>
                <w:color w:val="000000"/>
                <w:kern w:val="0"/>
                <w:szCs w:val="21"/>
              </w:rPr>
            </w:pPr>
            <w:r>
              <w:rPr>
                <w:rFonts w:cs="Times New Roman"/>
                <w:color w:val="000000"/>
                <w:kern w:val="0"/>
                <w:szCs w:val="21"/>
              </w:rPr>
              <w:t>2</w:t>
            </w:r>
          </w:p>
        </w:tc>
        <w:tc>
          <w:tcPr>
            <w:tcW w:w="2325" w:type="dxa"/>
            <w:tcBorders>
              <w:top w:val="nil"/>
              <w:left w:val="nil"/>
              <w:bottom w:val="single" w:color="auto" w:sz="4" w:space="0"/>
              <w:right w:val="single" w:color="auto" w:sz="4" w:space="0"/>
            </w:tcBorders>
            <w:shd w:val="clear" w:color="auto" w:fill="auto"/>
            <w:vAlign w:val="center"/>
          </w:tcPr>
          <w:p w14:paraId="0AD56DAB">
            <w:pPr>
              <w:widowControl/>
              <w:spacing w:line="240" w:lineRule="auto"/>
              <w:jc w:val="center"/>
              <w:rPr>
                <w:rFonts w:cs="Times New Roman"/>
                <w:color w:val="000000"/>
                <w:kern w:val="0"/>
                <w:szCs w:val="21"/>
              </w:rPr>
            </w:pPr>
            <w:r>
              <w:rPr>
                <w:rFonts w:cs="Times New Roman"/>
                <w:color w:val="000000"/>
                <w:kern w:val="0"/>
                <w:szCs w:val="21"/>
              </w:rPr>
              <w:t>　</w:t>
            </w:r>
          </w:p>
        </w:tc>
        <w:tc>
          <w:tcPr>
            <w:tcW w:w="1060" w:type="dxa"/>
            <w:tcBorders>
              <w:top w:val="nil"/>
              <w:left w:val="nil"/>
              <w:bottom w:val="single" w:color="auto" w:sz="4" w:space="0"/>
              <w:right w:val="single" w:color="auto" w:sz="4" w:space="0"/>
            </w:tcBorders>
            <w:shd w:val="clear" w:color="auto" w:fill="auto"/>
            <w:vAlign w:val="center"/>
          </w:tcPr>
          <w:p w14:paraId="034E497A">
            <w:pPr>
              <w:widowControl/>
              <w:spacing w:line="240" w:lineRule="auto"/>
              <w:jc w:val="center"/>
              <w:rPr>
                <w:rFonts w:cs="Times New Roman"/>
                <w:color w:val="000000"/>
                <w:kern w:val="0"/>
                <w:szCs w:val="21"/>
              </w:rPr>
            </w:pPr>
            <w:r>
              <w:rPr>
                <w:rFonts w:cs="Times New Roman"/>
                <w:color w:val="000000"/>
                <w:kern w:val="0"/>
                <w:szCs w:val="21"/>
              </w:rPr>
              <w:t>2</w:t>
            </w:r>
          </w:p>
        </w:tc>
      </w:tr>
      <w:tr w14:paraId="54A9431F">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15D0D040">
            <w:pPr>
              <w:widowControl/>
              <w:spacing w:line="240" w:lineRule="auto"/>
              <w:jc w:val="center"/>
              <w:rPr>
                <w:rFonts w:ascii="宋体" w:hAnsi="宋体" w:cs="宋体"/>
                <w:kern w:val="0"/>
                <w:szCs w:val="21"/>
              </w:rPr>
            </w:pPr>
            <w:r>
              <w:rPr>
                <w:rFonts w:hint="eastAsia" w:ascii="宋体" w:hAnsi="宋体" w:cs="宋体"/>
                <w:kern w:val="0"/>
                <w:szCs w:val="21"/>
              </w:rPr>
              <w:t>潭柘寺镇</w:t>
            </w:r>
          </w:p>
        </w:tc>
        <w:tc>
          <w:tcPr>
            <w:tcW w:w="1596" w:type="dxa"/>
            <w:tcBorders>
              <w:top w:val="nil"/>
              <w:left w:val="nil"/>
              <w:bottom w:val="single" w:color="auto" w:sz="4" w:space="0"/>
              <w:right w:val="single" w:color="auto" w:sz="4" w:space="0"/>
            </w:tcBorders>
            <w:shd w:val="clear" w:color="auto" w:fill="auto"/>
            <w:vAlign w:val="center"/>
          </w:tcPr>
          <w:p w14:paraId="6A04E8EA">
            <w:pPr>
              <w:widowControl/>
              <w:spacing w:line="240" w:lineRule="auto"/>
              <w:jc w:val="center"/>
              <w:rPr>
                <w:rFonts w:cs="Times New Roman"/>
                <w:kern w:val="0"/>
                <w:szCs w:val="21"/>
              </w:rPr>
            </w:pPr>
            <w:r>
              <w:rPr>
                <w:rFonts w:cs="Times New Roman"/>
                <w:kern w:val="0"/>
                <w:szCs w:val="21"/>
              </w:rPr>
              <w:t>62</w:t>
            </w:r>
          </w:p>
        </w:tc>
        <w:tc>
          <w:tcPr>
            <w:tcW w:w="1060" w:type="dxa"/>
            <w:tcBorders>
              <w:top w:val="nil"/>
              <w:left w:val="nil"/>
              <w:bottom w:val="single" w:color="auto" w:sz="4" w:space="0"/>
              <w:right w:val="single" w:color="auto" w:sz="4" w:space="0"/>
            </w:tcBorders>
            <w:shd w:val="clear" w:color="auto" w:fill="auto"/>
            <w:vAlign w:val="center"/>
          </w:tcPr>
          <w:p w14:paraId="48CEBFAE">
            <w:pPr>
              <w:widowControl/>
              <w:spacing w:line="240" w:lineRule="auto"/>
              <w:jc w:val="center"/>
              <w:rPr>
                <w:rFonts w:cs="Times New Roman"/>
                <w:color w:val="000000"/>
                <w:kern w:val="0"/>
                <w:szCs w:val="21"/>
              </w:rPr>
            </w:pPr>
            <w:r>
              <w:rPr>
                <w:rFonts w:cs="Times New Roman"/>
                <w:color w:val="000000"/>
                <w:kern w:val="0"/>
                <w:szCs w:val="21"/>
              </w:rPr>
              <w:t>3</w:t>
            </w:r>
          </w:p>
        </w:tc>
        <w:tc>
          <w:tcPr>
            <w:tcW w:w="2325" w:type="dxa"/>
            <w:tcBorders>
              <w:top w:val="nil"/>
              <w:left w:val="nil"/>
              <w:bottom w:val="single" w:color="auto" w:sz="4" w:space="0"/>
              <w:right w:val="single" w:color="auto" w:sz="4" w:space="0"/>
            </w:tcBorders>
            <w:shd w:val="clear" w:color="auto" w:fill="auto"/>
            <w:vAlign w:val="center"/>
          </w:tcPr>
          <w:p w14:paraId="26597BDB">
            <w:pPr>
              <w:widowControl/>
              <w:spacing w:line="240" w:lineRule="auto"/>
              <w:jc w:val="center"/>
              <w:rPr>
                <w:rFonts w:cs="Times New Roman"/>
                <w:kern w:val="0"/>
                <w:szCs w:val="21"/>
              </w:rPr>
            </w:pPr>
            <w:r>
              <w:rPr>
                <w:rFonts w:cs="Times New Roman"/>
                <w:kern w:val="0"/>
                <w:szCs w:val="21"/>
              </w:rPr>
              <w:t>62.2</w:t>
            </w:r>
          </w:p>
        </w:tc>
        <w:tc>
          <w:tcPr>
            <w:tcW w:w="1060" w:type="dxa"/>
            <w:tcBorders>
              <w:top w:val="nil"/>
              <w:left w:val="nil"/>
              <w:bottom w:val="single" w:color="auto" w:sz="4" w:space="0"/>
              <w:right w:val="single" w:color="auto" w:sz="4" w:space="0"/>
            </w:tcBorders>
            <w:shd w:val="clear" w:color="auto" w:fill="auto"/>
            <w:vAlign w:val="center"/>
          </w:tcPr>
          <w:p w14:paraId="1D9F50AB">
            <w:pPr>
              <w:widowControl/>
              <w:spacing w:line="240" w:lineRule="auto"/>
              <w:jc w:val="center"/>
              <w:rPr>
                <w:rFonts w:cs="Times New Roman"/>
                <w:color w:val="000000"/>
                <w:kern w:val="0"/>
                <w:szCs w:val="21"/>
              </w:rPr>
            </w:pPr>
            <w:r>
              <w:rPr>
                <w:rFonts w:cs="Times New Roman"/>
                <w:color w:val="000000"/>
                <w:kern w:val="0"/>
                <w:szCs w:val="21"/>
              </w:rPr>
              <w:t>3</w:t>
            </w:r>
          </w:p>
        </w:tc>
      </w:tr>
      <w:tr w14:paraId="18B99B71">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0A69E319">
            <w:pPr>
              <w:widowControl/>
              <w:spacing w:line="240" w:lineRule="auto"/>
              <w:jc w:val="center"/>
              <w:rPr>
                <w:rFonts w:ascii="宋体" w:hAnsi="宋体" w:cs="宋体"/>
                <w:kern w:val="0"/>
                <w:szCs w:val="21"/>
              </w:rPr>
            </w:pPr>
            <w:r>
              <w:rPr>
                <w:rFonts w:hint="eastAsia" w:ascii="宋体" w:hAnsi="宋体" w:cs="宋体"/>
                <w:kern w:val="0"/>
                <w:szCs w:val="21"/>
              </w:rPr>
              <w:t>龙泉镇</w:t>
            </w:r>
          </w:p>
        </w:tc>
        <w:tc>
          <w:tcPr>
            <w:tcW w:w="1596" w:type="dxa"/>
            <w:tcBorders>
              <w:top w:val="nil"/>
              <w:left w:val="nil"/>
              <w:bottom w:val="single" w:color="auto" w:sz="4" w:space="0"/>
              <w:right w:val="single" w:color="auto" w:sz="4" w:space="0"/>
            </w:tcBorders>
            <w:shd w:val="clear" w:color="auto" w:fill="auto"/>
            <w:vAlign w:val="center"/>
          </w:tcPr>
          <w:p w14:paraId="64F7BB92">
            <w:pPr>
              <w:widowControl/>
              <w:spacing w:line="240" w:lineRule="auto"/>
              <w:jc w:val="center"/>
              <w:rPr>
                <w:rFonts w:cs="Times New Roman"/>
                <w:kern w:val="0"/>
                <w:szCs w:val="21"/>
              </w:rPr>
            </w:pPr>
            <w:r>
              <w:rPr>
                <w:rFonts w:cs="Times New Roman"/>
                <w:kern w:val="0"/>
                <w:szCs w:val="21"/>
              </w:rPr>
              <w:t>62</w:t>
            </w:r>
          </w:p>
        </w:tc>
        <w:tc>
          <w:tcPr>
            <w:tcW w:w="1060" w:type="dxa"/>
            <w:tcBorders>
              <w:top w:val="nil"/>
              <w:left w:val="nil"/>
              <w:bottom w:val="single" w:color="auto" w:sz="4" w:space="0"/>
              <w:right w:val="single" w:color="auto" w:sz="4" w:space="0"/>
            </w:tcBorders>
            <w:shd w:val="clear" w:color="auto" w:fill="auto"/>
            <w:vAlign w:val="center"/>
          </w:tcPr>
          <w:p w14:paraId="14656F53">
            <w:pPr>
              <w:widowControl/>
              <w:spacing w:line="240" w:lineRule="auto"/>
              <w:jc w:val="center"/>
              <w:rPr>
                <w:rFonts w:cs="Times New Roman"/>
                <w:color w:val="000000"/>
                <w:kern w:val="0"/>
                <w:szCs w:val="21"/>
              </w:rPr>
            </w:pPr>
            <w:r>
              <w:rPr>
                <w:rFonts w:cs="Times New Roman"/>
                <w:color w:val="000000"/>
                <w:kern w:val="0"/>
                <w:szCs w:val="21"/>
              </w:rPr>
              <w:t>3</w:t>
            </w:r>
          </w:p>
        </w:tc>
        <w:tc>
          <w:tcPr>
            <w:tcW w:w="2325" w:type="dxa"/>
            <w:tcBorders>
              <w:top w:val="nil"/>
              <w:left w:val="nil"/>
              <w:bottom w:val="single" w:color="auto" w:sz="4" w:space="0"/>
              <w:right w:val="single" w:color="auto" w:sz="4" w:space="0"/>
            </w:tcBorders>
            <w:shd w:val="clear" w:color="auto" w:fill="auto"/>
            <w:vAlign w:val="center"/>
          </w:tcPr>
          <w:p w14:paraId="07F0C047">
            <w:pPr>
              <w:widowControl/>
              <w:spacing w:line="240" w:lineRule="auto"/>
              <w:jc w:val="center"/>
              <w:rPr>
                <w:rFonts w:cs="Times New Roman"/>
                <w:kern w:val="0"/>
                <w:szCs w:val="21"/>
              </w:rPr>
            </w:pPr>
            <w:r>
              <w:rPr>
                <w:rFonts w:cs="Times New Roman"/>
                <w:kern w:val="0"/>
                <w:szCs w:val="21"/>
              </w:rPr>
              <w:t>61.9</w:t>
            </w:r>
          </w:p>
        </w:tc>
        <w:tc>
          <w:tcPr>
            <w:tcW w:w="1060" w:type="dxa"/>
            <w:tcBorders>
              <w:top w:val="nil"/>
              <w:left w:val="nil"/>
              <w:bottom w:val="single" w:color="auto" w:sz="4" w:space="0"/>
              <w:right w:val="single" w:color="auto" w:sz="4" w:space="0"/>
            </w:tcBorders>
            <w:shd w:val="clear" w:color="auto" w:fill="auto"/>
            <w:vAlign w:val="center"/>
          </w:tcPr>
          <w:p w14:paraId="62B95ED3">
            <w:pPr>
              <w:widowControl/>
              <w:spacing w:line="240" w:lineRule="auto"/>
              <w:jc w:val="center"/>
              <w:rPr>
                <w:rFonts w:cs="Times New Roman"/>
                <w:color w:val="000000"/>
                <w:kern w:val="0"/>
                <w:szCs w:val="21"/>
              </w:rPr>
            </w:pPr>
            <w:r>
              <w:rPr>
                <w:rFonts w:cs="Times New Roman"/>
                <w:color w:val="000000"/>
                <w:kern w:val="0"/>
                <w:szCs w:val="21"/>
              </w:rPr>
              <w:t>4</w:t>
            </w:r>
          </w:p>
        </w:tc>
      </w:tr>
      <w:tr w14:paraId="784970B7">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30DAE244">
            <w:pPr>
              <w:widowControl/>
              <w:spacing w:line="240" w:lineRule="auto"/>
              <w:jc w:val="center"/>
              <w:rPr>
                <w:rFonts w:ascii="宋体" w:hAnsi="宋体" w:cs="宋体"/>
                <w:kern w:val="0"/>
                <w:szCs w:val="21"/>
              </w:rPr>
            </w:pPr>
            <w:r>
              <w:rPr>
                <w:rFonts w:hint="eastAsia" w:ascii="宋体" w:hAnsi="宋体" w:cs="宋体"/>
                <w:kern w:val="0"/>
                <w:szCs w:val="21"/>
              </w:rPr>
              <w:t>东辛房街道</w:t>
            </w:r>
          </w:p>
        </w:tc>
        <w:tc>
          <w:tcPr>
            <w:tcW w:w="1596" w:type="dxa"/>
            <w:tcBorders>
              <w:top w:val="nil"/>
              <w:left w:val="nil"/>
              <w:bottom w:val="single" w:color="auto" w:sz="4" w:space="0"/>
              <w:right w:val="single" w:color="auto" w:sz="4" w:space="0"/>
            </w:tcBorders>
            <w:shd w:val="clear" w:color="auto" w:fill="auto"/>
            <w:vAlign w:val="center"/>
          </w:tcPr>
          <w:p w14:paraId="0DAE41E1">
            <w:pPr>
              <w:widowControl/>
              <w:spacing w:line="240" w:lineRule="auto"/>
              <w:jc w:val="center"/>
              <w:rPr>
                <w:rFonts w:cs="Times New Roman"/>
                <w:kern w:val="0"/>
                <w:szCs w:val="21"/>
              </w:rPr>
            </w:pPr>
            <w:r>
              <w:rPr>
                <w:rFonts w:cs="Times New Roman"/>
                <w:kern w:val="0"/>
                <w:szCs w:val="21"/>
              </w:rPr>
              <w:t>61</w:t>
            </w:r>
          </w:p>
        </w:tc>
        <w:tc>
          <w:tcPr>
            <w:tcW w:w="1060" w:type="dxa"/>
            <w:tcBorders>
              <w:top w:val="nil"/>
              <w:left w:val="nil"/>
              <w:bottom w:val="single" w:color="auto" w:sz="4" w:space="0"/>
              <w:right w:val="single" w:color="auto" w:sz="4" w:space="0"/>
            </w:tcBorders>
            <w:shd w:val="clear" w:color="auto" w:fill="auto"/>
            <w:vAlign w:val="center"/>
          </w:tcPr>
          <w:p w14:paraId="5B9AC4BD">
            <w:pPr>
              <w:widowControl/>
              <w:spacing w:line="240" w:lineRule="auto"/>
              <w:jc w:val="center"/>
              <w:rPr>
                <w:rFonts w:cs="Times New Roman"/>
                <w:color w:val="000000"/>
                <w:kern w:val="0"/>
                <w:szCs w:val="21"/>
              </w:rPr>
            </w:pPr>
            <w:r>
              <w:rPr>
                <w:rFonts w:cs="Times New Roman"/>
                <w:color w:val="000000"/>
                <w:kern w:val="0"/>
                <w:szCs w:val="21"/>
              </w:rPr>
              <w:t>5</w:t>
            </w:r>
          </w:p>
        </w:tc>
        <w:tc>
          <w:tcPr>
            <w:tcW w:w="2325" w:type="dxa"/>
            <w:tcBorders>
              <w:top w:val="nil"/>
              <w:left w:val="nil"/>
              <w:bottom w:val="single" w:color="auto" w:sz="4" w:space="0"/>
              <w:right w:val="single" w:color="auto" w:sz="4" w:space="0"/>
            </w:tcBorders>
            <w:shd w:val="clear" w:color="auto" w:fill="auto"/>
            <w:vAlign w:val="center"/>
          </w:tcPr>
          <w:p w14:paraId="3FFF099A">
            <w:pPr>
              <w:widowControl/>
              <w:spacing w:line="240" w:lineRule="auto"/>
              <w:jc w:val="center"/>
              <w:rPr>
                <w:rFonts w:cs="Times New Roman"/>
                <w:kern w:val="0"/>
                <w:szCs w:val="21"/>
              </w:rPr>
            </w:pPr>
            <w:r>
              <w:rPr>
                <w:rFonts w:cs="Times New Roman"/>
                <w:kern w:val="0"/>
                <w:szCs w:val="21"/>
              </w:rPr>
              <w:t>60.9</w:t>
            </w:r>
          </w:p>
        </w:tc>
        <w:tc>
          <w:tcPr>
            <w:tcW w:w="1060" w:type="dxa"/>
            <w:tcBorders>
              <w:top w:val="nil"/>
              <w:left w:val="nil"/>
              <w:bottom w:val="single" w:color="auto" w:sz="4" w:space="0"/>
              <w:right w:val="single" w:color="auto" w:sz="4" w:space="0"/>
            </w:tcBorders>
            <w:shd w:val="clear" w:color="auto" w:fill="auto"/>
            <w:vAlign w:val="center"/>
          </w:tcPr>
          <w:p w14:paraId="53AD5AC0">
            <w:pPr>
              <w:widowControl/>
              <w:spacing w:line="240" w:lineRule="auto"/>
              <w:jc w:val="center"/>
              <w:rPr>
                <w:rFonts w:cs="Times New Roman"/>
                <w:color w:val="000000"/>
                <w:kern w:val="0"/>
                <w:szCs w:val="21"/>
              </w:rPr>
            </w:pPr>
            <w:r>
              <w:rPr>
                <w:rFonts w:cs="Times New Roman"/>
                <w:color w:val="000000"/>
                <w:kern w:val="0"/>
                <w:szCs w:val="21"/>
              </w:rPr>
              <w:t>5</w:t>
            </w:r>
          </w:p>
        </w:tc>
      </w:tr>
      <w:tr w14:paraId="467A10ED">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04796903">
            <w:pPr>
              <w:widowControl/>
              <w:spacing w:line="240" w:lineRule="auto"/>
              <w:jc w:val="center"/>
              <w:rPr>
                <w:rFonts w:ascii="宋体" w:hAnsi="宋体" w:cs="宋体"/>
                <w:kern w:val="0"/>
                <w:szCs w:val="21"/>
              </w:rPr>
            </w:pPr>
            <w:r>
              <w:rPr>
                <w:rFonts w:hint="eastAsia" w:ascii="宋体" w:hAnsi="宋体" w:cs="宋体"/>
                <w:kern w:val="0"/>
                <w:szCs w:val="21"/>
              </w:rPr>
              <w:t>大峪街道</w:t>
            </w:r>
          </w:p>
        </w:tc>
        <w:tc>
          <w:tcPr>
            <w:tcW w:w="1596" w:type="dxa"/>
            <w:tcBorders>
              <w:top w:val="nil"/>
              <w:left w:val="nil"/>
              <w:bottom w:val="single" w:color="auto" w:sz="4" w:space="0"/>
              <w:right w:val="single" w:color="auto" w:sz="4" w:space="0"/>
            </w:tcBorders>
            <w:shd w:val="clear" w:color="auto" w:fill="auto"/>
            <w:vAlign w:val="center"/>
          </w:tcPr>
          <w:p w14:paraId="390A78A5">
            <w:pPr>
              <w:widowControl/>
              <w:spacing w:line="240" w:lineRule="auto"/>
              <w:jc w:val="center"/>
              <w:rPr>
                <w:rFonts w:cs="Times New Roman"/>
                <w:kern w:val="0"/>
                <w:szCs w:val="21"/>
              </w:rPr>
            </w:pPr>
            <w:r>
              <w:rPr>
                <w:rFonts w:cs="Times New Roman"/>
                <w:kern w:val="0"/>
                <w:szCs w:val="21"/>
              </w:rPr>
              <w:t>61</w:t>
            </w:r>
          </w:p>
        </w:tc>
        <w:tc>
          <w:tcPr>
            <w:tcW w:w="1060" w:type="dxa"/>
            <w:tcBorders>
              <w:top w:val="nil"/>
              <w:left w:val="nil"/>
              <w:bottom w:val="single" w:color="auto" w:sz="4" w:space="0"/>
              <w:right w:val="single" w:color="auto" w:sz="4" w:space="0"/>
            </w:tcBorders>
            <w:shd w:val="clear" w:color="auto" w:fill="auto"/>
            <w:vAlign w:val="center"/>
          </w:tcPr>
          <w:p w14:paraId="6AE1BDF5">
            <w:pPr>
              <w:widowControl/>
              <w:spacing w:line="240" w:lineRule="auto"/>
              <w:jc w:val="center"/>
              <w:rPr>
                <w:rFonts w:cs="Times New Roman"/>
                <w:color w:val="000000"/>
                <w:kern w:val="0"/>
                <w:szCs w:val="21"/>
              </w:rPr>
            </w:pPr>
            <w:r>
              <w:rPr>
                <w:rFonts w:cs="Times New Roman"/>
                <w:color w:val="000000"/>
                <w:kern w:val="0"/>
                <w:szCs w:val="21"/>
              </w:rPr>
              <w:t>5</w:t>
            </w:r>
          </w:p>
        </w:tc>
        <w:tc>
          <w:tcPr>
            <w:tcW w:w="2325" w:type="dxa"/>
            <w:tcBorders>
              <w:top w:val="nil"/>
              <w:left w:val="nil"/>
              <w:bottom w:val="single" w:color="auto" w:sz="4" w:space="0"/>
              <w:right w:val="single" w:color="auto" w:sz="4" w:space="0"/>
            </w:tcBorders>
            <w:shd w:val="clear" w:color="auto" w:fill="auto"/>
            <w:vAlign w:val="center"/>
          </w:tcPr>
          <w:p w14:paraId="5273733C">
            <w:pPr>
              <w:widowControl/>
              <w:spacing w:line="240" w:lineRule="auto"/>
              <w:jc w:val="center"/>
              <w:rPr>
                <w:rFonts w:cs="Times New Roman"/>
                <w:kern w:val="0"/>
                <w:szCs w:val="21"/>
              </w:rPr>
            </w:pPr>
            <w:r>
              <w:rPr>
                <w:rFonts w:cs="Times New Roman"/>
                <w:kern w:val="0"/>
                <w:szCs w:val="21"/>
              </w:rPr>
              <w:t>60.7</w:t>
            </w:r>
          </w:p>
        </w:tc>
        <w:tc>
          <w:tcPr>
            <w:tcW w:w="1060" w:type="dxa"/>
            <w:tcBorders>
              <w:top w:val="nil"/>
              <w:left w:val="nil"/>
              <w:bottom w:val="single" w:color="auto" w:sz="4" w:space="0"/>
              <w:right w:val="single" w:color="auto" w:sz="4" w:space="0"/>
            </w:tcBorders>
            <w:shd w:val="clear" w:color="auto" w:fill="auto"/>
            <w:vAlign w:val="center"/>
          </w:tcPr>
          <w:p w14:paraId="34F3B9B4">
            <w:pPr>
              <w:widowControl/>
              <w:spacing w:line="240" w:lineRule="auto"/>
              <w:jc w:val="center"/>
              <w:rPr>
                <w:rFonts w:cs="Times New Roman"/>
                <w:color w:val="000000"/>
                <w:kern w:val="0"/>
                <w:szCs w:val="21"/>
              </w:rPr>
            </w:pPr>
            <w:r>
              <w:rPr>
                <w:rFonts w:cs="Times New Roman"/>
                <w:color w:val="000000"/>
                <w:kern w:val="0"/>
                <w:szCs w:val="21"/>
              </w:rPr>
              <w:t>6</w:t>
            </w:r>
          </w:p>
        </w:tc>
      </w:tr>
      <w:tr w14:paraId="501987E1">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7DD32E64">
            <w:pPr>
              <w:widowControl/>
              <w:spacing w:line="240" w:lineRule="auto"/>
              <w:jc w:val="center"/>
              <w:rPr>
                <w:rFonts w:ascii="宋体" w:hAnsi="宋体" w:cs="宋体"/>
                <w:kern w:val="0"/>
                <w:szCs w:val="21"/>
              </w:rPr>
            </w:pPr>
            <w:r>
              <w:rPr>
                <w:rFonts w:hint="eastAsia" w:ascii="宋体" w:hAnsi="宋体" w:cs="宋体"/>
                <w:kern w:val="0"/>
                <w:szCs w:val="21"/>
              </w:rPr>
              <w:t>军庄镇</w:t>
            </w:r>
          </w:p>
        </w:tc>
        <w:tc>
          <w:tcPr>
            <w:tcW w:w="1596" w:type="dxa"/>
            <w:tcBorders>
              <w:top w:val="nil"/>
              <w:left w:val="nil"/>
              <w:bottom w:val="single" w:color="auto" w:sz="4" w:space="0"/>
              <w:right w:val="single" w:color="auto" w:sz="4" w:space="0"/>
            </w:tcBorders>
            <w:shd w:val="clear" w:color="auto" w:fill="auto"/>
            <w:vAlign w:val="center"/>
          </w:tcPr>
          <w:p w14:paraId="100B8EC7">
            <w:pPr>
              <w:widowControl/>
              <w:spacing w:line="240" w:lineRule="auto"/>
              <w:jc w:val="center"/>
              <w:rPr>
                <w:rFonts w:cs="Times New Roman"/>
                <w:kern w:val="0"/>
                <w:szCs w:val="21"/>
              </w:rPr>
            </w:pPr>
            <w:r>
              <w:rPr>
                <w:rFonts w:cs="Times New Roman"/>
                <w:kern w:val="0"/>
                <w:szCs w:val="21"/>
              </w:rPr>
              <w:t>57</w:t>
            </w:r>
          </w:p>
        </w:tc>
        <w:tc>
          <w:tcPr>
            <w:tcW w:w="1060" w:type="dxa"/>
            <w:tcBorders>
              <w:top w:val="nil"/>
              <w:left w:val="nil"/>
              <w:bottom w:val="single" w:color="auto" w:sz="4" w:space="0"/>
              <w:right w:val="single" w:color="auto" w:sz="4" w:space="0"/>
            </w:tcBorders>
            <w:shd w:val="clear" w:color="auto" w:fill="auto"/>
            <w:vAlign w:val="center"/>
          </w:tcPr>
          <w:p w14:paraId="0A8E0DF4">
            <w:pPr>
              <w:widowControl/>
              <w:spacing w:line="240" w:lineRule="auto"/>
              <w:jc w:val="center"/>
              <w:rPr>
                <w:rFonts w:cs="Times New Roman"/>
                <w:color w:val="000000"/>
                <w:kern w:val="0"/>
                <w:szCs w:val="21"/>
              </w:rPr>
            </w:pPr>
            <w:r>
              <w:rPr>
                <w:rFonts w:cs="Times New Roman"/>
                <w:color w:val="000000"/>
                <w:kern w:val="0"/>
                <w:szCs w:val="21"/>
              </w:rPr>
              <w:t>7</w:t>
            </w:r>
          </w:p>
        </w:tc>
        <w:tc>
          <w:tcPr>
            <w:tcW w:w="2325" w:type="dxa"/>
            <w:tcBorders>
              <w:top w:val="nil"/>
              <w:left w:val="nil"/>
              <w:bottom w:val="single" w:color="auto" w:sz="4" w:space="0"/>
              <w:right w:val="single" w:color="auto" w:sz="4" w:space="0"/>
            </w:tcBorders>
            <w:shd w:val="clear" w:color="auto" w:fill="auto"/>
            <w:vAlign w:val="center"/>
          </w:tcPr>
          <w:p w14:paraId="275F0A8F">
            <w:pPr>
              <w:widowControl/>
              <w:spacing w:line="240" w:lineRule="auto"/>
              <w:jc w:val="center"/>
              <w:rPr>
                <w:rFonts w:cs="Times New Roman"/>
                <w:color w:val="000000"/>
                <w:kern w:val="0"/>
                <w:szCs w:val="21"/>
              </w:rPr>
            </w:pPr>
            <w:r>
              <w:rPr>
                <w:rFonts w:cs="Times New Roman"/>
                <w:color w:val="000000"/>
                <w:kern w:val="0"/>
                <w:szCs w:val="21"/>
              </w:rPr>
              <w:t>　</w:t>
            </w:r>
          </w:p>
        </w:tc>
        <w:tc>
          <w:tcPr>
            <w:tcW w:w="1060" w:type="dxa"/>
            <w:tcBorders>
              <w:top w:val="nil"/>
              <w:left w:val="nil"/>
              <w:bottom w:val="single" w:color="auto" w:sz="4" w:space="0"/>
              <w:right w:val="single" w:color="auto" w:sz="4" w:space="0"/>
            </w:tcBorders>
            <w:shd w:val="clear" w:color="auto" w:fill="auto"/>
            <w:vAlign w:val="center"/>
          </w:tcPr>
          <w:p w14:paraId="578E83DE">
            <w:pPr>
              <w:widowControl/>
              <w:spacing w:line="240" w:lineRule="auto"/>
              <w:jc w:val="center"/>
              <w:rPr>
                <w:rFonts w:cs="Times New Roman"/>
                <w:color w:val="000000"/>
                <w:kern w:val="0"/>
                <w:szCs w:val="21"/>
              </w:rPr>
            </w:pPr>
            <w:r>
              <w:rPr>
                <w:rFonts w:cs="Times New Roman"/>
                <w:color w:val="000000"/>
                <w:kern w:val="0"/>
                <w:szCs w:val="21"/>
              </w:rPr>
              <w:t>7</w:t>
            </w:r>
          </w:p>
        </w:tc>
      </w:tr>
      <w:tr w14:paraId="4A8C68A4">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1A855861">
            <w:pPr>
              <w:widowControl/>
              <w:spacing w:line="240" w:lineRule="auto"/>
              <w:jc w:val="center"/>
              <w:rPr>
                <w:rFonts w:ascii="宋体" w:hAnsi="宋体" w:cs="宋体"/>
                <w:kern w:val="0"/>
                <w:szCs w:val="21"/>
              </w:rPr>
            </w:pPr>
            <w:r>
              <w:rPr>
                <w:rFonts w:hint="eastAsia" w:ascii="宋体" w:hAnsi="宋体" w:cs="宋体"/>
                <w:kern w:val="0"/>
                <w:szCs w:val="21"/>
              </w:rPr>
              <w:t>王平镇</w:t>
            </w:r>
          </w:p>
        </w:tc>
        <w:tc>
          <w:tcPr>
            <w:tcW w:w="1596" w:type="dxa"/>
            <w:tcBorders>
              <w:top w:val="nil"/>
              <w:left w:val="nil"/>
              <w:bottom w:val="single" w:color="auto" w:sz="4" w:space="0"/>
              <w:right w:val="single" w:color="auto" w:sz="4" w:space="0"/>
            </w:tcBorders>
            <w:shd w:val="clear" w:color="auto" w:fill="auto"/>
            <w:vAlign w:val="center"/>
          </w:tcPr>
          <w:p w14:paraId="6F8353AD">
            <w:pPr>
              <w:widowControl/>
              <w:spacing w:line="240" w:lineRule="auto"/>
              <w:jc w:val="center"/>
              <w:rPr>
                <w:rFonts w:cs="Times New Roman"/>
                <w:kern w:val="0"/>
                <w:szCs w:val="21"/>
              </w:rPr>
            </w:pPr>
            <w:r>
              <w:rPr>
                <w:rFonts w:cs="Times New Roman"/>
                <w:kern w:val="0"/>
                <w:szCs w:val="21"/>
              </w:rPr>
              <w:t>56</w:t>
            </w:r>
          </w:p>
        </w:tc>
        <w:tc>
          <w:tcPr>
            <w:tcW w:w="1060" w:type="dxa"/>
            <w:tcBorders>
              <w:top w:val="nil"/>
              <w:left w:val="nil"/>
              <w:bottom w:val="single" w:color="auto" w:sz="4" w:space="0"/>
              <w:right w:val="single" w:color="auto" w:sz="4" w:space="0"/>
            </w:tcBorders>
            <w:shd w:val="clear" w:color="auto" w:fill="auto"/>
            <w:vAlign w:val="center"/>
          </w:tcPr>
          <w:p w14:paraId="329E96D6">
            <w:pPr>
              <w:widowControl/>
              <w:spacing w:line="240" w:lineRule="auto"/>
              <w:jc w:val="center"/>
              <w:rPr>
                <w:rFonts w:cs="Times New Roman"/>
                <w:color w:val="000000"/>
                <w:kern w:val="0"/>
                <w:szCs w:val="21"/>
              </w:rPr>
            </w:pPr>
            <w:r>
              <w:rPr>
                <w:rFonts w:cs="Times New Roman"/>
                <w:color w:val="000000"/>
                <w:kern w:val="0"/>
                <w:szCs w:val="21"/>
              </w:rPr>
              <w:t>8</w:t>
            </w:r>
          </w:p>
        </w:tc>
        <w:tc>
          <w:tcPr>
            <w:tcW w:w="2325" w:type="dxa"/>
            <w:tcBorders>
              <w:top w:val="nil"/>
              <w:left w:val="nil"/>
              <w:bottom w:val="single" w:color="auto" w:sz="4" w:space="0"/>
              <w:right w:val="single" w:color="auto" w:sz="4" w:space="0"/>
            </w:tcBorders>
            <w:shd w:val="clear" w:color="auto" w:fill="auto"/>
            <w:vAlign w:val="center"/>
          </w:tcPr>
          <w:p w14:paraId="7DF2ADA3">
            <w:pPr>
              <w:widowControl/>
              <w:spacing w:line="240" w:lineRule="auto"/>
              <w:jc w:val="center"/>
              <w:rPr>
                <w:rFonts w:cs="Times New Roman"/>
                <w:color w:val="000000"/>
                <w:kern w:val="0"/>
                <w:szCs w:val="21"/>
              </w:rPr>
            </w:pPr>
            <w:r>
              <w:rPr>
                <w:rFonts w:cs="Times New Roman"/>
                <w:color w:val="000000"/>
                <w:kern w:val="0"/>
                <w:szCs w:val="21"/>
              </w:rPr>
              <w:t>　</w:t>
            </w:r>
          </w:p>
        </w:tc>
        <w:tc>
          <w:tcPr>
            <w:tcW w:w="1060" w:type="dxa"/>
            <w:tcBorders>
              <w:top w:val="nil"/>
              <w:left w:val="nil"/>
              <w:bottom w:val="single" w:color="auto" w:sz="4" w:space="0"/>
              <w:right w:val="single" w:color="auto" w:sz="4" w:space="0"/>
            </w:tcBorders>
            <w:shd w:val="clear" w:color="auto" w:fill="auto"/>
            <w:vAlign w:val="center"/>
          </w:tcPr>
          <w:p w14:paraId="2D8E574D">
            <w:pPr>
              <w:widowControl/>
              <w:spacing w:line="240" w:lineRule="auto"/>
              <w:jc w:val="center"/>
              <w:rPr>
                <w:rFonts w:cs="Times New Roman"/>
                <w:color w:val="000000"/>
                <w:kern w:val="0"/>
                <w:szCs w:val="21"/>
              </w:rPr>
            </w:pPr>
            <w:r>
              <w:rPr>
                <w:rFonts w:cs="Times New Roman"/>
                <w:color w:val="000000"/>
                <w:kern w:val="0"/>
                <w:szCs w:val="21"/>
              </w:rPr>
              <w:t>8</w:t>
            </w:r>
          </w:p>
        </w:tc>
      </w:tr>
      <w:tr w14:paraId="3D36BCA7">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688EF9B7">
            <w:pPr>
              <w:widowControl/>
              <w:spacing w:line="240" w:lineRule="auto"/>
              <w:jc w:val="center"/>
              <w:rPr>
                <w:rFonts w:ascii="宋体" w:hAnsi="宋体" w:cs="宋体"/>
                <w:kern w:val="0"/>
                <w:szCs w:val="21"/>
              </w:rPr>
            </w:pPr>
            <w:r>
              <w:rPr>
                <w:rFonts w:hint="eastAsia" w:ascii="宋体" w:hAnsi="宋体" w:cs="宋体"/>
                <w:kern w:val="0"/>
                <w:szCs w:val="21"/>
              </w:rPr>
              <w:t>妙峰山镇</w:t>
            </w:r>
          </w:p>
        </w:tc>
        <w:tc>
          <w:tcPr>
            <w:tcW w:w="1596" w:type="dxa"/>
            <w:tcBorders>
              <w:top w:val="nil"/>
              <w:left w:val="nil"/>
              <w:bottom w:val="single" w:color="auto" w:sz="4" w:space="0"/>
              <w:right w:val="single" w:color="auto" w:sz="4" w:space="0"/>
            </w:tcBorders>
            <w:shd w:val="clear" w:color="auto" w:fill="auto"/>
            <w:vAlign w:val="center"/>
          </w:tcPr>
          <w:p w14:paraId="14B50E71">
            <w:pPr>
              <w:widowControl/>
              <w:spacing w:line="240" w:lineRule="auto"/>
              <w:jc w:val="center"/>
              <w:rPr>
                <w:rFonts w:cs="Times New Roman"/>
                <w:kern w:val="0"/>
                <w:szCs w:val="21"/>
              </w:rPr>
            </w:pPr>
            <w:r>
              <w:rPr>
                <w:rFonts w:cs="Times New Roman"/>
                <w:kern w:val="0"/>
                <w:szCs w:val="21"/>
              </w:rPr>
              <w:t>52</w:t>
            </w:r>
          </w:p>
        </w:tc>
        <w:tc>
          <w:tcPr>
            <w:tcW w:w="1060" w:type="dxa"/>
            <w:tcBorders>
              <w:top w:val="nil"/>
              <w:left w:val="nil"/>
              <w:bottom w:val="single" w:color="auto" w:sz="4" w:space="0"/>
              <w:right w:val="single" w:color="auto" w:sz="4" w:space="0"/>
            </w:tcBorders>
            <w:shd w:val="clear" w:color="auto" w:fill="auto"/>
            <w:vAlign w:val="center"/>
          </w:tcPr>
          <w:p w14:paraId="6E904074">
            <w:pPr>
              <w:widowControl/>
              <w:spacing w:line="240" w:lineRule="auto"/>
              <w:jc w:val="center"/>
              <w:rPr>
                <w:rFonts w:cs="Times New Roman"/>
                <w:color w:val="000000"/>
                <w:kern w:val="0"/>
                <w:szCs w:val="21"/>
              </w:rPr>
            </w:pPr>
            <w:r>
              <w:rPr>
                <w:rFonts w:cs="Times New Roman"/>
                <w:color w:val="000000"/>
                <w:kern w:val="0"/>
                <w:szCs w:val="21"/>
              </w:rPr>
              <w:t>9</w:t>
            </w:r>
          </w:p>
        </w:tc>
        <w:tc>
          <w:tcPr>
            <w:tcW w:w="2325" w:type="dxa"/>
            <w:tcBorders>
              <w:top w:val="nil"/>
              <w:left w:val="nil"/>
              <w:bottom w:val="single" w:color="auto" w:sz="4" w:space="0"/>
              <w:right w:val="single" w:color="auto" w:sz="4" w:space="0"/>
            </w:tcBorders>
            <w:shd w:val="clear" w:color="auto" w:fill="auto"/>
            <w:vAlign w:val="center"/>
          </w:tcPr>
          <w:p w14:paraId="7E90969B">
            <w:pPr>
              <w:widowControl/>
              <w:spacing w:line="240" w:lineRule="auto"/>
              <w:jc w:val="center"/>
              <w:rPr>
                <w:rFonts w:cs="Times New Roman"/>
                <w:color w:val="000000"/>
                <w:kern w:val="0"/>
                <w:szCs w:val="21"/>
              </w:rPr>
            </w:pPr>
            <w:r>
              <w:rPr>
                <w:rFonts w:cs="Times New Roman"/>
                <w:color w:val="000000"/>
                <w:kern w:val="0"/>
                <w:szCs w:val="21"/>
              </w:rPr>
              <w:t>　</w:t>
            </w:r>
          </w:p>
        </w:tc>
        <w:tc>
          <w:tcPr>
            <w:tcW w:w="1060" w:type="dxa"/>
            <w:tcBorders>
              <w:top w:val="nil"/>
              <w:left w:val="nil"/>
              <w:bottom w:val="single" w:color="auto" w:sz="4" w:space="0"/>
              <w:right w:val="single" w:color="auto" w:sz="4" w:space="0"/>
            </w:tcBorders>
            <w:shd w:val="clear" w:color="auto" w:fill="auto"/>
            <w:vAlign w:val="center"/>
          </w:tcPr>
          <w:p w14:paraId="19A728FE">
            <w:pPr>
              <w:widowControl/>
              <w:spacing w:line="240" w:lineRule="auto"/>
              <w:jc w:val="center"/>
              <w:rPr>
                <w:rFonts w:cs="Times New Roman"/>
                <w:color w:val="000000"/>
                <w:kern w:val="0"/>
                <w:szCs w:val="21"/>
              </w:rPr>
            </w:pPr>
            <w:r>
              <w:rPr>
                <w:rFonts w:cs="Times New Roman"/>
                <w:color w:val="000000"/>
                <w:kern w:val="0"/>
                <w:szCs w:val="21"/>
              </w:rPr>
              <w:t>9</w:t>
            </w:r>
          </w:p>
        </w:tc>
      </w:tr>
      <w:tr w14:paraId="149D7573">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5A8F13CF">
            <w:pPr>
              <w:widowControl/>
              <w:spacing w:line="240" w:lineRule="auto"/>
              <w:jc w:val="center"/>
              <w:rPr>
                <w:rFonts w:ascii="宋体" w:hAnsi="宋体" w:cs="宋体"/>
                <w:kern w:val="0"/>
                <w:szCs w:val="21"/>
              </w:rPr>
            </w:pPr>
            <w:r>
              <w:rPr>
                <w:rFonts w:hint="eastAsia" w:ascii="宋体" w:hAnsi="宋体" w:cs="宋体"/>
                <w:kern w:val="0"/>
                <w:szCs w:val="21"/>
              </w:rPr>
              <w:t>大台街道</w:t>
            </w:r>
          </w:p>
        </w:tc>
        <w:tc>
          <w:tcPr>
            <w:tcW w:w="1596" w:type="dxa"/>
            <w:tcBorders>
              <w:top w:val="nil"/>
              <w:left w:val="nil"/>
              <w:bottom w:val="single" w:color="auto" w:sz="4" w:space="0"/>
              <w:right w:val="single" w:color="auto" w:sz="4" w:space="0"/>
            </w:tcBorders>
            <w:shd w:val="clear" w:color="auto" w:fill="auto"/>
            <w:vAlign w:val="center"/>
          </w:tcPr>
          <w:p w14:paraId="734FCFE8">
            <w:pPr>
              <w:widowControl/>
              <w:spacing w:line="240" w:lineRule="auto"/>
              <w:jc w:val="center"/>
              <w:rPr>
                <w:rFonts w:cs="Times New Roman"/>
                <w:kern w:val="0"/>
                <w:szCs w:val="21"/>
              </w:rPr>
            </w:pPr>
            <w:r>
              <w:rPr>
                <w:rFonts w:cs="Times New Roman"/>
                <w:kern w:val="0"/>
                <w:szCs w:val="21"/>
              </w:rPr>
              <w:t>51</w:t>
            </w:r>
          </w:p>
        </w:tc>
        <w:tc>
          <w:tcPr>
            <w:tcW w:w="1060" w:type="dxa"/>
            <w:tcBorders>
              <w:top w:val="nil"/>
              <w:left w:val="nil"/>
              <w:bottom w:val="single" w:color="auto" w:sz="4" w:space="0"/>
              <w:right w:val="single" w:color="auto" w:sz="4" w:space="0"/>
            </w:tcBorders>
            <w:shd w:val="clear" w:color="auto" w:fill="auto"/>
            <w:vAlign w:val="center"/>
          </w:tcPr>
          <w:p w14:paraId="6ACCD7E7">
            <w:pPr>
              <w:widowControl/>
              <w:spacing w:line="240" w:lineRule="auto"/>
              <w:jc w:val="center"/>
              <w:rPr>
                <w:rFonts w:cs="Times New Roman"/>
                <w:color w:val="000000"/>
                <w:kern w:val="0"/>
                <w:szCs w:val="21"/>
              </w:rPr>
            </w:pPr>
            <w:r>
              <w:rPr>
                <w:rFonts w:cs="Times New Roman"/>
                <w:color w:val="000000"/>
                <w:kern w:val="0"/>
                <w:szCs w:val="21"/>
              </w:rPr>
              <w:t>10</w:t>
            </w:r>
          </w:p>
        </w:tc>
        <w:tc>
          <w:tcPr>
            <w:tcW w:w="2325" w:type="dxa"/>
            <w:tcBorders>
              <w:top w:val="nil"/>
              <w:left w:val="nil"/>
              <w:bottom w:val="single" w:color="auto" w:sz="4" w:space="0"/>
              <w:right w:val="single" w:color="auto" w:sz="4" w:space="0"/>
            </w:tcBorders>
            <w:shd w:val="clear" w:color="auto" w:fill="auto"/>
            <w:vAlign w:val="center"/>
          </w:tcPr>
          <w:p w14:paraId="440FC5A7">
            <w:pPr>
              <w:widowControl/>
              <w:spacing w:line="240" w:lineRule="auto"/>
              <w:jc w:val="center"/>
              <w:rPr>
                <w:rFonts w:cs="Times New Roman"/>
                <w:color w:val="000000"/>
                <w:kern w:val="0"/>
                <w:szCs w:val="21"/>
              </w:rPr>
            </w:pPr>
            <w:r>
              <w:rPr>
                <w:rFonts w:cs="Times New Roman"/>
                <w:color w:val="000000"/>
                <w:kern w:val="0"/>
                <w:szCs w:val="21"/>
              </w:rPr>
              <w:t>　</w:t>
            </w:r>
          </w:p>
        </w:tc>
        <w:tc>
          <w:tcPr>
            <w:tcW w:w="1060" w:type="dxa"/>
            <w:tcBorders>
              <w:top w:val="nil"/>
              <w:left w:val="nil"/>
              <w:bottom w:val="single" w:color="auto" w:sz="4" w:space="0"/>
              <w:right w:val="single" w:color="auto" w:sz="4" w:space="0"/>
            </w:tcBorders>
            <w:shd w:val="clear" w:color="auto" w:fill="auto"/>
            <w:vAlign w:val="center"/>
          </w:tcPr>
          <w:p w14:paraId="3ABC4938">
            <w:pPr>
              <w:widowControl/>
              <w:spacing w:line="240" w:lineRule="auto"/>
              <w:jc w:val="center"/>
              <w:rPr>
                <w:rFonts w:cs="Times New Roman"/>
                <w:color w:val="000000"/>
                <w:kern w:val="0"/>
                <w:szCs w:val="21"/>
              </w:rPr>
            </w:pPr>
            <w:r>
              <w:rPr>
                <w:rFonts w:cs="Times New Roman"/>
                <w:color w:val="000000"/>
                <w:kern w:val="0"/>
                <w:szCs w:val="21"/>
              </w:rPr>
              <w:t>10</w:t>
            </w:r>
          </w:p>
        </w:tc>
      </w:tr>
      <w:tr w14:paraId="182A397B">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4A4776A2">
            <w:pPr>
              <w:widowControl/>
              <w:spacing w:line="240" w:lineRule="auto"/>
              <w:jc w:val="center"/>
              <w:rPr>
                <w:rFonts w:ascii="宋体" w:hAnsi="宋体" w:cs="宋体"/>
                <w:kern w:val="0"/>
                <w:szCs w:val="21"/>
              </w:rPr>
            </w:pPr>
            <w:r>
              <w:rPr>
                <w:rFonts w:hint="eastAsia" w:ascii="宋体" w:hAnsi="宋体" w:cs="宋体"/>
                <w:kern w:val="0"/>
                <w:szCs w:val="21"/>
              </w:rPr>
              <w:t>雁翅镇</w:t>
            </w:r>
          </w:p>
        </w:tc>
        <w:tc>
          <w:tcPr>
            <w:tcW w:w="1596" w:type="dxa"/>
            <w:tcBorders>
              <w:top w:val="nil"/>
              <w:left w:val="nil"/>
              <w:bottom w:val="single" w:color="auto" w:sz="4" w:space="0"/>
              <w:right w:val="single" w:color="auto" w:sz="4" w:space="0"/>
            </w:tcBorders>
            <w:shd w:val="clear" w:color="auto" w:fill="auto"/>
            <w:vAlign w:val="center"/>
          </w:tcPr>
          <w:p w14:paraId="0242A6CA">
            <w:pPr>
              <w:widowControl/>
              <w:spacing w:line="240" w:lineRule="auto"/>
              <w:jc w:val="center"/>
              <w:rPr>
                <w:rFonts w:cs="Times New Roman"/>
                <w:kern w:val="0"/>
                <w:szCs w:val="21"/>
              </w:rPr>
            </w:pPr>
            <w:r>
              <w:rPr>
                <w:rFonts w:cs="Times New Roman"/>
                <w:kern w:val="0"/>
                <w:szCs w:val="21"/>
              </w:rPr>
              <w:t>50</w:t>
            </w:r>
          </w:p>
        </w:tc>
        <w:tc>
          <w:tcPr>
            <w:tcW w:w="1060" w:type="dxa"/>
            <w:tcBorders>
              <w:top w:val="nil"/>
              <w:left w:val="nil"/>
              <w:bottom w:val="single" w:color="auto" w:sz="4" w:space="0"/>
              <w:right w:val="single" w:color="auto" w:sz="4" w:space="0"/>
            </w:tcBorders>
            <w:shd w:val="clear" w:color="auto" w:fill="auto"/>
            <w:vAlign w:val="center"/>
          </w:tcPr>
          <w:p w14:paraId="33BC9E45">
            <w:pPr>
              <w:widowControl/>
              <w:spacing w:line="240" w:lineRule="auto"/>
              <w:jc w:val="center"/>
              <w:rPr>
                <w:rFonts w:cs="Times New Roman"/>
                <w:color w:val="000000"/>
                <w:kern w:val="0"/>
                <w:szCs w:val="21"/>
              </w:rPr>
            </w:pPr>
            <w:r>
              <w:rPr>
                <w:rFonts w:cs="Times New Roman"/>
                <w:color w:val="000000"/>
                <w:kern w:val="0"/>
                <w:szCs w:val="21"/>
              </w:rPr>
              <w:t>11</w:t>
            </w:r>
          </w:p>
        </w:tc>
        <w:tc>
          <w:tcPr>
            <w:tcW w:w="2325" w:type="dxa"/>
            <w:tcBorders>
              <w:top w:val="nil"/>
              <w:left w:val="nil"/>
              <w:bottom w:val="single" w:color="auto" w:sz="4" w:space="0"/>
              <w:right w:val="single" w:color="auto" w:sz="4" w:space="0"/>
            </w:tcBorders>
            <w:shd w:val="clear" w:color="auto" w:fill="auto"/>
            <w:vAlign w:val="center"/>
          </w:tcPr>
          <w:p w14:paraId="6D0F06CC">
            <w:pPr>
              <w:widowControl/>
              <w:spacing w:line="240" w:lineRule="auto"/>
              <w:jc w:val="center"/>
              <w:rPr>
                <w:rFonts w:cs="Times New Roman"/>
                <w:color w:val="000000"/>
                <w:kern w:val="0"/>
                <w:szCs w:val="21"/>
              </w:rPr>
            </w:pPr>
            <w:r>
              <w:rPr>
                <w:rFonts w:cs="Times New Roman"/>
                <w:color w:val="000000"/>
                <w:kern w:val="0"/>
                <w:szCs w:val="21"/>
              </w:rPr>
              <w:t>　</w:t>
            </w:r>
          </w:p>
        </w:tc>
        <w:tc>
          <w:tcPr>
            <w:tcW w:w="1060" w:type="dxa"/>
            <w:tcBorders>
              <w:top w:val="nil"/>
              <w:left w:val="nil"/>
              <w:bottom w:val="single" w:color="auto" w:sz="4" w:space="0"/>
              <w:right w:val="single" w:color="auto" w:sz="4" w:space="0"/>
            </w:tcBorders>
            <w:shd w:val="clear" w:color="auto" w:fill="auto"/>
            <w:vAlign w:val="center"/>
          </w:tcPr>
          <w:p w14:paraId="484DCD7E">
            <w:pPr>
              <w:widowControl/>
              <w:spacing w:line="240" w:lineRule="auto"/>
              <w:jc w:val="center"/>
              <w:rPr>
                <w:rFonts w:cs="Times New Roman"/>
                <w:color w:val="000000"/>
                <w:kern w:val="0"/>
                <w:szCs w:val="21"/>
              </w:rPr>
            </w:pPr>
            <w:r>
              <w:rPr>
                <w:rFonts w:cs="Times New Roman"/>
                <w:color w:val="000000"/>
                <w:kern w:val="0"/>
                <w:szCs w:val="21"/>
              </w:rPr>
              <w:t>11</w:t>
            </w:r>
          </w:p>
        </w:tc>
      </w:tr>
      <w:tr w14:paraId="77C40865">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73B9B131">
            <w:pPr>
              <w:widowControl/>
              <w:spacing w:line="240" w:lineRule="auto"/>
              <w:jc w:val="center"/>
              <w:rPr>
                <w:rFonts w:ascii="宋体" w:hAnsi="宋体" w:cs="宋体"/>
                <w:kern w:val="0"/>
                <w:szCs w:val="21"/>
              </w:rPr>
            </w:pPr>
            <w:r>
              <w:rPr>
                <w:rFonts w:hint="eastAsia" w:ascii="宋体" w:hAnsi="宋体" w:cs="宋体"/>
                <w:kern w:val="0"/>
                <w:szCs w:val="21"/>
              </w:rPr>
              <w:t>斋堂镇</w:t>
            </w:r>
          </w:p>
        </w:tc>
        <w:tc>
          <w:tcPr>
            <w:tcW w:w="1596" w:type="dxa"/>
            <w:tcBorders>
              <w:top w:val="nil"/>
              <w:left w:val="nil"/>
              <w:bottom w:val="single" w:color="auto" w:sz="4" w:space="0"/>
              <w:right w:val="single" w:color="auto" w:sz="4" w:space="0"/>
            </w:tcBorders>
            <w:shd w:val="clear" w:color="auto" w:fill="auto"/>
            <w:vAlign w:val="center"/>
          </w:tcPr>
          <w:p w14:paraId="0763D801">
            <w:pPr>
              <w:widowControl/>
              <w:spacing w:line="240" w:lineRule="auto"/>
              <w:jc w:val="center"/>
              <w:rPr>
                <w:rFonts w:cs="Times New Roman"/>
                <w:kern w:val="0"/>
                <w:szCs w:val="21"/>
              </w:rPr>
            </w:pPr>
            <w:r>
              <w:rPr>
                <w:rFonts w:cs="Times New Roman"/>
                <w:kern w:val="0"/>
                <w:szCs w:val="21"/>
              </w:rPr>
              <w:t>45</w:t>
            </w:r>
          </w:p>
        </w:tc>
        <w:tc>
          <w:tcPr>
            <w:tcW w:w="1060" w:type="dxa"/>
            <w:tcBorders>
              <w:top w:val="nil"/>
              <w:left w:val="nil"/>
              <w:bottom w:val="single" w:color="auto" w:sz="4" w:space="0"/>
              <w:right w:val="single" w:color="auto" w:sz="4" w:space="0"/>
            </w:tcBorders>
            <w:shd w:val="clear" w:color="auto" w:fill="auto"/>
            <w:vAlign w:val="center"/>
          </w:tcPr>
          <w:p w14:paraId="71E56508">
            <w:pPr>
              <w:widowControl/>
              <w:spacing w:line="240" w:lineRule="auto"/>
              <w:jc w:val="center"/>
              <w:rPr>
                <w:rFonts w:cs="Times New Roman"/>
                <w:color w:val="000000"/>
                <w:kern w:val="0"/>
                <w:szCs w:val="21"/>
              </w:rPr>
            </w:pPr>
            <w:r>
              <w:rPr>
                <w:rFonts w:cs="Times New Roman"/>
                <w:color w:val="000000"/>
                <w:kern w:val="0"/>
                <w:szCs w:val="21"/>
              </w:rPr>
              <w:t>12</w:t>
            </w:r>
          </w:p>
        </w:tc>
        <w:tc>
          <w:tcPr>
            <w:tcW w:w="2325" w:type="dxa"/>
            <w:tcBorders>
              <w:top w:val="nil"/>
              <w:left w:val="nil"/>
              <w:bottom w:val="single" w:color="auto" w:sz="4" w:space="0"/>
              <w:right w:val="single" w:color="auto" w:sz="4" w:space="0"/>
            </w:tcBorders>
            <w:shd w:val="clear" w:color="auto" w:fill="auto"/>
            <w:vAlign w:val="center"/>
          </w:tcPr>
          <w:p w14:paraId="1236D392">
            <w:pPr>
              <w:widowControl/>
              <w:spacing w:line="240" w:lineRule="auto"/>
              <w:jc w:val="center"/>
              <w:rPr>
                <w:rFonts w:cs="Times New Roman"/>
                <w:color w:val="000000"/>
                <w:kern w:val="0"/>
                <w:szCs w:val="21"/>
              </w:rPr>
            </w:pPr>
            <w:r>
              <w:rPr>
                <w:rFonts w:cs="Times New Roman"/>
                <w:color w:val="000000"/>
                <w:kern w:val="0"/>
                <w:szCs w:val="21"/>
              </w:rPr>
              <w:t>　</w:t>
            </w:r>
          </w:p>
        </w:tc>
        <w:tc>
          <w:tcPr>
            <w:tcW w:w="1060" w:type="dxa"/>
            <w:tcBorders>
              <w:top w:val="nil"/>
              <w:left w:val="nil"/>
              <w:bottom w:val="single" w:color="auto" w:sz="4" w:space="0"/>
              <w:right w:val="single" w:color="auto" w:sz="4" w:space="0"/>
            </w:tcBorders>
            <w:shd w:val="clear" w:color="auto" w:fill="auto"/>
            <w:vAlign w:val="center"/>
          </w:tcPr>
          <w:p w14:paraId="22B2DD88">
            <w:pPr>
              <w:widowControl/>
              <w:spacing w:line="240" w:lineRule="auto"/>
              <w:jc w:val="center"/>
              <w:rPr>
                <w:rFonts w:cs="Times New Roman"/>
                <w:color w:val="000000"/>
                <w:kern w:val="0"/>
                <w:szCs w:val="21"/>
              </w:rPr>
            </w:pPr>
            <w:r>
              <w:rPr>
                <w:rFonts w:cs="Times New Roman"/>
                <w:color w:val="000000"/>
                <w:kern w:val="0"/>
                <w:szCs w:val="21"/>
              </w:rPr>
              <w:t>12</w:t>
            </w:r>
          </w:p>
        </w:tc>
      </w:tr>
      <w:tr w14:paraId="49D7B854">
        <w:tblPrEx>
          <w:tblCellMar>
            <w:top w:w="0" w:type="dxa"/>
            <w:left w:w="108" w:type="dxa"/>
            <w:bottom w:w="0" w:type="dxa"/>
            <w:right w:w="108" w:type="dxa"/>
          </w:tblCellMar>
        </w:tblPrEx>
        <w:trPr>
          <w:trHeight w:val="285" w:hRule="atLeast"/>
          <w:jc w:val="center"/>
        </w:trPr>
        <w:tc>
          <w:tcPr>
            <w:tcW w:w="1266" w:type="dxa"/>
            <w:tcBorders>
              <w:top w:val="nil"/>
              <w:left w:val="single" w:color="auto" w:sz="4" w:space="0"/>
              <w:bottom w:val="single" w:color="auto" w:sz="4" w:space="0"/>
              <w:right w:val="single" w:color="auto" w:sz="4" w:space="0"/>
            </w:tcBorders>
            <w:shd w:val="clear" w:color="auto" w:fill="auto"/>
            <w:vAlign w:val="center"/>
          </w:tcPr>
          <w:p w14:paraId="6B1B5761">
            <w:pPr>
              <w:widowControl/>
              <w:spacing w:line="240" w:lineRule="auto"/>
              <w:jc w:val="center"/>
              <w:rPr>
                <w:rFonts w:ascii="宋体" w:hAnsi="宋体" w:cs="宋体"/>
                <w:kern w:val="0"/>
                <w:szCs w:val="21"/>
              </w:rPr>
            </w:pPr>
            <w:r>
              <w:rPr>
                <w:rFonts w:hint="eastAsia" w:ascii="宋体" w:hAnsi="宋体" w:cs="宋体"/>
                <w:kern w:val="0"/>
                <w:szCs w:val="21"/>
              </w:rPr>
              <w:t>清水镇</w:t>
            </w:r>
          </w:p>
        </w:tc>
        <w:tc>
          <w:tcPr>
            <w:tcW w:w="1596" w:type="dxa"/>
            <w:tcBorders>
              <w:top w:val="nil"/>
              <w:left w:val="nil"/>
              <w:bottom w:val="single" w:color="auto" w:sz="4" w:space="0"/>
              <w:right w:val="single" w:color="auto" w:sz="4" w:space="0"/>
            </w:tcBorders>
            <w:shd w:val="clear" w:color="auto" w:fill="auto"/>
            <w:vAlign w:val="center"/>
          </w:tcPr>
          <w:p w14:paraId="056E45F9">
            <w:pPr>
              <w:widowControl/>
              <w:spacing w:line="240" w:lineRule="auto"/>
              <w:jc w:val="center"/>
              <w:rPr>
                <w:rFonts w:cs="Times New Roman"/>
                <w:kern w:val="0"/>
                <w:szCs w:val="21"/>
              </w:rPr>
            </w:pPr>
            <w:r>
              <w:rPr>
                <w:rFonts w:cs="Times New Roman"/>
                <w:kern w:val="0"/>
                <w:szCs w:val="21"/>
              </w:rPr>
              <w:t>38</w:t>
            </w:r>
          </w:p>
        </w:tc>
        <w:tc>
          <w:tcPr>
            <w:tcW w:w="1060" w:type="dxa"/>
            <w:tcBorders>
              <w:top w:val="nil"/>
              <w:left w:val="nil"/>
              <w:bottom w:val="single" w:color="auto" w:sz="4" w:space="0"/>
              <w:right w:val="single" w:color="auto" w:sz="4" w:space="0"/>
            </w:tcBorders>
            <w:shd w:val="clear" w:color="auto" w:fill="auto"/>
            <w:vAlign w:val="center"/>
          </w:tcPr>
          <w:p w14:paraId="21EB0287">
            <w:pPr>
              <w:widowControl/>
              <w:spacing w:line="240" w:lineRule="auto"/>
              <w:jc w:val="center"/>
              <w:rPr>
                <w:rFonts w:cs="Times New Roman"/>
                <w:color w:val="000000"/>
                <w:kern w:val="0"/>
                <w:szCs w:val="21"/>
              </w:rPr>
            </w:pPr>
            <w:r>
              <w:rPr>
                <w:rFonts w:cs="Times New Roman"/>
                <w:color w:val="000000"/>
                <w:kern w:val="0"/>
                <w:szCs w:val="21"/>
              </w:rPr>
              <w:t>13</w:t>
            </w:r>
          </w:p>
        </w:tc>
        <w:tc>
          <w:tcPr>
            <w:tcW w:w="2325" w:type="dxa"/>
            <w:tcBorders>
              <w:top w:val="nil"/>
              <w:left w:val="nil"/>
              <w:bottom w:val="single" w:color="auto" w:sz="4" w:space="0"/>
              <w:right w:val="single" w:color="auto" w:sz="4" w:space="0"/>
            </w:tcBorders>
            <w:shd w:val="clear" w:color="auto" w:fill="auto"/>
            <w:vAlign w:val="center"/>
          </w:tcPr>
          <w:p w14:paraId="59A17254">
            <w:pPr>
              <w:widowControl/>
              <w:spacing w:line="240" w:lineRule="auto"/>
              <w:jc w:val="center"/>
              <w:rPr>
                <w:rFonts w:cs="Times New Roman"/>
                <w:color w:val="000000"/>
                <w:kern w:val="0"/>
                <w:szCs w:val="21"/>
              </w:rPr>
            </w:pPr>
            <w:r>
              <w:rPr>
                <w:rFonts w:cs="Times New Roman"/>
                <w:color w:val="000000"/>
                <w:kern w:val="0"/>
                <w:szCs w:val="21"/>
              </w:rPr>
              <w:t>　</w:t>
            </w:r>
          </w:p>
        </w:tc>
        <w:tc>
          <w:tcPr>
            <w:tcW w:w="1060" w:type="dxa"/>
            <w:tcBorders>
              <w:top w:val="nil"/>
              <w:left w:val="nil"/>
              <w:bottom w:val="single" w:color="auto" w:sz="4" w:space="0"/>
              <w:right w:val="single" w:color="auto" w:sz="4" w:space="0"/>
            </w:tcBorders>
            <w:shd w:val="clear" w:color="auto" w:fill="auto"/>
            <w:vAlign w:val="center"/>
          </w:tcPr>
          <w:p w14:paraId="06E5A2FC">
            <w:pPr>
              <w:widowControl/>
              <w:spacing w:line="240" w:lineRule="auto"/>
              <w:jc w:val="center"/>
              <w:rPr>
                <w:rFonts w:cs="Times New Roman"/>
                <w:color w:val="000000"/>
                <w:kern w:val="0"/>
                <w:szCs w:val="21"/>
              </w:rPr>
            </w:pPr>
            <w:r>
              <w:rPr>
                <w:rFonts w:cs="Times New Roman"/>
                <w:color w:val="000000"/>
                <w:kern w:val="0"/>
                <w:szCs w:val="21"/>
              </w:rPr>
              <w:t>13</w:t>
            </w:r>
          </w:p>
        </w:tc>
      </w:tr>
    </w:tbl>
    <w:p w14:paraId="0D9FAC4D">
      <w:pPr>
        <w:pStyle w:val="4"/>
        <w:ind w:left="0" w:leftChars="0"/>
      </w:pPr>
      <w:bookmarkStart w:id="29" w:name="_Toc55252156"/>
      <w:r>
        <w:rPr>
          <w:rFonts w:hint="eastAsia"/>
        </w:rPr>
        <w:t>4</w:t>
      </w:r>
      <w:r>
        <w:t xml:space="preserve">.8.4 </w:t>
      </w:r>
      <w:r>
        <w:rPr>
          <w:rFonts w:hint="eastAsia"/>
        </w:rPr>
        <w:t>百分位排名统计方法</w:t>
      </w:r>
      <w:bookmarkEnd w:id="29"/>
    </w:p>
    <w:p w14:paraId="69636DD2">
      <w:pPr>
        <w:ind w:firstLine="420" w:firstLineChars="200"/>
        <w:rPr>
          <w:rFonts w:hAnsi="宋体"/>
        </w:rPr>
      </w:pPr>
      <w:r>
        <w:rPr>
          <w:rFonts w:hint="eastAsia" w:hAnsi="宋体"/>
        </w:rPr>
        <w:t>序数排名为i的点位或属地，其百分位排名式(</w:t>
      </w:r>
      <w:r>
        <w:rPr>
          <w:rFonts w:hAnsi="宋体"/>
        </w:rPr>
        <w:t>A.1)</w:t>
      </w:r>
      <w:r>
        <w:rPr>
          <w:rFonts w:hint="eastAsia" w:hAnsi="宋体"/>
        </w:rPr>
        <w:t>计算</w:t>
      </w:r>
    </w:p>
    <w:p w14:paraId="53E7BA9B">
      <w:pPr>
        <w:ind w:firstLine="420" w:firstLineChars="200"/>
        <w:jc w:val="right"/>
        <w:rPr>
          <w:rFonts w:hAnsi="宋体"/>
        </w:rPr>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=99×</m:t>
        </m:r>
        <m:f>
          <m:fPr>
            <m:ctrlPr>
              <w:rPr>
                <w:rFonts w:ascii="Cambria Math" w:hAnsi="Cambria Math" w:eastAsia="等线" w:cs="Times New Roman"/>
                <w:i/>
              </w:rPr>
            </m:ctrlPr>
          </m:fPr>
          <m:num>
            <m:r>
              <m:rPr/>
              <w:rPr>
                <w:rFonts w:ascii="Cambria Math" w:hAnsi="Cambria Math"/>
              </w:rPr>
              <m:t>i−1</m:t>
            </m:r>
            <m:ctrlPr>
              <w:rPr>
                <w:rFonts w:ascii="Cambria Math" w:hAnsi="Cambria Math" w:eastAsia="等线" w:cs="Times New Roman"/>
                <w:i/>
              </w:rPr>
            </m:ctrlPr>
          </m:num>
          <m:den>
            <m:r>
              <m:rPr/>
              <w:rPr>
                <w:rFonts w:ascii="Cambria Math" w:hAnsi="Cambria Math"/>
              </w:rPr>
              <m:t>n−1</m:t>
            </m:r>
            <m:ctrlPr>
              <w:rPr>
                <w:rFonts w:ascii="Cambria Math" w:hAnsi="Cambria Math" w:eastAsia="等线" w:cs="Times New Roman"/>
                <w:i/>
              </w:rPr>
            </m:ctrlPr>
          </m:den>
        </m:f>
        <m:r>
          <m:rPr/>
          <w:rPr>
            <w:rFonts w:ascii="Cambria Math" w:hAnsi="Cambria Math"/>
          </w:rPr>
          <m:t>+1</m:t>
        </m:r>
      </m:oMath>
      <w:r>
        <w:rPr>
          <w:rFonts w:hint="eastAsia" w:hAnsi="宋体"/>
        </w:rPr>
        <w:t xml:space="preserve"> </w:t>
      </w:r>
      <w:r>
        <w:rPr>
          <w:rFonts w:hAnsi="宋体"/>
        </w:rPr>
        <w:t xml:space="preserve">                        </w:t>
      </w:r>
      <w:r>
        <w:rPr>
          <w:rFonts w:hint="eastAsia" w:hAnsi="宋体"/>
        </w:rPr>
        <w:t>（A</w:t>
      </w:r>
      <w:r>
        <w:rPr>
          <w:rFonts w:hAnsi="宋体"/>
        </w:rPr>
        <w:t>.1</w:t>
      </w:r>
      <w:r>
        <w:rPr>
          <w:rFonts w:hint="eastAsia" w:hAnsi="宋体"/>
        </w:rPr>
        <w:t>）</w:t>
      </w:r>
    </w:p>
    <w:p w14:paraId="7920F9C0">
      <w:pPr>
        <w:ind w:firstLine="420" w:firstLineChars="200"/>
        <w:rPr>
          <w:rFonts w:hAnsi="宋体"/>
        </w:rPr>
      </w:pPr>
      <w:r>
        <w:rPr>
          <w:rFonts w:hint="eastAsia" w:hAnsi="宋体"/>
        </w:rPr>
        <w:t>式中：</w:t>
      </w:r>
      <w:r>
        <w:rPr>
          <w:rFonts w:ascii="Cambria Math" w:hAnsi="Cambria Math"/>
        </w:rPr>
        <w:t>P</w:t>
      </w:r>
      <w:r>
        <w:rPr>
          <w:rFonts w:ascii="Cambria Math" w:hAnsi="Cambria Math"/>
          <w:vertAlign w:val="subscript"/>
        </w:rPr>
        <w:t>i</w:t>
      </w:r>
      <w:r>
        <w:rPr>
          <w:vertAlign w:val="subscript"/>
        </w:rPr>
        <w:t xml:space="preserve"> </w:t>
      </w:r>
      <w:r>
        <w:t>——</w:t>
      </w:r>
      <w:r>
        <w:rPr>
          <w:rFonts w:hint="eastAsia" w:hAnsi="宋体"/>
        </w:rPr>
        <w:t>序数排名为i的点位或属地的百分位排名;</w:t>
      </w:r>
    </w:p>
    <w:p w14:paraId="3F0F7DCC">
      <w:pPr>
        <w:ind w:firstLine="420" w:firstLineChars="200"/>
        <w:rPr>
          <w:rFonts w:hAnsi="宋体"/>
        </w:rPr>
      </w:pPr>
      <w:r>
        <w:rPr>
          <w:rFonts w:hint="eastAsia" w:hAnsi="宋体"/>
        </w:rPr>
        <w:t xml:space="preserve"> </w:t>
      </w:r>
      <w:r>
        <w:rPr>
          <w:rFonts w:hAnsi="宋体"/>
        </w:rPr>
        <w:t xml:space="preserve">    </w:t>
      </w:r>
      <w:r>
        <w:t xml:space="preserve"> </w:t>
      </w:r>
      <w:r>
        <w:rPr>
          <w:rFonts w:ascii="Cambria Math" w:hAnsi="Cambria Math"/>
        </w:rPr>
        <w:t>n</w:t>
      </w:r>
      <w:r>
        <w:t xml:space="preserve"> ——</w:t>
      </w:r>
      <w:r>
        <w:rPr>
          <w:rFonts w:hint="eastAsia" w:hAnsi="宋体"/>
        </w:rPr>
        <w:t>参与排名的点位或属地的总数量（n&gt;</w:t>
      </w:r>
      <w:r>
        <w:rPr>
          <w:rFonts w:hAnsi="宋体"/>
        </w:rPr>
        <w:t>1）</w:t>
      </w:r>
      <w:r>
        <w:rPr>
          <w:rFonts w:hint="eastAsia" w:hAnsi="宋体"/>
        </w:rPr>
        <w:t>。</w:t>
      </w:r>
    </w:p>
    <w:p w14:paraId="5E3E878A">
      <w:pPr>
        <w:ind w:firstLine="420" w:firstLineChars="200"/>
        <w:rPr>
          <w:rFonts w:hAnsi="宋体"/>
        </w:rPr>
      </w:pPr>
      <w:r>
        <w:rPr>
          <w:rFonts w:hint="eastAsia" w:hAnsi="宋体"/>
        </w:rPr>
        <w:t>上例中各乡镇街道的百分位排名（倒序）见表5：</w:t>
      </w:r>
    </w:p>
    <w:p w14:paraId="75E3B5DA">
      <w:pPr>
        <w:pStyle w:val="33"/>
        <w:numPr>
          <w:ilvl w:val="0"/>
          <w:numId w:val="0"/>
        </w:numPr>
        <w:spacing w:before="156" w:after="156"/>
        <w:ind w:left="567" w:hanging="567"/>
        <w:rPr>
          <w:rFonts w:ascii="宋体" w:hAnsi="宋体" w:eastAsia="宋体"/>
        </w:rPr>
      </w:pPr>
      <w:r>
        <w:rPr>
          <w:rFonts w:hint="eastAsia" w:ascii="宋体" w:hAnsi="宋体" w:eastAsia="宋体"/>
        </w:rPr>
        <w:t>表</w:t>
      </w:r>
      <w:r>
        <w:rPr>
          <w:rFonts w:ascii="Times New Roman" w:eastAsia="宋体"/>
        </w:rPr>
        <w:t>5</w:t>
      </w:r>
      <w:r>
        <w:rPr>
          <w:rFonts w:hint="eastAsia" w:ascii="宋体" w:hAnsi="宋体" w:eastAsia="宋体"/>
        </w:rPr>
        <w:t xml:space="preserve"> 门头沟区某月各乡镇（街道）</w:t>
      </w:r>
      <w:r>
        <w:rPr>
          <w:rFonts w:ascii="Times New Roman" w:eastAsia="宋体"/>
        </w:rPr>
        <w:t>PM</w:t>
      </w:r>
      <w:r>
        <w:rPr>
          <w:rFonts w:ascii="Times New Roman" w:eastAsia="宋体"/>
          <w:vertAlign w:val="subscript"/>
        </w:rPr>
        <w:t>2.5</w:t>
      </w:r>
      <w:r>
        <w:rPr>
          <w:rFonts w:hint="eastAsia" w:ascii="宋体" w:hAnsi="宋体" w:eastAsia="宋体"/>
        </w:rPr>
        <w:t>一般排名、序数排名和百分位排名结果（倒序）</w:t>
      </w:r>
    </w:p>
    <w:tbl>
      <w:tblPr>
        <w:tblStyle w:val="11"/>
        <w:tblW w:w="6880" w:type="dxa"/>
        <w:jc w:val="center"/>
        <w:tblLayout w:type="fixed"/>
        <w:tblCellMar>
          <w:top w:w="0" w:type="dxa"/>
          <w:left w:w="108" w:type="dxa"/>
          <w:bottom w:w="0" w:type="dxa"/>
          <w:right w:w="108" w:type="dxa"/>
        </w:tblCellMar>
      </w:tblPr>
      <w:tblGrid>
        <w:gridCol w:w="1400"/>
        <w:gridCol w:w="1880"/>
        <w:gridCol w:w="1240"/>
        <w:gridCol w:w="2360"/>
      </w:tblGrid>
      <w:tr w14:paraId="623708A8">
        <w:tblPrEx>
          <w:tblCellMar>
            <w:top w:w="0" w:type="dxa"/>
            <w:left w:w="108" w:type="dxa"/>
            <w:bottom w:w="0" w:type="dxa"/>
            <w:right w:w="108" w:type="dxa"/>
          </w:tblCellMar>
        </w:tblPrEx>
        <w:trPr>
          <w:trHeight w:val="570" w:hRule="atLeast"/>
          <w:jc w:val="center"/>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729763C">
            <w:pPr>
              <w:widowControl/>
              <w:spacing w:line="240" w:lineRule="auto"/>
              <w:jc w:val="center"/>
              <w:rPr>
                <w:rFonts w:ascii="宋体" w:hAnsi="宋体" w:cs="宋体"/>
                <w:b/>
                <w:bCs/>
                <w:kern w:val="0"/>
                <w:szCs w:val="21"/>
              </w:rPr>
            </w:pPr>
            <w:r>
              <w:rPr>
                <w:rFonts w:hint="eastAsia" w:ascii="宋体" w:hAnsi="宋体" w:cs="宋体"/>
                <w:b/>
                <w:bCs/>
                <w:kern w:val="0"/>
                <w:szCs w:val="21"/>
              </w:rPr>
              <w:t>街乡镇</w:t>
            </w:r>
          </w:p>
        </w:tc>
        <w:tc>
          <w:tcPr>
            <w:tcW w:w="1880" w:type="dxa"/>
            <w:tcBorders>
              <w:top w:val="single" w:color="auto" w:sz="4" w:space="0"/>
              <w:left w:val="nil"/>
              <w:bottom w:val="single" w:color="auto" w:sz="4" w:space="0"/>
              <w:right w:val="single" w:color="auto" w:sz="4" w:space="0"/>
            </w:tcBorders>
            <w:shd w:val="clear" w:color="auto" w:fill="auto"/>
            <w:vAlign w:val="center"/>
          </w:tcPr>
          <w:p w14:paraId="24BA5414">
            <w:pPr>
              <w:widowControl/>
              <w:spacing w:line="240" w:lineRule="auto"/>
              <w:jc w:val="center"/>
              <w:rPr>
                <w:rFonts w:ascii="宋体" w:hAnsi="宋体" w:cs="宋体"/>
                <w:b/>
                <w:bCs/>
                <w:color w:val="000000"/>
                <w:kern w:val="0"/>
                <w:szCs w:val="21"/>
              </w:rPr>
            </w:pPr>
            <w:r>
              <w:rPr>
                <w:rFonts w:hint="eastAsia" w:ascii="宋体" w:hAnsi="宋体" w:cs="宋体"/>
                <w:b/>
                <w:bCs/>
                <w:color w:val="000000"/>
                <w:kern w:val="0"/>
                <w:szCs w:val="21"/>
              </w:rPr>
              <w:t>一般排名</w:t>
            </w:r>
            <w:r>
              <w:rPr>
                <w:rFonts w:hint="eastAsia" w:ascii="宋体" w:hAnsi="宋体" w:cs="宋体"/>
                <w:b/>
                <w:bCs/>
                <w:color w:val="000000"/>
                <w:kern w:val="0"/>
                <w:szCs w:val="21"/>
              </w:rPr>
              <w:br w:type="textWrapping"/>
            </w:r>
            <w:r>
              <w:rPr>
                <w:rFonts w:hint="eastAsia" w:ascii="宋体" w:hAnsi="宋体" w:cs="宋体"/>
                <w:b/>
                <w:bCs/>
                <w:color w:val="000000"/>
                <w:kern w:val="0"/>
                <w:szCs w:val="21"/>
              </w:rPr>
              <w:t>（倒序）</w:t>
            </w:r>
          </w:p>
        </w:tc>
        <w:tc>
          <w:tcPr>
            <w:tcW w:w="1240" w:type="dxa"/>
            <w:tcBorders>
              <w:top w:val="single" w:color="auto" w:sz="4" w:space="0"/>
              <w:left w:val="nil"/>
              <w:bottom w:val="single" w:color="auto" w:sz="4" w:space="0"/>
              <w:right w:val="single" w:color="auto" w:sz="4" w:space="0"/>
            </w:tcBorders>
            <w:shd w:val="clear" w:color="auto" w:fill="auto"/>
            <w:vAlign w:val="center"/>
          </w:tcPr>
          <w:p w14:paraId="5F185822">
            <w:pPr>
              <w:widowControl/>
              <w:spacing w:line="240" w:lineRule="auto"/>
              <w:jc w:val="center"/>
              <w:rPr>
                <w:rFonts w:ascii="宋体" w:hAnsi="宋体" w:cs="宋体"/>
                <w:b/>
                <w:bCs/>
                <w:color w:val="000000"/>
                <w:kern w:val="0"/>
                <w:szCs w:val="21"/>
              </w:rPr>
            </w:pPr>
            <w:r>
              <w:rPr>
                <w:rFonts w:hint="eastAsia" w:ascii="宋体" w:hAnsi="宋体" w:cs="宋体"/>
                <w:b/>
                <w:bCs/>
                <w:color w:val="000000"/>
                <w:kern w:val="0"/>
                <w:szCs w:val="21"/>
              </w:rPr>
              <w:t>序数排名</w:t>
            </w:r>
            <w:r>
              <w:rPr>
                <w:rFonts w:hint="eastAsia" w:ascii="宋体" w:hAnsi="宋体" w:cs="宋体"/>
                <w:b/>
                <w:bCs/>
                <w:color w:val="000000"/>
                <w:kern w:val="0"/>
                <w:szCs w:val="21"/>
              </w:rPr>
              <w:br w:type="textWrapping"/>
            </w:r>
            <w:r>
              <w:rPr>
                <w:rFonts w:hint="eastAsia" w:ascii="宋体" w:hAnsi="宋体" w:cs="宋体"/>
                <w:b/>
                <w:bCs/>
                <w:color w:val="000000"/>
                <w:kern w:val="0"/>
                <w:szCs w:val="21"/>
              </w:rPr>
              <w:t>（倒序）</w:t>
            </w:r>
          </w:p>
        </w:tc>
        <w:tc>
          <w:tcPr>
            <w:tcW w:w="2360" w:type="dxa"/>
            <w:tcBorders>
              <w:top w:val="single" w:color="auto" w:sz="4" w:space="0"/>
              <w:left w:val="nil"/>
              <w:bottom w:val="single" w:color="auto" w:sz="4" w:space="0"/>
              <w:right w:val="single" w:color="auto" w:sz="4" w:space="0"/>
            </w:tcBorders>
            <w:shd w:val="clear" w:color="auto" w:fill="auto"/>
            <w:vAlign w:val="center"/>
          </w:tcPr>
          <w:p w14:paraId="44666A54">
            <w:pPr>
              <w:widowControl/>
              <w:spacing w:line="240" w:lineRule="auto"/>
              <w:jc w:val="center"/>
              <w:rPr>
                <w:rFonts w:ascii="宋体" w:hAnsi="宋体" w:cs="宋体"/>
                <w:b/>
                <w:bCs/>
                <w:color w:val="000000"/>
                <w:kern w:val="0"/>
                <w:szCs w:val="21"/>
              </w:rPr>
            </w:pPr>
            <w:r>
              <w:rPr>
                <w:rFonts w:hint="eastAsia" w:ascii="宋体" w:hAnsi="宋体" w:cs="宋体"/>
                <w:b/>
                <w:bCs/>
                <w:color w:val="000000"/>
                <w:kern w:val="0"/>
                <w:szCs w:val="21"/>
              </w:rPr>
              <w:t>百分位排名</w:t>
            </w:r>
            <w:r>
              <w:rPr>
                <w:rFonts w:hint="eastAsia" w:ascii="宋体" w:hAnsi="宋体" w:cs="宋体"/>
                <w:b/>
                <w:bCs/>
                <w:color w:val="000000"/>
                <w:kern w:val="0"/>
                <w:szCs w:val="21"/>
              </w:rPr>
              <w:br w:type="textWrapping"/>
            </w:r>
            <w:r>
              <w:rPr>
                <w:rFonts w:hint="eastAsia" w:ascii="宋体" w:hAnsi="宋体" w:cs="宋体"/>
                <w:b/>
                <w:bCs/>
                <w:color w:val="000000"/>
                <w:kern w:val="0"/>
                <w:szCs w:val="21"/>
              </w:rPr>
              <w:t>（倒序）</w:t>
            </w:r>
          </w:p>
        </w:tc>
      </w:tr>
      <w:tr w14:paraId="5EEC9C1A">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6FFDB7CB">
            <w:pPr>
              <w:widowControl/>
              <w:spacing w:line="240" w:lineRule="auto"/>
              <w:jc w:val="center"/>
              <w:rPr>
                <w:rFonts w:ascii="宋体" w:hAnsi="宋体" w:cs="宋体"/>
                <w:kern w:val="0"/>
                <w:szCs w:val="21"/>
              </w:rPr>
            </w:pPr>
            <w:r>
              <w:rPr>
                <w:rFonts w:hint="eastAsia" w:ascii="宋体" w:hAnsi="宋体" w:cs="宋体"/>
                <w:kern w:val="0"/>
                <w:szCs w:val="21"/>
              </w:rPr>
              <w:t>城子街道</w:t>
            </w:r>
          </w:p>
        </w:tc>
        <w:tc>
          <w:tcPr>
            <w:tcW w:w="1880" w:type="dxa"/>
            <w:tcBorders>
              <w:top w:val="nil"/>
              <w:left w:val="nil"/>
              <w:bottom w:val="single" w:color="auto" w:sz="4" w:space="0"/>
              <w:right w:val="single" w:color="auto" w:sz="4" w:space="0"/>
            </w:tcBorders>
            <w:shd w:val="clear" w:color="auto" w:fill="auto"/>
            <w:vAlign w:val="center"/>
          </w:tcPr>
          <w:p w14:paraId="1C0BBD07">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w:t>
            </w:r>
          </w:p>
        </w:tc>
        <w:tc>
          <w:tcPr>
            <w:tcW w:w="1240" w:type="dxa"/>
            <w:tcBorders>
              <w:top w:val="nil"/>
              <w:left w:val="nil"/>
              <w:bottom w:val="single" w:color="auto" w:sz="4" w:space="0"/>
              <w:right w:val="single" w:color="auto" w:sz="4" w:space="0"/>
            </w:tcBorders>
            <w:shd w:val="clear" w:color="auto" w:fill="auto"/>
            <w:vAlign w:val="center"/>
          </w:tcPr>
          <w:p w14:paraId="0128ED4A">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w:t>
            </w:r>
          </w:p>
        </w:tc>
        <w:tc>
          <w:tcPr>
            <w:tcW w:w="2360" w:type="dxa"/>
            <w:tcBorders>
              <w:top w:val="nil"/>
              <w:left w:val="nil"/>
              <w:bottom w:val="single" w:color="auto" w:sz="4" w:space="0"/>
              <w:right w:val="single" w:color="auto" w:sz="4" w:space="0"/>
            </w:tcBorders>
            <w:shd w:val="clear" w:color="auto" w:fill="auto"/>
            <w:vAlign w:val="bottom"/>
          </w:tcPr>
          <w:p w14:paraId="4FB87C2A">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w:t>
            </w:r>
          </w:p>
        </w:tc>
      </w:tr>
      <w:tr w14:paraId="5FEA9452">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29BEFC90">
            <w:pPr>
              <w:widowControl/>
              <w:spacing w:line="240" w:lineRule="auto"/>
              <w:jc w:val="center"/>
              <w:rPr>
                <w:rFonts w:ascii="宋体" w:hAnsi="宋体" w:cs="宋体"/>
                <w:kern w:val="0"/>
                <w:szCs w:val="21"/>
              </w:rPr>
            </w:pPr>
            <w:r>
              <w:rPr>
                <w:rFonts w:hint="eastAsia" w:ascii="宋体" w:hAnsi="宋体" w:cs="宋体"/>
                <w:kern w:val="0"/>
                <w:szCs w:val="21"/>
              </w:rPr>
              <w:t>永定镇</w:t>
            </w:r>
          </w:p>
        </w:tc>
        <w:tc>
          <w:tcPr>
            <w:tcW w:w="1880" w:type="dxa"/>
            <w:tcBorders>
              <w:top w:val="nil"/>
              <w:left w:val="nil"/>
              <w:bottom w:val="single" w:color="auto" w:sz="4" w:space="0"/>
              <w:right w:val="single" w:color="auto" w:sz="4" w:space="0"/>
            </w:tcBorders>
            <w:shd w:val="clear" w:color="auto" w:fill="auto"/>
            <w:vAlign w:val="center"/>
          </w:tcPr>
          <w:p w14:paraId="16AFCB24">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1240" w:type="dxa"/>
            <w:tcBorders>
              <w:top w:val="nil"/>
              <w:left w:val="nil"/>
              <w:bottom w:val="single" w:color="auto" w:sz="4" w:space="0"/>
              <w:right w:val="single" w:color="auto" w:sz="4" w:space="0"/>
            </w:tcBorders>
            <w:shd w:val="clear" w:color="auto" w:fill="auto"/>
            <w:vAlign w:val="center"/>
          </w:tcPr>
          <w:p w14:paraId="1F4C5FFA">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2360" w:type="dxa"/>
            <w:tcBorders>
              <w:top w:val="nil"/>
              <w:left w:val="nil"/>
              <w:bottom w:val="single" w:color="auto" w:sz="4" w:space="0"/>
              <w:right w:val="single" w:color="auto" w:sz="4" w:space="0"/>
            </w:tcBorders>
            <w:shd w:val="clear" w:color="auto" w:fill="auto"/>
            <w:vAlign w:val="bottom"/>
          </w:tcPr>
          <w:p w14:paraId="4EE83125">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9</w:t>
            </w:r>
          </w:p>
        </w:tc>
      </w:tr>
      <w:tr w14:paraId="1849C926">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070D079D">
            <w:pPr>
              <w:widowControl/>
              <w:spacing w:line="240" w:lineRule="auto"/>
              <w:jc w:val="center"/>
              <w:rPr>
                <w:rFonts w:ascii="宋体" w:hAnsi="宋体" w:cs="宋体"/>
                <w:kern w:val="0"/>
                <w:szCs w:val="21"/>
              </w:rPr>
            </w:pPr>
            <w:r>
              <w:rPr>
                <w:rFonts w:hint="eastAsia" w:ascii="宋体" w:hAnsi="宋体" w:cs="宋体"/>
                <w:kern w:val="0"/>
                <w:szCs w:val="21"/>
              </w:rPr>
              <w:t>潭柘寺镇</w:t>
            </w:r>
          </w:p>
        </w:tc>
        <w:tc>
          <w:tcPr>
            <w:tcW w:w="1880" w:type="dxa"/>
            <w:tcBorders>
              <w:top w:val="nil"/>
              <w:left w:val="nil"/>
              <w:bottom w:val="single" w:color="auto" w:sz="4" w:space="0"/>
              <w:right w:val="single" w:color="auto" w:sz="4" w:space="0"/>
            </w:tcBorders>
            <w:shd w:val="clear" w:color="auto" w:fill="auto"/>
            <w:vAlign w:val="center"/>
          </w:tcPr>
          <w:p w14:paraId="4C027A32">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1240" w:type="dxa"/>
            <w:tcBorders>
              <w:top w:val="nil"/>
              <w:left w:val="nil"/>
              <w:bottom w:val="single" w:color="auto" w:sz="4" w:space="0"/>
              <w:right w:val="single" w:color="auto" w:sz="4" w:space="0"/>
            </w:tcBorders>
            <w:shd w:val="clear" w:color="auto" w:fill="auto"/>
            <w:vAlign w:val="center"/>
          </w:tcPr>
          <w:p w14:paraId="589B993F">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2360" w:type="dxa"/>
            <w:tcBorders>
              <w:top w:val="nil"/>
              <w:left w:val="nil"/>
              <w:bottom w:val="single" w:color="auto" w:sz="4" w:space="0"/>
              <w:right w:val="single" w:color="auto" w:sz="4" w:space="0"/>
            </w:tcBorders>
            <w:shd w:val="clear" w:color="auto" w:fill="auto"/>
            <w:vAlign w:val="bottom"/>
          </w:tcPr>
          <w:p w14:paraId="40AAA9A6">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18</w:t>
            </w:r>
          </w:p>
        </w:tc>
      </w:tr>
      <w:tr w14:paraId="23236B49">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398559AA">
            <w:pPr>
              <w:widowControl/>
              <w:spacing w:line="240" w:lineRule="auto"/>
              <w:jc w:val="center"/>
              <w:rPr>
                <w:rFonts w:ascii="宋体" w:hAnsi="宋体" w:cs="宋体"/>
                <w:kern w:val="0"/>
                <w:szCs w:val="21"/>
              </w:rPr>
            </w:pPr>
            <w:r>
              <w:rPr>
                <w:rFonts w:hint="eastAsia" w:ascii="宋体" w:hAnsi="宋体" w:cs="宋体"/>
                <w:kern w:val="0"/>
                <w:szCs w:val="21"/>
              </w:rPr>
              <w:t>龙泉镇</w:t>
            </w:r>
          </w:p>
        </w:tc>
        <w:tc>
          <w:tcPr>
            <w:tcW w:w="1880" w:type="dxa"/>
            <w:tcBorders>
              <w:top w:val="nil"/>
              <w:left w:val="nil"/>
              <w:bottom w:val="single" w:color="auto" w:sz="4" w:space="0"/>
              <w:right w:val="single" w:color="auto" w:sz="4" w:space="0"/>
            </w:tcBorders>
            <w:shd w:val="clear" w:color="auto" w:fill="auto"/>
            <w:vAlign w:val="center"/>
          </w:tcPr>
          <w:p w14:paraId="04686BDD">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1240" w:type="dxa"/>
            <w:tcBorders>
              <w:top w:val="nil"/>
              <w:left w:val="nil"/>
              <w:bottom w:val="single" w:color="auto" w:sz="4" w:space="0"/>
              <w:right w:val="single" w:color="auto" w:sz="4" w:space="0"/>
            </w:tcBorders>
            <w:shd w:val="clear" w:color="auto" w:fill="auto"/>
            <w:vAlign w:val="center"/>
          </w:tcPr>
          <w:p w14:paraId="688B6366">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2360" w:type="dxa"/>
            <w:tcBorders>
              <w:top w:val="nil"/>
              <w:left w:val="nil"/>
              <w:bottom w:val="single" w:color="auto" w:sz="4" w:space="0"/>
              <w:right w:val="single" w:color="auto" w:sz="4" w:space="0"/>
            </w:tcBorders>
            <w:shd w:val="clear" w:color="auto" w:fill="auto"/>
            <w:vAlign w:val="bottom"/>
          </w:tcPr>
          <w:p w14:paraId="6E84F745">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26</w:t>
            </w:r>
          </w:p>
        </w:tc>
      </w:tr>
      <w:tr w14:paraId="4231E409">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15B0E995">
            <w:pPr>
              <w:widowControl/>
              <w:spacing w:line="240" w:lineRule="auto"/>
              <w:jc w:val="center"/>
              <w:rPr>
                <w:rFonts w:ascii="宋体" w:hAnsi="宋体" w:cs="宋体"/>
                <w:kern w:val="0"/>
                <w:szCs w:val="21"/>
              </w:rPr>
            </w:pPr>
            <w:r>
              <w:rPr>
                <w:rFonts w:hint="eastAsia" w:ascii="宋体" w:hAnsi="宋体" w:cs="宋体"/>
                <w:kern w:val="0"/>
                <w:szCs w:val="21"/>
              </w:rPr>
              <w:t>东辛房街道</w:t>
            </w:r>
          </w:p>
        </w:tc>
        <w:tc>
          <w:tcPr>
            <w:tcW w:w="1880" w:type="dxa"/>
            <w:tcBorders>
              <w:top w:val="nil"/>
              <w:left w:val="nil"/>
              <w:bottom w:val="single" w:color="auto" w:sz="4" w:space="0"/>
              <w:right w:val="single" w:color="auto" w:sz="4" w:space="0"/>
            </w:tcBorders>
            <w:shd w:val="clear" w:color="auto" w:fill="auto"/>
            <w:vAlign w:val="center"/>
          </w:tcPr>
          <w:p w14:paraId="0371D7E4">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1240" w:type="dxa"/>
            <w:tcBorders>
              <w:top w:val="nil"/>
              <w:left w:val="nil"/>
              <w:bottom w:val="single" w:color="auto" w:sz="4" w:space="0"/>
              <w:right w:val="single" w:color="auto" w:sz="4" w:space="0"/>
            </w:tcBorders>
            <w:shd w:val="clear" w:color="auto" w:fill="auto"/>
            <w:vAlign w:val="center"/>
          </w:tcPr>
          <w:p w14:paraId="759AB378">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2360" w:type="dxa"/>
            <w:tcBorders>
              <w:top w:val="nil"/>
              <w:left w:val="nil"/>
              <w:bottom w:val="single" w:color="auto" w:sz="4" w:space="0"/>
              <w:right w:val="single" w:color="auto" w:sz="4" w:space="0"/>
            </w:tcBorders>
            <w:shd w:val="clear" w:color="auto" w:fill="auto"/>
            <w:vAlign w:val="bottom"/>
          </w:tcPr>
          <w:p w14:paraId="2E1DEA3C">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34</w:t>
            </w:r>
          </w:p>
        </w:tc>
      </w:tr>
      <w:tr w14:paraId="174A2D3C">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48BF9838">
            <w:pPr>
              <w:widowControl/>
              <w:spacing w:line="240" w:lineRule="auto"/>
              <w:jc w:val="center"/>
              <w:rPr>
                <w:rFonts w:ascii="宋体" w:hAnsi="宋体" w:cs="宋体"/>
                <w:kern w:val="0"/>
                <w:szCs w:val="21"/>
              </w:rPr>
            </w:pPr>
            <w:r>
              <w:rPr>
                <w:rFonts w:hint="eastAsia" w:ascii="宋体" w:hAnsi="宋体" w:cs="宋体"/>
                <w:kern w:val="0"/>
                <w:szCs w:val="21"/>
              </w:rPr>
              <w:t>大峪街道</w:t>
            </w:r>
          </w:p>
        </w:tc>
        <w:tc>
          <w:tcPr>
            <w:tcW w:w="1880" w:type="dxa"/>
            <w:tcBorders>
              <w:top w:val="nil"/>
              <w:left w:val="nil"/>
              <w:bottom w:val="single" w:color="auto" w:sz="4" w:space="0"/>
              <w:right w:val="single" w:color="auto" w:sz="4" w:space="0"/>
            </w:tcBorders>
            <w:shd w:val="clear" w:color="auto" w:fill="auto"/>
            <w:vAlign w:val="center"/>
          </w:tcPr>
          <w:p w14:paraId="3691DBBE">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1240" w:type="dxa"/>
            <w:tcBorders>
              <w:top w:val="nil"/>
              <w:left w:val="nil"/>
              <w:bottom w:val="single" w:color="auto" w:sz="4" w:space="0"/>
              <w:right w:val="single" w:color="auto" w:sz="4" w:space="0"/>
            </w:tcBorders>
            <w:shd w:val="clear" w:color="auto" w:fill="auto"/>
            <w:vAlign w:val="center"/>
          </w:tcPr>
          <w:p w14:paraId="7BF8221C">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6</w:t>
            </w:r>
          </w:p>
        </w:tc>
        <w:tc>
          <w:tcPr>
            <w:tcW w:w="2360" w:type="dxa"/>
            <w:tcBorders>
              <w:top w:val="nil"/>
              <w:left w:val="nil"/>
              <w:bottom w:val="single" w:color="auto" w:sz="4" w:space="0"/>
              <w:right w:val="single" w:color="auto" w:sz="4" w:space="0"/>
            </w:tcBorders>
            <w:shd w:val="clear" w:color="auto" w:fill="auto"/>
            <w:vAlign w:val="bottom"/>
          </w:tcPr>
          <w:p w14:paraId="3BFF8882">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42</w:t>
            </w:r>
          </w:p>
        </w:tc>
      </w:tr>
      <w:tr w14:paraId="5EC1BC5F">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22418E24">
            <w:pPr>
              <w:widowControl/>
              <w:spacing w:line="240" w:lineRule="auto"/>
              <w:jc w:val="center"/>
              <w:rPr>
                <w:rFonts w:ascii="宋体" w:hAnsi="宋体" w:cs="宋体"/>
                <w:kern w:val="0"/>
                <w:szCs w:val="21"/>
              </w:rPr>
            </w:pPr>
            <w:r>
              <w:rPr>
                <w:rFonts w:hint="eastAsia" w:ascii="宋体" w:hAnsi="宋体" w:cs="宋体"/>
                <w:kern w:val="0"/>
                <w:szCs w:val="21"/>
              </w:rPr>
              <w:t>军庄镇</w:t>
            </w:r>
          </w:p>
        </w:tc>
        <w:tc>
          <w:tcPr>
            <w:tcW w:w="1880" w:type="dxa"/>
            <w:tcBorders>
              <w:top w:val="nil"/>
              <w:left w:val="nil"/>
              <w:bottom w:val="single" w:color="auto" w:sz="4" w:space="0"/>
              <w:right w:val="single" w:color="auto" w:sz="4" w:space="0"/>
            </w:tcBorders>
            <w:shd w:val="clear" w:color="auto" w:fill="auto"/>
            <w:vAlign w:val="center"/>
          </w:tcPr>
          <w:p w14:paraId="1E9ADC43">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1240" w:type="dxa"/>
            <w:tcBorders>
              <w:top w:val="nil"/>
              <w:left w:val="nil"/>
              <w:bottom w:val="single" w:color="auto" w:sz="4" w:space="0"/>
              <w:right w:val="single" w:color="auto" w:sz="4" w:space="0"/>
            </w:tcBorders>
            <w:shd w:val="clear" w:color="auto" w:fill="auto"/>
            <w:vAlign w:val="center"/>
          </w:tcPr>
          <w:p w14:paraId="3B561066">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2360" w:type="dxa"/>
            <w:tcBorders>
              <w:top w:val="nil"/>
              <w:left w:val="nil"/>
              <w:bottom w:val="single" w:color="auto" w:sz="4" w:space="0"/>
              <w:right w:val="single" w:color="auto" w:sz="4" w:space="0"/>
            </w:tcBorders>
            <w:shd w:val="clear" w:color="auto" w:fill="auto"/>
            <w:vAlign w:val="bottom"/>
          </w:tcPr>
          <w:p w14:paraId="66AC8A4B">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51</w:t>
            </w:r>
          </w:p>
        </w:tc>
      </w:tr>
      <w:tr w14:paraId="530F70F6">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56C3971D">
            <w:pPr>
              <w:widowControl/>
              <w:spacing w:line="240" w:lineRule="auto"/>
              <w:jc w:val="center"/>
              <w:rPr>
                <w:rFonts w:ascii="宋体" w:hAnsi="宋体" w:cs="宋体"/>
                <w:kern w:val="0"/>
                <w:szCs w:val="21"/>
              </w:rPr>
            </w:pPr>
            <w:r>
              <w:rPr>
                <w:rFonts w:hint="eastAsia" w:ascii="宋体" w:hAnsi="宋体" w:cs="宋体"/>
                <w:kern w:val="0"/>
                <w:szCs w:val="21"/>
              </w:rPr>
              <w:t>王平镇</w:t>
            </w:r>
          </w:p>
        </w:tc>
        <w:tc>
          <w:tcPr>
            <w:tcW w:w="1880" w:type="dxa"/>
            <w:tcBorders>
              <w:top w:val="nil"/>
              <w:left w:val="nil"/>
              <w:bottom w:val="single" w:color="auto" w:sz="4" w:space="0"/>
              <w:right w:val="single" w:color="auto" w:sz="4" w:space="0"/>
            </w:tcBorders>
            <w:shd w:val="clear" w:color="auto" w:fill="auto"/>
            <w:vAlign w:val="center"/>
          </w:tcPr>
          <w:p w14:paraId="56FE394C">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8</w:t>
            </w:r>
          </w:p>
        </w:tc>
        <w:tc>
          <w:tcPr>
            <w:tcW w:w="1240" w:type="dxa"/>
            <w:tcBorders>
              <w:top w:val="nil"/>
              <w:left w:val="nil"/>
              <w:bottom w:val="single" w:color="auto" w:sz="4" w:space="0"/>
              <w:right w:val="single" w:color="auto" w:sz="4" w:space="0"/>
            </w:tcBorders>
            <w:shd w:val="clear" w:color="auto" w:fill="auto"/>
            <w:vAlign w:val="center"/>
          </w:tcPr>
          <w:p w14:paraId="7E1CEEB5">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8</w:t>
            </w:r>
          </w:p>
        </w:tc>
        <w:tc>
          <w:tcPr>
            <w:tcW w:w="2360" w:type="dxa"/>
            <w:tcBorders>
              <w:top w:val="nil"/>
              <w:left w:val="nil"/>
              <w:bottom w:val="single" w:color="auto" w:sz="4" w:space="0"/>
              <w:right w:val="single" w:color="auto" w:sz="4" w:space="0"/>
            </w:tcBorders>
            <w:shd w:val="clear" w:color="auto" w:fill="auto"/>
            <w:vAlign w:val="bottom"/>
          </w:tcPr>
          <w:p w14:paraId="311AE779">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59</w:t>
            </w:r>
          </w:p>
        </w:tc>
      </w:tr>
      <w:tr w14:paraId="36E41396">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00A2452D">
            <w:pPr>
              <w:widowControl/>
              <w:spacing w:line="240" w:lineRule="auto"/>
              <w:jc w:val="center"/>
              <w:rPr>
                <w:rFonts w:ascii="宋体" w:hAnsi="宋体" w:cs="宋体"/>
                <w:kern w:val="0"/>
                <w:szCs w:val="21"/>
              </w:rPr>
            </w:pPr>
            <w:r>
              <w:rPr>
                <w:rFonts w:hint="eastAsia" w:ascii="宋体" w:hAnsi="宋体" w:cs="宋体"/>
                <w:kern w:val="0"/>
                <w:szCs w:val="21"/>
              </w:rPr>
              <w:t>妙峰山镇</w:t>
            </w:r>
          </w:p>
        </w:tc>
        <w:tc>
          <w:tcPr>
            <w:tcW w:w="1880" w:type="dxa"/>
            <w:tcBorders>
              <w:top w:val="nil"/>
              <w:left w:val="nil"/>
              <w:bottom w:val="single" w:color="auto" w:sz="4" w:space="0"/>
              <w:right w:val="single" w:color="auto" w:sz="4" w:space="0"/>
            </w:tcBorders>
            <w:shd w:val="clear" w:color="auto" w:fill="auto"/>
            <w:vAlign w:val="center"/>
          </w:tcPr>
          <w:p w14:paraId="00256BA0">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9</w:t>
            </w:r>
          </w:p>
        </w:tc>
        <w:tc>
          <w:tcPr>
            <w:tcW w:w="1240" w:type="dxa"/>
            <w:tcBorders>
              <w:top w:val="nil"/>
              <w:left w:val="nil"/>
              <w:bottom w:val="single" w:color="auto" w:sz="4" w:space="0"/>
              <w:right w:val="single" w:color="auto" w:sz="4" w:space="0"/>
            </w:tcBorders>
            <w:shd w:val="clear" w:color="auto" w:fill="auto"/>
            <w:vAlign w:val="center"/>
          </w:tcPr>
          <w:p w14:paraId="0DDB9156">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9</w:t>
            </w:r>
          </w:p>
        </w:tc>
        <w:tc>
          <w:tcPr>
            <w:tcW w:w="2360" w:type="dxa"/>
            <w:tcBorders>
              <w:top w:val="nil"/>
              <w:left w:val="nil"/>
              <w:bottom w:val="single" w:color="auto" w:sz="4" w:space="0"/>
              <w:right w:val="single" w:color="auto" w:sz="4" w:space="0"/>
            </w:tcBorders>
            <w:shd w:val="clear" w:color="auto" w:fill="auto"/>
            <w:vAlign w:val="bottom"/>
          </w:tcPr>
          <w:p w14:paraId="5A1E2CBF">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67</w:t>
            </w:r>
          </w:p>
        </w:tc>
      </w:tr>
      <w:tr w14:paraId="4575632E">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79B6474B">
            <w:pPr>
              <w:widowControl/>
              <w:spacing w:line="240" w:lineRule="auto"/>
              <w:jc w:val="center"/>
              <w:rPr>
                <w:rFonts w:ascii="宋体" w:hAnsi="宋体" w:cs="宋体"/>
                <w:kern w:val="0"/>
                <w:szCs w:val="21"/>
              </w:rPr>
            </w:pPr>
            <w:r>
              <w:rPr>
                <w:rFonts w:hint="eastAsia" w:ascii="宋体" w:hAnsi="宋体" w:cs="宋体"/>
                <w:kern w:val="0"/>
                <w:szCs w:val="21"/>
              </w:rPr>
              <w:t>大台街道</w:t>
            </w:r>
          </w:p>
        </w:tc>
        <w:tc>
          <w:tcPr>
            <w:tcW w:w="1880" w:type="dxa"/>
            <w:tcBorders>
              <w:top w:val="nil"/>
              <w:left w:val="nil"/>
              <w:bottom w:val="single" w:color="auto" w:sz="4" w:space="0"/>
              <w:right w:val="single" w:color="auto" w:sz="4" w:space="0"/>
            </w:tcBorders>
            <w:shd w:val="clear" w:color="auto" w:fill="auto"/>
            <w:vAlign w:val="center"/>
          </w:tcPr>
          <w:p w14:paraId="05BF722C">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1240" w:type="dxa"/>
            <w:tcBorders>
              <w:top w:val="nil"/>
              <w:left w:val="nil"/>
              <w:bottom w:val="single" w:color="auto" w:sz="4" w:space="0"/>
              <w:right w:val="single" w:color="auto" w:sz="4" w:space="0"/>
            </w:tcBorders>
            <w:shd w:val="clear" w:color="auto" w:fill="auto"/>
            <w:vAlign w:val="center"/>
          </w:tcPr>
          <w:p w14:paraId="73CA1FF0">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2360" w:type="dxa"/>
            <w:tcBorders>
              <w:top w:val="nil"/>
              <w:left w:val="nil"/>
              <w:bottom w:val="single" w:color="auto" w:sz="4" w:space="0"/>
              <w:right w:val="single" w:color="auto" w:sz="4" w:space="0"/>
            </w:tcBorders>
            <w:shd w:val="clear" w:color="auto" w:fill="auto"/>
            <w:vAlign w:val="bottom"/>
          </w:tcPr>
          <w:p w14:paraId="17256243">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75</w:t>
            </w:r>
          </w:p>
        </w:tc>
      </w:tr>
      <w:tr w14:paraId="5942D457">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1B24B226">
            <w:pPr>
              <w:widowControl/>
              <w:spacing w:line="240" w:lineRule="auto"/>
              <w:jc w:val="center"/>
              <w:rPr>
                <w:rFonts w:ascii="宋体" w:hAnsi="宋体" w:cs="宋体"/>
                <w:kern w:val="0"/>
                <w:szCs w:val="21"/>
              </w:rPr>
            </w:pPr>
            <w:r>
              <w:rPr>
                <w:rFonts w:hint="eastAsia" w:ascii="宋体" w:hAnsi="宋体" w:cs="宋体"/>
                <w:kern w:val="0"/>
                <w:szCs w:val="21"/>
              </w:rPr>
              <w:t>雁翅镇</w:t>
            </w:r>
          </w:p>
        </w:tc>
        <w:tc>
          <w:tcPr>
            <w:tcW w:w="1880" w:type="dxa"/>
            <w:tcBorders>
              <w:top w:val="nil"/>
              <w:left w:val="nil"/>
              <w:bottom w:val="single" w:color="auto" w:sz="4" w:space="0"/>
              <w:right w:val="single" w:color="auto" w:sz="4" w:space="0"/>
            </w:tcBorders>
            <w:shd w:val="clear" w:color="auto" w:fill="auto"/>
            <w:vAlign w:val="center"/>
          </w:tcPr>
          <w:p w14:paraId="741C3A2F">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11</w:t>
            </w:r>
          </w:p>
        </w:tc>
        <w:tc>
          <w:tcPr>
            <w:tcW w:w="1240" w:type="dxa"/>
            <w:tcBorders>
              <w:top w:val="nil"/>
              <w:left w:val="nil"/>
              <w:bottom w:val="single" w:color="auto" w:sz="4" w:space="0"/>
              <w:right w:val="single" w:color="auto" w:sz="4" w:space="0"/>
            </w:tcBorders>
            <w:shd w:val="clear" w:color="auto" w:fill="auto"/>
            <w:vAlign w:val="center"/>
          </w:tcPr>
          <w:p w14:paraId="21362066">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11</w:t>
            </w:r>
          </w:p>
        </w:tc>
        <w:tc>
          <w:tcPr>
            <w:tcW w:w="2360" w:type="dxa"/>
            <w:tcBorders>
              <w:top w:val="nil"/>
              <w:left w:val="nil"/>
              <w:bottom w:val="single" w:color="auto" w:sz="4" w:space="0"/>
              <w:right w:val="single" w:color="auto" w:sz="4" w:space="0"/>
            </w:tcBorders>
            <w:shd w:val="clear" w:color="auto" w:fill="auto"/>
            <w:vAlign w:val="bottom"/>
          </w:tcPr>
          <w:p w14:paraId="5AAC2781">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84</w:t>
            </w:r>
          </w:p>
        </w:tc>
      </w:tr>
      <w:tr w14:paraId="5CECBA25">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2D5E49F9">
            <w:pPr>
              <w:widowControl/>
              <w:spacing w:line="240" w:lineRule="auto"/>
              <w:jc w:val="center"/>
              <w:rPr>
                <w:rFonts w:ascii="宋体" w:hAnsi="宋体" w:cs="宋体"/>
                <w:kern w:val="0"/>
                <w:szCs w:val="21"/>
              </w:rPr>
            </w:pPr>
            <w:r>
              <w:rPr>
                <w:rFonts w:hint="eastAsia" w:ascii="宋体" w:hAnsi="宋体" w:cs="宋体"/>
                <w:kern w:val="0"/>
                <w:szCs w:val="21"/>
              </w:rPr>
              <w:t>斋堂镇</w:t>
            </w:r>
          </w:p>
        </w:tc>
        <w:tc>
          <w:tcPr>
            <w:tcW w:w="1880" w:type="dxa"/>
            <w:tcBorders>
              <w:top w:val="nil"/>
              <w:left w:val="nil"/>
              <w:bottom w:val="single" w:color="auto" w:sz="4" w:space="0"/>
              <w:right w:val="single" w:color="auto" w:sz="4" w:space="0"/>
            </w:tcBorders>
            <w:shd w:val="clear" w:color="auto" w:fill="auto"/>
            <w:vAlign w:val="center"/>
          </w:tcPr>
          <w:p w14:paraId="2E52F2AC">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1240" w:type="dxa"/>
            <w:tcBorders>
              <w:top w:val="nil"/>
              <w:left w:val="nil"/>
              <w:bottom w:val="single" w:color="auto" w:sz="4" w:space="0"/>
              <w:right w:val="single" w:color="auto" w:sz="4" w:space="0"/>
            </w:tcBorders>
            <w:shd w:val="clear" w:color="auto" w:fill="auto"/>
            <w:vAlign w:val="center"/>
          </w:tcPr>
          <w:p w14:paraId="7C809DC9">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2360" w:type="dxa"/>
            <w:tcBorders>
              <w:top w:val="nil"/>
              <w:left w:val="nil"/>
              <w:bottom w:val="single" w:color="auto" w:sz="4" w:space="0"/>
              <w:right w:val="single" w:color="auto" w:sz="4" w:space="0"/>
            </w:tcBorders>
            <w:shd w:val="clear" w:color="auto" w:fill="auto"/>
            <w:vAlign w:val="bottom"/>
          </w:tcPr>
          <w:p w14:paraId="40F0E448">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92</w:t>
            </w:r>
          </w:p>
        </w:tc>
      </w:tr>
      <w:tr w14:paraId="26E5F08D">
        <w:tblPrEx>
          <w:tblCellMar>
            <w:top w:w="0" w:type="dxa"/>
            <w:left w:w="108" w:type="dxa"/>
            <w:bottom w:w="0" w:type="dxa"/>
            <w:right w:w="108" w:type="dxa"/>
          </w:tblCellMar>
        </w:tblPrEx>
        <w:trPr>
          <w:trHeight w:val="285" w:hRule="atLeast"/>
          <w:jc w:val="center"/>
        </w:trPr>
        <w:tc>
          <w:tcPr>
            <w:tcW w:w="1400" w:type="dxa"/>
            <w:tcBorders>
              <w:top w:val="nil"/>
              <w:left w:val="single" w:color="auto" w:sz="4" w:space="0"/>
              <w:bottom w:val="single" w:color="auto" w:sz="4" w:space="0"/>
              <w:right w:val="single" w:color="auto" w:sz="4" w:space="0"/>
            </w:tcBorders>
            <w:shd w:val="clear" w:color="auto" w:fill="auto"/>
            <w:vAlign w:val="center"/>
          </w:tcPr>
          <w:p w14:paraId="7FDD091A">
            <w:pPr>
              <w:widowControl/>
              <w:spacing w:line="240" w:lineRule="auto"/>
              <w:jc w:val="center"/>
              <w:rPr>
                <w:rFonts w:ascii="宋体" w:hAnsi="宋体" w:cs="宋体"/>
                <w:kern w:val="0"/>
                <w:szCs w:val="21"/>
              </w:rPr>
            </w:pPr>
            <w:r>
              <w:rPr>
                <w:rFonts w:hint="eastAsia" w:ascii="宋体" w:hAnsi="宋体" w:cs="宋体"/>
                <w:kern w:val="0"/>
                <w:szCs w:val="21"/>
              </w:rPr>
              <w:t>清水镇</w:t>
            </w:r>
          </w:p>
        </w:tc>
        <w:tc>
          <w:tcPr>
            <w:tcW w:w="1880" w:type="dxa"/>
            <w:tcBorders>
              <w:top w:val="nil"/>
              <w:left w:val="nil"/>
              <w:bottom w:val="single" w:color="auto" w:sz="4" w:space="0"/>
              <w:right w:val="single" w:color="auto" w:sz="4" w:space="0"/>
            </w:tcBorders>
            <w:shd w:val="clear" w:color="auto" w:fill="auto"/>
            <w:vAlign w:val="center"/>
          </w:tcPr>
          <w:p w14:paraId="6B4597AF">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13</w:t>
            </w:r>
          </w:p>
        </w:tc>
        <w:tc>
          <w:tcPr>
            <w:tcW w:w="1240" w:type="dxa"/>
            <w:tcBorders>
              <w:top w:val="nil"/>
              <w:left w:val="nil"/>
              <w:bottom w:val="single" w:color="auto" w:sz="4" w:space="0"/>
              <w:right w:val="single" w:color="auto" w:sz="4" w:space="0"/>
            </w:tcBorders>
            <w:shd w:val="clear" w:color="auto" w:fill="auto"/>
            <w:vAlign w:val="center"/>
          </w:tcPr>
          <w:p w14:paraId="19FCF93A">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13</w:t>
            </w:r>
          </w:p>
        </w:tc>
        <w:tc>
          <w:tcPr>
            <w:tcW w:w="2360" w:type="dxa"/>
            <w:tcBorders>
              <w:top w:val="nil"/>
              <w:left w:val="nil"/>
              <w:bottom w:val="single" w:color="auto" w:sz="4" w:space="0"/>
              <w:right w:val="single" w:color="auto" w:sz="4" w:space="0"/>
            </w:tcBorders>
            <w:shd w:val="clear" w:color="auto" w:fill="auto"/>
            <w:vAlign w:val="bottom"/>
          </w:tcPr>
          <w:p w14:paraId="3A96CEDA">
            <w:pPr>
              <w:widowControl/>
              <w:spacing w:line="240" w:lineRule="auto"/>
              <w:jc w:val="center"/>
              <w:rPr>
                <w:rFonts w:ascii="宋体" w:hAnsi="宋体" w:cs="宋体"/>
                <w:color w:val="000000"/>
                <w:kern w:val="0"/>
                <w:szCs w:val="21"/>
              </w:rPr>
            </w:pPr>
            <w:r>
              <w:rPr>
                <w:rFonts w:hint="eastAsia" w:ascii="宋体" w:hAnsi="宋体" w:cs="宋体"/>
                <w:color w:val="000000"/>
                <w:kern w:val="0"/>
                <w:szCs w:val="21"/>
              </w:rPr>
              <w:t>100</w:t>
            </w:r>
          </w:p>
        </w:tc>
      </w:tr>
    </w:tbl>
    <w:p w14:paraId="14271B99">
      <w:pPr>
        <w:pStyle w:val="4"/>
        <w:ind w:left="0" w:leftChars="0"/>
      </w:pPr>
      <w:bookmarkStart w:id="30" w:name="_Toc55252157"/>
      <w:r>
        <w:rPr>
          <w:rFonts w:hint="eastAsia"/>
        </w:rPr>
        <w:t>4</w:t>
      </w:r>
      <w:r>
        <w:t>.8.5</w:t>
      </w:r>
      <w:r>
        <w:rPr>
          <w:rFonts w:hint="eastAsia"/>
        </w:rPr>
        <w:t>排名变化统计方法</w:t>
      </w:r>
      <w:bookmarkEnd w:id="30"/>
    </w:p>
    <w:p w14:paraId="33E7CD30">
      <w:pPr>
        <w:ind w:firstLine="420" w:firstLineChars="200"/>
        <w:rPr>
          <w:rFonts w:hAnsi="宋体"/>
        </w:rPr>
      </w:pPr>
      <w:r>
        <w:rPr>
          <w:rFonts w:hint="eastAsia" w:hAnsi="宋体"/>
        </w:rPr>
        <w:t>排名变化为一个点位或属地在相同所属区域的两个排名周期的排名结果差值。排名变化为正值时表示排名下降，排名变化为负值是表示排名上升，排名变化等于0时为排名无变化。排名变化统计适用于序数排名和百分位排名。上例中永定镇序数排名为第2位，在次月中序数排名为第4位，则该镇排名变化为下降2位，对应倒序排名为环境空气颗粒物水平改善。</w:t>
      </w:r>
    </w:p>
    <w:p w14:paraId="74430BCB">
      <w:pPr>
        <w:pStyle w:val="4"/>
        <w:ind w:left="0" w:leftChars="0"/>
      </w:pPr>
      <w:bookmarkStart w:id="31" w:name="_Toc55252158"/>
      <w:r>
        <w:rPr>
          <w:rFonts w:hint="eastAsia"/>
        </w:rPr>
        <w:t>4</w:t>
      </w:r>
      <w:r>
        <w:t>.8.6</w:t>
      </w:r>
      <w:r>
        <w:rPr>
          <w:rFonts w:hint="eastAsia"/>
        </w:rPr>
        <w:t>累计关注次数统计方法</w:t>
      </w:r>
      <w:bookmarkEnd w:id="31"/>
    </w:p>
    <w:p w14:paraId="1986820B">
      <w:pPr>
        <w:ind w:firstLine="420" w:firstLineChars="200"/>
        <w:rPr>
          <w:rFonts w:hAnsi="宋体"/>
        </w:rPr>
      </w:pPr>
      <w:r>
        <w:rPr>
          <w:rFonts w:hint="eastAsia" w:hAnsi="宋体"/>
        </w:rPr>
        <w:t>累计关注次数统计首先设定序数排名或百分位排名的关注区间，常用的关注区间如全市各评价项目的倒序前3</w:t>
      </w:r>
      <w:r>
        <w:rPr>
          <w:rFonts w:hAnsi="宋体"/>
        </w:rPr>
        <w:t>0</w:t>
      </w:r>
      <w:r>
        <w:rPr>
          <w:rFonts w:hint="eastAsia" w:hAnsi="宋体"/>
        </w:rPr>
        <w:t>位（后3</w:t>
      </w:r>
      <w:r>
        <w:rPr>
          <w:rFonts w:hAnsi="宋体"/>
        </w:rPr>
        <w:t>0</w:t>
      </w:r>
      <w:r>
        <w:rPr>
          <w:rFonts w:hint="eastAsia" w:hAnsi="宋体"/>
        </w:rPr>
        <w:t>名）街道乡镇。然后统计点位或属地在相同所属区域多个排名周期内排名处在关注范围的总次数。</w:t>
      </w:r>
    </w:p>
    <w:p w14:paraId="25BB1D4C">
      <w:pPr>
        <w:pStyle w:val="2"/>
      </w:pPr>
      <w:bookmarkStart w:id="32" w:name="_Toc55252159"/>
      <w:r>
        <w:rPr>
          <w:rFonts w:hint="eastAsia"/>
        </w:rPr>
        <w:t>5</w:t>
      </w:r>
      <w:r>
        <w:t xml:space="preserve"> </w:t>
      </w:r>
      <w:r>
        <w:rPr>
          <w:rFonts w:hint="eastAsia"/>
        </w:rPr>
        <w:t>专家论证和征求意见</w:t>
      </w:r>
      <w:bookmarkEnd w:id="32"/>
    </w:p>
    <w:p w14:paraId="0E9B4233">
      <w:pPr>
        <w:ind w:firstLine="640"/>
      </w:pPr>
    </w:p>
    <w:p w14:paraId="1EDC24BF">
      <w:pPr>
        <w:pStyle w:val="2"/>
      </w:pPr>
      <w:bookmarkStart w:id="33" w:name="_Toc55252160"/>
      <w:r>
        <w:rPr>
          <w:rFonts w:hint="eastAsia"/>
        </w:rPr>
        <w:t>6</w:t>
      </w:r>
      <w:r>
        <w:t xml:space="preserve"> </w:t>
      </w:r>
      <w:r>
        <w:rPr>
          <w:rFonts w:hint="eastAsia"/>
        </w:rPr>
        <w:t>标准实施建议</w:t>
      </w:r>
      <w:bookmarkEnd w:id="33"/>
    </w:p>
    <w:p w14:paraId="59EA0E25">
      <w:pPr>
        <w:ind w:firstLine="420" w:firstLineChars="200"/>
      </w:pPr>
      <w:r>
        <w:rPr>
          <w:rFonts w:hint="eastAsia"/>
        </w:rPr>
        <w:t>由于国内基于小型传感器监测技术的城市高密度网格化监测能力正处于建设初期，国际上尚无对等应用案例，进行达标统计测算所需要的监测数据量仍不够充分，网格化评价方法仍处在探索阶段，因此，拟将本标准暂定为试行。</w:t>
      </w:r>
    </w:p>
    <w:p w14:paraId="617FBC7F">
      <w:pPr>
        <w:ind w:firstLine="640"/>
      </w:pPr>
    </w:p>
    <w:p w14:paraId="0211DED7">
      <w:pPr>
        <w:widowControl/>
        <w:spacing w:line="240" w:lineRule="auto"/>
        <w:ind w:firstLine="640"/>
        <w:jc w:val="left"/>
        <w:rPr>
          <w:rFonts w:ascii="黑体" w:hAnsi="黑体" w:eastAsia="黑体"/>
          <w:sz w:val="32"/>
          <w:szCs w:val="36"/>
        </w:rPr>
      </w:pPr>
      <w:r>
        <w:rPr>
          <w:rFonts w:ascii="黑体" w:hAnsi="黑体" w:eastAsia="黑体"/>
          <w:sz w:val="32"/>
          <w:szCs w:val="36"/>
        </w:rPr>
        <w:br w:type="page"/>
      </w:r>
    </w:p>
    <w:p w14:paraId="5CC19544">
      <w:pPr>
        <w:widowControl/>
        <w:spacing w:line="240" w:lineRule="auto"/>
        <w:ind w:firstLine="640"/>
        <w:jc w:val="left"/>
        <w:rPr>
          <w:rFonts w:ascii="黑体" w:hAnsi="黑体" w:eastAsia="黑体"/>
          <w:sz w:val="32"/>
          <w:szCs w:val="36"/>
        </w:rPr>
      </w:pPr>
      <w:r>
        <w:rPr>
          <w:rFonts w:hint="eastAsia" w:ascii="黑体" w:hAnsi="黑体" w:eastAsia="黑体"/>
          <w:sz w:val="32"/>
          <w:szCs w:val="36"/>
        </w:rPr>
        <w:t>参考文献</w:t>
      </w:r>
    </w:p>
    <w:p w14:paraId="2B50170E">
      <w:pPr>
        <w:ind w:firstLine="360"/>
        <w:rPr>
          <w:sz w:val="18"/>
          <w:szCs w:val="20"/>
        </w:rPr>
      </w:pPr>
    </w:p>
    <w:p w14:paraId="3E29C50E">
      <w:pPr>
        <w:pStyle w:val="26"/>
        <w:numPr>
          <w:ilvl w:val="0"/>
          <w:numId w:val="3"/>
        </w:numPr>
        <w:ind w:firstLineChars="0"/>
        <w:rPr>
          <w:rFonts w:ascii="Times New Roman" w:hAnsi="Times New Roman"/>
          <w:sz w:val="21"/>
          <w:szCs w:val="21"/>
        </w:rPr>
      </w:pPr>
      <w:r>
        <w:rPr>
          <w:rFonts w:hint="eastAsia" w:ascii="Times New Roman" w:hAnsi="Times New Roman"/>
          <w:sz w:val="21"/>
          <w:szCs w:val="21"/>
        </w:rPr>
        <w:t>《环境空气质量标准》（GB3095-2012）及编制说明</w:t>
      </w:r>
    </w:p>
    <w:p w14:paraId="37E9E52B">
      <w:pPr>
        <w:pStyle w:val="26"/>
        <w:numPr>
          <w:ilvl w:val="0"/>
          <w:numId w:val="3"/>
        </w:numPr>
        <w:ind w:firstLineChars="0"/>
        <w:rPr>
          <w:rFonts w:ascii="Times New Roman" w:hAnsi="Times New Roman"/>
          <w:sz w:val="21"/>
          <w:szCs w:val="21"/>
        </w:rPr>
      </w:pPr>
      <w:r>
        <w:rPr>
          <w:rFonts w:hint="eastAsia" w:ascii="Times New Roman" w:hAnsi="Times New Roman"/>
          <w:sz w:val="21"/>
          <w:szCs w:val="21"/>
        </w:rPr>
        <w:t>《环境空气质量评价技术规范（试行）》（HJ663-2013）及编制说明</w:t>
      </w:r>
    </w:p>
    <w:p w14:paraId="3DF3187D">
      <w:pPr>
        <w:pStyle w:val="26"/>
        <w:numPr>
          <w:ilvl w:val="0"/>
          <w:numId w:val="3"/>
        </w:numPr>
        <w:ind w:firstLineChars="0"/>
        <w:rPr>
          <w:rFonts w:ascii="Times New Roman" w:hAnsi="Times New Roman"/>
          <w:sz w:val="21"/>
          <w:szCs w:val="21"/>
        </w:rPr>
      </w:pPr>
      <w:r>
        <w:rPr>
          <w:rFonts w:hint="eastAsia" w:ascii="Times New Roman" w:hAnsi="Times New Roman"/>
          <w:sz w:val="21"/>
          <w:szCs w:val="21"/>
        </w:rPr>
        <w:t>《环境空气质量指数（AQI）技术规定（试行）》（HJ6</w:t>
      </w:r>
      <w:r>
        <w:rPr>
          <w:rFonts w:ascii="Times New Roman" w:hAnsi="Times New Roman"/>
          <w:sz w:val="21"/>
          <w:szCs w:val="21"/>
        </w:rPr>
        <w:t>3</w:t>
      </w:r>
      <w:r>
        <w:rPr>
          <w:rFonts w:hint="eastAsia" w:ascii="Times New Roman" w:hAnsi="Times New Roman"/>
          <w:sz w:val="21"/>
          <w:szCs w:val="21"/>
        </w:rPr>
        <w:t>3-201</w:t>
      </w:r>
      <w:r>
        <w:rPr>
          <w:rFonts w:ascii="Times New Roman" w:hAnsi="Times New Roman"/>
          <w:sz w:val="21"/>
          <w:szCs w:val="21"/>
        </w:rPr>
        <w:t>2</w:t>
      </w:r>
      <w:r>
        <w:rPr>
          <w:rFonts w:hint="eastAsia" w:ascii="Times New Roman" w:hAnsi="Times New Roman"/>
          <w:sz w:val="21"/>
          <w:szCs w:val="21"/>
        </w:rPr>
        <w:t>）</w:t>
      </w:r>
    </w:p>
    <w:p w14:paraId="00CDC10E">
      <w:pPr>
        <w:pStyle w:val="26"/>
        <w:numPr>
          <w:ilvl w:val="0"/>
          <w:numId w:val="3"/>
        </w:numPr>
        <w:ind w:firstLineChars="0"/>
        <w:rPr>
          <w:rFonts w:ascii="Times New Roman" w:hAnsi="Times New Roman"/>
          <w:sz w:val="21"/>
          <w:szCs w:val="21"/>
        </w:rPr>
      </w:pPr>
      <w:r>
        <w:rPr>
          <w:rFonts w:hint="eastAsia" w:ascii="Times New Roman" w:hAnsi="Times New Roman"/>
          <w:sz w:val="21"/>
          <w:szCs w:val="21"/>
        </w:rPr>
        <w:t>《环境空气质量监测点位布设技术规范（试行）》（HJ</w:t>
      </w:r>
      <w:r>
        <w:rPr>
          <w:rFonts w:ascii="Times New Roman" w:hAnsi="Times New Roman"/>
          <w:sz w:val="21"/>
          <w:szCs w:val="21"/>
        </w:rPr>
        <w:t>664</w:t>
      </w:r>
      <w:r>
        <w:rPr>
          <w:rFonts w:hint="eastAsia" w:ascii="Times New Roman" w:hAnsi="Times New Roman"/>
          <w:sz w:val="21"/>
          <w:szCs w:val="21"/>
        </w:rPr>
        <w:t>-</w:t>
      </w:r>
      <w:r>
        <w:rPr>
          <w:rFonts w:ascii="Times New Roman" w:hAnsi="Times New Roman"/>
          <w:sz w:val="21"/>
          <w:szCs w:val="21"/>
        </w:rPr>
        <w:t>2013</w:t>
      </w:r>
      <w:r>
        <w:rPr>
          <w:rFonts w:hint="eastAsia" w:ascii="Times New Roman" w:hAnsi="Times New Roman"/>
          <w:sz w:val="21"/>
          <w:szCs w:val="21"/>
        </w:rPr>
        <w:t>）</w:t>
      </w:r>
    </w:p>
    <w:p w14:paraId="02A97C77">
      <w:pPr>
        <w:pStyle w:val="26"/>
        <w:numPr>
          <w:ilvl w:val="0"/>
          <w:numId w:val="3"/>
        </w:numPr>
        <w:ind w:firstLineChars="0"/>
        <w:rPr>
          <w:rFonts w:ascii="Times New Roman" w:hAnsi="Times New Roman"/>
          <w:sz w:val="21"/>
          <w:szCs w:val="21"/>
        </w:rPr>
      </w:pPr>
      <w:r>
        <w:rPr>
          <w:rFonts w:hint="eastAsia" w:ascii="Times New Roman" w:hAnsi="Times New Roman"/>
          <w:sz w:val="21"/>
          <w:szCs w:val="21"/>
        </w:rPr>
        <w:t>《环境空气颗粒物（PM</w:t>
      </w:r>
      <w:r>
        <w:rPr>
          <w:rFonts w:ascii="Times New Roman" w:hAnsi="Times New Roman"/>
          <w:sz w:val="21"/>
          <w:szCs w:val="21"/>
          <w:vertAlign w:val="subscript"/>
        </w:rPr>
        <w:t>10</w:t>
      </w:r>
      <w:r>
        <w:rPr>
          <w:rFonts w:hint="eastAsia" w:ascii="Times New Roman" w:hAnsi="Times New Roman"/>
          <w:sz w:val="21"/>
          <w:szCs w:val="21"/>
        </w:rPr>
        <w:t>和PM</w:t>
      </w:r>
      <w:r>
        <w:rPr>
          <w:rFonts w:ascii="Times New Roman" w:hAnsi="Times New Roman"/>
          <w:sz w:val="21"/>
          <w:szCs w:val="21"/>
          <w:vertAlign w:val="subscript"/>
        </w:rPr>
        <w:t>2.5</w:t>
      </w:r>
      <w:r>
        <w:rPr>
          <w:rFonts w:hint="eastAsia" w:ascii="Times New Roman" w:hAnsi="Times New Roman"/>
          <w:sz w:val="21"/>
          <w:szCs w:val="21"/>
        </w:rPr>
        <w:t>）连续自动监测系统技术要求及检测方法》（HJ</w:t>
      </w:r>
      <w:r>
        <w:rPr>
          <w:rFonts w:ascii="Times New Roman" w:hAnsi="Times New Roman"/>
          <w:sz w:val="21"/>
          <w:szCs w:val="21"/>
        </w:rPr>
        <w:t>653-2013</w:t>
      </w:r>
      <w:r>
        <w:rPr>
          <w:rFonts w:hint="eastAsia" w:ascii="Times New Roman" w:hAnsi="Times New Roman"/>
          <w:sz w:val="21"/>
          <w:szCs w:val="21"/>
        </w:rPr>
        <w:t>）</w:t>
      </w:r>
    </w:p>
    <w:p w14:paraId="37491042">
      <w:pPr>
        <w:pStyle w:val="26"/>
        <w:numPr>
          <w:ilvl w:val="0"/>
          <w:numId w:val="3"/>
        </w:numPr>
        <w:ind w:firstLineChars="0"/>
        <w:rPr>
          <w:rFonts w:ascii="Times New Roman" w:hAnsi="Times New Roman"/>
          <w:sz w:val="21"/>
          <w:szCs w:val="21"/>
        </w:rPr>
      </w:pPr>
      <w:r>
        <w:rPr>
          <w:rFonts w:hint="eastAsia" w:ascii="Times New Roman" w:hAnsi="Times New Roman"/>
          <w:sz w:val="21"/>
          <w:szCs w:val="21"/>
        </w:rPr>
        <w:t>《大气PM</w:t>
      </w:r>
      <w:r>
        <w:rPr>
          <w:rFonts w:hint="eastAsia" w:ascii="Times New Roman" w:hAnsi="Times New Roman"/>
          <w:sz w:val="21"/>
          <w:szCs w:val="21"/>
          <w:vertAlign w:val="subscript"/>
        </w:rPr>
        <w:t>2.5</w:t>
      </w:r>
      <w:r>
        <w:rPr>
          <w:rFonts w:hint="eastAsia" w:ascii="Times New Roman" w:hAnsi="Times New Roman"/>
          <w:sz w:val="21"/>
          <w:szCs w:val="21"/>
        </w:rPr>
        <w:t>网格化监测点位布设技术指南（试行）》等四项技术指南（环办监测函[</w:t>
      </w:r>
      <w:r>
        <w:rPr>
          <w:rFonts w:ascii="Times New Roman" w:hAnsi="Times New Roman"/>
          <w:sz w:val="21"/>
          <w:szCs w:val="21"/>
        </w:rPr>
        <w:t>2017]2027</w:t>
      </w:r>
      <w:r>
        <w:rPr>
          <w:rFonts w:hint="eastAsia" w:ascii="Times New Roman" w:hAnsi="Times New Roman"/>
          <w:sz w:val="21"/>
          <w:szCs w:val="21"/>
        </w:rPr>
        <w:t>号）</w:t>
      </w:r>
    </w:p>
    <w:p w14:paraId="4CCFDADE">
      <w:pPr>
        <w:pStyle w:val="26"/>
        <w:numPr>
          <w:ilvl w:val="0"/>
          <w:numId w:val="3"/>
        </w:numPr>
        <w:ind w:firstLineChars="0"/>
        <w:rPr>
          <w:rFonts w:ascii="Times New Roman" w:hAnsi="Times New Roman"/>
          <w:sz w:val="21"/>
          <w:szCs w:val="21"/>
        </w:rPr>
      </w:pPr>
      <w:r>
        <w:rPr>
          <w:rFonts w:hint="eastAsia" w:ascii="Times New Roman" w:hAnsi="Times New Roman"/>
          <w:sz w:val="21"/>
          <w:szCs w:val="21"/>
        </w:rPr>
        <w:t>关于调整城市环境空气质量监测数据有效性统计方法的通知（总站气字[</w:t>
      </w:r>
      <w:r>
        <w:rPr>
          <w:rFonts w:ascii="Times New Roman" w:hAnsi="Times New Roman"/>
          <w:sz w:val="21"/>
          <w:szCs w:val="21"/>
        </w:rPr>
        <w:t>2016</w:t>
      </w:r>
      <w:r>
        <w:rPr>
          <w:rFonts w:hint="eastAsia" w:ascii="Times New Roman" w:hAnsi="Times New Roman"/>
          <w:sz w:val="21"/>
          <w:szCs w:val="21"/>
        </w:rPr>
        <w:t>]</w:t>
      </w:r>
      <w:r>
        <w:rPr>
          <w:rFonts w:ascii="Times New Roman" w:hAnsi="Times New Roman"/>
          <w:sz w:val="21"/>
          <w:szCs w:val="21"/>
        </w:rPr>
        <w:t>276</w:t>
      </w:r>
      <w:r>
        <w:rPr>
          <w:rFonts w:hint="eastAsia" w:ascii="Times New Roman" w:hAnsi="Times New Roman"/>
          <w:sz w:val="21"/>
          <w:szCs w:val="21"/>
        </w:rPr>
        <w:t>号）</w:t>
      </w:r>
    </w:p>
    <w:p w14:paraId="7B62B290">
      <w:pPr>
        <w:pStyle w:val="26"/>
        <w:numPr>
          <w:ilvl w:val="0"/>
          <w:numId w:val="3"/>
        </w:numPr>
        <w:ind w:firstLineChars="0"/>
        <w:rPr>
          <w:rFonts w:ascii="Times New Roman" w:hAnsi="Times New Roman"/>
          <w:sz w:val="21"/>
          <w:szCs w:val="21"/>
        </w:rPr>
      </w:pPr>
      <w:r>
        <w:rPr>
          <w:rFonts w:hint="eastAsia" w:ascii="Times New Roman" w:hAnsi="Times New Roman"/>
          <w:sz w:val="21"/>
          <w:szCs w:val="21"/>
        </w:rPr>
        <w:t>《城市环境空气质量排名技术规定》（环办监测[</w:t>
      </w:r>
      <w:r>
        <w:rPr>
          <w:rFonts w:ascii="Times New Roman" w:hAnsi="Times New Roman"/>
          <w:sz w:val="21"/>
          <w:szCs w:val="21"/>
        </w:rPr>
        <w:t>2018]19</w:t>
      </w:r>
      <w:r>
        <w:rPr>
          <w:rFonts w:hint="eastAsia" w:ascii="Times New Roman" w:hAnsi="Times New Roman"/>
          <w:sz w:val="21"/>
          <w:szCs w:val="21"/>
        </w:rPr>
        <w:t>号）</w:t>
      </w:r>
    </w:p>
    <w:p w14:paraId="00090463">
      <w:pPr>
        <w:pStyle w:val="26"/>
        <w:numPr>
          <w:ilvl w:val="0"/>
          <w:numId w:val="3"/>
        </w:numPr>
        <w:ind w:firstLineChars="0"/>
        <w:rPr>
          <w:rFonts w:ascii="Times New Roman" w:hAnsi="Times New Roman"/>
          <w:sz w:val="21"/>
          <w:szCs w:val="21"/>
        </w:rPr>
      </w:pPr>
      <w:r>
        <w:rPr>
          <w:rFonts w:hint="eastAsia" w:ascii="Times New Roman" w:hAnsi="Times New Roman"/>
          <w:sz w:val="21"/>
          <w:szCs w:val="21"/>
        </w:rPr>
        <w:t>USEPA</w:t>
      </w:r>
      <w:r>
        <w:rPr>
          <w:rFonts w:ascii="Times New Roman" w:hAnsi="Times New Roman"/>
          <w:sz w:val="21"/>
          <w:szCs w:val="21"/>
        </w:rPr>
        <w:t xml:space="preserve">. DRAFT Roadmap for </w:t>
      </w:r>
      <w:r>
        <w:rPr>
          <w:rFonts w:ascii="Times New Roman" w:hAnsi="Times New Roman"/>
          <w:szCs w:val="21"/>
        </w:rPr>
        <w:t>Next Generation Air Monitoring</w:t>
      </w:r>
      <w:r>
        <w:rPr>
          <w:rFonts w:hint="eastAsia" w:ascii="Times New Roman" w:hAnsi="Times New Roman"/>
          <w:szCs w:val="21"/>
        </w:rPr>
        <w:t>.</w:t>
      </w:r>
      <w:r>
        <w:rPr>
          <w:rFonts w:ascii="Times New Roman" w:hAnsi="Times New Roman"/>
          <w:szCs w:val="21"/>
        </w:rPr>
        <w:t xml:space="preserve"> </w:t>
      </w:r>
      <w:r>
        <w:rPr>
          <w:rFonts w:hint="eastAsia" w:ascii="Times New Roman" w:hAnsi="Times New Roman"/>
          <w:szCs w:val="21"/>
        </w:rPr>
        <w:t>2</w:t>
      </w:r>
      <w:r>
        <w:rPr>
          <w:rFonts w:ascii="Times New Roman" w:hAnsi="Times New Roman"/>
          <w:szCs w:val="21"/>
        </w:rPr>
        <w:t>013</w:t>
      </w:r>
    </w:p>
    <w:p w14:paraId="7B83FCD3">
      <w:pPr>
        <w:pStyle w:val="26"/>
        <w:numPr>
          <w:ilvl w:val="0"/>
          <w:numId w:val="3"/>
        </w:numPr>
        <w:ind w:firstLineChars="0"/>
        <w:rPr>
          <w:rFonts w:ascii="Times New Roman" w:hAnsi="Times New Roman"/>
          <w:sz w:val="21"/>
          <w:szCs w:val="21"/>
        </w:rPr>
      </w:pPr>
      <w:r>
        <w:rPr>
          <w:rFonts w:hint="eastAsia" w:ascii="Times New Roman" w:hAnsi="Times New Roman"/>
          <w:sz w:val="21"/>
          <w:szCs w:val="21"/>
        </w:rPr>
        <w:t>P</w:t>
      </w:r>
      <w:r>
        <w:rPr>
          <w:rFonts w:ascii="Times New Roman" w:hAnsi="Times New Roman"/>
          <w:sz w:val="21"/>
          <w:szCs w:val="21"/>
        </w:rPr>
        <w:t xml:space="preserve">enza et al. COST Action TD1105: Overview of sensor-systems for air-quality </w:t>
      </w:r>
      <w:r>
        <w:rPr>
          <w:rFonts w:ascii="Times New Roman" w:hAnsi="Times New Roman"/>
          <w:szCs w:val="21"/>
        </w:rPr>
        <w:t xml:space="preserve">monitoring. </w:t>
      </w:r>
      <w:r>
        <w:rPr>
          <w:rFonts w:hint="eastAsia" w:ascii="Times New Roman" w:hAnsi="Times New Roman"/>
          <w:szCs w:val="21"/>
        </w:rPr>
        <w:t>2</w:t>
      </w:r>
      <w:r>
        <w:rPr>
          <w:rFonts w:ascii="Times New Roman" w:hAnsi="Times New Roman"/>
          <w:szCs w:val="21"/>
        </w:rPr>
        <w:t>014</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564C0F"/>
    <w:multiLevelType w:val="multilevel"/>
    <w:tmpl w:val="1C564C0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FC91163"/>
    <w:multiLevelType w:val="multilevel"/>
    <w:tmpl w:val="1FC91163"/>
    <w:lvl w:ilvl="0" w:tentative="0">
      <w:start w:val="1"/>
      <w:numFmt w:val="decimal"/>
      <w:pStyle w:val="21"/>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0"/>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2"/>
      <w:suff w:val="nothing"/>
      <w:lvlText w:val="%1.%2.%3　"/>
      <w:lvlJc w:val="left"/>
      <w:pPr>
        <w:ind w:left="851" w:firstLine="0"/>
      </w:pPr>
      <w:rPr>
        <w:rFonts w:hint="eastAsia" w:ascii="黑体" w:hAnsi="Times New Roman" w:eastAsia="黑体"/>
        <w:b w:val="0"/>
        <w:i w:val="0"/>
        <w:sz w:val="21"/>
      </w:rPr>
    </w:lvl>
    <w:lvl w:ilvl="3" w:tentative="0">
      <w:start w:val="1"/>
      <w:numFmt w:val="decimal"/>
      <w:pStyle w:val="23"/>
      <w:suff w:val="nothing"/>
      <w:lvlText w:val="%1.%2.%3.%4　"/>
      <w:lvlJc w:val="left"/>
      <w:pPr>
        <w:ind w:left="0" w:firstLine="0"/>
      </w:pPr>
      <w:rPr>
        <w:rFonts w:hint="eastAsia" w:ascii="黑体" w:hAnsi="Times New Roman" w:eastAsia="黑体"/>
        <w:b w:val="0"/>
        <w:i w:val="0"/>
        <w:sz w:val="21"/>
      </w:rPr>
    </w:lvl>
    <w:lvl w:ilvl="4" w:tentative="0">
      <w:start w:val="1"/>
      <w:numFmt w:val="decimal"/>
      <w:pStyle w:val="24"/>
      <w:suff w:val="nothing"/>
      <w:lvlText w:val="%1.%2.%3.%4.%5　"/>
      <w:lvlJc w:val="left"/>
      <w:pPr>
        <w:ind w:left="0" w:firstLine="0"/>
      </w:pPr>
      <w:rPr>
        <w:rFonts w:hint="eastAsia" w:ascii="黑体" w:hAnsi="Times New Roman" w:eastAsia="黑体"/>
        <w:b w:val="0"/>
        <w:i w:val="0"/>
        <w:sz w:val="21"/>
      </w:rPr>
    </w:lvl>
    <w:lvl w:ilvl="5" w:tentative="0">
      <w:start w:val="1"/>
      <w:numFmt w:val="decimal"/>
      <w:pStyle w:val="25"/>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60B55DC2"/>
    <w:multiLevelType w:val="multilevel"/>
    <w:tmpl w:val="60B55DC2"/>
    <w:lvl w:ilvl="0" w:tentative="0">
      <w:start w:val="1"/>
      <w:numFmt w:val="upperLetter"/>
      <w:pStyle w:val="32"/>
      <w:lvlText w:val="%1"/>
      <w:lvlJc w:val="left"/>
      <w:pPr>
        <w:tabs>
          <w:tab w:val="left" w:pos="0"/>
        </w:tabs>
        <w:ind w:left="0" w:hanging="425"/>
      </w:pPr>
      <w:rPr>
        <w:rFonts w:hint="eastAsia"/>
      </w:rPr>
    </w:lvl>
    <w:lvl w:ilvl="1" w:tentative="0">
      <w:start w:val="1"/>
      <w:numFmt w:val="decimal"/>
      <w:pStyle w:val="33"/>
      <w:suff w:val="nothing"/>
      <w:lvlText w:val="表%1.%2　"/>
      <w:lvlJc w:val="left"/>
      <w:pPr>
        <w:ind w:left="4961"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377"/>
    <w:rsid w:val="0000760E"/>
    <w:rsid w:val="00007C7A"/>
    <w:rsid w:val="00012087"/>
    <w:rsid w:val="000151A1"/>
    <w:rsid w:val="00015621"/>
    <w:rsid w:val="00037A26"/>
    <w:rsid w:val="00040FAD"/>
    <w:rsid w:val="00057026"/>
    <w:rsid w:val="00063523"/>
    <w:rsid w:val="0006377E"/>
    <w:rsid w:val="000711D7"/>
    <w:rsid w:val="00073C9B"/>
    <w:rsid w:val="00074654"/>
    <w:rsid w:val="00092842"/>
    <w:rsid w:val="00096149"/>
    <w:rsid w:val="000A4862"/>
    <w:rsid w:val="000E2DC4"/>
    <w:rsid w:val="000F27F8"/>
    <w:rsid w:val="000F4A4D"/>
    <w:rsid w:val="00110723"/>
    <w:rsid w:val="001108DD"/>
    <w:rsid w:val="00141BDE"/>
    <w:rsid w:val="001515F5"/>
    <w:rsid w:val="00154B34"/>
    <w:rsid w:val="001572ED"/>
    <w:rsid w:val="001613EF"/>
    <w:rsid w:val="00162146"/>
    <w:rsid w:val="00164A67"/>
    <w:rsid w:val="00167BF3"/>
    <w:rsid w:val="00184C4B"/>
    <w:rsid w:val="001A30BC"/>
    <w:rsid w:val="001A389D"/>
    <w:rsid w:val="001A7555"/>
    <w:rsid w:val="001D3D2D"/>
    <w:rsid w:val="001D6315"/>
    <w:rsid w:val="001D7CE8"/>
    <w:rsid w:val="001E249C"/>
    <w:rsid w:val="001E2A0A"/>
    <w:rsid w:val="001E3731"/>
    <w:rsid w:val="001E518E"/>
    <w:rsid w:val="001F3FBD"/>
    <w:rsid w:val="00215F57"/>
    <w:rsid w:val="002223F7"/>
    <w:rsid w:val="0022332D"/>
    <w:rsid w:val="00225CB2"/>
    <w:rsid w:val="002323B3"/>
    <w:rsid w:val="00236B8F"/>
    <w:rsid w:val="002377B5"/>
    <w:rsid w:val="00237F1A"/>
    <w:rsid w:val="00237F87"/>
    <w:rsid w:val="002520FA"/>
    <w:rsid w:val="00254388"/>
    <w:rsid w:val="00263714"/>
    <w:rsid w:val="00275BEB"/>
    <w:rsid w:val="00276BEF"/>
    <w:rsid w:val="00280605"/>
    <w:rsid w:val="00282627"/>
    <w:rsid w:val="00285171"/>
    <w:rsid w:val="00290B5A"/>
    <w:rsid w:val="002D215B"/>
    <w:rsid w:val="002E7529"/>
    <w:rsid w:val="002F2C0C"/>
    <w:rsid w:val="002F4176"/>
    <w:rsid w:val="00314E61"/>
    <w:rsid w:val="00330489"/>
    <w:rsid w:val="003323AC"/>
    <w:rsid w:val="00353C7F"/>
    <w:rsid w:val="00357755"/>
    <w:rsid w:val="00357FA3"/>
    <w:rsid w:val="00371F30"/>
    <w:rsid w:val="00390690"/>
    <w:rsid w:val="003941AB"/>
    <w:rsid w:val="0039624A"/>
    <w:rsid w:val="003E35AC"/>
    <w:rsid w:val="003F3CA7"/>
    <w:rsid w:val="003F4667"/>
    <w:rsid w:val="004017CF"/>
    <w:rsid w:val="00417121"/>
    <w:rsid w:val="004237D5"/>
    <w:rsid w:val="00432185"/>
    <w:rsid w:val="0043520F"/>
    <w:rsid w:val="0043749E"/>
    <w:rsid w:val="004408C0"/>
    <w:rsid w:val="00445376"/>
    <w:rsid w:val="00445C85"/>
    <w:rsid w:val="00451E2F"/>
    <w:rsid w:val="00455EC5"/>
    <w:rsid w:val="0045794F"/>
    <w:rsid w:val="00462187"/>
    <w:rsid w:val="00464498"/>
    <w:rsid w:val="004821F9"/>
    <w:rsid w:val="00485571"/>
    <w:rsid w:val="00492238"/>
    <w:rsid w:val="00494D51"/>
    <w:rsid w:val="004975BE"/>
    <w:rsid w:val="004B6B57"/>
    <w:rsid w:val="004B70D4"/>
    <w:rsid w:val="004C0903"/>
    <w:rsid w:val="004D0096"/>
    <w:rsid w:val="004D1244"/>
    <w:rsid w:val="004D6306"/>
    <w:rsid w:val="004E0263"/>
    <w:rsid w:val="004F03A5"/>
    <w:rsid w:val="004F0DA2"/>
    <w:rsid w:val="005059A3"/>
    <w:rsid w:val="00511B74"/>
    <w:rsid w:val="0051538D"/>
    <w:rsid w:val="005156CF"/>
    <w:rsid w:val="00520FAA"/>
    <w:rsid w:val="005228BC"/>
    <w:rsid w:val="00546DA4"/>
    <w:rsid w:val="00552AB9"/>
    <w:rsid w:val="00553C39"/>
    <w:rsid w:val="005559A5"/>
    <w:rsid w:val="00556674"/>
    <w:rsid w:val="005703D1"/>
    <w:rsid w:val="00573377"/>
    <w:rsid w:val="00580E2E"/>
    <w:rsid w:val="005B2176"/>
    <w:rsid w:val="005C2744"/>
    <w:rsid w:val="005C2963"/>
    <w:rsid w:val="005C2ED2"/>
    <w:rsid w:val="005C4E19"/>
    <w:rsid w:val="005E62B7"/>
    <w:rsid w:val="005F2B58"/>
    <w:rsid w:val="00605CC1"/>
    <w:rsid w:val="00615B7D"/>
    <w:rsid w:val="00623DA3"/>
    <w:rsid w:val="00626622"/>
    <w:rsid w:val="006271C3"/>
    <w:rsid w:val="006275F9"/>
    <w:rsid w:val="0062799E"/>
    <w:rsid w:val="006318B6"/>
    <w:rsid w:val="00636686"/>
    <w:rsid w:val="006527EF"/>
    <w:rsid w:val="00654FD1"/>
    <w:rsid w:val="00657F02"/>
    <w:rsid w:val="00666B52"/>
    <w:rsid w:val="006764FC"/>
    <w:rsid w:val="006851C2"/>
    <w:rsid w:val="006A225D"/>
    <w:rsid w:val="006A4C5D"/>
    <w:rsid w:val="006A5DC8"/>
    <w:rsid w:val="006C5D7E"/>
    <w:rsid w:val="006C6B2B"/>
    <w:rsid w:val="006E03F9"/>
    <w:rsid w:val="006F7FC0"/>
    <w:rsid w:val="00711B24"/>
    <w:rsid w:val="0071391C"/>
    <w:rsid w:val="00720676"/>
    <w:rsid w:val="0072138A"/>
    <w:rsid w:val="00723F58"/>
    <w:rsid w:val="007354E0"/>
    <w:rsid w:val="007424C6"/>
    <w:rsid w:val="00745FED"/>
    <w:rsid w:val="007677D2"/>
    <w:rsid w:val="0077139F"/>
    <w:rsid w:val="00777CC2"/>
    <w:rsid w:val="007812D2"/>
    <w:rsid w:val="00785BF3"/>
    <w:rsid w:val="00794996"/>
    <w:rsid w:val="007B5FC3"/>
    <w:rsid w:val="007B699E"/>
    <w:rsid w:val="007C0886"/>
    <w:rsid w:val="007C2931"/>
    <w:rsid w:val="007D0E0F"/>
    <w:rsid w:val="007E2779"/>
    <w:rsid w:val="007E3FA3"/>
    <w:rsid w:val="007F7188"/>
    <w:rsid w:val="008018A2"/>
    <w:rsid w:val="008018D7"/>
    <w:rsid w:val="00802D34"/>
    <w:rsid w:val="00805BA6"/>
    <w:rsid w:val="008278DF"/>
    <w:rsid w:val="00832092"/>
    <w:rsid w:val="00844128"/>
    <w:rsid w:val="00847B05"/>
    <w:rsid w:val="00857386"/>
    <w:rsid w:val="008573C1"/>
    <w:rsid w:val="00860796"/>
    <w:rsid w:val="00861B02"/>
    <w:rsid w:val="008652EB"/>
    <w:rsid w:val="008752DB"/>
    <w:rsid w:val="008806C2"/>
    <w:rsid w:val="00893443"/>
    <w:rsid w:val="00893BF9"/>
    <w:rsid w:val="008A6E99"/>
    <w:rsid w:val="008B4D5E"/>
    <w:rsid w:val="008B5B7D"/>
    <w:rsid w:val="008C258C"/>
    <w:rsid w:val="008C3D21"/>
    <w:rsid w:val="008C56C7"/>
    <w:rsid w:val="008D3208"/>
    <w:rsid w:val="008D6EC5"/>
    <w:rsid w:val="008E0BD0"/>
    <w:rsid w:val="008E5ADD"/>
    <w:rsid w:val="008F7AA1"/>
    <w:rsid w:val="009064CA"/>
    <w:rsid w:val="009069C8"/>
    <w:rsid w:val="009147E7"/>
    <w:rsid w:val="00927AD8"/>
    <w:rsid w:val="0094794E"/>
    <w:rsid w:val="009514DA"/>
    <w:rsid w:val="00952D09"/>
    <w:rsid w:val="009622CB"/>
    <w:rsid w:val="0098450D"/>
    <w:rsid w:val="00985E6F"/>
    <w:rsid w:val="00990DEF"/>
    <w:rsid w:val="00993D8A"/>
    <w:rsid w:val="00997326"/>
    <w:rsid w:val="009A10E5"/>
    <w:rsid w:val="009A6C5C"/>
    <w:rsid w:val="009B7427"/>
    <w:rsid w:val="009E2B9B"/>
    <w:rsid w:val="009E72F7"/>
    <w:rsid w:val="009F6C30"/>
    <w:rsid w:val="00A060B4"/>
    <w:rsid w:val="00A174B8"/>
    <w:rsid w:val="00A200A3"/>
    <w:rsid w:val="00A22203"/>
    <w:rsid w:val="00A25BC7"/>
    <w:rsid w:val="00A25E87"/>
    <w:rsid w:val="00A30C36"/>
    <w:rsid w:val="00A325C4"/>
    <w:rsid w:val="00A5189B"/>
    <w:rsid w:val="00A51BF7"/>
    <w:rsid w:val="00A528EE"/>
    <w:rsid w:val="00A57D3D"/>
    <w:rsid w:val="00A643EA"/>
    <w:rsid w:val="00A6722E"/>
    <w:rsid w:val="00A70A0E"/>
    <w:rsid w:val="00A801D5"/>
    <w:rsid w:val="00A8087D"/>
    <w:rsid w:val="00A8376A"/>
    <w:rsid w:val="00AB54C5"/>
    <w:rsid w:val="00AD3590"/>
    <w:rsid w:val="00AD37D6"/>
    <w:rsid w:val="00AD5E2B"/>
    <w:rsid w:val="00AE0583"/>
    <w:rsid w:val="00AE4B72"/>
    <w:rsid w:val="00AE5675"/>
    <w:rsid w:val="00B10933"/>
    <w:rsid w:val="00B16D41"/>
    <w:rsid w:val="00B25381"/>
    <w:rsid w:val="00B27183"/>
    <w:rsid w:val="00B274A8"/>
    <w:rsid w:val="00B31187"/>
    <w:rsid w:val="00B34BE9"/>
    <w:rsid w:val="00B501D3"/>
    <w:rsid w:val="00B50404"/>
    <w:rsid w:val="00B55126"/>
    <w:rsid w:val="00B56FBC"/>
    <w:rsid w:val="00B600B9"/>
    <w:rsid w:val="00B6549B"/>
    <w:rsid w:val="00B84DC5"/>
    <w:rsid w:val="00B901C5"/>
    <w:rsid w:val="00B959BD"/>
    <w:rsid w:val="00B95F4E"/>
    <w:rsid w:val="00BA0795"/>
    <w:rsid w:val="00BA29B8"/>
    <w:rsid w:val="00BA3137"/>
    <w:rsid w:val="00BA57F8"/>
    <w:rsid w:val="00BA6996"/>
    <w:rsid w:val="00BA7334"/>
    <w:rsid w:val="00BB168C"/>
    <w:rsid w:val="00BB2E43"/>
    <w:rsid w:val="00BB3715"/>
    <w:rsid w:val="00BB4B45"/>
    <w:rsid w:val="00BB590B"/>
    <w:rsid w:val="00BB6BD3"/>
    <w:rsid w:val="00BC08A1"/>
    <w:rsid w:val="00BC1F88"/>
    <w:rsid w:val="00BC6E16"/>
    <w:rsid w:val="00BD551C"/>
    <w:rsid w:val="00BE7D7D"/>
    <w:rsid w:val="00BF0299"/>
    <w:rsid w:val="00BF7FE6"/>
    <w:rsid w:val="00C061CF"/>
    <w:rsid w:val="00C06F71"/>
    <w:rsid w:val="00C07DED"/>
    <w:rsid w:val="00C15B2E"/>
    <w:rsid w:val="00C2531A"/>
    <w:rsid w:val="00C3373C"/>
    <w:rsid w:val="00C45ADF"/>
    <w:rsid w:val="00C60062"/>
    <w:rsid w:val="00C64C51"/>
    <w:rsid w:val="00C804BA"/>
    <w:rsid w:val="00C8116D"/>
    <w:rsid w:val="00C82084"/>
    <w:rsid w:val="00C9372D"/>
    <w:rsid w:val="00C96927"/>
    <w:rsid w:val="00C97AD8"/>
    <w:rsid w:val="00C97D0C"/>
    <w:rsid w:val="00CA48F7"/>
    <w:rsid w:val="00CC6C29"/>
    <w:rsid w:val="00CE07B7"/>
    <w:rsid w:val="00CE1323"/>
    <w:rsid w:val="00CE779E"/>
    <w:rsid w:val="00CF6271"/>
    <w:rsid w:val="00CF753D"/>
    <w:rsid w:val="00D03DEF"/>
    <w:rsid w:val="00D102D1"/>
    <w:rsid w:val="00D115F0"/>
    <w:rsid w:val="00D24190"/>
    <w:rsid w:val="00D445F5"/>
    <w:rsid w:val="00D53722"/>
    <w:rsid w:val="00D66256"/>
    <w:rsid w:val="00D72B5E"/>
    <w:rsid w:val="00D7426B"/>
    <w:rsid w:val="00D7473D"/>
    <w:rsid w:val="00D848A2"/>
    <w:rsid w:val="00DA4005"/>
    <w:rsid w:val="00DA5DA3"/>
    <w:rsid w:val="00DA79AA"/>
    <w:rsid w:val="00DB3D8D"/>
    <w:rsid w:val="00DB46C4"/>
    <w:rsid w:val="00DC5107"/>
    <w:rsid w:val="00DD22B1"/>
    <w:rsid w:val="00DE509A"/>
    <w:rsid w:val="00DF1620"/>
    <w:rsid w:val="00DF48F7"/>
    <w:rsid w:val="00E06A53"/>
    <w:rsid w:val="00E0717F"/>
    <w:rsid w:val="00E464A9"/>
    <w:rsid w:val="00E56A19"/>
    <w:rsid w:val="00E62FAE"/>
    <w:rsid w:val="00E63F11"/>
    <w:rsid w:val="00E7289A"/>
    <w:rsid w:val="00E7294C"/>
    <w:rsid w:val="00E85D13"/>
    <w:rsid w:val="00E96649"/>
    <w:rsid w:val="00EA12D9"/>
    <w:rsid w:val="00EA7FD7"/>
    <w:rsid w:val="00EB37A6"/>
    <w:rsid w:val="00EB3ABC"/>
    <w:rsid w:val="00EC26EC"/>
    <w:rsid w:val="00ED2F9A"/>
    <w:rsid w:val="00ED4EC3"/>
    <w:rsid w:val="00F05866"/>
    <w:rsid w:val="00F073CD"/>
    <w:rsid w:val="00F20469"/>
    <w:rsid w:val="00F226B2"/>
    <w:rsid w:val="00F2611C"/>
    <w:rsid w:val="00F35EA9"/>
    <w:rsid w:val="00F51C2E"/>
    <w:rsid w:val="00F54EEF"/>
    <w:rsid w:val="00F66871"/>
    <w:rsid w:val="00F7043F"/>
    <w:rsid w:val="00F7148A"/>
    <w:rsid w:val="00F81E03"/>
    <w:rsid w:val="00F83999"/>
    <w:rsid w:val="00FA2B6F"/>
    <w:rsid w:val="00FB7CD0"/>
    <w:rsid w:val="00FC29DC"/>
    <w:rsid w:val="00FC5992"/>
    <w:rsid w:val="00FE429F"/>
    <w:rsid w:val="00FE4574"/>
    <w:rsid w:val="00FE779F"/>
    <w:rsid w:val="00FF3EDB"/>
    <w:rsid w:val="00FF408D"/>
    <w:rsid w:val="01102E09"/>
    <w:rsid w:val="48D662CD"/>
    <w:rsid w:val="6134460E"/>
    <w:rsid w:val="7C605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rFonts w:eastAsia="黑体"/>
      <w:bCs/>
      <w:kern w:val="44"/>
      <w:sz w:val="36"/>
      <w:szCs w:val="44"/>
    </w:rPr>
  </w:style>
  <w:style w:type="paragraph" w:styleId="3">
    <w:name w:val="heading 2"/>
    <w:basedOn w:val="1"/>
    <w:next w:val="1"/>
    <w:link w:val="16"/>
    <w:unhideWhenUsed/>
    <w:qFormat/>
    <w:uiPriority w:val="9"/>
    <w:pPr>
      <w:keepNext/>
      <w:keepLines/>
      <w:spacing w:before="260" w:after="260" w:line="416" w:lineRule="auto"/>
      <w:outlineLvl w:val="1"/>
    </w:pPr>
    <w:rPr>
      <w:rFonts w:eastAsia="黑体" w:cstheme="majorBidi"/>
      <w:bCs/>
      <w:sz w:val="32"/>
      <w:szCs w:val="32"/>
    </w:rPr>
  </w:style>
  <w:style w:type="paragraph" w:styleId="4">
    <w:name w:val="heading 3"/>
    <w:basedOn w:val="1"/>
    <w:next w:val="1"/>
    <w:link w:val="17"/>
    <w:unhideWhenUsed/>
    <w:qFormat/>
    <w:uiPriority w:val="9"/>
    <w:pPr>
      <w:keepNext/>
      <w:keepLines/>
      <w:spacing w:before="260" w:after="260" w:line="415" w:lineRule="auto"/>
      <w:ind w:left="200" w:leftChars="200"/>
      <w:outlineLvl w:val="2"/>
    </w:pPr>
    <w:rPr>
      <w:rFonts w:eastAsia="黑体"/>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uiPriority w:val="39"/>
    <w:pPr>
      <w:widowControl/>
      <w:spacing w:after="100" w:line="259" w:lineRule="auto"/>
      <w:ind w:left="440"/>
      <w:jc w:val="left"/>
    </w:pPr>
    <w:rPr>
      <w:rFonts w:cs="Times New Roman" w:asciiTheme="minorHAnsi" w:hAnsiTheme="minorHAnsi" w:eastAsiaTheme="minorEastAsia"/>
      <w:kern w:val="0"/>
      <w:sz w:val="22"/>
    </w:rPr>
  </w:style>
  <w:style w:type="paragraph" w:styleId="6">
    <w:name w:val="Balloon Text"/>
    <w:basedOn w:val="1"/>
    <w:link w:val="29"/>
    <w:semiHidden/>
    <w:unhideWhenUsed/>
    <w:qFormat/>
    <w:uiPriority w:val="99"/>
    <w:pPr>
      <w:spacing w:line="240" w:lineRule="auto"/>
    </w:pPr>
    <w:rPr>
      <w:sz w:val="18"/>
      <w:szCs w:val="18"/>
    </w:rPr>
  </w:style>
  <w:style w:type="paragraph" w:styleId="7">
    <w:name w:val="footer"/>
    <w:basedOn w:val="1"/>
    <w:link w:val="31"/>
    <w:unhideWhenUsed/>
    <w:uiPriority w:val="99"/>
    <w:pPr>
      <w:tabs>
        <w:tab w:val="center" w:pos="4153"/>
        <w:tab w:val="right" w:pos="8306"/>
      </w:tabs>
      <w:snapToGrid w:val="0"/>
      <w:spacing w:line="240" w:lineRule="auto"/>
      <w:jc w:val="left"/>
    </w:pPr>
    <w:rPr>
      <w:sz w:val="18"/>
      <w:szCs w:val="18"/>
    </w:rPr>
  </w:style>
  <w:style w:type="paragraph" w:styleId="8">
    <w:name w:val="header"/>
    <w:basedOn w:val="1"/>
    <w:link w:val="30"/>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uiPriority w:val="39"/>
    <w:pPr>
      <w:widowControl/>
      <w:spacing w:after="100" w:line="259" w:lineRule="auto"/>
      <w:jc w:val="left"/>
    </w:pPr>
    <w:rPr>
      <w:rFonts w:cs="Times New Roman" w:asciiTheme="minorHAnsi" w:hAnsiTheme="minorHAnsi" w:eastAsiaTheme="minorEastAsia"/>
      <w:kern w:val="0"/>
      <w:sz w:val="22"/>
    </w:rPr>
  </w:style>
  <w:style w:type="paragraph" w:styleId="10">
    <w:name w:val="toc 2"/>
    <w:basedOn w:val="1"/>
    <w:next w:val="1"/>
    <w:unhideWhenUsed/>
    <w:qFormat/>
    <w:uiPriority w:val="39"/>
    <w:pPr>
      <w:widowControl/>
      <w:spacing w:after="100" w:line="259" w:lineRule="auto"/>
      <w:ind w:left="220"/>
      <w:jc w:val="left"/>
    </w:pPr>
    <w:rPr>
      <w:rFonts w:cs="Times New Roman" w:asciiTheme="minorHAnsi" w:hAnsiTheme="minorHAnsi" w:eastAsiaTheme="minorEastAsia"/>
      <w:kern w:val="0"/>
      <w:sz w:val="22"/>
    </w:rPr>
  </w:style>
  <w:style w:type="table" w:styleId="12">
    <w:name w:val="Table Grid"/>
    <w:basedOn w:val="1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uiPriority w:val="99"/>
    <w:rPr>
      <w:color w:val="0563C1" w:themeColor="hyperlink"/>
      <w:u w:val="single"/>
      <w14:textFill>
        <w14:solidFill>
          <w14:schemeClr w14:val="hlink"/>
        </w14:solidFill>
      </w14:textFill>
    </w:rPr>
  </w:style>
  <w:style w:type="character" w:customStyle="1" w:styleId="15">
    <w:name w:val="标题 1 Char"/>
    <w:basedOn w:val="13"/>
    <w:link w:val="2"/>
    <w:qFormat/>
    <w:uiPriority w:val="9"/>
    <w:rPr>
      <w:rFonts w:ascii="Times New Roman" w:hAnsi="Times New Roman" w:eastAsia="黑体"/>
      <w:bCs/>
      <w:kern w:val="44"/>
      <w:sz w:val="36"/>
      <w:szCs w:val="44"/>
    </w:rPr>
  </w:style>
  <w:style w:type="character" w:customStyle="1" w:styleId="16">
    <w:name w:val="标题 2 Char"/>
    <w:basedOn w:val="13"/>
    <w:link w:val="3"/>
    <w:uiPriority w:val="9"/>
    <w:rPr>
      <w:rFonts w:ascii="Times New Roman" w:hAnsi="Times New Roman" w:eastAsia="黑体" w:cstheme="majorBidi"/>
      <w:bCs/>
      <w:sz w:val="32"/>
      <w:szCs w:val="32"/>
    </w:rPr>
  </w:style>
  <w:style w:type="character" w:customStyle="1" w:styleId="17">
    <w:name w:val="标题 3 Char"/>
    <w:basedOn w:val="13"/>
    <w:link w:val="4"/>
    <w:qFormat/>
    <w:uiPriority w:val="9"/>
    <w:rPr>
      <w:rFonts w:ascii="Times New Roman" w:hAnsi="Times New Roman" w:eastAsia="黑体"/>
      <w:bCs/>
      <w:sz w:val="32"/>
      <w:szCs w:val="32"/>
    </w:rPr>
  </w:style>
  <w:style w:type="paragraph" w:customStyle="1" w:styleId="18">
    <w:name w:val="段"/>
    <w:link w:val="19"/>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19">
    <w:name w:val="段 Char"/>
    <w:link w:val="18"/>
    <w:qFormat/>
    <w:uiPriority w:val="0"/>
    <w:rPr>
      <w:rFonts w:ascii="宋体" w:hAnsi="Times New Roman" w:eastAsia="宋体" w:cs="Times New Roman"/>
      <w:kern w:val="0"/>
      <w:szCs w:val="20"/>
    </w:rPr>
  </w:style>
  <w:style w:type="paragraph" w:customStyle="1" w:styleId="20">
    <w:name w:val="一级条标题"/>
    <w:next w:val="18"/>
    <w:qFormat/>
    <w:uiPriority w:val="0"/>
    <w:pPr>
      <w:numPr>
        <w:ilvl w:val="1"/>
        <w:numId w:val="1"/>
      </w:numPr>
      <w:spacing w:before="156" w:beforeLines="50" w:after="156" w:afterLines="50"/>
      <w:outlineLvl w:val="2"/>
    </w:pPr>
    <w:rPr>
      <w:rFonts w:ascii="黑体" w:hAnsi="Times New Roman" w:eastAsia="黑体" w:cs="Times New Roman"/>
      <w:kern w:val="0"/>
      <w:sz w:val="21"/>
      <w:szCs w:val="21"/>
      <w:lang w:val="en-US" w:eastAsia="zh-CN" w:bidi="ar-SA"/>
    </w:rPr>
  </w:style>
  <w:style w:type="paragraph" w:customStyle="1" w:styleId="21">
    <w:name w:val="章标题"/>
    <w:next w:val="18"/>
    <w:qFormat/>
    <w:uiPriority w:val="0"/>
    <w:pPr>
      <w:numPr>
        <w:ilvl w:val="0"/>
        <w:numId w:val="1"/>
      </w:numPr>
      <w:spacing w:before="312" w:beforeLines="100" w:after="312" w:afterLines="100"/>
      <w:jc w:val="both"/>
      <w:outlineLvl w:val="1"/>
    </w:pPr>
    <w:rPr>
      <w:rFonts w:ascii="黑体" w:hAnsi="Times New Roman" w:eastAsia="黑体" w:cs="Times New Roman"/>
      <w:kern w:val="0"/>
      <w:sz w:val="21"/>
      <w:szCs w:val="20"/>
      <w:lang w:val="en-US" w:eastAsia="zh-CN" w:bidi="ar-SA"/>
    </w:rPr>
  </w:style>
  <w:style w:type="paragraph" w:customStyle="1" w:styleId="22">
    <w:name w:val="二级条标题"/>
    <w:basedOn w:val="20"/>
    <w:next w:val="18"/>
    <w:qFormat/>
    <w:uiPriority w:val="0"/>
    <w:pPr>
      <w:numPr>
        <w:ilvl w:val="2"/>
      </w:numPr>
      <w:spacing w:before="50" w:after="50"/>
      <w:outlineLvl w:val="3"/>
    </w:pPr>
  </w:style>
  <w:style w:type="paragraph" w:customStyle="1" w:styleId="23">
    <w:name w:val="三级条标题"/>
    <w:basedOn w:val="22"/>
    <w:next w:val="18"/>
    <w:qFormat/>
    <w:uiPriority w:val="0"/>
    <w:pPr>
      <w:numPr>
        <w:ilvl w:val="3"/>
      </w:numPr>
      <w:outlineLvl w:val="4"/>
    </w:pPr>
  </w:style>
  <w:style w:type="paragraph" w:customStyle="1" w:styleId="24">
    <w:name w:val="四级条标题"/>
    <w:basedOn w:val="23"/>
    <w:next w:val="18"/>
    <w:qFormat/>
    <w:uiPriority w:val="0"/>
    <w:pPr>
      <w:numPr>
        <w:ilvl w:val="4"/>
      </w:numPr>
      <w:outlineLvl w:val="5"/>
    </w:pPr>
  </w:style>
  <w:style w:type="paragraph" w:customStyle="1" w:styleId="25">
    <w:name w:val="五级条标题"/>
    <w:basedOn w:val="24"/>
    <w:next w:val="18"/>
    <w:uiPriority w:val="0"/>
    <w:pPr>
      <w:numPr>
        <w:ilvl w:val="5"/>
      </w:numPr>
      <w:outlineLvl w:val="6"/>
    </w:pPr>
  </w:style>
  <w:style w:type="paragraph" w:styleId="26">
    <w:name w:val="List Paragraph"/>
    <w:basedOn w:val="1"/>
    <w:qFormat/>
    <w:uiPriority w:val="34"/>
    <w:pPr>
      <w:widowControl/>
      <w:spacing w:line="240" w:lineRule="auto"/>
      <w:ind w:firstLine="420" w:firstLineChars="200"/>
      <w:jc w:val="left"/>
    </w:pPr>
    <w:rPr>
      <w:rFonts w:ascii="宋体" w:hAnsi="宋体" w:cs="宋体"/>
      <w:kern w:val="0"/>
      <w:sz w:val="24"/>
      <w:szCs w:val="24"/>
    </w:rPr>
  </w:style>
  <w:style w:type="character" w:customStyle="1" w:styleId="27">
    <w:name w:val="正文文本_"/>
    <w:basedOn w:val="13"/>
    <w:link w:val="28"/>
    <w:qFormat/>
    <w:uiPriority w:val="0"/>
    <w:rPr>
      <w:rFonts w:ascii="微软雅黑" w:hAnsi="微软雅黑" w:eastAsia="微软雅黑" w:cs="微软雅黑"/>
      <w:sz w:val="22"/>
      <w:shd w:val="clear" w:color="auto" w:fill="FFFFFF"/>
      <w:lang w:val="zh-CN" w:bidi="zh-CN"/>
    </w:rPr>
  </w:style>
  <w:style w:type="paragraph" w:customStyle="1" w:styleId="28">
    <w:name w:val="正文文本1"/>
    <w:basedOn w:val="1"/>
    <w:link w:val="27"/>
    <w:qFormat/>
    <w:uiPriority w:val="0"/>
    <w:pPr>
      <w:shd w:val="clear" w:color="auto" w:fill="FFFFFF"/>
      <w:spacing w:after="40" w:line="386" w:lineRule="auto"/>
      <w:ind w:firstLine="400"/>
      <w:jc w:val="left"/>
    </w:pPr>
    <w:rPr>
      <w:rFonts w:ascii="微软雅黑" w:hAnsi="微软雅黑" w:eastAsia="微软雅黑" w:cs="微软雅黑"/>
      <w:sz w:val="22"/>
      <w:lang w:val="zh-CN" w:bidi="zh-CN"/>
    </w:rPr>
  </w:style>
  <w:style w:type="character" w:customStyle="1" w:styleId="29">
    <w:name w:val="批注框文本 Char"/>
    <w:basedOn w:val="13"/>
    <w:link w:val="6"/>
    <w:semiHidden/>
    <w:uiPriority w:val="99"/>
    <w:rPr>
      <w:rFonts w:ascii="Times New Roman" w:hAnsi="Times New Roman" w:eastAsia="宋体"/>
      <w:sz w:val="18"/>
      <w:szCs w:val="18"/>
    </w:rPr>
  </w:style>
  <w:style w:type="character" w:customStyle="1" w:styleId="30">
    <w:name w:val="页眉 Char"/>
    <w:basedOn w:val="13"/>
    <w:link w:val="8"/>
    <w:uiPriority w:val="99"/>
    <w:rPr>
      <w:rFonts w:ascii="Times New Roman" w:hAnsi="Times New Roman" w:eastAsia="宋体"/>
      <w:sz w:val="18"/>
      <w:szCs w:val="18"/>
    </w:rPr>
  </w:style>
  <w:style w:type="character" w:customStyle="1" w:styleId="31">
    <w:name w:val="页脚 Char"/>
    <w:basedOn w:val="13"/>
    <w:link w:val="7"/>
    <w:uiPriority w:val="99"/>
    <w:rPr>
      <w:rFonts w:ascii="Times New Roman" w:hAnsi="Times New Roman" w:eastAsia="宋体"/>
      <w:sz w:val="18"/>
      <w:szCs w:val="18"/>
    </w:rPr>
  </w:style>
  <w:style w:type="paragraph" w:customStyle="1" w:styleId="32">
    <w:name w:val="附录表标号"/>
    <w:basedOn w:val="1"/>
    <w:next w:val="18"/>
    <w:uiPriority w:val="0"/>
    <w:pPr>
      <w:numPr>
        <w:ilvl w:val="0"/>
        <w:numId w:val="2"/>
      </w:numPr>
      <w:tabs>
        <w:tab w:val="clear" w:pos="0"/>
      </w:tabs>
      <w:spacing w:line="14" w:lineRule="exact"/>
      <w:ind w:left="811" w:hanging="448"/>
      <w:jc w:val="center"/>
      <w:outlineLvl w:val="0"/>
    </w:pPr>
    <w:rPr>
      <w:rFonts w:cs="Times New Roman"/>
      <w:color w:val="FFFFFF"/>
      <w:szCs w:val="24"/>
    </w:rPr>
  </w:style>
  <w:style w:type="paragraph" w:customStyle="1" w:styleId="33">
    <w:name w:val="附录表标题"/>
    <w:basedOn w:val="1"/>
    <w:next w:val="18"/>
    <w:qFormat/>
    <w:uiPriority w:val="0"/>
    <w:pPr>
      <w:numPr>
        <w:ilvl w:val="1"/>
        <w:numId w:val="2"/>
      </w:numPr>
      <w:spacing w:before="50" w:beforeLines="50" w:after="50" w:afterLines="50" w:line="240" w:lineRule="auto"/>
      <w:ind w:left="567"/>
      <w:jc w:val="center"/>
    </w:pPr>
    <w:rPr>
      <w:rFonts w:ascii="黑体" w:eastAsia="黑体" w:cs="Times New Roman"/>
      <w:szCs w:val="21"/>
    </w:rPr>
  </w:style>
  <w:style w:type="paragraph" w:customStyle="1" w:styleId="3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2633-0B45-4870-A79E-FE22BBFC0718}">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1061</Words>
  <Characters>1175</Characters>
  <Lines>93</Lines>
  <Paragraphs>26</Paragraphs>
  <TotalTime>1</TotalTime>
  <ScaleCrop>false</ScaleCrop>
  <LinksUpToDate>false</LinksUpToDate>
  <CharactersWithSpaces>1260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2020-11-03T08:59:00Z</dcterms:created>
  <dc:creator>wangxin</dc:creator>
  <cp:lastModifiedBy>赵旭</cp:lastModifiedBy>
  <cp:lastPrinted>2020-09-21T11:08:00Z</cp:lastPrinted>
  <dcterms:modified xsi:type="dcterms:W3CDTF">2025-03-05T07:15:14Z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eyJoZGlkIjoiYjQ4NmM3ZGU0MzFkYTQzMTExZDdhYTk5MDczNzcxNmUiLCJ1c2VySWQiOiIxMDgyMzM2MzI3In0=</vt:lpwstr>
  </property>
  <property fmtid="{D5CDD505-2E9C-101B-9397-08002B2CF9AE}" pid="4" name="ICV">
    <vt:lpwstr>879FF535529D405A9F8352D96C21E6E5_12</vt:lpwstr>
  </property>
</Properties>
</file>