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spacing w:after="0" w:line="560" w:lineRule="exact"/>
        <w:ind w:left="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黑体" w:hAnsi="黑体" w:eastAsia="黑体"/>
          <w:sz w:val="32"/>
          <w:szCs w:val="32"/>
        </w:rPr>
      </w:pPr>
    </w:p>
    <w:p>
      <w:pPr>
        <w:pStyle w:val="50"/>
        <w:spacing w:after="0" w:line="560" w:lineRule="exact"/>
        <w:ind w:left="0"/>
        <w:rPr>
          <w:rFonts w:ascii="仿宋_GB2312" w:hAnsi="仿宋" w:eastAsia="仿宋_GB2312"/>
          <w:sz w:val="32"/>
          <w:szCs w:val="32"/>
        </w:rPr>
      </w:pPr>
    </w:p>
    <w:p>
      <w:pPr>
        <w:pStyle w:val="50"/>
        <w:spacing w:after="0" w:line="560" w:lineRule="exact"/>
        <w:ind w:left="0"/>
        <w:rPr>
          <w:rFonts w:ascii="仿宋_GB2312" w:hAnsi="仿宋" w:eastAsia="仿宋_GB2312"/>
          <w:sz w:val="32"/>
          <w:szCs w:val="32"/>
        </w:rPr>
      </w:pPr>
    </w:p>
    <w:p>
      <w:pPr>
        <w:pStyle w:val="50"/>
        <w:spacing w:after="0" w:line="480" w:lineRule="auto"/>
        <w:ind w:left="0"/>
        <w:jc w:val="center"/>
        <w:rPr>
          <w:rFonts w:ascii="宋体" w:hAnsi="宋体"/>
          <w:b/>
          <w:sz w:val="44"/>
          <w:szCs w:val="44"/>
        </w:rPr>
      </w:pPr>
      <w:r>
        <w:rPr>
          <w:rFonts w:hint="eastAsia" w:ascii="宋体" w:hAnsi="宋体"/>
          <w:b/>
          <w:sz w:val="44"/>
          <w:szCs w:val="44"/>
        </w:rPr>
        <w:t>北京市碳排放第三方核查报告</w:t>
      </w:r>
    </w:p>
    <w:p>
      <w:pPr>
        <w:pStyle w:val="50"/>
        <w:spacing w:after="0" w:line="480" w:lineRule="auto"/>
        <w:ind w:left="0"/>
        <w:jc w:val="center"/>
        <w:rPr>
          <w:rFonts w:ascii="仿宋_GB2312" w:hAnsi="宋体" w:eastAsia="仿宋_GB2312"/>
          <w:sz w:val="32"/>
          <w:szCs w:val="32"/>
        </w:rPr>
      </w:pPr>
      <w:r>
        <w:rPr>
          <w:rFonts w:hint="eastAsia" w:ascii="宋体" w:hAnsi="宋体"/>
          <w:b/>
          <w:sz w:val="44"/>
          <w:szCs w:val="44"/>
        </w:rPr>
        <w:t>编写指南</w:t>
      </w:r>
    </w:p>
    <w:p>
      <w:pPr>
        <w:spacing w:after="0" w:line="560" w:lineRule="exact"/>
        <w:ind w:firstLine="902"/>
        <w:jc w:val="center"/>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902"/>
        <w:rPr>
          <w:rFonts w:ascii="方正小标宋简体" w:hAnsi="仿宋" w:eastAsia="方正小标宋简体"/>
          <w:sz w:val="44"/>
          <w:szCs w:val="44"/>
        </w:rPr>
      </w:pPr>
    </w:p>
    <w:p>
      <w:pPr>
        <w:spacing w:after="0" w:line="560" w:lineRule="exact"/>
        <w:ind w:firstLine="3322" w:firstLineChars="755"/>
        <w:rPr>
          <w:rFonts w:hint="eastAsia" w:ascii="方正小标宋简体" w:hAnsi="仿宋" w:eastAsia="方正小标宋简体"/>
          <w:sz w:val="44"/>
          <w:szCs w:val="44"/>
        </w:rPr>
      </w:pPr>
      <w:r>
        <w:rPr>
          <w:rFonts w:hint="eastAsia" w:ascii="方正小标宋简体" w:hAnsi="仿宋" w:eastAsia="方正小标宋简体"/>
          <w:sz w:val="44"/>
          <w:szCs w:val="44"/>
        </w:rPr>
        <w:t>前言</w:t>
      </w:r>
    </w:p>
    <w:p>
      <w:pPr>
        <w:spacing w:after="0" w:line="560" w:lineRule="exact"/>
        <w:ind w:firstLine="3322" w:firstLineChars="755"/>
        <w:rPr>
          <w:rFonts w:ascii="方正小标宋简体" w:hAnsi="仿宋" w:eastAsia="方正小标宋简体"/>
          <w:sz w:val="44"/>
          <w:szCs w:val="44"/>
        </w:rPr>
      </w:pP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今年中央财经委员会第九次会议再次强调，要实施重点行业领域减污降碳行动，要坚持政府和市场两手发力。为深入贯彻</w:t>
      </w:r>
      <w:r>
        <w:rPr>
          <w:rFonts w:hint="eastAsia" w:ascii="仿宋_GB2312" w:eastAsia="仿宋_GB2312"/>
          <w:sz w:val="32"/>
          <w:szCs w:val="32"/>
          <w:lang w:eastAsia="zh-CN"/>
        </w:rPr>
        <w:t>习近平</w:t>
      </w:r>
      <w:r>
        <w:rPr>
          <w:rFonts w:hint="eastAsia" w:ascii="仿宋_GB2312" w:eastAsia="仿宋_GB2312"/>
          <w:sz w:val="32"/>
          <w:szCs w:val="32"/>
        </w:rPr>
        <w:t>总书记重大宣示和重要讲话精神，将碳排放权交易作为支撑实现温室排放控制目标</w:t>
      </w:r>
      <w:bookmarkStart w:id="27" w:name="_GoBack"/>
      <w:bookmarkEnd w:id="27"/>
      <w:r>
        <w:rPr>
          <w:rFonts w:hint="eastAsia" w:ascii="仿宋_GB2312" w:eastAsia="仿宋_GB2312"/>
          <w:sz w:val="32"/>
          <w:szCs w:val="32"/>
        </w:rPr>
        <w:t>和协同控制大气污染物排放的重要抓手，切实提升本市碳排放权交易相关数据的科学性和规范性，结合实际工作，对重点碳排放单位年度核算要求进行了规范，一是要求本市碳排放权交易市场管理的排放单位年度碳排放核算和报告原则上按照本市发布的《二氧化碳排放核算和报告要求 电力生产业》（DB11/T 1781-2020）等7个地方标准执行，二是民用航空运输企业按照《民用航空运输的核算和报告要求》开展核算和报告工作。上述变化对第三方核查报告编制提出了新的工作要求，各核查机构应结合新的核算要求，进一步提高相关人员专业技术能力，科学核算各排放单位的二氧化碳排放量，丰富和完善核查报告，为本市碳排放权交易工作提供技术支撑。</w:t>
      </w:r>
    </w:p>
    <w:p>
      <w:pPr>
        <w:spacing w:after="0" w:line="240" w:lineRule="auto"/>
        <w:rPr>
          <w:rFonts w:ascii="仿宋_GB2312" w:hAnsi="仿宋" w:eastAsia="仿宋_GB2312"/>
          <w:sz w:val="32"/>
          <w:szCs w:val="32"/>
        </w:rPr>
        <w:sectPr>
          <w:pgSz w:w="11906" w:h="16838"/>
          <w:pgMar w:top="1440" w:right="1800" w:bottom="1440" w:left="1800" w:header="851" w:footer="992" w:gutter="0"/>
          <w:cols w:space="720" w:num="1"/>
          <w:docGrid w:type="lines" w:linePitch="312" w:charSpace="0"/>
        </w:sectPr>
      </w:pPr>
    </w:p>
    <w:p>
      <w:pPr>
        <w:spacing w:after="0" w:line="560" w:lineRule="exact"/>
        <w:ind w:firstLine="656" w:firstLineChars="205"/>
        <w:outlineLvl w:val="0"/>
        <w:rPr>
          <w:rFonts w:ascii="黑体" w:hAnsi="黑体" w:eastAsia="黑体"/>
          <w:sz w:val="32"/>
          <w:szCs w:val="32"/>
        </w:rPr>
      </w:pPr>
      <w:bookmarkStart w:id="0" w:name="_Toc353116421"/>
      <w:r>
        <w:rPr>
          <w:rFonts w:hint="eastAsia" w:ascii="黑体" w:hAnsi="黑体" w:eastAsia="黑体"/>
          <w:sz w:val="32"/>
          <w:szCs w:val="32"/>
        </w:rPr>
        <w:t>一、适用范围</w:t>
      </w:r>
      <w:bookmarkEnd w:id="0"/>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本指南用于指导第三方核查机构对北京市碳排放权交易试点机制下二氧化碳重点排放单位（以下简称“重点碳排放单位”）及自愿参与交易的一般二氧化碳报告单位提交的二氧化碳排放报告实施核查后的二氧化碳排放核查报告编制工作。</w:t>
      </w:r>
    </w:p>
    <w:p>
      <w:pPr>
        <w:spacing w:after="0" w:line="560" w:lineRule="exact"/>
        <w:ind w:firstLine="656" w:firstLineChars="205"/>
        <w:outlineLvl w:val="0"/>
        <w:rPr>
          <w:rFonts w:ascii="黑体" w:hAnsi="黑体" w:eastAsia="黑体"/>
          <w:sz w:val="32"/>
          <w:szCs w:val="32"/>
        </w:rPr>
      </w:pPr>
      <w:bookmarkStart w:id="1" w:name="_Toc353116422"/>
      <w:r>
        <w:rPr>
          <w:rFonts w:hint="eastAsia" w:ascii="黑体" w:hAnsi="黑体" w:eastAsia="黑体"/>
          <w:sz w:val="32"/>
          <w:szCs w:val="32"/>
        </w:rPr>
        <w:t>二、核查报告编制依据</w:t>
      </w:r>
      <w:bookmarkEnd w:id="1"/>
    </w:p>
    <w:p>
      <w:pPr>
        <w:widowControl w:val="0"/>
        <w:spacing w:after="0" w:line="560" w:lineRule="exact"/>
        <w:ind w:left="220" w:leftChars="100"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二氧化碳排放核查报告的编制依据包括以下文件。</w:t>
      </w:r>
    </w:p>
    <w:p>
      <w:pPr>
        <w:widowControl w:val="0"/>
        <w:spacing w:after="0" w:line="560" w:lineRule="exact"/>
        <w:ind w:left="220" w:leftChars="100" w:firstLine="640" w:firstLineChars="200"/>
        <w:jc w:val="both"/>
        <w:rPr>
          <w:rFonts w:ascii="仿宋_GB2312" w:hAnsi="仿宋" w:eastAsia="仿宋_GB2312"/>
          <w:sz w:val="32"/>
          <w:szCs w:val="32"/>
        </w:rPr>
      </w:pPr>
      <w:bookmarkStart w:id="2" w:name="_Toc353116425"/>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电力生产业（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781-2020</w:t>
      </w:r>
      <w:r>
        <w:rPr>
          <w:rFonts w:hint="eastAsia" w:ascii="仿宋_GB2312" w:hAnsi="仿宋" w:eastAsia="仿宋_GB2312"/>
          <w:sz w:val="32"/>
          <w:szCs w:val="32"/>
        </w:rPr>
        <w:t>》</w:t>
      </w:r>
      <w:r>
        <w:rPr>
          <w:rFonts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水泥制造业（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782-2020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石油化工生产业（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783-2020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热力生产和供应业（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784-2020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服务业（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785-2020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《二氧化碳排放核算和报告要求</w:t>
      </w:r>
      <w:r>
        <w:rPr>
          <w:rFonts w:ascii="仿宋_GB2312" w:hAnsi="仿宋" w:eastAsia="仿宋_GB2312"/>
          <w:sz w:val="32"/>
          <w:szCs w:val="32"/>
        </w:rPr>
        <w:t>道路运输业（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786-2020</w:t>
      </w:r>
      <w:r>
        <w:rPr>
          <w:rFonts w:hint="eastAsia" w:ascii="仿宋_GB2312" w:hAnsi="仿宋" w:eastAsia="仿宋_GB2312"/>
          <w:sz w:val="32"/>
          <w:szCs w:val="32"/>
        </w:rPr>
        <w:t>》</w:t>
      </w:r>
      <w:r>
        <w:rPr>
          <w:rFonts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 xml:space="preserve">《二氧化碳排放核算和报告要求 </w:t>
      </w:r>
      <w:r>
        <w:rPr>
          <w:rFonts w:ascii="仿宋_GB2312" w:hAnsi="仿宋" w:eastAsia="仿宋_GB2312"/>
          <w:sz w:val="32"/>
          <w:szCs w:val="32"/>
        </w:rPr>
        <w:t>其它行业（</w:t>
      </w:r>
      <w:r>
        <w:rPr>
          <w:rFonts w:hint="eastAsia" w:ascii="仿宋_GB2312" w:hAnsi="仿宋" w:eastAsia="仿宋_GB2312"/>
          <w:sz w:val="32"/>
          <w:szCs w:val="32"/>
        </w:rPr>
        <w:t>D</w:t>
      </w:r>
      <w:r>
        <w:rPr>
          <w:rFonts w:ascii="仿宋_GB2312" w:hAnsi="仿宋" w:eastAsia="仿宋_GB2312"/>
          <w:sz w:val="32"/>
          <w:szCs w:val="32"/>
        </w:rPr>
        <w:t>B11/T</w:t>
      </w:r>
      <w:r>
        <w:rPr>
          <w:rFonts w:hint="eastAsia" w:ascii="仿宋_GB2312" w:hAnsi="仿宋" w:eastAsia="仿宋_GB2312"/>
          <w:sz w:val="32"/>
          <w:szCs w:val="32"/>
        </w:rPr>
        <w:t>1</w:t>
      </w:r>
      <w:r>
        <w:rPr>
          <w:rFonts w:ascii="仿宋_GB2312" w:hAnsi="仿宋" w:eastAsia="仿宋_GB2312"/>
          <w:sz w:val="32"/>
          <w:szCs w:val="32"/>
        </w:rPr>
        <w:t>787-2020</w:t>
      </w:r>
      <w:r>
        <w:rPr>
          <w:rFonts w:hint="eastAsia" w:ascii="仿宋_GB2312" w:hAnsi="仿宋" w:eastAsia="仿宋_GB2312"/>
          <w:sz w:val="32"/>
          <w:szCs w:val="32"/>
        </w:rPr>
        <w:t>》</w:t>
      </w:r>
    </w:p>
    <w:p>
      <w:pPr>
        <w:widowControl w:val="0"/>
        <w:spacing w:after="0" w:line="560" w:lineRule="exact"/>
        <w:ind w:left="220" w:leftChars="100" w:firstLine="640" w:firstLineChars="200"/>
        <w:jc w:val="both"/>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《北京市碳排放单位二氧化碳排放核算和报告要求》。</w:t>
      </w:r>
    </w:p>
    <w:bookmarkEnd w:id="2"/>
    <w:p>
      <w:pPr>
        <w:spacing w:after="0" w:line="560" w:lineRule="exact"/>
        <w:ind w:firstLine="656" w:firstLineChars="205"/>
        <w:outlineLvl w:val="0"/>
        <w:rPr>
          <w:rFonts w:ascii="黑体" w:hAnsi="黑体" w:eastAsia="黑体"/>
          <w:sz w:val="32"/>
          <w:szCs w:val="32"/>
        </w:rPr>
      </w:pPr>
      <w:bookmarkStart w:id="3" w:name="_Toc353116426"/>
      <w:r>
        <w:rPr>
          <w:rFonts w:hint="eastAsia" w:ascii="黑体" w:hAnsi="黑体" w:eastAsia="黑体"/>
          <w:sz w:val="32"/>
          <w:szCs w:val="32"/>
        </w:rPr>
        <w:t>三、核查报告编制原则和方法</w:t>
      </w:r>
      <w:bookmarkEnd w:id="3"/>
    </w:p>
    <w:p>
      <w:pPr>
        <w:spacing w:after="0" w:line="560" w:lineRule="exact"/>
        <w:ind w:firstLine="880" w:firstLineChars="274"/>
        <w:outlineLvl w:val="0"/>
        <w:rPr>
          <w:rFonts w:ascii="楷体_GB2312" w:hAnsi="仿宋" w:eastAsia="楷体_GB2312"/>
          <w:b/>
          <w:sz w:val="32"/>
          <w:szCs w:val="32"/>
        </w:rPr>
      </w:pPr>
      <w:bookmarkStart w:id="4" w:name="_Toc353116427"/>
      <w:r>
        <w:rPr>
          <w:rFonts w:hint="eastAsia" w:ascii="楷体_GB2312" w:hAnsi="仿宋" w:eastAsia="楷体_GB2312"/>
          <w:b/>
          <w:sz w:val="32"/>
          <w:szCs w:val="32"/>
        </w:rPr>
        <w:t>（一）编制原则</w:t>
      </w:r>
      <w:bookmarkEnd w:id="4"/>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报告的编写应当遵循客观独立、公平公正、诚实守信、实事求是的原则。核查机构应独立于重点碳排放单位，避免可能的直接或间接利益冲突，核查员在核查过程中应保持客观，核查结论应以核查过程中获得的客观依据为基础，避免任何偏见，不受其它利益方的影响；</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核查机构应当采用文档查阅、现场观察和访问、分析计算等方法获取编制核查报告所需的资料和数据。</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一致性。一致性体现在:在整个报告期内的核算和报告的准则保持一致；历史排放报告和年度排放报告的核查方法保持一致；在不同重点碳排放单位存在类似情形时，核查方法保持一致。</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核查机构在核查过程中应当保持透明性。透明性体现在核查报告中的信息应以一种开放的、清晰的、实际的、中立的和相关的方式来表达，并且以文件化的证据为基础，应清晰地标明引用文件。</w:t>
      </w:r>
    </w:p>
    <w:p>
      <w:pPr>
        <w:pStyle w:val="58"/>
        <w:numPr>
          <w:ilvl w:val="0"/>
          <w:numId w:val="1"/>
        </w:numPr>
        <w:spacing w:line="560" w:lineRule="exact"/>
        <w:ind w:left="110" w:firstLine="770"/>
        <w:rPr>
          <w:rFonts w:ascii="仿宋_GB2312" w:hAnsi="仿宋" w:eastAsia="仿宋_GB2312"/>
          <w:sz w:val="32"/>
          <w:szCs w:val="32"/>
        </w:rPr>
      </w:pPr>
      <w:r>
        <w:rPr>
          <w:rFonts w:hint="eastAsia" w:ascii="仿宋_GB2312" w:hAnsi="仿宋" w:eastAsia="仿宋_GB2312"/>
          <w:sz w:val="32"/>
          <w:szCs w:val="32"/>
        </w:rPr>
        <w:t>核查机构应当保守重点碳排放单位的商业秘密及相关数据和资料。核查员应遵守核查机构与重点碳排放单位签订的核查协议中约定的保密条款，对核查过程中所获取的信息负有保密责任。</w:t>
      </w:r>
    </w:p>
    <w:p>
      <w:pPr>
        <w:spacing w:after="0" w:line="560" w:lineRule="exact"/>
        <w:ind w:firstLine="880" w:firstLineChars="274"/>
        <w:outlineLvl w:val="0"/>
        <w:rPr>
          <w:rFonts w:ascii="楷体_GB2312" w:hAnsi="仿宋" w:eastAsia="楷体_GB2312"/>
          <w:b/>
          <w:sz w:val="32"/>
          <w:szCs w:val="32"/>
        </w:rPr>
      </w:pPr>
      <w:bookmarkStart w:id="5" w:name="_Toc353116428"/>
      <w:r>
        <w:rPr>
          <w:rFonts w:hint="eastAsia" w:ascii="楷体_GB2312" w:hAnsi="仿宋" w:eastAsia="楷体_GB2312"/>
          <w:b/>
          <w:sz w:val="32"/>
          <w:szCs w:val="32"/>
        </w:rPr>
        <w:t>（二）编制方法</w:t>
      </w:r>
      <w:bookmarkEnd w:id="5"/>
    </w:p>
    <w:p>
      <w:pPr>
        <w:spacing w:after="0" w:line="560" w:lineRule="exact"/>
        <w:ind w:firstLine="656" w:firstLineChars="205"/>
        <w:outlineLvl w:val="0"/>
        <w:rPr>
          <w:rFonts w:ascii="仿宋_GB2312" w:hAnsi="仿宋" w:eastAsia="仿宋_GB2312"/>
          <w:sz w:val="32"/>
          <w:szCs w:val="32"/>
        </w:rPr>
      </w:pPr>
      <w:r>
        <w:rPr>
          <w:rFonts w:hint="eastAsia" w:ascii="仿宋_GB2312" w:hAnsi="仿宋" w:eastAsia="仿宋_GB2312"/>
          <w:sz w:val="32"/>
          <w:szCs w:val="32"/>
        </w:rPr>
        <w:t>1.基本原理</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二氧化碳排放核算和核查所依据的基本原理包括：物料平衡原理、排放因子计算方法以及实时监测原理。实时监测办法测量结果的不确定性不能高于采用基于物料平衡或基于排放因子的方法学的计算结果。</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2.基本方法</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核查机构应使用标准的核查方法来评估重点碳排放单位提供信息的质量，并编写核查报告。方法包括但不限于：</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1）文件评审，包括：</w:t>
      </w:r>
    </w:p>
    <w:p>
      <w:pPr>
        <w:pStyle w:val="58"/>
        <w:numPr>
          <w:ilvl w:val="0"/>
          <w:numId w:val="2"/>
        </w:numPr>
        <w:spacing w:line="560" w:lineRule="exact"/>
        <w:ind w:left="0" w:firstLine="480"/>
        <w:rPr>
          <w:rFonts w:ascii="仿宋_GB2312" w:hAnsi="仿宋" w:eastAsia="仿宋_GB2312"/>
          <w:sz w:val="32"/>
          <w:szCs w:val="32"/>
        </w:rPr>
      </w:pPr>
      <w:r>
        <w:rPr>
          <w:rFonts w:hint="eastAsia" w:ascii="仿宋_GB2312" w:hAnsi="仿宋" w:eastAsia="仿宋_GB2312" w:cs="Arial"/>
          <w:sz w:val="32"/>
          <w:szCs w:val="32"/>
        </w:rPr>
        <w:t>评审重点碳排放单位提供的数据和信息的完整性，判断排放是否包括了所有的相关地方标准或适用核算和报告指南所界定的化石燃料燃烧的二氧化碳排放、工业生产过程的二氧化碳排放、废弃物处理等二氧化碳直接排放以及电力消耗隐含的电力生产时的二氧化碳间接排放</w:t>
      </w:r>
      <w:r>
        <w:rPr>
          <w:rFonts w:hint="eastAsia" w:ascii="仿宋_GB2312" w:hAnsi="仿宋" w:eastAsia="仿宋_GB2312"/>
          <w:sz w:val="32"/>
          <w:szCs w:val="32"/>
        </w:rPr>
        <w:t>；</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若发现异常值、异常波动和趋势、数据缺失、与其他相关信息不一致或与预期数值、比率显著不同的数据，应要求重点碳排放单位对此提供解释，同时提供其他的相关证据予以支持。根据提供的解释和其他证据，核查机构应评估这些异常对所报告数据产生的影响。</w:t>
      </w:r>
    </w:p>
    <w:p>
      <w:pPr>
        <w:pStyle w:val="58"/>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2)现场访问，包括：</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设施的边界以及排放源的完整性，检查设备的名称、设备型号和物理位置，还可根据风险的大小决定是否需要访问重点碳排放单位的其他地点，包括开展数据流管理和其他质量控制活动的其他地点，例如集团总部和不在该现场的其他办公场所；</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访谈相关人员以判断数据收集程序与</w:t>
      </w:r>
      <w:r>
        <w:rPr>
          <w:rFonts w:hint="eastAsia" w:ascii="仿宋_GB2312" w:hAnsi="仿宋" w:eastAsia="仿宋_GB2312"/>
          <w:sz w:val="32"/>
          <w:szCs w:val="32"/>
        </w:rPr>
        <w:t>相关行业指南的要求是否保持一致。并且确保对于同一企业的同一种生产活动，其二氧化碳排放的核算方法应保持不变</w:t>
      </w:r>
      <w:r>
        <w:rPr>
          <w:rFonts w:hint="eastAsia" w:ascii="仿宋_GB2312" w:hAnsi="仿宋" w:eastAsia="仿宋_GB2312" w:cs="Arial"/>
          <w:sz w:val="32"/>
          <w:szCs w:val="32"/>
        </w:rPr>
        <w:t>；</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检查测量设备</w:t>
      </w:r>
      <w:r>
        <w:rPr>
          <w:rFonts w:hint="eastAsia" w:ascii="仿宋_GB2312" w:hAnsi="仿宋" w:eastAsia="仿宋_GB2312"/>
          <w:sz w:val="32"/>
          <w:szCs w:val="32"/>
        </w:rPr>
        <w:t>，</w:t>
      </w:r>
      <w:r>
        <w:rPr>
          <w:rFonts w:hint="eastAsia" w:ascii="仿宋_GB2312" w:hAnsi="仿宋" w:eastAsia="仿宋_GB2312" w:cs="Arial"/>
          <w:sz w:val="32"/>
          <w:szCs w:val="32"/>
        </w:rPr>
        <w:t>包括检查设备的精度及校准记录及观察测量设备的运行，评审数据的监测频次，判断数据的监测和监测计划的制定与实施是否符合适用的地方标准或核算和报告指南的要求；</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评审数据产生、数据记录、数据传递、数据</w:t>
      </w:r>
      <w:r>
        <w:rPr>
          <w:rFonts w:hint="eastAsia" w:ascii="仿宋_GB2312" w:hAnsi="仿宋" w:eastAsia="仿宋_GB2312"/>
          <w:sz w:val="32"/>
          <w:szCs w:val="32"/>
        </w:rPr>
        <w:t>汇总</w:t>
      </w:r>
      <w:r>
        <w:rPr>
          <w:rFonts w:hint="eastAsia" w:ascii="仿宋_GB2312" w:hAnsi="仿宋" w:eastAsia="仿宋_GB2312" w:cs="Arial"/>
          <w:sz w:val="32"/>
          <w:szCs w:val="32"/>
        </w:rPr>
        <w:t>和数据报告的信息流，判断重点碳排放单位是否以透明的方式获得、记录、分析二氧化碳排放相关数据，包括活动水平数据、排放因子数据等；</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sz w:val="32"/>
          <w:szCs w:val="32"/>
        </w:rPr>
        <w:t>交叉</w:t>
      </w:r>
      <w:r>
        <w:rPr>
          <w:rFonts w:hint="eastAsia" w:ascii="仿宋_GB2312" w:hAnsi="仿宋" w:eastAsia="仿宋_GB2312" w:cs="Arial"/>
          <w:sz w:val="32"/>
          <w:szCs w:val="32"/>
        </w:rPr>
        <w:t>核对排放报告</w:t>
      </w:r>
      <w:r>
        <w:rPr>
          <w:rFonts w:hint="eastAsia" w:ascii="仿宋_GB2312" w:hAnsi="仿宋" w:eastAsia="仿宋_GB2312"/>
          <w:sz w:val="32"/>
          <w:szCs w:val="32"/>
        </w:rPr>
        <w:t>提供</w:t>
      </w:r>
      <w:r>
        <w:rPr>
          <w:rFonts w:hint="eastAsia" w:ascii="仿宋_GB2312" w:hAnsi="仿宋" w:eastAsia="仿宋_GB2312" w:cs="Arial"/>
          <w:sz w:val="32"/>
          <w:szCs w:val="32"/>
        </w:rPr>
        <w:t>的信息和其他来源的数据（比如运行日志，库存，采购记录或其他相似数据来源），判断排放量的计算和相关数据的确定是否存在系统性的错误或者人为的故意错误，排放量计算结果是否能够真实地反映报告企业（单位）的实际情况；</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评审在确定二氧化碳排放时所</w:t>
      </w:r>
      <w:r>
        <w:rPr>
          <w:rFonts w:hint="eastAsia" w:ascii="仿宋_GB2312" w:hAnsi="仿宋" w:eastAsia="仿宋_GB2312"/>
          <w:sz w:val="32"/>
          <w:szCs w:val="32"/>
        </w:rPr>
        <w:t>做</w:t>
      </w:r>
      <w:r>
        <w:rPr>
          <w:rFonts w:hint="eastAsia" w:ascii="仿宋_GB2312" w:hAnsi="仿宋" w:eastAsia="仿宋_GB2312" w:cs="Arial"/>
          <w:sz w:val="32"/>
          <w:szCs w:val="32"/>
        </w:rPr>
        <w:t>的计算和假设，复原、验算排放的计算，判断计算结果是否正确；</w:t>
      </w:r>
    </w:p>
    <w:p>
      <w:pPr>
        <w:pStyle w:val="58"/>
        <w:numPr>
          <w:ilvl w:val="0"/>
          <w:numId w:val="3"/>
        </w:numPr>
        <w:spacing w:line="560" w:lineRule="exact"/>
        <w:ind w:left="0" w:firstLine="480"/>
        <w:rPr>
          <w:rFonts w:ascii="仿宋_GB2312" w:hAnsi="仿宋" w:eastAsia="仿宋_GB2312" w:cs="Arial"/>
          <w:sz w:val="32"/>
          <w:szCs w:val="32"/>
        </w:rPr>
      </w:pPr>
      <w:r>
        <w:rPr>
          <w:rFonts w:hint="eastAsia" w:ascii="仿宋_GB2312" w:hAnsi="仿宋" w:eastAsia="仿宋_GB2312" w:cs="Arial"/>
          <w:sz w:val="32"/>
          <w:szCs w:val="32"/>
        </w:rPr>
        <w:t>评审企业建立的核算和报告质量管理体系是否符合要求。</w:t>
      </w:r>
    </w:p>
    <w:p>
      <w:pPr>
        <w:spacing w:after="0" w:line="560" w:lineRule="exact"/>
        <w:ind w:firstLine="656" w:firstLineChars="205"/>
        <w:jc w:val="both"/>
        <w:outlineLvl w:val="0"/>
        <w:rPr>
          <w:rFonts w:ascii="黑体" w:hAnsi="黑体" w:eastAsia="黑体"/>
          <w:sz w:val="32"/>
          <w:szCs w:val="32"/>
        </w:rPr>
      </w:pPr>
      <w:bookmarkStart w:id="6" w:name="_Toc353116429"/>
      <w:r>
        <w:rPr>
          <w:rFonts w:hint="eastAsia" w:ascii="黑体" w:hAnsi="黑体" w:eastAsia="黑体"/>
          <w:sz w:val="32"/>
          <w:szCs w:val="32"/>
        </w:rPr>
        <w:t>四、二氧化碳排放核查报告基本</w:t>
      </w:r>
      <w:bookmarkEnd w:id="6"/>
      <w:r>
        <w:rPr>
          <w:rFonts w:hint="eastAsia" w:ascii="黑体" w:hAnsi="黑体" w:eastAsia="黑体"/>
          <w:sz w:val="32"/>
          <w:szCs w:val="32"/>
        </w:rPr>
        <w:t>框架</w:t>
      </w:r>
    </w:p>
    <w:p>
      <w:pPr>
        <w:spacing w:after="0" w:line="560" w:lineRule="exact"/>
        <w:ind w:firstLine="659" w:firstLineChars="205"/>
        <w:jc w:val="both"/>
        <w:outlineLvl w:val="0"/>
        <w:rPr>
          <w:rFonts w:ascii="楷体_GB2312" w:hAnsi="仿宋" w:eastAsia="楷体_GB2312"/>
          <w:b/>
          <w:sz w:val="32"/>
          <w:szCs w:val="32"/>
        </w:rPr>
      </w:pPr>
      <w:bookmarkStart w:id="7" w:name="_Toc314496529"/>
      <w:bookmarkStart w:id="8" w:name="_Toc353116430"/>
      <w:r>
        <w:rPr>
          <w:rFonts w:hint="eastAsia" w:ascii="楷体_GB2312" w:hAnsi="仿宋" w:eastAsia="楷体_GB2312"/>
          <w:b/>
          <w:sz w:val="32"/>
          <w:szCs w:val="32"/>
        </w:rPr>
        <w:t>（一）报告文本</w:t>
      </w:r>
      <w:bookmarkEnd w:id="7"/>
      <w:bookmarkEnd w:id="8"/>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二氧化碳排放核查报告文本应包括以下内容，并按如下顺序装订成册：</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1.封面</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2.扉页</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3.目录</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4.正文</w:t>
      </w:r>
    </w:p>
    <w:p>
      <w:pPr>
        <w:widowControl w:val="0"/>
        <w:numPr>
          <w:ilvl w:val="0"/>
          <w:numId w:val="4"/>
        </w:numPr>
        <w:spacing w:after="0" w:line="560" w:lineRule="exact"/>
        <w:ind w:firstLine="240"/>
        <w:jc w:val="both"/>
        <w:rPr>
          <w:rFonts w:ascii="仿宋_GB2312" w:hAnsi="仿宋" w:eastAsia="仿宋_GB2312"/>
          <w:sz w:val="32"/>
          <w:szCs w:val="32"/>
        </w:rPr>
      </w:pPr>
      <w:r>
        <w:rPr>
          <w:rFonts w:hint="eastAsia" w:ascii="仿宋_GB2312" w:hAnsi="仿宋" w:eastAsia="仿宋_GB2312"/>
          <w:sz w:val="32"/>
          <w:szCs w:val="32"/>
        </w:rPr>
        <w:t>5.参考文件</w:t>
      </w:r>
    </w:p>
    <w:p>
      <w:pPr>
        <w:spacing w:after="0" w:line="560" w:lineRule="exact"/>
        <w:ind w:firstLine="659" w:firstLineChars="205"/>
        <w:jc w:val="both"/>
        <w:outlineLvl w:val="0"/>
        <w:rPr>
          <w:rFonts w:ascii="楷体_GB2312" w:hAnsi="仿宋" w:eastAsia="楷体_GB2312"/>
          <w:b/>
          <w:sz w:val="32"/>
          <w:szCs w:val="32"/>
        </w:rPr>
      </w:pPr>
      <w:bookmarkStart w:id="9" w:name="_Toc314496530"/>
      <w:bookmarkStart w:id="10" w:name="_Toc353116431"/>
      <w:r>
        <w:rPr>
          <w:rFonts w:hint="eastAsia" w:ascii="楷体_GB2312" w:hAnsi="仿宋" w:eastAsia="楷体_GB2312"/>
          <w:b/>
          <w:sz w:val="32"/>
          <w:szCs w:val="32"/>
        </w:rPr>
        <w:t>（二）报告正文</w:t>
      </w:r>
      <w:bookmarkEnd w:id="9"/>
      <w:bookmarkEnd w:id="10"/>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报告正文应包括如下内容：</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1. 概述</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2. 核查过程和方法</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3. 核查发现</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4. 核查结论</w:t>
      </w:r>
    </w:p>
    <w:p>
      <w:pPr>
        <w:widowControl w:val="0"/>
        <w:numPr>
          <w:ilvl w:val="0"/>
          <w:numId w:val="5"/>
        </w:numPr>
        <w:spacing w:after="0" w:line="560" w:lineRule="exact"/>
        <w:ind w:firstLine="240" w:firstLineChars="75"/>
        <w:jc w:val="both"/>
        <w:rPr>
          <w:rFonts w:ascii="仿宋_GB2312" w:hAnsi="仿宋" w:eastAsia="仿宋_GB2312"/>
          <w:sz w:val="32"/>
          <w:szCs w:val="32"/>
        </w:rPr>
      </w:pPr>
      <w:r>
        <w:rPr>
          <w:rFonts w:hint="eastAsia" w:ascii="仿宋_GB2312" w:hAnsi="仿宋" w:eastAsia="仿宋_GB2312"/>
          <w:sz w:val="32"/>
          <w:szCs w:val="32"/>
        </w:rPr>
        <w:t>5. 附件</w:t>
      </w:r>
    </w:p>
    <w:p>
      <w:pPr>
        <w:spacing w:after="0" w:line="560" w:lineRule="exact"/>
        <w:ind w:firstLine="656" w:firstLineChars="205"/>
        <w:jc w:val="both"/>
        <w:outlineLvl w:val="0"/>
        <w:rPr>
          <w:rFonts w:ascii="黑体" w:hAnsi="黑体" w:eastAsia="黑体"/>
          <w:sz w:val="32"/>
          <w:szCs w:val="32"/>
        </w:rPr>
      </w:pPr>
      <w:bookmarkStart w:id="11" w:name="_Toc353116432"/>
      <w:r>
        <w:rPr>
          <w:rFonts w:hint="eastAsia" w:ascii="黑体" w:hAnsi="黑体" w:eastAsia="黑体"/>
          <w:sz w:val="32"/>
          <w:szCs w:val="32"/>
        </w:rPr>
        <w:t>五、二氧化碳排放核查报告编写基本内容</w:t>
      </w:r>
      <w:bookmarkEnd w:id="11"/>
    </w:p>
    <w:p>
      <w:pPr>
        <w:spacing w:after="0" w:line="560" w:lineRule="exact"/>
        <w:ind w:firstLine="659" w:firstLineChars="205"/>
        <w:jc w:val="both"/>
        <w:outlineLvl w:val="0"/>
        <w:rPr>
          <w:rFonts w:ascii="楷体_GB2312" w:hAnsi="仿宋" w:eastAsia="楷体_GB2312"/>
          <w:b/>
          <w:sz w:val="32"/>
          <w:szCs w:val="32"/>
        </w:rPr>
      </w:pPr>
      <w:bookmarkStart w:id="12" w:name="_Toc353116433"/>
      <w:r>
        <w:rPr>
          <w:rFonts w:hint="eastAsia" w:ascii="楷体_GB2312" w:hAnsi="仿宋" w:eastAsia="楷体_GB2312"/>
          <w:b/>
          <w:sz w:val="32"/>
          <w:szCs w:val="32"/>
        </w:rPr>
        <w:t>（一）封面</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1．重点碳排放单位名称</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“重点碳排放单位”是北京市行政区域内年二氧化碳排放量大于5000吨（含）的单位。</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注1：重点碳排放单位的名称应与市主管部门公布清单中的名称一致。</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注2：自愿参与碳排放权交易的一般二氧化碳报告单位的排放报告及其核查要求同重点碳排放单位。</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2．报告年度</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 xml:space="preserve">3．核查机构名称（公章）                                                                                                       </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．报告日期</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报告日期应当与扉页中的批准人签署日期一致。</w:t>
      </w:r>
    </w:p>
    <w:p>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（二）扉页</w:t>
      </w:r>
      <w:bookmarkEnd w:id="12"/>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1.委托方名称、地址、联系人及联系方式；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“委托方”是与核查机构签署合同的机构，委托方的名称应当与核查合同中的甲方名称相一致。</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2．重点碳排放单位名称、地址、联系人及联系方式；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3．二氧化碳排放报告初始版本日期及最终版本日期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二氧化碳排放报告（初始）为重点碳排放单位提交给核查机构进行核查的排放报告。最终版本是重点碳排放单位根据核查机构提出的不符合整改后的修订版本。</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4．报告期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报告期为“二氧化碳排放报告”覆盖的时期。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5.核算和报告边界</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详细</w:t>
      </w:r>
      <w:r>
        <w:rPr>
          <w:rFonts w:ascii="仿宋_GB2312" w:hAnsi="仿宋" w:eastAsia="仿宋_GB2312"/>
          <w:sz w:val="32"/>
          <w:szCs w:val="32"/>
        </w:rPr>
        <w:t>表述报告期内</w:t>
      </w:r>
      <w:r>
        <w:rPr>
          <w:rFonts w:hint="eastAsia" w:ascii="仿宋_GB2312" w:hAnsi="仿宋" w:eastAsia="仿宋_GB2312"/>
          <w:sz w:val="32"/>
          <w:szCs w:val="32"/>
        </w:rPr>
        <w:t>的</w:t>
      </w:r>
      <w:r>
        <w:rPr>
          <w:rFonts w:ascii="仿宋_GB2312" w:hAnsi="仿宋" w:eastAsia="仿宋_GB2312"/>
          <w:sz w:val="32"/>
          <w:szCs w:val="32"/>
        </w:rPr>
        <w:t>核算边界，以及与</w:t>
      </w:r>
      <w:r>
        <w:rPr>
          <w:rFonts w:hint="eastAsia" w:ascii="仿宋_GB2312" w:hAnsi="仿宋" w:eastAsia="仿宋_GB2312"/>
          <w:sz w:val="32"/>
          <w:szCs w:val="32"/>
        </w:rPr>
        <w:t>历史</w:t>
      </w:r>
      <w:r>
        <w:rPr>
          <w:rFonts w:ascii="仿宋_GB2312" w:hAnsi="仿宋" w:eastAsia="仿宋_GB2312"/>
          <w:sz w:val="32"/>
          <w:szCs w:val="32"/>
        </w:rPr>
        <w:t>基准年和上一年度的</w:t>
      </w:r>
      <w:r>
        <w:rPr>
          <w:rFonts w:hint="eastAsia" w:ascii="仿宋_GB2312" w:hAnsi="仿宋" w:eastAsia="仿宋_GB2312"/>
          <w:sz w:val="32"/>
          <w:szCs w:val="32"/>
        </w:rPr>
        <w:t>核算</w:t>
      </w:r>
      <w:r>
        <w:rPr>
          <w:rFonts w:ascii="仿宋_GB2312" w:hAnsi="仿宋" w:eastAsia="仿宋_GB2312"/>
          <w:sz w:val="32"/>
          <w:szCs w:val="32"/>
        </w:rPr>
        <w:t>边界变化情况。</w:t>
      </w:r>
      <w:r>
        <w:rPr>
          <w:rFonts w:hint="eastAsia" w:ascii="仿宋_GB2312" w:hAnsi="仿宋" w:eastAsia="仿宋_GB2312"/>
          <w:sz w:val="32"/>
          <w:szCs w:val="32"/>
        </w:rPr>
        <w:t>例如：对于物业企业需按照不同服务业态（居民、商业、工业等），对建筑面积、实际物业管理面积、实际运营面积、建筑入住率等</w:t>
      </w:r>
      <w:r>
        <w:rPr>
          <w:rFonts w:ascii="仿宋_GB2312" w:hAnsi="仿宋" w:eastAsia="仿宋_GB2312"/>
          <w:sz w:val="32"/>
          <w:szCs w:val="32"/>
        </w:rPr>
        <w:t>详细情况进行核实。</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.二氧化碳排放量</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包括报告期内排放单位的二氧化碳排放量、退出</w:t>
      </w:r>
      <w:r>
        <w:rPr>
          <w:rFonts w:ascii="仿宋_GB2312" w:hAnsi="仿宋" w:eastAsia="仿宋_GB2312"/>
          <w:sz w:val="32"/>
          <w:szCs w:val="32"/>
        </w:rPr>
        <w:t>的</w:t>
      </w:r>
      <w:r>
        <w:rPr>
          <w:rFonts w:hint="eastAsia" w:ascii="仿宋_GB2312" w:hAnsi="仿宋" w:eastAsia="仿宋_GB2312"/>
          <w:sz w:val="32"/>
          <w:szCs w:val="32"/>
        </w:rPr>
        <w:t>既有设施在历史基准年的排放量及</w:t>
      </w:r>
      <w:r>
        <w:rPr>
          <w:rFonts w:ascii="仿宋_GB2312" w:hAnsi="仿宋" w:eastAsia="仿宋_GB2312"/>
          <w:sz w:val="32"/>
          <w:szCs w:val="32"/>
        </w:rPr>
        <w:t>排放强度</w:t>
      </w:r>
      <w:r>
        <w:rPr>
          <w:rFonts w:hint="eastAsia" w:ascii="仿宋_GB2312" w:hAnsi="仿宋" w:eastAsia="仿宋_GB2312"/>
          <w:sz w:val="32"/>
          <w:szCs w:val="32"/>
        </w:rPr>
        <w:t>、新增设施的排放量及排放强度和替代既有设施的新增设施排放量。</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.重点碳排放单位所属行业领域</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在此处按如下代码填写，例如“01／02／03／04／05／06／07/</w:t>
      </w:r>
      <w:r>
        <w:rPr>
          <w:rFonts w:ascii="仿宋_GB2312" w:hAnsi="仿宋" w:eastAsia="仿宋_GB2312"/>
          <w:sz w:val="32"/>
          <w:szCs w:val="32"/>
        </w:rPr>
        <w:t>08</w:t>
      </w:r>
      <w:r>
        <w:rPr>
          <w:rFonts w:hint="eastAsia" w:ascii="仿宋_GB2312" w:hAnsi="仿宋" w:eastAsia="仿宋_GB2312"/>
          <w:sz w:val="32"/>
          <w:szCs w:val="32"/>
        </w:rPr>
        <w:t>”。（01为“热力生产和供应”；02为“火力发电”；03为“水泥制造”；04为“石化生产”；05为“其他行业”；06为“其他服务业”；07为“交通运输业”； 0</w:t>
      </w:r>
      <w:r>
        <w:rPr>
          <w:rFonts w:ascii="仿宋_GB2312" w:hAnsi="仿宋" w:eastAsia="仿宋_GB2312"/>
          <w:sz w:val="32"/>
          <w:szCs w:val="32"/>
        </w:rPr>
        <w:t>8</w:t>
      </w:r>
      <w:r>
        <w:rPr>
          <w:rFonts w:hint="eastAsia" w:ascii="仿宋_GB2312" w:hAnsi="仿宋" w:eastAsia="仿宋_GB2312"/>
          <w:sz w:val="32"/>
          <w:szCs w:val="32"/>
        </w:rPr>
        <w:t>为“民用航空运输业”）</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．标准及方法学</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在此栏填写适用的地方标准或要求。</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．核查结论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此栏的核查结论应与报告正文中的核查结论一致（详见附件2</w:t>
      </w:r>
      <w:r>
        <w:rPr>
          <w:rFonts w:ascii="仿宋_GB2312" w:hAnsi="仿宋" w:eastAsia="仿宋_GB2312"/>
          <w:sz w:val="32"/>
          <w:szCs w:val="32"/>
        </w:rPr>
        <w:t>的核查结论模板</w:t>
      </w:r>
      <w:r>
        <w:rPr>
          <w:rFonts w:hint="eastAsia" w:ascii="仿宋_GB2312" w:hAnsi="仿宋" w:eastAsia="仿宋_GB2312"/>
          <w:sz w:val="32"/>
          <w:szCs w:val="32"/>
        </w:rPr>
        <w:t>）。</w:t>
      </w:r>
    </w:p>
    <w:p>
      <w:pPr>
        <w:spacing w:after="0" w:line="560" w:lineRule="exact"/>
        <w:ind w:firstLine="656" w:firstLineChars="205"/>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．核查组组长</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．核查组成员</w:t>
      </w:r>
    </w:p>
    <w:p>
      <w:pPr>
        <w:spacing w:after="0" w:line="560" w:lineRule="exact"/>
        <w:ind w:firstLine="656" w:firstLineChars="205"/>
        <w:jc w:val="both"/>
        <w:rPr>
          <w:rFonts w:ascii="仿宋_GB2312" w:hAnsi="仿宋" w:eastAsia="仿宋_GB2312"/>
          <w:sz w:val="32"/>
          <w:szCs w:val="32"/>
        </w:rPr>
      </w:pPr>
      <w:r>
        <w:rPr>
          <w:rFonts w:ascii="仿宋_GB2312" w:hAnsi="仿宋" w:eastAsia="仿宋_GB2312"/>
          <w:sz w:val="32"/>
          <w:szCs w:val="32"/>
        </w:rPr>
        <w:t>核查机构应确保核查组（核查组长、核查组成员）具备</w:t>
      </w:r>
      <w:r>
        <w:rPr>
          <w:rFonts w:hint="eastAsia" w:ascii="仿宋_GB2312" w:hAnsi="仿宋" w:eastAsia="仿宋_GB2312"/>
          <w:sz w:val="32"/>
          <w:szCs w:val="32"/>
        </w:rPr>
        <w:t>相应核查</w:t>
      </w:r>
      <w:r>
        <w:rPr>
          <w:rFonts w:ascii="仿宋_GB2312" w:hAnsi="仿宋" w:eastAsia="仿宋_GB2312"/>
          <w:sz w:val="32"/>
          <w:szCs w:val="32"/>
        </w:rPr>
        <w:t>行业领域的专业知识。</w:t>
      </w:r>
    </w:p>
    <w:p>
      <w:pPr>
        <w:spacing w:after="0" w:line="560" w:lineRule="exact"/>
        <w:ind w:firstLine="656" w:firstLineChars="205"/>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．技术复核人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技术复核人由核查机构内部独立于核查组的核查员实施。核查机构应确保技术复核人具备相应核查行业领域的专业知识。</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．批准人</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核查报告应当由核查机构的最高管理者或指定的核查工作负责人签署批准。</w:t>
      </w:r>
    </w:p>
    <w:p>
      <w:pPr>
        <w:spacing w:after="0" w:line="560" w:lineRule="exact"/>
        <w:ind w:firstLine="659" w:firstLineChars="205"/>
        <w:jc w:val="both"/>
        <w:outlineLvl w:val="0"/>
        <w:rPr>
          <w:rFonts w:ascii="楷体_GB2312" w:hAnsi="仿宋" w:eastAsia="楷体_GB2312"/>
          <w:b/>
          <w:sz w:val="32"/>
          <w:szCs w:val="32"/>
        </w:rPr>
      </w:pPr>
      <w:r>
        <w:rPr>
          <w:rFonts w:hint="eastAsia" w:ascii="楷体_GB2312" w:hAnsi="仿宋" w:eastAsia="楷体_GB2312"/>
          <w:b/>
          <w:sz w:val="32"/>
          <w:szCs w:val="32"/>
        </w:rPr>
        <w:t>（三）目录</w:t>
      </w:r>
    </w:p>
    <w:p>
      <w:pPr>
        <w:spacing w:after="0" w:line="560" w:lineRule="exact"/>
        <w:ind w:firstLine="656" w:firstLineChars="205"/>
        <w:jc w:val="both"/>
        <w:rPr>
          <w:rFonts w:ascii="仿宋_GB2312" w:hAnsi="仿宋" w:eastAsia="仿宋_GB2312"/>
          <w:sz w:val="32"/>
          <w:szCs w:val="32"/>
        </w:rPr>
      </w:pPr>
      <w:r>
        <w:rPr>
          <w:rFonts w:hint="eastAsia" w:ascii="仿宋_GB2312" w:hAnsi="仿宋" w:eastAsia="仿宋_GB2312"/>
          <w:sz w:val="32"/>
          <w:szCs w:val="32"/>
        </w:rPr>
        <w:t>核查报告应将主要标题列为目录，以便阅读。</w:t>
      </w:r>
    </w:p>
    <w:p>
      <w:pPr>
        <w:spacing w:after="0" w:line="560" w:lineRule="exact"/>
        <w:ind w:firstLine="659" w:firstLineChars="205"/>
        <w:jc w:val="both"/>
        <w:outlineLvl w:val="0"/>
        <w:rPr>
          <w:rFonts w:ascii="楷体_GB2312" w:hAnsi="仿宋" w:eastAsia="楷体_GB2312"/>
          <w:b/>
          <w:sz w:val="32"/>
          <w:szCs w:val="32"/>
        </w:rPr>
      </w:pPr>
      <w:bookmarkStart w:id="13" w:name="_Toc353116434"/>
      <w:r>
        <w:rPr>
          <w:rFonts w:hint="eastAsia" w:ascii="楷体_GB2312" w:hAnsi="仿宋" w:eastAsia="楷体_GB2312"/>
          <w:b/>
          <w:sz w:val="32"/>
          <w:szCs w:val="32"/>
        </w:rPr>
        <w:t>（四）</w:t>
      </w:r>
      <w:bookmarkEnd w:id="13"/>
      <w:bookmarkStart w:id="14" w:name="_Toc353116435"/>
      <w:r>
        <w:rPr>
          <w:rFonts w:hint="eastAsia" w:ascii="楷体_GB2312" w:hAnsi="仿宋" w:eastAsia="楷体_GB2312"/>
          <w:b/>
          <w:sz w:val="32"/>
          <w:szCs w:val="32"/>
        </w:rPr>
        <w:t>报告正文</w:t>
      </w:r>
      <w:bookmarkEnd w:id="14"/>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 概述</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1.1 核查目的</w:t>
      </w:r>
    </w:p>
    <w:p>
      <w:pPr>
        <w:pStyle w:val="58"/>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核查机构应在核查报告中清晰地说明核查目的，内容包括落实国家《关于开展碳排放权交易试点工作的通知》及北京市碳排放权交易试点工作的总体安排、为有效实施碳配额发放和交易提供可靠的数据质量保证服务等内容。核查具体目的表述可包含如下内容：</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核查重点碳排放单位的二氧化碳核算和报告的职责、权限是否已经落实；</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核查重点碳排放单位提供的二氧化碳排放报告及其他支持文件是否是完整可靠的，并且符合适用的地方标准或核算和报告指南的要求；</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核查测量设备是否已经到位，测量是否符合适用的地方标准或核算和报告指南及相关标准的要求；</w:t>
      </w:r>
    </w:p>
    <w:p>
      <w:pPr>
        <w:pStyle w:val="58"/>
        <w:numPr>
          <w:ilvl w:val="0"/>
          <w:numId w:val="6"/>
        </w:numPr>
        <w:spacing w:line="560" w:lineRule="exact"/>
        <w:rPr>
          <w:rFonts w:ascii="仿宋_GB2312" w:hAnsi="仿宋" w:eastAsia="仿宋_GB2312" w:cs="Arial"/>
          <w:sz w:val="32"/>
          <w:szCs w:val="32"/>
        </w:rPr>
      </w:pPr>
      <w:r>
        <w:rPr>
          <w:rFonts w:hint="eastAsia" w:ascii="仿宋_GB2312" w:hAnsi="仿宋" w:eastAsia="仿宋_GB2312"/>
          <w:sz w:val="32"/>
          <w:szCs w:val="32"/>
        </w:rPr>
        <w:t>根据地方标准或核算和报告指南的要求，对记录和存储的数据进行评审，判断数据及计算结果是否真实、可靠、正确。</w:t>
      </w:r>
    </w:p>
    <w:p>
      <w:pPr>
        <w:spacing w:after="0" w:line="560" w:lineRule="exact"/>
        <w:ind w:firstLine="640" w:firstLineChars="200"/>
        <w:jc w:val="both"/>
        <w:outlineLvl w:val="0"/>
        <w:rPr>
          <w:rFonts w:ascii="仿宋_GB2312" w:hAnsi="仿宋" w:eastAsia="仿宋_GB2312"/>
          <w:sz w:val="32"/>
          <w:szCs w:val="32"/>
        </w:rPr>
      </w:pPr>
      <w:r>
        <w:rPr>
          <w:rFonts w:hint="eastAsia" w:ascii="仿宋_GB2312" w:hAnsi="仿宋" w:eastAsia="仿宋_GB2312"/>
          <w:sz w:val="32"/>
          <w:szCs w:val="32"/>
        </w:rPr>
        <w:t>1.2 核查范围</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范围。北京市二氧化碳排放报告制度遵循“谁排放谁报告”的原则，因此核查范围应包括列入北京市碳排放权交易试点工作的重点碳排放单位和自愿参与交易的一般二氧化碳报告单位的所有在北京市辖区内的固定设施和以北京为注册地的城市电汽车客运、城市轨道交通、道路货物运输、民用航空运输企业移动设施导致的二氧化碳直接排放和二氧化碳间接排放。</w:t>
      </w:r>
    </w:p>
    <w:p>
      <w:pPr>
        <w:spacing w:after="0" w:line="56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对于存在京内移动源和京外化石燃料消费的重点碳排放单位，京内移动源和京外化石燃料消费也应当纳入核查范围。</w:t>
      </w:r>
      <w:bookmarkStart w:id="15" w:name="OLE_LINK7"/>
      <w:bookmarkStart w:id="16" w:name="OLE_LINK8"/>
      <w:r>
        <w:rPr>
          <w:rFonts w:hint="eastAsia" w:ascii="仿宋_GB2312" w:hAnsi="仿宋" w:eastAsia="仿宋_GB2312"/>
          <w:sz w:val="32"/>
          <w:szCs w:val="32"/>
        </w:rPr>
        <w:t>其中，航空器排放核算应遵循注册地原则。</w:t>
      </w:r>
      <w:bookmarkEnd w:id="15"/>
      <w:bookmarkEnd w:id="16"/>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1.3 核查准则</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核查机构应在核查报告中清晰地说明核查准则。核查机构应在核查报告中列出适用的地方标准或相应的核算和报告指南，以及活动水平数据、排放因子和计量设备所适用的北京市地方或国家法规及标准。</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 核查过程和方法</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2.1 核查组安排</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核查机构应统一采用列表的方式说明核查组成员，表格格式统一如下：</w:t>
      </w:r>
    </w:p>
    <w:p>
      <w:pPr>
        <w:spacing w:after="0" w:line="560" w:lineRule="exact"/>
        <w:jc w:val="center"/>
        <w:rPr>
          <w:rFonts w:ascii="仿宋_GB2312" w:hAnsi="仿宋" w:eastAsia="仿宋_GB2312"/>
          <w:b/>
          <w:sz w:val="28"/>
          <w:szCs w:val="28"/>
        </w:rPr>
      </w:pPr>
      <w:r>
        <w:rPr>
          <w:rFonts w:hint="eastAsia" w:ascii="仿宋_GB2312" w:hAnsi="仿宋" w:eastAsia="仿宋_GB2312"/>
          <w:b/>
          <w:sz w:val="28"/>
          <w:szCs w:val="28"/>
        </w:rPr>
        <w:t>核查组成员表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1348"/>
        <w:gridCol w:w="4187"/>
        <w:gridCol w:w="1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92" w:type="pct"/>
            <w:tcBorders>
              <w:top w:val="single" w:color="auto" w:sz="12"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序号</w:t>
            </w:r>
          </w:p>
        </w:tc>
        <w:tc>
          <w:tcPr>
            <w:tcW w:w="791" w:type="pct"/>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姓名</w:t>
            </w:r>
          </w:p>
        </w:tc>
        <w:tc>
          <w:tcPr>
            <w:tcW w:w="2456" w:type="pct"/>
            <w:tcBorders>
              <w:top w:val="single" w:color="auto" w:sz="12"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核查工作分工内容</w:t>
            </w:r>
          </w:p>
        </w:tc>
        <w:tc>
          <w:tcPr>
            <w:tcW w:w="960" w:type="pct"/>
            <w:tcBorders>
              <w:top w:val="single" w:color="auto" w:sz="12" w:space="0"/>
              <w:left w:val="single" w:color="auto" w:sz="6" w:space="0"/>
              <w:bottom w:val="single" w:color="auto" w:sz="6" w:space="0"/>
              <w:right w:val="single" w:color="auto" w:sz="12" w:space="0"/>
            </w:tcBorders>
            <w:vAlign w:val="center"/>
          </w:tcPr>
          <w:p>
            <w:pPr>
              <w:spacing w:after="0" w:line="560" w:lineRule="exact"/>
              <w:jc w:val="center"/>
              <w:rPr>
                <w:rFonts w:ascii="仿宋_GB2312" w:hAnsi="仿宋" w:eastAsia="仿宋_GB2312"/>
                <w:b/>
                <w:sz w:val="24"/>
                <w:szCs w:val="24"/>
              </w:rPr>
            </w:pPr>
            <w:r>
              <w:rPr>
                <w:rFonts w:hint="eastAsia" w:ascii="仿宋_GB2312" w:hAnsi="仿宋" w:eastAsia="仿宋_GB2312"/>
                <w:b/>
                <w:sz w:val="24"/>
                <w:szCs w:val="24"/>
              </w:rPr>
              <w:t>专业代码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r>
              <w:rPr>
                <w:rFonts w:ascii="仿宋_GB2312" w:hAnsi="仿宋" w:eastAsia="仿宋_GB2312"/>
                <w:sz w:val="24"/>
                <w:szCs w:val="24"/>
              </w:rPr>
              <w:t>1</w:t>
            </w:r>
          </w:p>
        </w:tc>
        <w:tc>
          <w:tcPr>
            <w:tcW w:w="791" w:type="pct"/>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pPr>
              <w:tabs>
                <w:tab w:val="left" w:pos="540"/>
              </w:tabs>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r>
              <w:rPr>
                <w:rFonts w:ascii="仿宋_GB2312" w:hAnsi="仿宋" w:eastAsia="仿宋_GB2312"/>
                <w:sz w:val="24"/>
                <w:szCs w:val="24"/>
              </w:rPr>
              <w:t>2</w:t>
            </w:r>
          </w:p>
        </w:tc>
        <w:tc>
          <w:tcPr>
            <w:tcW w:w="791" w:type="pct"/>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r>
              <w:rPr>
                <w:rFonts w:ascii="仿宋_GB2312" w:hAnsi="仿宋" w:eastAsia="仿宋_GB2312"/>
                <w:sz w:val="24"/>
                <w:szCs w:val="24"/>
              </w:rPr>
              <w:t>3</w:t>
            </w:r>
          </w:p>
        </w:tc>
        <w:tc>
          <w:tcPr>
            <w:tcW w:w="791" w:type="pct"/>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6" w:space="0"/>
              <w:right w:val="single" w:color="auto" w:sz="6" w:space="0"/>
            </w:tcBorders>
            <w:vAlign w:val="center"/>
          </w:tcPr>
          <w:p>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6"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2" w:type="pct"/>
            <w:tcBorders>
              <w:top w:val="single" w:color="auto" w:sz="6" w:space="0"/>
              <w:left w:val="single" w:color="auto" w:sz="12"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r>
              <w:rPr>
                <w:rFonts w:hint="eastAsia" w:ascii="仿宋_GB2312" w:hAnsi="仿宋" w:eastAsia="仿宋_GB2312"/>
                <w:sz w:val="24"/>
                <w:szCs w:val="24"/>
              </w:rPr>
              <w:t>…</w:t>
            </w:r>
          </w:p>
        </w:tc>
        <w:tc>
          <w:tcPr>
            <w:tcW w:w="791" w:type="pct"/>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p>
        </w:tc>
        <w:tc>
          <w:tcPr>
            <w:tcW w:w="2456" w:type="pct"/>
            <w:tcBorders>
              <w:top w:val="single" w:color="auto" w:sz="6" w:space="0"/>
              <w:left w:val="single" w:color="auto" w:sz="6" w:space="0"/>
              <w:bottom w:val="single" w:color="auto" w:sz="12" w:space="0"/>
              <w:right w:val="single" w:color="auto" w:sz="6" w:space="0"/>
            </w:tcBorders>
            <w:vAlign w:val="center"/>
          </w:tcPr>
          <w:p>
            <w:pPr>
              <w:spacing w:after="0" w:line="560" w:lineRule="exact"/>
              <w:jc w:val="center"/>
              <w:rPr>
                <w:rFonts w:ascii="仿宋_GB2312" w:hAnsi="仿宋" w:eastAsia="仿宋_GB2312"/>
                <w:sz w:val="24"/>
                <w:szCs w:val="24"/>
              </w:rPr>
            </w:pPr>
          </w:p>
        </w:tc>
        <w:tc>
          <w:tcPr>
            <w:tcW w:w="960" w:type="pct"/>
            <w:tcBorders>
              <w:top w:val="single" w:color="auto" w:sz="6" w:space="0"/>
              <w:left w:val="single" w:color="auto" w:sz="6" w:space="0"/>
              <w:bottom w:val="single" w:color="auto" w:sz="12" w:space="0"/>
              <w:right w:val="single" w:color="auto" w:sz="12" w:space="0"/>
            </w:tcBorders>
            <w:vAlign w:val="center"/>
          </w:tcPr>
          <w:p>
            <w:pPr>
              <w:tabs>
                <w:tab w:val="left" w:pos="540"/>
              </w:tabs>
              <w:spacing w:after="0" w:line="560" w:lineRule="exact"/>
              <w:jc w:val="center"/>
              <w:rPr>
                <w:rFonts w:ascii="仿宋_GB2312" w:hAnsi="仿宋" w:eastAsia="仿宋_GB2312"/>
                <w:sz w:val="24"/>
                <w:szCs w:val="24"/>
              </w:rPr>
            </w:pPr>
          </w:p>
        </w:tc>
      </w:tr>
    </w:tbl>
    <w:p>
      <w:pPr>
        <w:spacing w:after="0" w:line="560" w:lineRule="exact"/>
        <w:ind w:firstLine="160" w:firstLineChars="50"/>
        <w:rPr>
          <w:rFonts w:ascii="仿宋_GB2312" w:hAnsi="仿宋" w:eastAsia="仿宋_GB2312"/>
          <w:sz w:val="32"/>
          <w:szCs w:val="32"/>
        </w:rPr>
      </w:pPr>
      <w:r>
        <w:rPr>
          <w:rFonts w:hint="eastAsia" w:ascii="仿宋_GB2312" w:hAnsi="仿宋" w:eastAsia="仿宋_GB2312"/>
          <w:sz w:val="32"/>
          <w:szCs w:val="32"/>
        </w:rPr>
        <w:t>注：</w:t>
      </w:r>
    </w:p>
    <w:p>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核查机构应根据核查员的专业领域和技术能力、重点碳排放单位的规模和经营场所数量等实际情况，组成至少两名核查员的核查组实施核查。</w:t>
      </w:r>
    </w:p>
    <w:p>
      <w:pPr>
        <w:widowControl w:val="0"/>
        <w:numPr>
          <w:ilvl w:val="0"/>
          <w:numId w:val="7"/>
        </w:numPr>
        <w:spacing w:after="0" w:line="560" w:lineRule="exact"/>
        <w:ind w:left="0" w:firstLine="567"/>
        <w:jc w:val="both"/>
        <w:rPr>
          <w:rFonts w:ascii="仿宋_GB2312" w:hAnsi="仿宋" w:eastAsia="仿宋_GB2312"/>
          <w:bCs/>
          <w:sz w:val="32"/>
          <w:szCs w:val="32"/>
        </w:rPr>
      </w:pPr>
      <w:r>
        <w:rPr>
          <w:rFonts w:hint="eastAsia" w:ascii="仿宋_GB2312" w:hAnsi="仿宋" w:eastAsia="仿宋_GB2312"/>
          <w:bCs/>
          <w:sz w:val="32"/>
          <w:szCs w:val="32"/>
        </w:rPr>
        <w:t>核查机构对报告客观真实性和报告质量负责。</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2.2 文件评审</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核查机构应在报告中描述其文件评审的时间、过程及主要内容。核查机构对文件评审的描述应包含如下内容：</w:t>
      </w:r>
    </w:p>
    <w:p>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重点碳排放单位提交二氧化碳排放报告初始版本和最终版本的日期；</w:t>
      </w:r>
    </w:p>
    <w:p>
      <w:pPr>
        <w:widowControl w:val="0"/>
        <w:numPr>
          <w:ilvl w:val="0"/>
          <w:numId w:val="8"/>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重点碳排放单位提供的支持性文件（详细文件清单，包括版本和日期应清晰地列在核查报告的第五部分“参考文件” 中），支持文件可包括但不限于：</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营业执照；</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工艺流程图；</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能源平衡表；</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物料平衡表(如有)；</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能源审计报告；</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能源统计报表；</w:t>
      </w:r>
    </w:p>
    <w:p>
      <w:pPr>
        <w:widowControl w:val="0"/>
        <w:numPr>
          <w:ilvl w:val="0"/>
          <w:numId w:val="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核查组在文件评审中使用其它的支持性文件。</w:t>
      </w:r>
    </w:p>
    <w:p>
      <w:pPr>
        <w:spacing w:after="0" w:line="560" w:lineRule="exact"/>
        <w:ind w:left="420" w:firstLine="320" w:firstLineChars="100"/>
        <w:jc w:val="both"/>
        <w:rPr>
          <w:rFonts w:ascii="仿宋_GB2312" w:hAnsi="仿宋" w:eastAsia="仿宋_GB2312"/>
          <w:sz w:val="32"/>
          <w:szCs w:val="32"/>
        </w:rPr>
      </w:pPr>
      <w:r>
        <w:rPr>
          <w:rFonts w:hint="eastAsia" w:ascii="仿宋_GB2312" w:hAnsi="仿宋" w:eastAsia="仿宋_GB2312"/>
          <w:sz w:val="32"/>
          <w:szCs w:val="32"/>
        </w:rPr>
        <w:t>c) 文件评审识别出的现场访问的重点。</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2.3 现场访问</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核查机构应在报告中描述其现场访问的时间、对象及主要内容，并用如下表格格式汇总现场访问的实施。</w:t>
      </w:r>
    </w:p>
    <w:tbl>
      <w:tblPr>
        <w:tblStyle w:val="3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226"/>
        <w:gridCol w:w="21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时间</w:t>
            </w:r>
          </w:p>
        </w:tc>
        <w:tc>
          <w:tcPr>
            <w:tcW w:w="2226" w:type="dxa"/>
            <w:vAlign w:val="center"/>
          </w:tcPr>
          <w:p>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访谈对象</w:t>
            </w:r>
          </w:p>
          <w:p>
            <w:pPr>
              <w:spacing w:after="0" w:line="560" w:lineRule="exact"/>
              <w:jc w:val="center"/>
              <w:rPr>
                <w:rFonts w:ascii="仿宋_GB2312" w:hAnsi="仿宋" w:eastAsia="仿宋_GB2312"/>
                <w:b/>
                <w:bCs/>
                <w:sz w:val="24"/>
                <w:szCs w:val="24"/>
              </w:rPr>
            </w:pPr>
            <w:r>
              <w:rPr>
                <w:rFonts w:hint="eastAsia" w:ascii="仿宋_GB2312" w:hAnsi="仿宋" w:eastAsia="仿宋_GB2312"/>
                <w:b/>
                <w:bCs/>
                <w:sz w:val="24"/>
                <w:szCs w:val="24"/>
              </w:rPr>
              <w:t>（姓名／职位）</w:t>
            </w:r>
          </w:p>
        </w:tc>
        <w:tc>
          <w:tcPr>
            <w:tcW w:w="2168"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部门</w:t>
            </w:r>
          </w:p>
        </w:tc>
        <w:tc>
          <w:tcPr>
            <w:tcW w:w="3402" w:type="dxa"/>
            <w:vAlign w:val="center"/>
          </w:tcPr>
          <w:p>
            <w:pPr>
              <w:spacing w:after="0" w:line="560" w:lineRule="exact"/>
              <w:jc w:val="center"/>
              <w:rPr>
                <w:rFonts w:ascii="仿宋_GB2312" w:hAnsi="仿宋" w:eastAsia="仿宋_GB2312" w:cs="Arial"/>
                <w:b/>
                <w:bCs/>
                <w:sz w:val="24"/>
                <w:szCs w:val="24"/>
              </w:rPr>
            </w:pPr>
            <w:r>
              <w:rPr>
                <w:rFonts w:hint="eastAsia" w:ascii="仿宋_GB2312" w:hAnsi="仿宋" w:eastAsia="仿宋_GB2312" w:cs="Arial"/>
                <w:b/>
                <w:bCs/>
                <w:sz w:val="24"/>
                <w:szCs w:val="24"/>
              </w:rPr>
              <w:t>访谈内容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after="0" w:line="560" w:lineRule="exact"/>
              <w:rPr>
                <w:rFonts w:ascii="仿宋_GB2312" w:hAnsi="仿宋" w:eastAsia="仿宋_GB2312"/>
                <w:sz w:val="24"/>
                <w:szCs w:val="24"/>
              </w:rPr>
            </w:pPr>
          </w:p>
        </w:tc>
        <w:tc>
          <w:tcPr>
            <w:tcW w:w="2226" w:type="dxa"/>
          </w:tcPr>
          <w:p>
            <w:pPr>
              <w:spacing w:after="0" w:line="560" w:lineRule="exact"/>
              <w:rPr>
                <w:rFonts w:ascii="仿宋_GB2312" w:hAnsi="仿宋" w:eastAsia="仿宋_GB2312"/>
                <w:sz w:val="24"/>
                <w:szCs w:val="24"/>
              </w:rPr>
            </w:pPr>
          </w:p>
        </w:tc>
        <w:tc>
          <w:tcPr>
            <w:tcW w:w="2168" w:type="dxa"/>
          </w:tcPr>
          <w:p>
            <w:pPr>
              <w:spacing w:after="0" w:line="560" w:lineRule="exact"/>
              <w:rPr>
                <w:rFonts w:ascii="仿宋_GB2312" w:hAnsi="仿宋" w:eastAsia="仿宋_GB2312"/>
                <w:sz w:val="24"/>
                <w:szCs w:val="24"/>
              </w:rPr>
            </w:pPr>
          </w:p>
        </w:tc>
        <w:tc>
          <w:tcPr>
            <w:tcW w:w="3402" w:type="dxa"/>
          </w:tcPr>
          <w:p>
            <w:pPr>
              <w:spacing w:after="0" w:line="560" w:lineRule="exact"/>
              <w:rPr>
                <w:rFonts w:ascii="仿宋_GB2312" w:hAnsi="仿宋" w:eastAsia="仿宋_GB2312"/>
                <w:sz w:val="24"/>
                <w:szCs w:val="24"/>
              </w:rPr>
            </w:pPr>
          </w:p>
        </w:tc>
      </w:tr>
    </w:tbl>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 xml:space="preserve">    文件评审及现场访问的核查发现将具体在报告的第三部分详细描述。</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2.4 核查报告编写及内部技术复核</w:t>
      </w:r>
    </w:p>
    <w:p>
      <w:pPr>
        <w:spacing w:after="0" w:line="560" w:lineRule="exact"/>
        <w:ind w:firstLine="552"/>
        <w:jc w:val="both"/>
        <w:rPr>
          <w:rFonts w:ascii="仿宋_GB2312" w:hAnsi="仿宋" w:eastAsia="仿宋_GB2312"/>
          <w:sz w:val="32"/>
          <w:szCs w:val="32"/>
        </w:rPr>
      </w:pPr>
      <w:r>
        <w:rPr>
          <w:rFonts w:hint="eastAsia" w:ascii="仿宋_GB2312" w:hAnsi="仿宋" w:eastAsia="仿宋_GB2312"/>
          <w:sz w:val="32"/>
          <w:szCs w:val="32"/>
        </w:rPr>
        <w:t>核查机构应在核查报告中描述核查报告编写的过程和内部技术复核的过程，内容可包括：</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核查组开具了几个不符合；</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将不符合发给重点碳排放单位的时间以及不符合关闭的时间；</w:t>
      </w:r>
    </w:p>
    <w:p>
      <w:pPr>
        <w:widowControl w:val="0"/>
        <w:numPr>
          <w:ilvl w:val="0"/>
          <w:numId w:val="1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准备核查报告的时间；</w:t>
      </w:r>
    </w:p>
    <w:p>
      <w:pPr>
        <w:widowControl w:val="0"/>
        <w:numPr>
          <w:ilvl w:val="0"/>
          <w:numId w:val="10"/>
        </w:numPr>
        <w:spacing w:after="0" w:line="560" w:lineRule="exact"/>
        <w:ind w:left="851" w:hanging="299"/>
        <w:jc w:val="both"/>
        <w:rPr>
          <w:rFonts w:ascii="仿宋_GB2312" w:hAnsi="仿宋" w:eastAsia="仿宋_GB2312"/>
          <w:sz w:val="32"/>
          <w:szCs w:val="32"/>
        </w:rPr>
      </w:pPr>
      <w:r>
        <w:rPr>
          <w:rFonts w:hint="eastAsia" w:ascii="仿宋_GB2312" w:hAnsi="仿宋" w:eastAsia="仿宋_GB2312"/>
          <w:sz w:val="32"/>
          <w:szCs w:val="32"/>
        </w:rPr>
        <w:t>核查机构如何安排内部技术复核以及采取其他的质量控制措施等。</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3 .核查发现</w:t>
      </w:r>
    </w:p>
    <w:p>
      <w:pPr>
        <w:widowControl w:val="0"/>
        <w:numPr>
          <w:ilvl w:val="1"/>
          <w:numId w:val="11"/>
        </w:numPr>
        <w:spacing w:after="0" w:line="560" w:lineRule="exact"/>
        <w:ind w:left="-2" w:leftChars="-1" w:firstLine="488" w:firstLineChars="152"/>
        <w:jc w:val="both"/>
        <w:rPr>
          <w:rFonts w:ascii="仿宋_GB2312" w:hAnsi="仿宋" w:eastAsia="仿宋_GB2312"/>
          <w:b/>
          <w:sz w:val="32"/>
          <w:szCs w:val="32"/>
        </w:rPr>
      </w:pPr>
      <w:r>
        <w:rPr>
          <w:rFonts w:hint="eastAsia" w:ascii="仿宋_GB2312" w:hAnsi="仿宋" w:eastAsia="仿宋_GB2312"/>
          <w:b/>
          <w:sz w:val="32"/>
          <w:szCs w:val="32"/>
        </w:rPr>
        <w:t>重点碳排放单位的基本信息</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核查机构应对重点碳排放单位报送的基本信息进行核查，并在核查报告中描述以下核查发现：</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重点碳排放单位简介，如重点碳排放单位名称、所属行业、地理位置、成立时间、所有制性质、规模、隶属关系等；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重点碳排放单位的组织结构；</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重点碳排放单位主要的产品或服务。如为工业企业，基本信息应包括生产的产品及生产工艺等相关指标；如为服务业，基本信息应包括服务范围及流程等；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重点碳排放单位能源管理现状，包括使用能源的品种，能源计量统计及能源审计情况、年度能源统计报告等；</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重点碳排放单位的废弃物处理（如适用）现状;</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如重点碳排放单位存在既有设施退出、新增排放设施、新增替代既有设施的情况，应做简要描述；</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以往年份的二氧化碳排放的履约情况,包括履约的方式,比如自我控制排放的实施方式、购买信用额度以及购买配额的详细情况；</w:t>
      </w:r>
    </w:p>
    <w:p>
      <w:pPr>
        <w:widowControl w:val="0"/>
        <w:numPr>
          <w:ilvl w:val="0"/>
          <w:numId w:val="12"/>
        </w:numPr>
        <w:spacing w:after="0" w:line="560" w:lineRule="exact"/>
        <w:ind w:left="110" w:firstLine="55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790" w:firstLineChars="24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查阅重点碳排放单位的法人证书、机构简介，与机构相关负责人进行交流访谈；</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了解能源和二氧化碳管理机构，查阅相关部门、岗位的职责书及培训记录。</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3.2 重点碳排放单位的设施边界及排放源识别</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核查机构应对重点碳排放单位报送设备信息和重点排放设施等的信息进行核查，并在核查报告中描述如下核查发现：</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重点碳排放单位的场所边界、设施边界是否与以往年份保持一致；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重点碳排放单位的场所边界、设施边界与适用的地方标准或核算和报告指南的符合情况；</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非道路运输行业的排放报告中的每一个排放设施的名称、型号和物理位置是否与现场确认的一致；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道路运输业企业的排放报告中公共电汽车车辆、运营车辆总数、飞</w:t>
      </w:r>
      <w:r>
        <w:rPr>
          <w:rFonts w:ascii="仿宋_GB2312" w:hAnsi="仿宋" w:eastAsia="仿宋_GB2312"/>
          <w:sz w:val="32"/>
          <w:szCs w:val="32"/>
        </w:rPr>
        <w:t>机</w:t>
      </w:r>
      <w:r>
        <w:rPr>
          <w:rFonts w:hint="eastAsia" w:ascii="仿宋_GB2312" w:hAnsi="仿宋" w:eastAsia="仿宋_GB2312"/>
          <w:sz w:val="32"/>
          <w:szCs w:val="32"/>
        </w:rPr>
        <w:t>总数及燃料消耗类型等是否与现场确认的一致；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道路运输业企业的排放报告中轨道交通的线路、配属车辆数量等是否与现场确认的一致；</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如核查机构采用对场所和数据抽样的方式实施核查，应在核查报告中详细说明抽样方案与数量等，同时核查报告中应清楚描述出本年度场所抽样与去年场所抽样情况的差别并确定是否核查指南的要求；</w:t>
      </w:r>
    </w:p>
    <w:p>
      <w:pPr>
        <w:widowControl w:val="0"/>
        <w:numPr>
          <w:ilvl w:val="0"/>
          <w:numId w:val="14"/>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472" w:firstLineChars="147"/>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核查机构可通过以下方式来验证重点碳排放单位报告的设施的真实性：</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与设备管理人员进行交谈；</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现场观察设施或交通运输业运行线路图或统计信息；</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查阅可行性研究报告的批复；</w:t>
      </w:r>
    </w:p>
    <w:p>
      <w:pPr>
        <w:widowControl w:val="0"/>
        <w:numPr>
          <w:ilvl w:val="0"/>
          <w:numId w:val="1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查阅环境影响评价报告及年度环境监测报告等。</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 核算方法</w:t>
      </w:r>
      <w:r>
        <w:rPr>
          <w:rFonts w:hint="eastAsia" w:ascii="仿宋_GB2312" w:hAnsi="仿宋" w:eastAsia="仿宋_GB2312"/>
          <w:sz w:val="32"/>
          <w:szCs w:val="32"/>
        </w:rPr>
        <w:t>、</w:t>
      </w:r>
      <w:r>
        <w:rPr>
          <w:rFonts w:hint="eastAsia" w:ascii="仿宋_GB2312" w:hAnsi="仿宋" w:eastAsia="仿宋_GB2312"/>
          <w:b/>
          <w:sz w:val="32"/>
          <w:szCs w:val="32"/>
        </w:rPr>
        <w:t>数据与《企业(单位)二氧化碳核算与报告指南》的符合性</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3.3.1核算方法的符合性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核查机构应对重点碳排放单位的二氧化碳核算方法进行核查,确定核算方法的选择符合适用地方标准或核算和报告指南的要求。对任何偏离指南要求的核算应予以详细说明。</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3.3.2数据的符合性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核查机构应按照如下格式报告重点排放单位所核算参数的单位、描述以及是否制订监测计划。并在下面的3.3.2.1～3.3.2.4章节报告每个参数的详细核查发现。</w:t>
      </w:r>
    </w:p>
    <w:p>
      <w:pPr>
        <w:spacing w:after="0" w:line="560" w:lineRule="exact"/>
        <w:ind w:firstLine="640" w:firstLineChars="200"/>
        <w:rPr>
          <w:rFonts w:ascii="仿宋_GB2312" w:hAnsi="仿宋" w:eastAsia="仿宋_GB2312"/>
          <w:sz w:val="32"/>
          <w:szCs w:val="32"/>
        </w:rPr>
      </w:pPr>
    </w:p>
    <w:tbl>
      <w:tblPr>
        <w:tblStyle w:val="35"/>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457"/>
        <w:gridCol w:w="1167"/>
        <w:gridCol w:w="992"/>
        <w:gridCol w:w="993"/>
        <w:gridCol w:w="3191"/>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81" w:type="dxa"/>
            <w:gridSpan w:val="3"/>
            <w:vAlign w:val="center"/>
          </w:tcPr>
          <w:p>
            <w:pPr>
              <w:spacing w:after="0"/>
              <w:jc w:val="center"/>
              <w:rPr>
                <w:rFonts w:ascii="仿宋" w:hAnsi="仿宋" w:eastAsia="仿宋"/>
                <w:b/>
                <w:sz w:val="24"/>
                <w:szCs w:val="24"/>
              </w:rPr>
            </w:pPr>
          </w:p>
        </w:tc>
        <w:tc>
          <w:tcPr>
            <w:tcW w:w="992" w:type="dxa"/>
            <w:vAlign w:val="center"/>
          </w:tcPr>
          <w:p>
            <w:pPr>
              <w:spacing w:after="0"/>
              <w:jc w:val="center"/>
              <w:rPr>
                <w:rFonts w:ascii="仿宋" w:hAnsi="仿宋" w:eastAsia="仿宋"/>
                <w:b/>
                <w:sz w:val="24"/>
                <w:szCs w:val="24"/>
              </w:rPr>
            </w:pPr>
            <w:r>
              <w:rPr>
                <w:rFonts w:hint="eastAsia" w:ascii="仿宋" w:hAnsi="仿宋" w:eastAsia="仿宋"/>
                <w:b/>
                <w:sz w:val="24"/>
                <w:szCs w:val="24"/>
              </w:rPr>
              <w:t>参数</w:t>
            </w:r>
          </w:p>
        </w:tc>
        <w:tc>
          <w:tcPr>
            <w:tcW w:w="993" w:type="dxa"/>
            <w:vAlign w:val="center"/>
          </w:tcPr>
          <w:p>
            <w:pPr>
              <w:spacing w:after="0"/>
              <w:jc w:val="center"/>
              <w:rPr>
                <w:rFonts w:ascii="仿宋" w:hAnsi="仿宋" w:eastAsia="仿宋"/>
                <w:b/>
                <w:sz w:val="24"/>
                <w:szCs w:val="24"/>
              </w:rPr>
            </w:pPr>
            <w:r>
              <w:rPr>
                <w:rFonts w:hint="eastAsia" w:ascii="仿宋" w:hAnsi="仿宋" w:eastAsia="仿宋"/>
                <w:b/>
                <w:sz w:val="24"/>
                <w:szCs w:val="24"/>
              </w:rPr>
              <w:t>单位</w:t>
            </w:r>
          </w:p>
        </w:tc>
        <w:tc>
          <w:tcPr>
            <w:tcW w:w="3191" w:type="dxa"/>
            <w:vAlign w:val="center"/>
          </w:tcPr>
          <w:p>
            <w:pPr>
              <w:spacing w:after="0"/>
              <w:jc w:val="center"/>
              <w:rPr>
                <w:rFonts w:ascii="仿宋" w:hAnsi="仿宋" w:eastAsia="仿宋"/>
                <w:b/>
                <w:sz w:val="24"/>
                <w:szCs w:val="24"/>
              </w:rPr>
            </w:pPr>
            <w:r>
              <w:rPr>
                <w:rFonts w:hint="eastAsia" w:ascii="仿宋" w:hAnsi="仿宋" w:eastAsia="仿宋"/>
                <w:b/>
                <w:sz w:val="24"/>
                <w:szCs w:val="24"/>
              </w:rPr>
              <w:t>参数描述</w:t>
            </w:r>
          </w:p>
        </w:tc>
        <w:tc>
          <w:tcPr>
            <w:tcW w:w="1525" w:type="dxa"/>
            <w:vAlign w:val="center"/>
          </w:tcPr>
          <w:p>
            <w:pPr>
              <w:spacing w:after="0"/>
              <w:jc w:val="center"/>
              <w:rPr>
                <w:rFonts w:ascii="仿宋" w:hAnsi="仿宋" w:eastAsia="仿宋"/>
                <w:b/>
                <w:sz w:val="24"/>
                <w:szCs w:val="24"/>
              </w:rPr>
            </w:pPr>
            <w:r>
              <w:rPr>
                <w:rFonts w:hint="eastAsia" w:ascii="仿宋" w:hAnsi="仿宋" w:eastAsia="仿宋"/>
                <w:b/>
                <w:sz w:val="24"/>
                <w:szCs w:val="24"/>
              </w:rPr>
              <w:t>是否制订</w:t>
            </w:r>
          </w:p>
          <w:p>
            <w:pPr>
              <w:spacing w:after="0"/>
              <w:jc w:val="center"/>
              <w:rPr>
                <w:rFonts w:ascii="仿宋" w:hAnsi="仿宋" w:eastAsia="仿宋"/>
                <w:b/>
                <w:sz w:val="24"/>
                <w:szCs w:val="24"/>
              </w:rPr>
            </w:pPr>
            <w:r>
              <w:rPr>
                <w:rFonts w:hint="eastAsia" w:ascii="仿宋" w:hAnsi="仿宋" w:eastAsia="仿宋"/>
                <w:b/>
                <w:sz w:val="24"/>
                <w:szCs w:val="24"/>
              </w:rPr>
              <w:t>监测计划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restart"/>
            <w:vAlign w:val="center"/>
          </w:tcPr>
          <w:p>
            <w:pPr>
              <w:rPr>
                <w:rFonts w:ascii="仿宋" w:hAnsi="仿宋" w:eastAsia="仿宋"/>
                <w:b/>
                <w:sz w:val="24"/>
                <w:szCs w:val="24"/>
              </w:rPr>
            </w:pPr>
            <w:r>
              <w:rPr>
                <w:rFonts w:hint="eastAsia" w:ascii="仿宋" w:hAnsi="仿宋" w:eastAsia="仿宋"/>
                <w:b/>
                <w:sz w:val="24"/>
                <w:szCs w:val="24"/>
              </w:rPr>
              <w:t>活</w:t>
            </w:r>
          </w:p>
          <w:p>
            <w:pPr>
              <w:rPr>
                <w:rFonts w:ascii="仿宋" w:hAnsi="仿宋" w:eastAsia="仿宋"/>
                <w:b/>
                <w:sz w:val="24"/>
                <w:szCs w:val="24"/>
              </w:rPr>
            </w:pPr>
            <w:r>
              <w:rPr>
                <w:rFonts w:hint="eastAsia" w:ascii="仿宋" w:hAnsi="仿宋" w:eastAsia="仿宋"/>
                <w:b/>
                <w:sz w:val="24"/>
                <w:szCs w:val="24"/>
              </w:rPr>
              <w:t>动</w:t>
            </w:r>
          </w:p>
          <w:p>
            <w:pPr>
              <w:rPr>
                <w:rFonts w:ascii="仿宋" w:hAnsi="仿宋" w:eastAsia="仿宋"/>
                <w:b/>
                <w:sz w:val="24"/>
                <w:szCs w:val="24"/>
              </w:rPr>
            </w:pPr>
            <w:r>
              <w:rPr>
                <w:rFonts w:hint="eastAsia" w:ascii="仿宋" w:hAnsi="仿宋" w:eastAsia="仿宋"/>
                <w:b/>
                <w:sz w:val="24"/>
                <w:szCs w:val="24"/>
              </w:rPr>
              <w:t>水</w:t>
            </w:r>
          </w:p>
          <w:p>
            <w:pPr>
              <w:rPr>
                <w:rFonts w:ascii="仿宋" w:hAnsi="仿宋" w:eastAsia="仿宋"/>
                <w:b/>
                <w:sz w:val="24"/>
                <w:szCs w:val="24"/>
              </w:rPr>
            </w:pPr>
            <w:r>
              <w:rPr>
                <w:rFonts w:hint="eastAsia" w:ascii="仿宋" w:hAnsi="仿宋" w:eastAsia="仿宋"/>
                <w:b/>
                <w:sz w:val="24"/>
                <w:szCs w:val="24"/>
              </w:rPr>
              <w:t>平</w:t>
            </w:r>
          </w:p>
          <w:p>
            <w:pPr>
              <w:rPr>
                <w:rFonts w:ascii="仿宋" w:hAnsi="仿宋" w:eastAsia="仿宋"/>
                <w:b/>
                <w:sz w:val="24"/>
                <w:szCs w:val="24"/>
              </w:rPr>
            </w:pPr>
            <w:r>
              <w:rPr>
                <w:rFonts w:hint="eastAsia" w:ascii="仿宋" w:hAnsi="仿宋" w:eastAsia="仿宋"/>
                <w:b/>
                <w:sz w:val="24"/>
                <w:szCs w:val="24"/>
              </w:rPr>
              <w:t>数</w:t>
            </w:r>
          </w:p>
          <w:p>
            <w:pPr>
              <w:rPr>
                <w:rFonts w:ascii="仿宋" w:hAnsi="仿宋" w:eastAsia="仿宋"/>
                <w:b/>
                <w:sz w:val="24"/>
                <w:szCs w:val="24"/>
              </w:rPr>
            </w:pPr>
            <w:r>
              <w:rPr>
                <w:rFonts w:hint="eastAsia" w:ascii="仿宋" w:hAnsi="仿宋" w:eastAsia="仿宋"/>
                <w:b/>
                <w:sz w:val="24"/>
                <w:szCs w:val="24"/>
              </w:rPr>
              <w:t>据</w:t>
            </w:r>
          </w:p>
        </w:tc>
        <w:tc>
          <w:tcPr>
            <w:tcW w:w="457" w:type="dxa"/>
            <w:vMerge w:val="restart"/>
            <w:vAlign w:val="center"/>
          </w:tcPr>
          <w:p>
            <w:pPr>
              <w:rPr>
                <w:rFonts w:ascii="仿宋" w:hAnsi="仿宋" w:eastAsia="仿宋"/>
                <w:b/>
                <w:sz w:val="24"/>
                <w:szCs w:val="24"/>
              </w:rPr>
            </w:pPr>
            <w:r>
              <w:rPr>
                <w:rFonts w:hint="eastAsia" w:ascii="仿宋" w:hAnsi="仿宋" w:eastAsia="仿宋"/>
                <w:b/>
                <w:sz w:val="24"/>
                <w:szCs w:val="24"/>
              </w:rPr>
              <w:t>直</w:t>
            </w:r>
          </w:p>
          <w:p>
            <w:pPr>
              <w:rPr>
                <w:rFonts w:ascii="仿宋" w:hAnsi="仿宋" w:eastAsia="仿宋"/>
                <w:b/>
                <w:sz w:val="24"/>
                <w:szCs w:val="24"/>
              </w:rPr>
            </w:pPr>
            <w:r>
              <w:rPr>
                <w:rFonts w:hint="eastAsia" w:ascii="仿宋" w:hAnsi="仿宋" w:eastAsia="仿宋"/>
                <w:b/>
                <w:sz w:val="24"/>
                <w:szCs w:val="24"/>
              </w:rPr>
              <w:t>接</w:t>
            </w:r>
          </w:p>
          <w:p>
            <w:pPr>
              <w:rPr>
                <w:rFonts w:ascii="仿宋" w:hAnsi="仿宋" w:eastAsia="仿宋"/>
                <w:b/>
                <w:sz w:val="24"/>
                <w:szCs w:val="24"/>
              </w:rPr>
            </w:pPr>
            <w:r>
              <w:rPr>
                <w:rFonts w:hint="eastAsia" w:ascii="仿宋" w:hAnsi="仿宋" w:eastAsia="仿宋"/>
                <w:b/>
                <w:sz w:val="24"/>
                <w:szCs w:val="24"/>
              </w:rPr>
              <w:t>排</w:t>
            </w:r>
          </w:p>
          <w:p>
            <w:pPr>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restart"/>
            <w:vAlign w:val="center"/>
          </w:tcPr>
          <w:p>
            <w:pPr>
              <w:rPr>
                <w:rFonts w:ascii="仿宋" w:hAnsi="仿宋" w:eastAsia="仿宋"/>
                <w:b/>
                <w:sz w:val="24"/>
                <w:szCs w:val="24"/>
              </w:rPr>
            </w:pPr>
            <w:r>
              <w:rPr>
                <w:rFonts w:hint="eastAsia" w:ascii="仿宋" w:hAnsi="仿宋" w:eastAsia="仿宋"/>
                <w:b/>
                <w:sz w:val="24"/>
                <w:szCs w:val="24"/>
              </w:rPr>
              <w:t>间</w:t>
            </w:r>
          </w:p>
          <w:p>
            <w:pPr>
              <w:rPr>
                <w:rFonts w:ascii="仿宋" w:hAnsi="仿宋" w:eastAsia="仿宋"/>
                <w:b/>
                <w:sz w:val="24"/>
                <w:szCs w:val="24"/>
              </w:rPr>
            </w:pPr>
            <w:r>
              <w:rPr>
                <w:rFonts w:hint="eastAsia" w:ascii="仿宋" w:hAnsi="仿宋" w:eastAsia="仿宋"/>
                <w:b/>
                <w:sz w:val="24"/>
                <w:szCs w:val="24"/>
              </w:rPr>
              <w:t>接</w:t>
            </w:r>
          </w:p>
          <w:p>
            <w:pPr>
              <w:rPr>
                <w:rFonts w:ascii="仿宋" w:hAnsi="仿宋" w:eastAsia="仿宋"/>
                <w:b/>
                <w:sz w:val="24"/>
                <w:szCs w:val="24"/>
              </w:rPr>
            </w:pPr>
            <w:r>
              <w:rPr>
                <w:rFonts w:hint="eastAsia" w:ascii="仿宋" w:hAnsi="仿宋" w:eastAsia="仿宋"/>
                <w:b/>
                <w:sz w:val="24"/>
                <w:szCs w:val="24"/>
              </w:rPr>
              <w:t>排</w:t>
            </w:r>
          </w:p>
          <w:p>
            <w:pPr>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restart"/>
            <w:vAlign w:val="center"/>
          </w:tcPr>
          <w:p>
            <w:pPr>
              <w:rPr>
                <w:rFonts w:ascii="仿宋" w:hAnsi="仿宋" w:eastAsia="仿宋"/>
                <w:b/>
                <w:sz w:val="24"/>
                <w:szCs w:val="24"/>
              </w:rPr>
            </w:pPr>
            <w:r>
              <w:rPr>
                <w:rFonts w:hint="eastAsia" w:ascii="仿宋" w:hAnsi="仿宋" w:eastAsia="仿宋"/>
                <w:b/>
                <w:sz w:val="24"/>
                <w:szCs w:val="24"/>
              </w:rPr>
              <w:t>排</w:t>
            </w:r>
          </w:p>
          <w:p>
            <w:pPr>
              <w:rPr>
                <w:rFonts w:ascii="仿宋" w:hAnsi="仿宋" w:eastAsia="仿宋"/>
                <w:b/>
                <w:sz w:val="24"/>
                <w:szCs w:val="24"/>
              </w:rPr>
            </w:pPr>
            <w:r>
              <w:rPr>
                <w:rFonts w:hint="eastAsia" w:ascii="仿宋" w:hAnsi="仿宋" w:eastAsia="仿宋"/>
                <w:b/>
                <w:sz w:val="24"/>
                <w:szCs w:val="24"/>
              </w:rPr>
              <w:t>放</w:t>
            </w:r>
          </w:p>
          <w:p>
            <w:pPr>
              <w:rPr>
                <w:rFonts w:ascii="仿宋" w:hAnsi="仿宋" w:eastAsia="仿宋"/>
                <w:b/>
                <w:sz w:val="24"/>
                <w:szCs w:val="24"/>
              </w:rPr>
            </w:pPr>
            <w:r>
              <w:rPr>
                <w:rFonts w:hint="eastAsia" w:ascii="仿宋" w:hAnsi="仿宋" w:eastAsia="仿宋"/>
                <w:b/>
                <w:sz w:val="24"/>
                <w:szCs w:val="24"/>
              </w:rPr>
              <w:t>因</w:t>
            </w:r>
          </w:p>
          <w:p>
            <w:pPr>
              <w:rPr>
                <w:rFonts w:ascii="仿宋" w:hAnsi="仿宋" w:eastAsia="仿宋"/>
                <w:b/>
                <w:sz w:val="24"/>
                <w:szCs w:val="24"/>
              </w:rPr>
            </w:pPr>
            <w:r>
              <w:rPr>
                <w:rFonts w:hint="eastAsia" w:ascii="仿宋" w:hAnsi="仿宋" w:eastAsia="仿宋"/>
                <w:b/>
                <w:sz w:val="24"/>
                <w:szCs w:val="24"/>
              </w:rPr>
              <w:t>子</w:t>
            </w:r>
          </w:p>
        </w:tc>
        <w:tc>
          <w:tcPr>
            <w:tcW w:w="457" w:type="dxa"/>
            <w:vMerge w:val="restart"/>
            <w:vAlign w:val="center"/>
          </w:tcPr>
          <w:p>
            <w:pPr>
              <w:rPr>
                <w:rFonts w:ascii="仿宋" w:hAnsi="仿宋" w:eastAsia="仿宋"/>
                <w:b/>
                <w:sz w:val="24"/>
                <w:szCs w:val="24"/>
              </w:rPr>
            </w:pPr>
            <w:r>
              <w:rPr>
                <w:rFonts w:hint="eastAsia" w:ascii="仿宋" w:hAnsi="仿宋" w:eastAsia="仿宋"/>
                <w:b/>
                <w:sz w:val="24"/>
                <w:szCs w:val="24"/>
              </w:rPr>
              <w:t>直</w:t>
            </w:r>
          </w:p>
          <w:p>
            <w:pPr>
              <w:rPr>
                <w:rFonts w:ascii="仿宋" w:hAnsi="仿宋" w:eastAsia="仿宋"/>
                <w:b/>
                <w:sz w:val="24"/>
                <w:szCs w:val="24"/>
              </w:rPr>
            </w:pPr>
            <w:r>
              <w:rPr>
                <w:rFonts w:hint="eastAsia" w:ascii="仿宋" w:hAnsi="仿宋" w:eastAsia="仿宋"/>
                <w:b/>
                <w:sz w:val="24"/>
                <w:szCs w:val="24"/>
              </w:rPr>
              <w:t>接</w:t>
            </w:r>
          </w:p>
          <w:p>
            <w:pPr>
              <w:rPr>
                <w:rFonts w:ascii="仿宋" w:hAnsi="仿宋" w:eastAsia="仿宋"/>
                <w:b/>
                <w:sz w:val="24"/>
                <w:szCs w:val="24"/>
              </w:rPr>
            </w:pPr>
            <w:r>
              <w:rPr>
                <w:rFonts w:hint="eastAsia" w:ascii="仿宋" w:hAnsi="仿宋" w:eastAsia="仿宋"/>
                <w:b/>
                <w:sz w:val="24"/>
                <w:szCs w:val="24"/>
              </w:rPr>
              <w:t>排</w:t>
            </w:r>
          </w:p>
          <w:p>
            <w:pPr>
              <w:rPr>
                <w:rFonts w:ascii="仿宋" w:hAnsi="仿宋" w:eastAsia="仿宋"/>
                <w:b/>
                <w:sz w:val="24"/>
                <w:szCs w:val="24"/>
              </w:rPr>
            </w:pPr>
            <w:r>
              <w:rPr>
                <w:rFonts w:hint="eastAsia" w:ascii="仿宋" w:hAnsi="仿宋" w:eastAsia="仿宋"/>
                <w:b/>
                <w:sz w:val="24"/>
                <w:szCs w:val="24"/>
              </w:rPr>
              <w:t>放</w:t>
            </w: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457" w:type="dxa"/>
            <w:vMerge w:val="continue"/>
            <w:vAlign w:val="center"/>
          </w:tcPr>
          <w:p>
            <w:pPr>
              <w:rPr>
                <w:rFonts w:ascii="仿宋" w:hAnsi="仿宋" w:eastAsia="仿宋"/>
                <w:b/>
                <w:sz w:val="24"/>
                <w:szCs w:val="24"/>
              </w:rPr>
            </w:pPr>
          </w:p>
        </w:tc>
        <w:tc>
          <w:tcPr>
            <w:tcW w:w="457" w:type="dxa"/>
            <w:vMerge w:val="restart"/>
            <w:vAlign w:val="center"/>
          </w:tcPr>
          <w:p>
            <w:pPr>
              <w:rPr>
                <w:rFonts w:ascii="仿宋" w:hAnsi="仿宋" w:eastAsia="仿宋"/>
                <w:b/>
                <w:sz w:val="24"/>
                <w:szCs w:val="24"/>
              </w:rPr>
            </w:pPr>
            <w:r>
              <w:rPr>
                <w:rFonts w:hint="eastAsia" w:ascii="仿宋" w:hAnsi="仿宋" w:eastAsia="仿宋"/>
                <w:b/>
                <w:sz w:val="24"/>
                <w:szCs w:val="24"/>
              </w:rPr>
              <w:t>间接</w:t>
            </w:r>
          </w:p>
          <w:p>
            <w:pPr>
              <w:rPr>
                <w:rFonts w:ascii="仿宋" w:hAnsi="仿宋" w:eastAsia="仿宋"/>
                <w:b/>
                <w:sz w:val="24"/>
                <w:szCs w:val="24"/>
              </w:rPr>
            </w:pPr>
            <w:r>
              <w:rPr>
                <w:rFonts w:hint="eastAsia" w:ascii="仿宋" w:hAnsi="仿宋" w:eastAsia="仿宋"/>
                <w:b/>
                <w:sz w:val="24"/>
                <w:szCs w:val="24"/>
              </w:rPr>
              <w:t>排放</w:t>
            </w: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457" w:type="dxa"/>
            <w:vMerge w:val="continue"/>
            <w:vAlign w:val="center"/>
          </w:tcPr>
          <w:p>
            <w:pPr>
              <w:rPr>
                <w:rFonts w:ascii="仿宋" w:hAnsi="仿宋" w:eastAsia="仿宋"/>
                <w:b/>
                <w:sz w:val="24"/>
                <w:szCs w:val="24"/>
              </w:rPr>
            </w:pPr>
          </w:p>
        </w:tc>
        <w:tc>
          <w:tcPr>
            <w:tcW w:w="457" w:type="dxa"/>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pPr>
              <w:rPr>
                <w:rFonts w:ascii="仿宋" w:hAnsi="仿宋" w:eastAsia="仿宋"/>
                <w:b/>
                <w:sz w:val="24"/>
                <w:szCs w:val="24"/>
              </w:rPr>
            </w:pPr>
            <w:r>
              <w:rPr>
                <w:rFonts w:hint="eastAsia" w:ascii="仿宋" w:hAnsi="仿宋" w:eastAsia="仿宋"/>
                <w:b/>
                <w:sz w:val="24"/>
                <w:szCs w:val="24"/>
              </w:rPr>
              <w:t>其他</w:t>
            </w:r>
          </w:p>
          <w:p>
            <w:pPr>
              <w:widowControl w:val="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4" w:type="dxa"/>
            <w:gridSpan w:val="2"/>
            <w:vMerge w:val="restart"/>
            <w:vAlign w:val="center"/>
          </w:tcPr>
          <w:p>
            <w:pPr>
              <w:rPr>
                <w:rFonts w:ascii="仿宋" w:hAnsi="仿宋" w:eastAsia="仿宋"/>
                <w:b/>
                <w:sz w:val="24"/>
                <w:szCs w:val="24"/>
              </w:rPr>
            </w:pPr>
            <w:r>
              <w:rPr>
                <w:rFonts w:hint="eastAsia" w:ascii="仿宋" w:hAnsi="仿宋" w:eastAsia="仿宋"/>
                <w:b/>
                <w:sz w:val="24"/>
                <w:szCs w:val="24"/>
              </w:rPr>
              <w:t>补充</w:t>
            </w:r>
          </w:p>
          <w:p>
            <w:pPr>
              <w:widowControl w:val="0"/>
              <w:jc w:val="both"/>
              <w:rPr>
                <w:rFonts w:ascii="仿宋" w:hAnsi="仿宋" w:eastAsia="仿宋"/>
                <w:b/>
                <w:sz w:val="24"/>
                <w:szCs w:val="24"/>
              </w:rPr>
            </w:pPr>
            <w:r>
              <w:rPr>
                <w:rFonts w:hint="eastAsia" w:ascii="仿宋" w:hAnsi="仿宋" w:eastAsia="仿宋"/>
                <w:b/>
                <w:sz w:val="24"/>
                <w:szCs w:val="24"/>
              </w:rPr>
              <w:t>数据</w:t>
            </w: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1</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2</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3</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r>
              <w:rPr>
                <w:rFonts w:ascii="仿宋" w:hAnsi="仿宋" w:eastAsia="仿宋"/>
                <w:b/>
                <w:sz w:val="24"/>
                <w:szCs w:val="24"/>
              </w:rPr>
              <w:t>4</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914" w:type="dxa"/>
            <w:gridSpan w:val="2"/>
            <w:vMerge w:val="restart"/>
            <w:vAlign w:val="center"/>
          </w:tcPr>
          <w:p>
            <w:pPr>
              <w:rPr>
                <w:rFonts w:ascii="仿宋" w:hAnsi="仿宋" w:eastAsia="仿宋"/>
                <w:b/>
                <w:sz w:val="24"/>
                <w:szCs w:val="24"/>
              </w:rPr>
            </w:pPr>
            <w:r>
              <w:rPr>
                <w:rFonts w:hint="eastAsia" w:ascii="仿宋" w:hAnsi="仿宋" w:eastAsia="仿宋"/>
                <w:b/>
                <w:sz w:val="24"/>
                <w:szCs w:val="24"/>
              </w:rPr>
              <w:t>实时监测的数据</w:t>
            </w: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数据1</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数据2</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数据3</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数据4</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914" w:type="dxa"/>
            <w:gridSpan w:val="2"/>
            <w:vMerge w:val="continue"/>
            <w:vAlign w:val="center"/>
          </w:tcPr>
          <w:p>
            <w:pPr>
              <w:rPr>
                <w:rFonts w:ascii="仿宋" w:hAnsi="仿宋" w:eastAsia="仿宋"/>
                <w:b/>
                <w:sz w:val="24"/>
                <w:szCs w:val="24"/>
              </w:rPr>
            </w:pPr>
          </w:p>
        </w:tc>
        <w:tc>
          <w:tcPr>
            <w:tcW w:w="1167" w:type="dxa"/>
            <w:vAlign w:val="center"/>
          </w:tcPr>
          <w:p>
            <w:pPr>
              <w:jc w:val="center"/>
              <w:rPr>
                <w:rFonts w:ascii="仿宋" w:hAnsi="仿宋" w:eastAsia="仿宋"/>
                <w:b/>
                <w:sz w:val="24"/>
                <w:szCs w:val="24"/>
              </w:rPr>
            </w:pPr>
            <w:r>
              <w:rPr>
                <w:rFonts w:hint="eastAsia" w:ascii="仿宋" w:hAnsi="仿宋" w:eastAsia="仿宋"/>
                <w:b/>
                <w:sz w:val="24"/>
                <w:szCs w:val="24"/>
              </w:rPr>
              <w:t>数据…</w:t>
            </w:r>
          </w:p>
        </w:tc>
        <w:tc>
          <w:tcPr>
            <w:tcW w:w="992" w:type="dxa"/>
            <w:vAlign w:val="center"/>
          </w:tcPr>
          <w:p>
            <w:pPr>
              <w:rPr>
                <w:rFonts w:ascii="仿宋" w:hAnsi="仿宋" w:eastAsia="仿宋"/>
                <w:sz w:val="24"/>
                <w:szCs w:val="24"/>
              </w:rPr>
            </w:pPr>
          </w:p>
        </w:tc>
        <w:tc>
          <w:tcPr>
            <w:tcW w:w="993" w:type="dxa"/>
          </w:tcPr>
          <w:p>
            <w:pPr>
              <w:rPr>
                <w:rFonts w:ascii="仿宋" w:hAnsi="仿宋" w:eastAsia="仿宋"/>
                <w:sz w:val="24"/>
                <w:szCs w:val="24"/>
              </w:rPr>
            </w:pPr>
          </w:p>
        </w:tc>
        <w:tc>
          <w:tcPr>
            <w:tcW w:w="3191" w:type="dxa"/>
            <w:vAlign w:val="center"/>
          </w:tcPr>
          <w:p>
            <w:pPr>
              <w:rPr>
                <w:rFonts w:ascii="仿宋" w:hAnsi="仿宋" w:eastAsia="仿宋"/>
                <w:sz w:val="24"/>
                <w:szCs w:val="24"/>
              </w:rPr>
            </w:pPr>
          </w:p>
        </w:tc>
        <w:tc>
          <w:tcPr>
            <w:tcW w:w="1525" w:type="dxa"/>
            <w:vAlign w:val="center"/>
          </w:tcPr>
          <w:p>
            <w:pPr>
              <w:rPr>
                <w:rFonts w:ascii="仿宋" w:hAnsi="仿宋" w:eastAsia="仿宋"/>
                <w:sz w:val="24"/>
                <w:szCs w:val="24"/>
              </w:rPr>
            </w:pPr>
          </w:p>
        </w:tc>
      </w:tr>
    </w:tbl>
    <w:p>
      <w:pPr>
        <w:spacing w:after="0" w:line="560" w:lineRule="exact"/>
        <w:ind w:firstLine="659" w:firstLineChars="205"/>
        <w:rPr>
          <w:rFonts w:ascii="仿宋_GB2312" w:hAnsi="仿宋" w:eastAsia="仿宋_GB2312"/>
          <w:b/>
          <w:sz w:val="32"/>
          <w:szCs w:val="32"/>
        </w:rPr>
      </w:pP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3.3.2.1 活动水平数据的符合性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二氧化碳直接和间接排放相关的活动水平数据及相应的表格。对每一个活动水平数据进行核查,核查的内容包括:单位、数据来源、监测方法、监测频次、记录频次、数据缺失处理、交叉核对内容，核查机构应对上述每一个核算数据的符合性进行报告。报告格式如下：</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活动水平数据1（直接排放）：</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6"/>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活动水平数据2（直接排放）：</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活动水平数据1（间接排放）：</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3.3.2.2 排放因子的符合性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核查重点碳排放单位报送的排放因子数据及相应的表格以及各个行业的特定表格，应对每一个排放因子进行核查,核查的内容包括:单位、数据来源、监测方法、监测频次、记录频次、数据缺失处理、交叉核对内容，核查机构应对上述每一个核算数据的符合性进行报告。如果排放因子为缺省值,可适当删减上述核查内容。报告格式如下：</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排放因子参数1（直接排放）：</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单位</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数据来源</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监测方法</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监测频次</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记录频次</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数据缺失处理</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交叉核对</w:t>
      </w:r>
    </w:p>
    <w:p>
      <w:pPr>
        <w:widowControl w:val="0"/>
        <w:numPr>
          <w:ilvl w:val="0"/>
          <w:numId w:val="17"/>
        </w:numPr>
        <w:spacing w:after="0" w:line="560" w:lineRule="exact"/>
        <w:ind w:hanging="180"/>
        <w:jc w:val="both"/>
        <w:rPr>
          <w:rFonts w:ascii="仿宋_GB2312" w:hAnsi="仿宋" w:eastAsia="仿宋_GB2312"/>
          <w:sz w:val="32"/>
          <w:szCs w:val="32"/>
        </w:rPr>
      </w:pPr>
      <w:r>
        <w:rPr>
          <w:rFonts w:hint="eastAsia" w:ascii="仿宋_GB2312" w:hAnsi="仿宋" w:eastAsia="仿宋_GB2312"/>
          <w:sz w:val="32"/>
          <w:szCs w:val="32"/>
        </w:rPr>
        <w:t>确认的数值</w:t>
      </w:r>
    </w:p>
    <w:p>
      <w:pPr>
        <w:widowControl w:val="0"/>
        <w:numPr>
          <w:ilvl w:val="0"/>
          <w:numId w:val="17"/>
        </w:numPr>
        <w:spacing w:after="0" w:line="560" w:lineRule="exact"/>
        <w:ind w:left="0" w:firstLine="660"/>
        <w:jc w:val="both"/>
        <w:rPr>
          <w:rFonts w:ascii="仿宋_GB2312" w:hAnsi="仿宋" w:eastAsia="仿宋_GB2312"/>
          <w:sz w:val="32"/>
          <w:szCs w:val="32"/>
        </w:rPr>
      </w:pPr>
      <w:r>
        <w:rPr>
          <w:rFonts w:hint="eastAsia" w:ascii="仿宋_GB2312" w:hAnsi="仿宋" w:eastAsia="仿宋_GB2312"/>
          <w:sz w:val="32"/>
          <w:szCs w:val="32"/>
        </w:rPr>
        <w:t>核查结论（简要描述不符合，如有。详细描述及纠正措施链接附件1）</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排放因子参数2（直接排放）：</w:t>
      </w: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排放因子参数1（间接排放）：</w:t>
      </w:r>
    </w:p>
    <w:p>
      <w:pPr>
        <w:spacing w:after="0" w:line="560" w:lineRule="exact"/>
        <w:ind w:firstLine="660"/>
        <w:outlineLvl w:val="0"/>
        <w:rPr>
          <w:rFonts w:ascii="仿宋_GB2312" w:hAnsi="仿宋" w:eastAsia="仿宋_GB2312"/>
          <w:b/>
          <w:sz w:val="32"/>
          <w:szCs w:val="32"/>
        </w:rPr>
      </w:pPr>
      <w:r>
        <w:rPr>
          <w:rFonts w:hint="eastAsia" w:ascii="仿宋_GB2312" w:hAnsi="仿宋" w:eastAsia="仿宋_GB2312"/>
          <w:b/>
          <w:sz w:val="32"/>
          <w:szCs w:val="32"/>
        </w:rPr>
        <w:t>3.3.2.3 其他数据及补充</w:t>
      </w:r>
      <w:r>
        <w:rPr>
          <w:rFonts w:ascii="仿宋_GB2312" w:hAnsi="仿宋" w:eastAsia="仿宋_GB2312"/>
          <w:b/>
          <w:sz w:val="32"/>
          <w:szCs w:val="32"/>
        </w:rPr>
        <w:t>信息</w:t>
      </w:r>
      <w:r>
        <w:rPr>
          <w:rFonts w:hint="eastAsia" w:ascii="仿宋_GB2312" w:hAnsi="仿宋" w:eastAsia="仿宋_GB2312"/>
          <w:b/>
          <w:sz w:val="32"/>
          <w:szCs w:val="32"/>
        </w:rPr>
        <w:t>的符合性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其它数据和补充信息包括石油化工</w:t>
      </w:r>
      <w:r>
        <w:rPr>
          <w:rFonts w:ascii="仿宋_GB2312" w:hAnsi="仿宋" w:eastAsia="仿宋_GB2312"/>
          <w:sz w:val="32"/>
          <w:szCs w:val="32"/>
        </w:rPr>
        <w:t>、</w:t>
      </w:r>
      <w:r>
        <w:rPr>
          <w:rFonts w:hint="eastAsia" w:ascii="仿宋_GB2312" w:hAnsi="仿宋" w:eastAsia="仿宋_GB2312"/>
          <w:sz w:val="32"/>
          <w:szCs w:val="32"/>
        </w:rPr>
        <w:t>热力生产和供应、水泥制造、其他服务业（物业、数据中心、通信）、其他行业（电网、汽车制造、生物药品制品制造、污水处理和再生水供应、自来水供应）等的</w:t>
      </w:r>
      <w:r>
        <w:rPr>
          <w:rFonts w:ascii="仿宋_GB2312" w:hAnsi="仿宋" w:eastAsia="仿宋_GB2312"/>
          <w:sz w:val="32"/>
          <w:szCs w:val="32"/>
        </w:rPr>
        <w:t>生产经营服务信息和碳排放补充信息</w:t>
      </w:r>
      <w:r>
        <w:rPr>
          <w:rFonts w:hint="eastAsia" w:ascii="仿宋_GB2312" w:hAnsi="仿宋" w:eastAsia="仿宋_GB2312"/>
          <w:sz w:val="32"/>
          <w:szCs w:val="32"/>
        </w:rPr>
        <w:t>，核查机构应对其它数据及补充数据信息进行核查。对涉及到的其它数据和补充信息的核查内容包括：数据的单位、数据来源、监测方法、监测频次、记录频次、参数交叉核对、数据缺失的处理方式等内容，核查机构应对其它数据和补充数据的每一个数据的符合性进行报告，若已经在核查报告中详细描述了核查过程且不降低核查质量的前提下，此处对于其它数据和补充信息的核查可以简化描述。</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其它数据和补充信息的符合性报告格式参考</w:t>
      </w:r>
      <w:r>
        <w:rPr>
          <w:rFonts w:ascii="仿宋_GB2312" w:hAnsi="仿宋" w:eastAsia="仿宋_GB2312"/>
          <w:sz w:val="32"/>
          <w:szCs w:val="32"/>
        </w:rPr>
        <w:t>3.3.2.1</w:t>
      </w:r>
      <w:r>
        <w:rPr>
          <w:rFonts w:hint="eastAsia" w:ascii="仿宋_GB2312" w:hAnsi="仿宋" w:eastAsia="仿宋_GB2312"/>
          <w:sz w:val="32"/>
          <w:szCs w:val="32"/>
        </w:rPr>
        <w:t>。</w:t>
      </w:r>
    </w:p>
    <w:p>
      <w:pPr>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补充</w:t>
      </w:r>
      <w:r>
        <w:rPr>
          <w:rFonts w:ascii="仿宋_GB2312" w:hAnsi="仿宋" w:eastAsia="仿宋_GB2312"/>
          <w:sz w:val="32"/>
          <w:szCs w:val="32"/>
        </w:rPr>
        <w:t>数据表核查重点如下：</w:t>
      </w:r>
    </w:p>
    <w:p>
      <w:pPr>
        <w:spacing w:after="0" w:line="560" w:lineRule="exact"/>
        <w:ind w:firstLine="643"/>
        <w:jc w:val="center"/>
        <w:rPr>
          <w:rFonts w:ascii="仿宋_GB2312" w:hAnsi="仿宋" w:eastAsia="仿宋_GB2312"/>
          <w:b/>
          <w:sz w:val="32"/>
          <w:szCs w:val="32"/>
          <w:lang w:val="en-US"/>
        </w:rPr>
      </w:pPr>
      <w:r>
        <w:rPr>
          <w:rFonts w:hint="eastAsia" w:ascii="仿宋_GB2312" w:hAnsi="仿宋" w:eastAsia="仿宋_GB2312"/>
          <w:b/>
          <w:sz w:val="32"/>
          <w:szCs w:val="32"/>
          <w:lang w:val="en-US"/>
        </w:rPr>
        <w:t>热力生产和供应企业补充</w:t>
      </w:r>
      <w:r>
        <w:rPr>
          <w:rFonts w:ascii="仿宋_GB2312" w:hAnsi="仿宋" w:eastAsia="仿宋_GB2312"/>
          <w:b/>
          <w:sz w:val="32"/>
          <w:szCs w:val="32"/>
          <w:lang w:val="en-US"/>
        </w:rPr>
        <w:t>数据表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89" w:type="dxa"/>
            <w:vAlign w:val="center"/>
          </w:tcPr>
          <w:p>
            <w:pPr>
              <w:spacing w:after="0" w:line="300" w:lineRule="auto"/>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报告</w:t>
            </w:r>
            <w:r>
              <w:rPr>
                <w:rFonts w:ascii="仿宋_GB2312" w:hAnsi="仿宋" w:eastAsia="仿宋_GB2312"/>
                <w:b/>
                <w:bCs/>
                <w:sz w:val="24"/>
                <w:szCs w:val="24"/>
                <w:lang w:val="en-US"/>
              </w:rPr>
              <w:t>参数</w:t>
            </w:r>
          </w:p>
        </w:tc>
        <w:tc>
          <w:tcPr>
            <w:tcW w:w="5607" w:type="dxa"/>
            <w:vAlign w:val="center"/>
          </w:tcPr>
          <w:p>
            <w:pPr>
              <w:spacing w:after="0" w:line="300" w:lineRule="auto"/>
              <w:ind w:firstLine="482"/>
              <w:jc w:val="center"/>
              <w:rPr>
                <w:rFonts w:ascii="仿宋_GB2312" w:hAnsi="仿宋" w:eastAsia="仿宋_GB2312"/>
                <w:b/>
                <w:bCs/>
                <w:sz w:val="24"/>
                <w:szCs w:val="24"/>
                <w:lang w:val="en-US"/>
              </w:rPr>
            </w:pPr>
            <w:r>
              <w:rPr>
                <w:rFonts w:hint="eastAsia" w:ascii="仿宋_GB2312" w:hAnsi="仿宋" w:eastAsia="仿宋_GB2312"/>
                <w:b/>
                <w:bCs/>
                <w:sz w:val="24"/>
                <w:szCs w:val="24"/>
                <w:lang w:val="en-US"/>
              </w:rPr>
              <w:t>核查要求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ind w:firstLine="480"/>
              <w:rPr>
                <w:rFonts w:ascii="仿宋_GB2312" w:hAnsi="仿宋" w:eastAsia="仿宋_GB2312"/>
                <w:sz w:val="24"/>
                <w:szCs w:val="24"/>
                <w:lang w:val="en-US"/>
              </w:rPr>
            </w:pPr>
            <w:r>
              <w:rPr>
                <w:rFonts w:hint="eastAsia" w:ascii="仿宋_GB2312" w:hAnsi="仿宋" w:eastAsia="仿宋_GB2312"/>
                <w:sz w:val="24"/>
                <w:szCs w:val="24"/>
                <w:lang w:val="en-US"/>
              </w:rPr>
              <w:t>各热量数据</w:t>
            </w:r>
          </w:p>
        </w:tc>
        <w:tc>
          <w:tcPr>
            <w:tcW w:w="5607" w:type="dxa"/>
            <w:vAlign w:val="center"/>
          </w:tcPr>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核查组首先应确定受核查方的供热类型（包括热源及热网类型，热源：燃气锅炉</w:t>
            </w:r>
            <w:r>
              <w:rPr>
                <w:rFonts w:ascii="仿宋_GB2312" w:hAnsi="仿宋" w:eastAsia="仿宋_GB2312"/>
                <w:sz w:val="24"/>
                <w:szCs w:val="24"/>
                <w:lang w:val="en-US"/>
              </w:rPr>
              <w:t>/燃煤锅炉/电锅炉/燃油锅炉/地源热泵/其他，热网：直供/间供），热量的数据来源是否与监测计划一致。如为计量数据，还应将报告的数据与热表抄表记录等数据交叉核对；如为计算数据，应确认计算方法的合理性，并保持各年度数据的可比性，计算用到的各</w:t>
            </w:r>
            <w:r>
              <w:rPr>
                <w:rFonts w:hint="eastAsia" w:ascii="仿宋_GB2312" w:hAnsi="仿宋" w:eastAsia="仿宋_GB2312"/>
                <w:sz w:val="24"/>
                <w:szCs w:val="24"/>
                <w:lang w:val="en-US"/>
              </w:rPr>
              <w:t>参数，均应确保其来源可信，如有测试报告，应附在核查报告中。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不同用能单元（热源锅炉房、办公生活及其他）的直接排放量</w:t>
            </w:r>
          </w:p>
        </w:tc>
        <w:tc>
          <w:tcPr>
            <w:tcW w:w="5607" w:type="dxa"/>
            <w:vAlign w:val="center"/>
          </w:tcPr>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核查组应确认受核查方化石燃料消耗量的数据来源是否与监测计划一致，并通过能源平衡表、生产月报表等相关记录交叉核对。</w:t>
            </w:r>
          </w:p>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对于天然气等可单独计量的能源，还应将报告的数据与天然气抄表记录、财务数据等数据交叉核对。</w:t>
            </w:r>
          </w:p>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如重点排放单位使用化石燃料排放因子的缺省值，核查组应确认缺省值的数据、单位正确，如使用实测值，排放因子的核查应参考核查报告编写指南第</w:t>
            </w:r>
            <w:r>
              <w:rPr>
                <w:rFonts w:ascii="仿宋_GB2312" w:hAnsi="仿宋" w:eastAsia="仿宋_GB2312"/>
                <w:sz w:val="24"/>
                <w:szCs w:val="24"/>
                <w:lang w:val="en-US"/>
              </w:rPr>
              <w:t>3.3.2.2部分的要求。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不同用能单元（热源锅炉房、热力站、中继泵站、办公生活及其他）的间接排放量</w:t>
            </w:r>
          </w:p>
        </w:tc>
        <w:tc>
          <w:tcPr>
            <w:tcW w:w="5607" w:type="dxa"/>
            <w:vAlign w:val="center"/>
          </w:tcPr>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对于各用电单元单独计量的电量，应确认监测设备的校准、数据记录等活动是否符合监测计划的要求，并核对抄表记录、各车间能源消耗台账。</w:t>
            </w:r>
          </w:p>
          <w:p>
            <w:pPr>
              <w:spacing w:after="120"/>
              <w:ind w:firstLine="480" w:firstLineChars="200"/>
              <w:jc w:val="both"/>
              <w:rPr>
                <w:rFonts w:ascii="仿宋_GB2312" w:hAnsi="仿宋" w:eastAsia="仿宋_GB2312"/>
                <w:sz w:val="24"/>
                <w:szCs w:val="24"/>
                <w:lang w:val="en-US"/>
              </w:rPr>
            </w:pPr>
            <w:r>
              <w:rPr>
                <w:rFonts w:hint="eastAsia" w:ascii="仿宋_GB2312" w:hAnsi="仿宋" w:eastAsia="仿宋_GB2312"/>
                <w:sz w:val="24"/>
                <w:szCs w:val="24"/>
                <w:lang w:val="en-US"/>
              </w:rPr>
              <w:t>如各用电单元对应的外购电力数据是通过拆分总外购电量计算得出，核查组应确认拆分的方式是否合理，并保持各年度数据的可比性。</w:t>
            </w:r>
          </w:p>
        </w:tc>
      </w:tr>
    </w:tbl>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水泥企业协同处置废弃物补充数据</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协同处置废弃物的种类</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协同处置废弃物的数量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协同处置废弃物的种类和数量。废弃物的种类和数量的数据除来自企业生产月报表外，可通过废弃物进厂数据记录、电表数据记录、不同部分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废弃物预处理部分的耗电量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核查组应确认受核查方废弃物预处理部分的耗电量的数据来源是否与监测计划一致，并通过生产月报表、电表数据记录、不同部分的耗电量记录、能源消耗台账等相关记录交叉核对。</w:t>
            </w:r>
          </w:p>
        </w:tc>
      </w:tr>
    </w:tbl>
    <w:p>
      <w:pPr>
        <w:spacing w:after="0" w:line="560" w:lineRule="exact"/>
        <w:jc w:val="center"/>
        <w:rPr>
          <w:rFonts w:ascii="仿宋_GB2312" w:hAnsi="仿宋" w:eastAsia="仿宋_GB2312"/>
          <w:b/>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石油化工企业补充</w:t>
      </w:r>
      <w:r>
        <w:rPr>
          <w:rFonts w:ascii="仿宋_GB2312" w:hAnsi="仿宋" w:eastAsia="仿宋_GB2312"/>
          <w:b/>
          <w:sz w:val="32"/>
          <w:szCs w:val="32"/>
          <w:lang w:val="en-US"/>
        </w:rPr>
        <w:t>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689"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产品类别</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核查组应确定受核查方的主营产品类别，除原油及原料油加工、乙烯应单独报告外，企业生产的其他化工产品类别也应识别并报告。</w:t>
            </w:r>
          </w:p>
          <w:p>
            <w:pPr>
              <w:spacing w:after="0" w:line="300" w:lineRule="auto"/>
              <w:ind w:firstLine="480" w:firstLineChars="200"/>
              <w:jc w:val="both"/>
              <w:rPr>
                <w:rFonts w:ascii="仿宋_GB2312" w:eastAsia="仿宋_GB2312"/>
              </w:rPr>
            </w:pPr>
            <w:r>
              <w:rPr>
                <w:rFonts w:hint="eastAsia" w:ascii="仿宋_GB2312" w:hAnsi="楷体" w:eastAsia="仿宋_GB2312"/>
                <w:sz w:val="24"/>
                <w:szCs w:val="24"/>
              </w:rPr>
              <w:t>受核查方以生产车间和/或工序为单位确定主营产品类别。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核查组应确认受核查方产品产量的数据来自企业产量报表外，还应与上报统计局的产量产值相关数据核对。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每类产品生产的直接排放-化石燃料燃烧排放量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核查组应确认受核查方对每类产品生产过程化石燃料消耗量的数据来源是否与监测计划一致，并通过能源平衡表、生产月报表等相关记录交叉核对。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如受核查方使用化石燃料排放因子的缺省值，核查组应确认缺省值的数据、单位正确，如使用实测值，排放因子的核查应参考核查报告编写指南第3.3.2.2部分的要求。</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当两类或两类以上的主营产品车间/工序的化石燃料消耗量数据不能分开核算时，可以合并填写，核查组应在核查报告中说明。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每类产品生产的直接排放-过程排放量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分别识别每类产品生产是否存在过程排放，例如原油加工核算催化剂烧焦、制氢过程产生的二氧化碳排放量，乙烯生产核算乙烯裂解过程产生的二氧化碳排放量，其他化工产品生产仅核算环氧乙烷、醋酸乙烯生产过程产生的二氧化碳排放量。</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核查组确认每类产品过程排放核算方法是否与</w:t>
            </w:r>
            <w:r>
              <w:rPr>
                <w:rFonts w:ascii="仿宋_GB2312" w:hAnsi="楷体" w:eastAsia="仿宋_GB2312"/>
                <w:sz w:val="24"/>
                <w:szCs w:val="24"/>
              </w:rPr>
              <w:t>地方标准或适用的核算和报告指南</w:t>
            </w:r>
            <w:r>
              <w:rPr>
                <w:rFonts w:hint="eastAsia" w:ascii="仿宋_GB2312" w:hAnsi="楷体" w:eastAsia="仿宋_GB2312"/>
                <w:sz w:val="24"/>
                <w:szCs w:val="24"/>
              </w:rPr>
              <w:t>一致，各项参数数据来源是否与监测计划一致。对于直接监测计量的数据，将报告的数据与抄表记录等数据交叉核对；对于实验室监测汇总的数据，应确认监测方法符合相关标准，数据汇总方式合理，计算中用到的各参数，均应确保其来源可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每类产品生产的间接排放量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对于各产品车间/工序单独计量的电量，应确认监测设备的校准、数据记录等活动是否符合监测计划的要求，并核对抄表记录、各车间能源消耗台账。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如各成品车间/工序消耗对应的外购电力数据是通过拆分全厂总外购电量计算得出，核查组应确认拆分的方式是否合理，并保持各年度数据的可比性。</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对于存在自发电的情况，核查组应根据企业实际情况确认其外购电与自发电分配的合理性，并保持各年度数据处理的一致性和可比性。</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当两类或两类以上的主营产品车间/工序生产消耗的外购电量数据不能分开核算时，可以合并填写，核查组应在核查报告中做原因说明。</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物业管理类企业补充</w:t>
      </w:r>
      <w:r>
        <w:rPr>
          <w:rFonts w:ascii="仿宋_GB2312" w:hAnsi="仿宋" w:eastAsia="仿宋_GB2312"/>
          <w:b/>
          <w:sz w:val="32"/>
          <w:szCs w:val="32"/>
          <w:lang w:val="en-US"/>
        </w:rPr>
        <w:t>数据表</w:t>
      </w:r>
    </w:p>
    <w:tbl>
      <w:tblPr>
        <w:tblStyle w:val="3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0"/>
        <w:gridCol w:w="5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3380" w:type="pct"/>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建筑面积</w:t>
            </w:r>
            <w:r>
              <w:rPr>
                <w:rFonts w:ascii="仿宋_GB2312" w:hAnsi="楷体" w:eastAsia="仿宋_GB2312"/>
                <w:sz w:val="24"/>
                <w:szCs w:val="24"/>
                <w:lang w:val="en-US"/>
              </w:rPr>
              <w:t>/实际物业管理面积</w:t>
            </w:r>
          </w:p>
        </w:tc>
        <w:tc>
          <w:tcPr>
            <w:tcW w:w="3380" w:type="pct"/>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项目总平面图等资料并现场访问确定建筑面积。不同业态的建筑面积如果是估算获得，核查组需要求受核查方说明估算方法并提供相关资料依据，核查组应评估其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地下车库面积</w:t>
            </w:r>
          </w:p>
        </w:tc>
        <w:tc>
          <w:tcPr>
            <w:tcW w:w="3380" w:type="pct"/>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设计图纸、政府批复文件、竣工报告、房产证、能源审计报告等资料并现场访问确定地下车库面积。不同业态的地下车库面积如果是估算获得，核查组需要求受核查方说明估算方法并提供相关资料依据，核查组应评估其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产值</w:t>
            </w:r>
            <w:r>
              <w:rPr>
                <w:rFonts w:ascii="仿宋_GB2312" w:hAnsi="楷体" w:eastAsia="仿宋_GB2312"/>
                <w:sz w:val="24"/>
                <w:szCs w:val="24"/>
              </w:rPr>
              <w:t>/物业收入等财务数据</w:t>
            </w:r>
          </w:p>
        </w:tc>
        <w:tc>
          <w:tcPr>
            <w:tcW w:w="3380" w:type="pct"/>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核查组应通过查阅资产负债表、利润分配表等财务报表获得各财务数据。核查组应查阅月度财务报表，确认年度数据的正确性。核查组应交叉核对上报统计部门的相关数据，如有差异，需解释说明差异原因。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入住率</w:t>
            </w:r>
            <w:r>
              <w:rPr>
                <w:rFonts w:ascii="仿宋_GB2312" w:hAnsi="楷体" w:eastAsia="仿宋_GB2312"/>
                <w:sz w:val="24"/>
                <w:szCs w:val="24"/>
              </w:rPr>
              <w:t>/入驻率/入园率</w:t>
            </w:r>
          </w:p>
        </w:tc>
        <w:tc>
          <w:tcPr>
            <w:tcW w:w="3380" w:type="pct"/>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核查组应通过现场访问、查阅相关年报等方式获得该项数据。核查组应通过查阅入住登记表、租赁合同、物业费收缴明细、电费清单等方式，确认受核查方统计数据的正确性。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0" w:type="pct"/>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基准年内项目实际运营天数</w:t>
            </w:r>
          </w:p>
        </w:tc>
        <w:tc>
          <w:tcPr>
            <w:tcW w:w="3380" w:type="pct"/>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核查组应通过现场访问、查阅相关工作运行记录等方式获取该项数据。核查组应查阅电费清单，能源统计台账，统计局报表等方式，确认受核查方基准年内项目实际运营的天数。</w:t>
            </w:r>
          </w:p>
        </w:tc>
      </w:tr>
    </w:tbl>
    <w:p>
      <w:pPr>
        <w:spacing w:after="0" w:line="560" w:lineRule="exact"/>
        <w:ind w:firstLine="640" w:firstLineChars="200"/>
        <w:jc w:val="center"/>
        <w:rPr>
          <w:rFonts w:ascii="仿宋_GB2312" w:hAnsi="仿宋" w:eastAsia="仿宋_GB2312"/>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数据中心企业补充数据表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数据中心行业子类</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w:t>
            </w:r>
            <w:r>
              <w:rPr>
                <w:rFonts w:ascii="仿宋_GB2312" w:hAnsi="楷体" w:eastAsia="仿宋_GB2312"/>
                <w:sz w:val="24"/>
                <w:szCs w:val="24"/>
              </w:rPr>
              <w:t>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非数据中心设施建筑面积</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确认非数据中心设施建筑面积的数据来源是否与监测计划一致，应将报告的数据与设施竣工验收等资料交叉核对。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不同子类（大型数据中心、中小型数据中心、该行业中非数据中心设施）的直接排放量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对于柴油等可单独计量的能源，还应将报告的数据与库存数据、财务数据等交叉核对。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不同子类（大型数据中心、中小型数据中心、该行业中非数据中心设施）的间接排放量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对于不同类型数据中心、非数据中心固定设施的用电量，应确认监测设备的校准、数据记录等活动是否符合监测计划的要求，并核对抄表记录、能源消耗台账。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如数据中心对应的外购电力数据是通过拆分总外购电量计算得出，核查组应确认拆分的方式是否合理，并保持各年度数据的可比性。</w:t>
            </w:r>
          </w:p>
        </w:tc>
      </w:tr>
    </w:tbl>
    <w:p>
      <w:pPr>
        <w:spacing w:after="0" w:line="560" w:lineRule="exact"/>
        <w:ind w:firstLine="640" w:firstLineChars="200"/>
        <w:jc w:val="center"/>
        <w:rPr>
          <w:rFonts w:ascii="仿宋_GB2312" w:hAnsi="仿宋" w:eastAsia="仿宋_GB2312"/>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通信企业补充数据表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核查组首先应确定受核查方的业务类型（移动业务、移动语音业务、移动数据与互联网业务、移动增值及其他业务、固网业务、数据中心、非数据中心），各业务类型电信业务量的数据来源是否与监测计划一致。</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电信业务量的数据除来自企业报表外，还应与上报统计局的“邮电业主要指标”相关数据核对。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数据中心标准机架数量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确认不同类型数据中心标准机架数量的数据来源是否与监测计划一致，核对相关证明材料。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数据中心总用电量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确认不同类型数据中心总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ascii="仿宋_GB2312" w:hAnsi="楷体" w:eastAsia="仿宋_GB2312"/>
                <w:sz w:val="24"/>
                <w:szCs w:val="24"/>
              </w:rPr>
              <w:t>IT设备用电量</w:t>
            </w:r>
          </w:p>
        </w:tc>
        <w:tc>
          <w:tcPr>
            <w:tcW w:w="5607"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若涉及数据中心，则需核查以下内容：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核查组应根据受核查方基本情况介绍判断其数据中心所属子类，明确受核查方数据中心与非数据中心设施划分方法。确认不同类型数据中心</w:t>
            </w:r>
            <w:r>
              <w:rPr>
                <w:rFonts w:ascii="仿宋_GB2312" w:hAnsi="楷体" w:eastAsia="仿宋_GB2312"/>
                <w:sz w:val="24"/>
                <w:szCs w:val="24"/>
              </w:rPr>
              <w:t>IT设备用电量的数据来源是否与监测计划一致，如为实测计量数据，还应将报告的数据与电能表抄表记录等数据交叉核对；如为计算数据，应确认计算方法的合理性，并保持各年度数据的可比性。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每种业务类型的直接排放量（移动业务、固网业务、数据中心、非数据中心）</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每种业务类型的间接排放量（移动业务、固网业务、数据中心、非数据中心）</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对于各业务类型单独计量的电量，应确认监测设备的校准、数据记录等活动是否符合监测计划的要求，并核对抄表记录、各车间能源消耗台账。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如各业务类型对应的外购电力数据是通过拆分总外购电量计算得出，核查组应确认拆分的方式是否合理，并保持各年度数据的可比性。</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电网企业补充数据表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w:t>
            </w:r>
          </w:p>
        </w:tc>
        <w:tc>
          <w:tcPr>
            <w:tcW w:w="5607" w:type="dxa"/>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供电量数据除来自企业统计</w:t>
            </w:r>
            <w:r>
              <w:rPr>
                <w:rFonts w:hint="eastAsia" w:ascii="仿宋_GB2312" w:hAnsi="楷体" w:eastAsia="仿宋_GB2312"/>
                <w:sz w:val="24"/>
                <w:szCs w:val="24"/>
              </w:rPr>
              <w:t>报表外，还应与上报统计局的相关数据核对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p>
        </w:tc>
        <w:tc>
          <w:tcPr>
            <w:tcW w:w="5607" w:type="dxa"/>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lang w:val="en-US"/>
              </w:rPr>
              <w:t>售电量</w:t>
            </w:r>
            <w:r>
              <w:rPr>
                <w:rFonts w:hint="eastAsia" w:ascii="仿宋_GB2312" w:hAnsi="楷体" w:eastAsia="仿宋_GB2312"/>
                <w:sz w:val="24"/>
                <w:szCs w:val="24"/>
              </w:rPr>
              <w:t>数据除来自企业</w:t>
            </w:r>
            <w:r>
              <w:rPr>
                <w:rFonts w:hint="eastAsia" w:ascii="仿宋_GB2312" w:hAnsi="楷体" w:eastAsia="仿宋_GB2312"/>
                <w:sz w:val="24"/>
                <w:szCs w:val="24"/>
                <w:lang w:val="en-US"/>
              </w:rPr>
              <w:t>统计</w:t>
            </w:r>
            <w:r>
              <w:rPr>
                <w:rFonts w:hint="eastAsia" w:ascii="仿宋_GB2312" w:hAnsi="楷体" w:eastAsia="仿宋_GB2312"/>
                <w:sz w:val="24"/>
                <w:szCs w:val="24"/>
              </w:rPr>
              <w:t>报表外，还应</w:t>
            </w:r>
            <w:r>
              <w:rPr>
                <w:rFonts w:hint="eastAsia" w:ascii="仿宋_GB2312" w:hAnsi="楷体" w:eastAsia="仿宋_GB2312"/>
                <w:sz w:val="24"/>
                <w:szCs w:val="24"/>
                <w:lang w:val="en-US"/>
              </w:rPr>
              <w:t>与根据外省输入电量数据、上网电量数据、外省输出电量数据计算出的售电量数据进行交叉核对；</w:t>
            </w:r>
            <w:r>
              <w:rPr>
                <w:rFonts w:hint="eastAsia" w:ascii="仿宋_GB2312" w:hAnsi="楷体" w:eastAsia="仿宋_GB2312"/>
                <w:sz w:val="24"/>
                <w:szCs w:val="24"/>
              </w:rPr>
              <w:t>与上报统计局相关数据核对</w:t>
            </w:r>
            <w:r>
              <w:rPr>
                <w:rFonts w:hint="eastAsia" w:ascii="仿宋_GB2312" w:hAnsi="楷体" w:eastAsia="仿宋_GB2312"/>
                <w:sz w:val="24"/>
                <w:szCs w:val="24"/>
                <w:lang w:val="en-US"/>
              </w:rPr>
              <w:t>。</w:t>
            </w:r>
          </w:p>
        </w:tc>
      </w:tr>
    </w:tbl>
    <w:p>
      <w:pPr>
        <w:spacing w:after="0" w:line="560" w:lineRule="exact"/>
        <w:ind w:firstLine="643" w:firstLineChars="200"/>
        <w:jc w:val="center"/>
        <w:rPr>
          <w:rFonts w:ascii="仿宋_GB2312" w:hAnsi="仿宋" w:eastAsia="仿宋_GB2312"/>
          <w:sz w:val="32"/>
          <w:szCs w:val="32"/>
        </w:rPr>
      </w:pPr>
      <w:r>
        <w:rPr>
          <w:rFonts w:hint="eastAsia" w:ascii="仿宋_GB2312" w:hAnsi="仿宋" w:eastAsia="仿宋_GB2312"/>
          <w:b/>
          <w:sz w:val="32"/>
          <w:szCs w:val="32"/>
          <w:lang w:val="en-US"/>
        </w:rPr>
        <w:t>汽车制造企业补充数据表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689"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产品种类</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核查组首先应确定受核查方的产品种类，确认受核查方对汽车的分类是否符合相关标准的要求。</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整车的产品种类分为：</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普通轿车及普通运动型乘用车；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高级轿车及高级运动型乘用车；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中、重型载货汽车；</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纯电动汽车</w:t>
            </w:r>
          </w:p>
          <w:p>
            <w:pPr>
              <w:spacing w:after="0" w:line="300" w:lineRule="auto"/>
              <w:ind w:left="480"/>
              <w:jc w:val="both"/>
              <w:rPr>
                <w:rFonts w:ascii="仿宋_GB2312" w:hAnsi="楷体" w:eastAsia="仿宋_GB2312"/>
                <w:sz w:val="24"/>
                <w:szCs w:val="24"/>
              </w:rPr>
            </w:pPr>
            <w:r>
              <w:rPr>
                <w:rFonts w:hint="eastAsia" w:ascii="仿宋_GB2312" w:hAnsi="楷体" w:eastAsia="仿宋_GB2312"/>
                <w:sz w:val="24"/>
                <w:szCs w:val="24"/>
              </w:rPr>
              <w:t>汽车发动机的产品种类分为：</w:t>
            </w:r>
          </w:p>
          <w:p>
            <w:pPr>
              <w:pStyle w:val="50"/>
              <w:widowControl w:val="0"/>
              <w:numPr>
                <w:ilvl w:val="0"/>
                <w:numId w:val="18"/>
              </w:numPr>
              <w:spacing w:after="0" w:line="300" w:lineRule="auto"/>
              <w:contextualSpacing w:val="0"/>
              <w:jc w:val="both"/>
              <w:rPr>
                <w:rFonts w:ascii="仿宋_GB2312" w:hAnsi="楷体" w:eastAsia="仿宋_GB2312"/>
                <w:sz w:val="24"/>
                <w:szCs w:val="24"/>
              </w:rPr>
            </w:pPr>
            <w:r>
              <w:rPr>
                <w:rFonts w:hint="eastAsia" w:ascii="仿宋_GB2312" w:hAnsi="楷体" w:eastAsia="仿宋_GB2312"/>
                <w:sz w:val="24"/>
                <w:szCs w:val="24"/>
              </w:rPr>
              <w:t>汽油发动机</w:t>
            </w:r>
          </w:p>
          <w:p>
            <w:pPr>
              <w:pStyle w:val="50"/>
              <w:widowControl w:val="0"/>
              <w:numPr>
                <w:ilvl w:val="0"/>
                <w:numId w:val="18"/>
              </w:numPr>
              <w:spacing w:after="0" w:line="300" w:lineRule="auto"/>
              <w:contextualSpacing w:val="0"/>
              <w:jc w:val="both"/>
              <w:rPr>
                <w:rFonts w:ascii="仿宋_GB2312" w:eastAsia="仿宋_GB2312"/>
              </w:rPr>
            </w:pPr>
            <w:r>
              <w:rPr>
                <w:rFonts w:hint="eastAsia" w:ascii="仿宋_GB2312" w:hAnsi="楷体" w:eastAsia="仿宋_GB2312"/>
                <w:sz w:val="24"/>
                <w:szCs w:val="24"/>
              </w:rPr>
              <w:t>柴油发动机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产品产量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汽车产量的数据除来自企业产量报表外，还应与上报统计局的产量产值相关数据核对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如重点排放单位使用化石燃料排放因子的缺省值，核查组应确认缺省值的数据、单位正确，如使用实测值，排放因子的核查应参考核查报告编写指南第3.3.2.2部分的要求。</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对于混线生产的情况，可根据下式估算第i类产品的直接排放量：</w:t>
            </w:r>
          </w:p>
          <w:p>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5" o:spt="75" type="#_x0000_t75" style="height:27.75pt;width:236.25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对于以发动机为主要产品的生产线生产发动机零配件的情况，如核查组确认无法拆分或合理估算生产发动机产生的直接排放量，则该生产线的直接排放量均计为生产发动机产生的直接排放。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每类产品的间接排放量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对于各生产线单独计量的电量，应确认监测设备的校准、数据记录等活动是否符合监测计划的要求，并核对抄表记录、各车间能源消耗台账。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如各生产线对应的外购电力数据是通过拆分全厂总外购电量计算得出，核查组应确认拆分的方式是否合理，并保持各年度数据的可比性。</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对于混线生产的情况，可根据下式估算第i类产品的间接排放量：</w:t>
            </w:r>
          </w:p>
          <w:p>
            <w:pPr>
              <w:spacing w:after="0" w:line="300" w:lineRule="auto"/>
              <w:ind w:firstLine="360" w:firstLineChars="200"/>
              <w:jc w:val="both"/>
              <w:rPr>
                <w:rFonts w:ascii="仿宋_GB2312" w:hAnsi="楷体" w:eastAsia="仿宋_GB2312"/>
                <w:sz w:val="24"/>
                <w:szCs w:val="24"/>
              </w:rPr>
            </w:pPr>
            <w:r>
              <w:rPr>
                <w:rFonts w:hint="eastAsia" w:ascii="仿宋_GB2312" w:hAnsi="Times New Roman" w:eastAsia="仿宋_GB2312"/>
                <w:position w:val="-26"/>
                <w:sz w:val="18"/>
                <w:szCs w:val="18"/>
              </w:rPr>
              <w:object>
                <v:shape id="_x0000_i1026" o:spt="75" type="#_x0000_t75" style="height:27.75pt;width:249.7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对于以发动机为主要产品的生产线生产发动机零配件的情况，如核查组确认无法拆分或合理估算生产发动机产生的间接排放量，则该生产线的间接排放量均计为生产发动机产生的间接排放。</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生物药品制品制造企业补充数据表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ind w:firstLine="41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生物化学药品制造（血液制品等）产值</w:t>
            </w:r>
          </w:p>
        </w:tc>
        <w:tc>
          <w:tcPr>
            <w:tcW w:w="5607" w:type="dxa"/>
          </w:tcPr>
          <w:p>
            <w:pPr>
              <w:spacing w:after="0" w:line="300" w:lineRule="auto"/>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生物化学药品制造（血液制品等）的间接排放量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核查组应确定受核查方的药品产量。药品产量的数据除来自企业产量报表外，还应与上报统计局的产量产值相关数据核对、检验。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基因工程药物和疫苗制造产值</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核查组应确定受核查方的药品产值。产值的数据除来自企业财务相关报表外，还应与上报统计局的产值相关数据核对、检验。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核查组应确认受核查方对化石燃料消耗量的数据来源是否与监测计划一致，并通过能源平衡表、生产月报表等相关记录交叉核对。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对于天然气等可单独计量的数据，还应将报告的数据与天然气抄表记录、财务数据等数据交叉核对。</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如重点排放单位使用化石燃料排放因子的缺省值，核查组应确认缺省值的数据、单位正确，如使用实测值，排放因子的核查应参考核查报告编写指南第</w:t>
            </w:r>
            <w:r>
              <w:rPr>
                <w:rFonts w:ascii="仿宋_GB2312" w:hAnsi="楷体" w:eastAsia="仿宋_GB2312"/>
                <w:sz w:val="24"/>
                <w:szCs w:val="24"/>
              </w:rPr>
              <w:t>3.3.2.2部分的要求。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基因工程药物和疫苗制造的间接排放量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对于企业生产系统、辅助生产系统单独计量的电量，应确认监测设备的校准、数据记录等活动是否符合监测计划的要求，并核对抄表记录、各系统设施能源消耗台账。</w:t>
            </w:r>
          </w:p>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如各药品对应的外购电力数据是通过拆分总外购电量计算得出，核查组应确认拆分的方式是否合理，并保持各年度数据的可比性。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对于办公及其他设施的不同种类的化石燃料消耗量，应确认数据来源是否与监测计划一致，并核对抄表记录、各车间能源消耗台账。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办公及其他设施的间接排放量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核查组应确认受核查方办公及其他设施的耗电量的数据来源是否与监测计划一致，并通过生产月报表、电表数据记录、设施的耗电量记录、能源消耗台账等相关记录交叉核对。</w:t>
            </w:r>
          </w:p>
        </w:tc>
      </w:tr>
    </w:tbl>
    <w:p>
      <w:pPr>
        <w:spacing w:after="0" w:line="560" w:lineRule="exact"/>
        <w:ind w:firstLine="640" w:firstLineChars="200"/>
        <w:jc w:val="center"/>
        <w:rPr>
          <w:rFonts w:ascii="仿宋_GB2312" w:hAnsi="仿宋" w:eastAsia="仿宋_GB2312"/>
          <w:sz w:val="32"/>
          <w:szCs w:val="32"/>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污水处理和再生水供应业企业补充数据表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污水处理的数量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核查组应确定受核查方的污水处理数量。污水处理数量除来自企业产量报表外，还应与上报统计局的产量产值相关数据核对。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再生水的数量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核查组应确定受核查方的再生水数量。再生水数量的数据除来自企业产量报表外，还应与上报统计局的产量产值相关数据核对。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水处理和再生水设施的耗电量的数据来源是否与监测计划一致，并通过生产月报表、电表数据记录、车间的耗电量记录、能源消耗台账等相关记录交叉核对。企业的污水处理和再生水设施的间接排放量包括企业办公及其他设施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污水处理和再生水设施的直接排放量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水处理和再生水设施的不同种类的化石燃料消耗量，应确认数据来源是否与监测计划一致，并核对抄表记录、各车间能源消耗台账。企业的污水处理和再生水设施的直接排放量包括企业办公及其他设施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污水处理和再生水设施采用的生产工艺</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说明污水处理和再生水设施采用的生产工艺。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污泥深度处理的数量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核查组应确定受核查方的污泥处理数量。污泥处理数量的数据除来自企业生产记录外，还应与企业报表的相关数据核对。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核查组应确认受核查方污泥处理设施的耗电量的数据来源是否与监测计划一致，并通过生产月报表、电表数据记录、车间的耗电量记录、能源消耗台账等相关记录交叉核对。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污泥深度处理设施的直接排放量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对于污泥处理设施的不同种类的化石燃料消耗量，应确认数据来源是否与监测计划一致，并核对抄表记录、各车间能源消耗台账。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污泥深度处理设施采用的工艺</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说明污泥处理设施采用的生产工艺</w:t>
            </w:r>
          </w:p>
        </w:tc>
      </w:tr>
    </w:tbl>
    <w:p>
      <w:pPr>
        <w:pStyle w:val="147"/>
        <w:snapToGrid w:val="0"/>
        <w:spacing w:line="320" w:lineRule="exact"/>
        <w:ind w:firstLine="420" w:firstLineChars="200"/>
        <w:rPr>
          <w:rFonts w:ascii="仿宋" w:hAnsi="仿宋" w:eastAsia="仿宋" w:cs="Times New Roman"/>
          <w:color w:val="auto"/>
          <w:sz w:val="21"/>
          <w:szCs w:val="21"/>
        </w:rPr>
      </w:pPr>
      <w:r>
        <w:rPr>
          <w:rFonts w:hint="eastAsia" w:ascii="仿宋" w:hAnsi="仿宋" w:eastAsia="仿宋" w:cs="Times New Roman"/>
          <w:color w:val="auto"/>
          <w:sz w:val="21"/>
          <w:szCs w:val="21"/>
        </w:rPr>
        <w:t>注：</w:t>
      </w:r>
      <w:r>
        <w:rPr>
          <w:rFonts w:ascii="仿宋" w:hAnsi="仿宋" w:eastAsia="仿宋" w:cs="Times New Roman"/>
          <w:color w:val="auto"/>
          <w:sz w:val="21"/>
          <w:szCs w:val="21"/>
        </w:rPr>
        <w:t>污泥</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处理设施</w:t>
      </w:r>
      <w:r>
        <w:rPr>
          <w:rFonts w:hint="eastAsia" w:ascii="仿宋" w:hAnsi="仿宋" w:eastAsia="仿宋" w:cs="Times New Roman"/>
          <w:color w:val="auto"/>
          <w:sz w:val="21"/>
          <w:szCs w:val="21"/>
        </w:rPr>
        <w:t>排放</w:t>
      </w:r>
      <w:r>
        <w:rPr>
          <w:rFonts w:ascii="仿宋" w:hAnsi="仿宋" w:eastAsia="仿宋" w:cs="Times New Roman"/>
          <w:color w:val="auto"/>
          <w:sz w:val="21"/>
          <w:szCs w:val="21"/>
        </w:rPr>
        <w:t>边界</w:t>
      </w:r>
      <w:r>
        <w:rPr>
          <w:rFonts w:hint="eastAsia" w:ascii="仿宋" w:hAnsi="仿宋" w:eastAsia="仿宋" w:cs="Times New Roman"/>
          <w:color w:val="auto"/>
          <w:sz w:val="21"/>
          <w:szCs w:val="21"/>
        </w:rPr>
        <w:t>确定：</w:t>
      </w:r>
      <w:r>
        <w:rPr>
          <w:rFonts w:ascii="仿宋" w:hAnsi="仿宋" w:eastAsia="仿宋" w:cs="Times New Roman"/>
          <w:color w:val="auto"/>
          <w:sz w:val="21"/>
          <w:szCs w:val="21"/>
        </w:rPr>
        <w:t>污泥脱水部分</w:t>
      </w:r>
      <w:r>
        <w:rPr>
          <w:rFonts w:hint="eastAsia" w:ascii="仿宋" w:hAnsi="仿宋" w:eastAsia="仿宋" w:cs="Times New Roman"/>
          <w:color w:val="auto"/>
          <w:sz w:val="21"/>
          <w:szCs w:val="21"/>
        </w:rPr>
        <w:t>的排放量，包含在污水处理及再生水设施的排放中；</w:t>
      </w:r>
      <w:r>
        <w:rPr>
          <w:rFonts w:ascii="仿宋" w:hAnsi="仿宋" w:eastAsia="仿宋" w:cs="Times New Roman"/>
          <w:color w:val="auto"/>
          <w:sz w:val="21"/>
          <w:szCs w:val="21"/>
        </w:rPr>
        <w:t>脱水后的泥饼进行深度处理</w:t>
      </w:r>
      <w:r>
        <w:rPr>
          <w:rFonts w:hint="eastAsia" w:ascii="仿宋" w:hAnsi="仿宋" w:eastAsia="仿宋" w:cs="Times New Roman"/>
          <w:color w:val="auto"/>
          <w:sz w:val="21"/>
          <w:szCs w:val="21"/>
        </w:rPr>
        <w:t>产生的排放量</w:t>
      </w:r>
      <w:r>
        <w:rPr>
          <w:rFonts w:ascii="仿宋" w:hAnsi="仿宋" w:eastAsia="仿宋" w:cs="Times New Roman"/>
          <w:color w:val="auto"/>
          <w:sz w:val="21"/>
          <w:szCs w:val="21"/>
        </w:rPr>
        <w:t>作为污泥处理</w:t>
      </w:r>
      <w:r>
        <w:rPr>
          <w:rFonts w:hint="eastAsia" w:ascii="仿宋" w:hAnsi="仿宋" w:eastAsia="仿宋" w:cs="Times New Roman"/>
          <w:color w:val="auto"/>
          <w:sz w:val="21"/>
          <w:szCs w:val="21"/>
        </w:rPr>
        <w:t>深度</w:t>
      </w:r>
      <w:r>
        <w:rPr>
          <w:rFonts w:ascii="仿宋" w:hAnsi="仿宋" w:eastAsia="仿宋" w:cs="Times New Roman"/>
          <w:color w:val="auto"/>
          <w:sz w:val="21"/>
          <w:szCs w:val="21"/>
        </w:rPr>
        <w:t>设施</w:t>
      </w:r>
      <w:r>
        <w:rPr>
          <w:rFonts w:hint="eastAsia" w:ascii="仿宋" w:hAnsi="仿宋" w:eastAsia="仿宋" w:cs="Times New Roman"/>
          <w:color w:val="auto"/>
          <w:sz w:val="21"/>
          <w:szCs w:val="21"/>
        </w:rPr>
        <w:t>的</w:t>
      </w:r>
      <w:r>
        <w:rPr>
          <w:rFonts w:ascii="仿宋" w:hAnsi="仿宋" w:eastAsia="仿宋" w:cs="Times New Roman"/>
          <w:color w:val="auto"/>
          <w:sz w:val="21"/>
          <w:szCs w:val="21"/>
        </w:rPr>
        <w:t>排放量</w:t>
      </w:r>
      <w:r>
        <w:rPr>
          <w:rFonts w:hint="eastAsia" w:ascii="仿宋" w:hAnsi="仿宋" w:eastAsia="仿宋" w:cs="Times New Roman"/>
          <w:color w:val="auto"/>
          <w:sz w:val="21"/>
          <w:szCs w:val="21"/>
        </w:rPr>
        <w:t>。</w:t>
      </w:r>
    </w:p>
    <w:p>
      <w:pPr>
        <w:spacing w:after="0" w:line="560" w:lineRule="exact"/>
        <w:jc w:val="center"/>
        <w:rPr>
          <w:rFonts w:ascii="仿宋_GB2312" w:hAnsi="仿宋" w:eastAsia="仿宋_GB2312"/>
          <w:b/>
          <w:sz w:val="32"/>
          <w:szCs w:val="32"/>
          <w:lang w:val="en-US"/>
        </w:rPr>
      </w:pPr>
    </w:p>
    <w:p>
      <w:pPr>
        <w:spacing w:after="0" w:line="560" w:lineRule="exact"/>
        <w:jc w:val="center"/>
        <w:rPr>
          <w:rFonts w:ascii="仿宋_GB2312" w:hAnsi="仿宋" w:eastAsia="仿宋_GB2312"/>
          <w:b/>
          <w:sz w:val="32"/>
          <w:szCs w:val="32"/>
          <w:lang w:val="en-US"/>
        </w:rPr>
      </w:pPr>
      <w:r>
        <w:rPr>
          <w:rFonts w:hint="eastAsia" w:ascii="仿宋_GB2312" w:hAnsi="仿宋" w:eastAsia="仿宋_GB2312"/>
          <w:b/>
          <w:sz w:val="32"/>
          <w:szCs w:val="32"/>
          <w:lang w:val="en-US"/>
        </w:rPr>
        <w:t>自来水供应业企业补充数据表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89"/>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tcPr>
          <w:p>
            <w:pPr>
              <w:spacing w:after="0" w:line="300" w:lineRule="auto"/>
              <w:ind w:firstLine="359"/>
              <w:jc w:val="center"/>
              <w:rPr>
                <w:rFonts w:ascii="仿宋_GB2312" w:hAnsi="楷体" w:eastAsia="仿宋_GB2312"/>
                <w:b/>
                <w:bCs/>
                <w:sz w:val="24"/>
                <w:szCs w:val="24"/>
              </w:rPr>
            </w:pPr>
            <w:r>
              <w:rPr>
                <w:rFonts w:hint="eastAsia" w:ascii="仿宋_GB2312" w:hAnsi="楷体" w:eastAsia="仿宋_GB2312"/>
                <w:b/>
                <w:bCs/>
                <w:sz w:val="24"/>
                <w:szCs w:val="24"/>
              </w:rPr>
              <w:t>报告参数</w:t>
            </w:r>
          </w:p>
        </w:tc>
        <w:tc>
          <w:tcPr>
            <w:tcW w:w="5607" w:type="dxa"/>
          </w:tcPr>
          <w:p>
            <w:pPr>
              <w:spacing w:after="0" w:line="300" w:lineRule="auto"/>
              <w:jc w:val="center"/>
              <w:rPr>
                <w:rFonts w:ascii="仿宋_GB2312" w:hAnsi="楷体" w:eastAsia="仿宋_GB2312"/>
                <w:b/>
                <w:bCs/>
                <w:sz w:val="24"/>
                <w:szCs w:val="24"/>
              </w:rPr>
            </w:pPr>
            <w:r>
              <w:rPr>
                <w:rFonts w:hint="eastAsia" w:ascii="仿宋_GB2312" w:hAnsi="楷体" w:eastAsia="仿宋_GB2312"/>
                <w:b/>
                <w:bCs/>
                <w:sz w:val="24"/>
                <w:szCs w:val="24"/>
              </w:rPr>
              <w:t>核查要求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自来水产量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核查组应确定受核查方的自来水产量。自来水产量的数据除来自企业产量报表外，还应与上报统计局的产量产值相关数据核对。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输入的地下水、地表水的数量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核查组应确认受核查方输入的地下水、地表水的数量的数据来源是否与监测计划一致，并通过生产月报表、水源地分公司输出水的水表数据记录、输入地下水/地表水的水泵耗电量等相关记录交叉核对。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9" w:type="dxa"/>
            <w:vAlign w:val="center"/>
          </w:tcPr>
          <w:p>
            <w:pPr>
              <w:spacing w:after="0" w:line="300" w:lineRule="auto"/>
              <w:ind w:firstLine="480" w:firstLineChars="200"/>
              <w:rPr>
                <w:rFonts w:ascii="仿宋_GB2312" w:hAnsi="楷体" w:eastAsia="仿宋_GB2312"/>
                <w:sz w:val="24"/>
                <w:szCs w:val="24"/>
              </w:rPr>
            </w:pPr>
            <w:r>
              <w:rPr>
                <w:rFonts w:hint="eastAsia" w:ascii="仿宋_GB2312" w:hAnsi="楷体" w:eastAsia="仿宋_GB2312"/>
                <w:sz w:val="24"/>
                <w:szCs w:val="24"/>
              </w:rPr>
              <w:t>输入地下水/地表水的水泵耗电量</w:t>
            </w:r>
          </w:p>
        </w:tc>
        <w:tc>
          <w:tcPr>
            <w:tcW w:w="5607" w:type="dxa"/>
          </w:tcPr>
          <w:p>
            <w:pPr>
              <w:spacing w:after="0" w:line="300" w:lineRule="auto"/>
              <w:ind w:firstLine="480" w:firstLineChars="200"/>
              <w:jc w:val="both"/>
              <w:rPr>
                <w:rFonts w:ascii="仿宋_GB2312" w:hAnsi="楷体" w:eastAsia="仿宋_GB2312"/>
                <w:sz w:val="24"/>
                <w:szCs w:val="24"/>
              </w:rPr>
            </w:pPr>
            <w:r>
              <w:rPr>
                <w:rFonts w:hint="eastAsia" w:ascii="仿宋_GB2312" w:hAnsi="楷体" w:eastAsia="仿宋_GB2312"/>
                <w:sz w:val="24"/>
                <w:szCs w:val="24"/>
              </w:rPr>
              <w:t>对于各分水厂用于不同来源水量抽取的水泵单独计量的电量，应确认监测设备的校准、数据记录等活动是否符合监测计划的要求，并核对抄表记录、各车间能源消耗台账。</w:t>
            </w:r>
          </w:p>
        </w:tc>
      </w:tr>
    </w:tbl>
    <w:p>
      <w:pPr>
        <w:spacing w:after="0" w:line="560" w:lineRule="exact"/>
        <w:jc w:val="center"/>
        <w:rPr>
          <w:rFonts w:ascii="仿宋_GB2312" w:hAnsi="仿宋" w:eastAsia="仿宋_GB2312"/>
          <w:b/>
          <w:sz w:val="32"/>
          <w:szCs w:val="32"/>
        </w:rPr>
      </w:pPr>
    </w:p>
    <w:p>
      <w:pPr>
        <w:spacing w:after="0" w:line="560" w:lineRule="exact"/>
        <w:ind w:firstLine="660"/>
        <w:rPr>
          <w:rFonts w:ascii="仿宋_GB2312" w:hAnsi="仿宋" w:eastAsia="仿宋_GB2312"/>
          <w:b/>
          <w:sz w:val="32"/>
          <w:szCs w:val="32"/>
        </w:rPr>
      </w:pPr>
      <w:r>
        <w:rPr>
          <w:rFonts w:hint="eastAsia" w:ascii="仿宋_GB2312" w:hAnsi="仿宋" w:eastAsia="仿宋_GB2312"/>
          <w:b/>
          <w:sz w:val="32"/>
          <w:szCs w:val="32"/>
        </w:rPr>
        <w:t>3.3.2.4实时监测数据的符合性</w:t>
      </w:r>
    </w:p>
    <w:p>
      <w:pPr>
        <w:spacing w:after="0" w:line="56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如重点碳排放单位装有实时监测系统，核查机构应报告实时测量设备是否经过校准，是否通过与物料平衡或排放因子计算结果的对比佐证测量结果的不确定性。</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核查机构应对上述每一个数据的核查发现进行报告，并简要描述不符合(如有),详细描述及纠正措施链接核查报告附件1。</w:t>
      </w:r>
    </w:p>
    <w:p>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核查机构应关注适用的地方标准或核算和报告指南中对于重点碳排放单位排放对数据要求的区别。核查可采用如下方法：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查阅燃料购买合同；</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查阅能源台帐、重点设备的能源消耗记录；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查阅年度能源审计报告、能流图、能源消费量表、能源加工转换报表；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查阅月度生产报表、企业台帐如水泥、催化剂烧焦、制氢、环氧乙烷、醋酸乙烷等的生产记录；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查阅主要产品能源消耗指标、经济指标核算基础数据表、能耗经济指标一览表；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查阅IPCC及省级温室气体清单；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查阅与电网公司的结算单或购售电发票（包括固定设施及移动设施）；</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查阅供应商发票；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查阅年度环境监测报告；</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查阅供热协议及发票；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查阅废弃物处理协议；</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查阅氧化率、热值以及产品或燃料化学分析报告;</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访问温室气体管理人员、燃料采购人员等;</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查阅移动源加油记录、燃料购买记录及尾气净化剂添加记录；</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道路运输企业查阅固定设施及移动设施电力消耗记录及统计台账（报表）；</w:t>
      </w:r>
    </w:p>
    <w:p>
      <w:pPr>
        <w:widowControl w:val="0"/>
        <w:numPr>
          <w:ilvl w:val="0"/>
          <w:numId w:val="13"/>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观察实施监测的运行以及测量设备的校准、检定；</w:t>
      </w:r>
    </w:p>
    <w:p>
      <w:pPr>
        <w:widowControl w:val="0"/>
        <w:numPr>
          <w:ilvl w:val="0"/>
          <w:numId w:val="13"/>
        </w:numPr>
        <w:spacing w:after="0" w:line="560" w:lineRule="exact"/>
        <w:jc w:val="both"/>
        <w:rPr>
          <w:rFonts w:ascii="仿宋_GB2312" w:hAnsi="仿宋" w:eastAsia="仿宋_GB2312"/>
          <w:sz w:val="32"/>
          <w:szCs w:val="32"/>
        </w:rPr>
      </w:pPr>
      <w:r>
        <w:rPr>
          <w:rFonts w:ascii="仿宋_GB2312" w:hAnsi="仿宋" w:eastAsia="仿宋_GB2312"/>
          <w:sz w:val="32"/>
          <w:szCs w:val="32"/>
        </w:rPr>
        <w:t>查看或确认核查过程中涉及的其它可用的证据</w:t>
      </w:r>
      <w:r>
        <w:rPr>
          <w:rFonts w:hint="eastAsia" w:ascii="仿宋_GB2312" w:hAnsi="仿宋" w:eastAsia="仿宋_GB2312"/>
          <w:sz w:val="32"/>
          <w:szCs w:val="32"/>
        </w:rPr>
        <w:t>。</w:t>
      </w:r>
    </w:p>
    <w:p>
      <w:pPr>
        <w:spacing w:after="0" w:line="560" w:lineRule="exact"/>
        <w:ind w:firstLine="880" w:firstLineChars="274"/>
        <w:rPr>
          <w:rFonts w:ascii="仿宋_GB2312" w:hAnsi="仿宋" w:eastAsia="仿宋_GB2312"/>
          <w:b/>
          <w:sz w:val="32"/>
          <w:szCs w:val="32"/>
        </w:rPr>
      </w:pPr>
      <w:r>
        <w:rPr>
          <w:rFonts w:hint="eastAsia" w:ascii="仿宋_GB2312" w:hAnsi="仿宋" w:eastAsia="仿宋_GB2312"/>
          <w:b/>
          <w:sz w:val="32"/>
          <w:szCs w:val="32"/>
        </w:rPr>
        <w:t>3.4 测量设备校准的符合性</w:t>
      </w:r>
    </w:p>
    <w:p>
      <w:pPr>
        <w:spacing w:after="0" w:line="560" w:lineRule="exact"/>
        <w:ind w:firstLine="880" w:firstLineChars="274"/>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b/>
          <w:sz w:val="32"/>
          <w:szCs w:val="32"/>
        </w:rPr>
      </w:pPr>
      <w:r>
        <w:rPr>
          <w:rFonts w:hint="eastAsia" w:ascii="仿宋_GB2312" w:hAnsi="仿宋" w:eastAsia="仿宋_GB2312"/>
          <w:sz w:val="32"/>
          <w:szCs w:val="32"/>
        </w:rPr>
        <w:t>核查机构应对排放报告中每一个测量设备进行核查核查的内容包括:序号、规定的和实际的校准频次、校准的标准。核查机构应对每一个测量设备的符合性进行报告。如测量设备较多(每同类设备多于10个、单个计量设备计量数据的排放量小于总排放的5%)或测量设备不受重点排放单位控制，可调整报告格式，仅报告监测设备数量，但核查机构应确保此项简化不影响核查工作的数据质量。报告格式如下：</w:t>
      </w:r>
    </w:p>
    <w:tbl>
      <w:tblPr>
        <w:tblStyle w:val="3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59"/>
        <w:gridCol w:w="1276"/>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测量设备1</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覆盖报告期工作日期的校准日期</w:t>
            </w:r>
          </w:p>
        </w:tc>
        <w:tc>
          <w:tcPr>
            <w:tcW w:w="1559"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60"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测量设备2</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序号SN</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规定的校准频次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实际的校准频次</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校准标准</w:t>
            </w:r>
          </w:p>
        </w:tc>
        <w:tc>
          <w:tcPr>
            <w:tcW w:w="5954" w:type="dxa"/>
            <w:gridSpan w:val="4"/>
          </w:tcPr>
          <w:p>
            <w:pPr>
              <w:pStyle w:val="15"/>
              <w:spacing w:line="560" w:lineRule="exact"/>
              <w:rPr>
                <w:rFonts w:ascii="仿宋_GB2312" w:hAnsi="仿宋" w:eastAsia="仿宋_GB2312"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覆盖报告期的工作日期的校准日期</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有效期至</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276"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年月 日</w:t>
            </w:r>
          </w:p>
        </w:tc>
        <w:tc>
          <w:tcPr>
            <w:tcW w:w="1559"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c>
          <w:tcPr>
            <w:tcW w:w="1560" w:type="dxa"/>
          </w:tcPr>
          <w:p>
            <w:pPr>
              <w:pStyle w:val="15"/>
              <w:spacing w:line="560" w:lineRule="exact"/>
              <w:ind w:firstLine="120" w:firstLineChars="50"/>
              <w:rPr>
                <w:rFonts w:ascii="仿宋_GB2312" w:hAnsi="仿宋" w:eastAsia="仿宋_GB2312" w:cs="Arial"/>
                <w:sz w:val="24"/>
                <w:szCs w:val="24"/>
                <w:lang w:val="en-GB"/>
              </w:rPr>
            </w:pPr>
            <w:r>
              <w:rPr>
                <w:rFonts w:hint="eastAsia" w:ascii="仿宋_GB2312" w:hAnsi="仿宋" w:eastAsia="仿宋_GB2312" w:cs="Arial"/>
                <w:sz w:val="24"/>
                <w:szCs w:val="24"/>
                <w:lang w:val="en-GB"/>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D9D9D9"/>
          </w:tcPr>
          <w:p>
            <w:pPr>
              <w:pStyle w:val="15"/>
              <w:spacing w:line="560" w:lineRule="exact"/>
              <w:jc w:val="center"/>
              <w:rPr>
                <w:rFonts w:ascii="仿宋_GB2312" w:hAnsi="仿宋" w:eastAsia="仿宋_GB2312" w:cs="Arial"/>
                <w:b/>
                <w:bCs/>
                <w:sz w:val="24"/>
                <w:szCs w:val="24"/>
                <w:lang w:val="en-GB"/>
              </w:rPr>
            </w:pPr>
            <w:r>
              <w:rPr>
                <w:rFonts w:hint="eastAsia" w:ascii="仿宋_GB2312" w:hAnsi="仿宋" w:eastAsia="仿宋_GB2312" w:cs="Arial"/>
                <w:b/>
                <w:bCs/>
                <w:sz w:val="24"/>
                <w:szCs w:val="24"/>
                <w:lang w:val="en-GB"/>
              </w:rPr>
              <w:t>测量设备3</w:t>
            </w:r>
          </w:p>
        </w:tc>
        <w:tc>
          <w:tcPr>
            <w:tcW w:w="5954" w:type="dxa"/>
            <w:gridSpan w:val="4"/>
            <w:shd w:val="clear" w:color="auto" w:fill="D9D9D9"/>
          </w:tcPr>
          <w:p>
            <w:pPr>
              <w:pStyle w:val="15"/>
              <w:spacing w:line="560" w:lineRule="exact"/>
              <w:jc w:val="center"/>
              <w:rPr>
                <w:rFonts w:ascii="仿宋_GB2312" w:hAnsi="仿宋" w:eastAsia="仿宋_GB2312" w:cs="Arial"/>
                <w:b/>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Pr>
          <w:p>
            <w:pPr>
              <w:pStyle w:val="15"/>
              <w:spacing w:line="560" w:lineRule="exact"/>
              <w:rPr>
                <w:rFonts w:ascii="仿宋_GB2312" w:hAnsi="仿宋" w:eastAsia="仿宋_GB2312" w:cs="Arial"/>
                <w:sz w:val="24"/>
                <w:szCs w:val="24"/>
                <w:lang w:val="en-GB"/>
              </w:rPr>
            </w:pPr>
            <w:r>
              <w:rPr>
                <w:rFonts w:hint="eastAsia" w:ascii="仿宋_GB2312" w:hAnsi="仿宋" w:eastAsia="仿宋_GB2312" w:cs="Arial"/>
                <w:sz w:val="24"/>
                <w:szCs w:val="24"/>
                <w:lang w:val="en-GB"/>
              </w:rPr>
              <w:t>……</w:t>
            </w:r>
          </w:p>
        </w:tc>
        <w:tc>
          <w:tcPr>
            <w:tcW w:w="5954" w:type="dxa"/>
            <w:gridSpan w:val="4"/>
          </w:tcPr>
          <w:p>
            <w:pPr>
              <w:pStyle w:val="15"/>
              <w:spacing w:line="560" w:lineRule="exact"/>
              <w:rPr>
                <w:rFonts w:ascii="仿宋_GB2312" w:hAnsi="仿宋" w:eastAsia="仿宋_GB2312" w:cs="Arial"/>
                <w:sz w:val="24"/>
                <w:szCs w:val="24"/>
                <w:lang w:val="en-GB"/>
              </w:rPr>
            </w:pPr>
          </w:p>
        </w:tc>
      </w:tr>
    </w:tbl>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核查机构应对上述每一个测量设备的核查发现进行报告，并简要描述不符合(如有),详细描述及纠正措施链接核查报告附件1。</w:t>
      </w:r>
    </w:p>
    <w:p>
      <w:pPr>
        <w:spacing w:after="0" w:line="560" w:lineRule="exact"/>
        <w:ind w:firstLine="630" w:firstLineChars="196"/>
        <w:jc w:val="both"/>
        <w:outlineLvl w:val="0"/>
        <w:rPr>
          <w:rFonts w:ascii="仿宋_GB2312" w:hAnsi="仿宋" w:eastAsia="仿宋_GB2312"/>
          <w:b/>
          <w:color w:val="000000"/>
          <w:sz w:val="32"/>
          <w:szCs w:val="32"/>
        </w:rPr>
      </w:pPr>
      <w:r>
        <w:rPr>
          <w:rFonts w:hint="eastAsia" w:ascii="仿宋_GB2312" w:hAnsi="仿宋" w:eastAsia="仿宋_GB2312"/>
          <w:b/>
          <w:color w:val="000000"/>
          <w:sz w:val="32"/>
          <w:szCs w:val="32"/>
        </w:rPr>
        <w:t>B)核查方法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查阅校准报告、设备维修和更新记录；</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现场观察设备校准标签；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查阅《能源计量器具一览表》；</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查阅《能源计量器具配置表及能源计量网络图》；</w:t>
      </w:r>
    </w:p>
    <w:p>
      <w:pPr>
        <w:widowControl w:val="0"/>
        <w:numPr>
          <w:ilvl w:val="0"/>
          <w:numId w:val="19"/>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与测量设备管理人员交谈等。</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3.5 二氧化碳排放量计算过程及结果</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56" w:firstLineChars="205"/>
        <w:jc w:val="both"/>
        <w:outlineLvl w:val="0"/>
        <w:rPr>
          <w:rFonts w:ascii="仿宋_GB2312" w:hAnsi="仿宋" w:eastAsia="仿宋_GB2312"/>
          <w:sz w:val="32"/>
          <w:szCs w:val="32"/>
        </w:rPr>
      </w:pPr>
      <w:r>
        <w:rPr>
          <w:rFonts w:hint="eastAsia" w:ascii="仿宋_GB2312" w:hAnsi="仿宋" w:eastAsia="仿宋_GB2312"/>
          <w:sz w:val="32"/>
          <w:szCs w:val="32"/>
        </w:rPr>
        <w:t>3.5.1 计算过程及结果</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核查机构对重点碳排放单位报告的核算结果进行核查。核查机构应详细报告如下核查发现: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排放量的累加是否正确；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排放量的计算是否可再现；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直接排放和间接排放最终结果计算是否正确；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本年度排放量与基准年</w:t>
      </w:r>
      <w:r>
        <w:rPr>
          <w:rFonts w:ascii="仿宋_GB2312" w:hAnsi="仿宋" w:eastAsia="仿宋_GB2312"/>
          <w:sz w:val="32"/>
          <w:szCs w:val="32"/>
        </w:rPr>
        <w:t>和</w:t>
      </w:r>
      <w:r>
        <w:rPr>
          <w:rFonts w:hint="eastAsia" w:ascii="仿宋_GB2312" w:hAnsi="仿宋" w:eastAsia="仿宋_GB2312"/>
          <w:sz w:val="32"/>
          <w:szCs w:val="32"/>
        </w:rPr>
        <w:t>上一年度排放量的对比,对存在异常变化(</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和</w:t>
      </w:r>
      <w:r>
        <w:rPr>
          <w:rFonts w:ascii="仿宋_GB2312" w:eastAsia="仿宋_GB2312"/>
          <w:sz w:val="32"/>
          <w:szCs w:val="32"/>
        </w:rPr>
        <w:t>上一年度</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)的原因的核查发现;</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简要描述不符合(如有),详细描述及纠正措施链接核查报告附件1）。</w:t>
      </w:r>
    </w:p>
    <w:p>
      <w:pPr>
        <w:spacing w:after="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3.5.2 不确定性分析</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核查机构应对重点碳排放单位影响其直接排放量主要不确定性因素和不确定性量化的计算结果进行核查。报告内容应包括：</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每个影响因素的合理性；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活动水平数据不确定性量化结果的合理性；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排放因子不确定性量化结果的合理性；</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排放量不确定性的计算公式是否正确；</w:t>
      </w:r>
    </w:p>
    <w:p>
      <w:pPr>
        <w:widowControl w:val="0"/>
        <w:numPr>
          <w:ilvl w:val="0"/>
          <w:numId w:val="21"/>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误差传递的计算公式是否正确；</w:t>
      </w:r>
    </w:p>
    <w:p>
      <w:pPr>
        <w:widowControl w:val="0"/>
        <w:numPr>
          <w:ilvl w:val="0"/>
          <w:numId w:val="20"/>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对开具的不符合进行简要描述（详细描述及纠正措施链接附件1）。</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请排放报告编写人员现场演示计算过程；</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查阅排放报告中的公式关联；</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与年度能源报告结果交差核对。</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 新增排放设施及既有设施退出的核查</w:t>
      </w:r>
    </w:p>
    <w:p>
      <w:pPr>
        <w:spacing w:after="0" w:line="560" w:lineRule="exact"/>
        <w:ind w:firstLine="659" w:firstLineChars="205"/>
        <w:jc w:val="both"/>
        <w:rPr>
          <w:rFonts w:ascii="仿宋_GB2312" w:hAnsi="仿宋" w:eastAsia="仿宋_GB2312"/>
          <w:b/>
          <w:sz w:val="32"/>
          <w:szCs w:val="32"/>
        </w:rPr>
      </w:pPr>
      <w:r>
        <w:rPr>
          <w:rFonts w:hint="eastAsia" w:ascii="仿宋_GB2312" w:hAnsi="仿宋" w:eastAsia="仿宋_GB2312"/>
          <w:b/>
          <w:sz w:val="32"/>
          <w:szCs w:val="32"/>
        </w:rPr>
        <w:t>3.6.1</w:t>
      </w:r>
      <w:r>
        <w:rPr>
          <w:rFonts w:hint="eastAsia" w:ascii="仿宋_GB2312" w:hAnsi="仿宋" w:eastAsia="仿宋_GB2312"/>
          <w:b/>
          <w:bCs/>
          <w:sz w:val="32"/>
          <w:szCs w:val="32"/>
        </w:rPr>
        <w:t>新增设施基本信息的核查</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年1月1日后新投产运行的设施的名称、型号、物理位置和投产时间等内容进行核查，确定企业填报信息与现场设备信息一致。</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579" w:firstLineChars="181"/>
        <w:jc w:val="both"/>
        <w:rPr>
          <w:rFonts w:ascii="仿宋_GB2312" w:hAnsi="仿宋" w:eastAsia="仿宋_GB2312"/>
          <w:sz w:val="32"/>
          <w:szCs w:val="32"/>
        </w:rPr>
      </w:pPr>
      <w:r>
        <w:rPr>
          <w:rFonts w:hint="eastAsia" w:ascii="仿宋_GB2312" w:hAnsi="仿宋" w:eastAsia="仿宋_GB2312"/>
          <w:sz w:val="32"/>
          <w:szCs w:val="32"/>
        </w:rPr>
        <w:t>对新增设施的开始投产运行时间的核查，可查阅以下证据：</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外部验收报告（如环保、消防验收报告）；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内部验收报告；</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租赁协议；</w:t>
      </w:r>
    </w:p>
    <w:p>
      <w:pPr>
        <w:widowControl w:val="0"/>
        <w:numPr>
          <w:ilvl w:val="0"/>
          <w:numId w:val="22"/>
        </w:numPr>
        <w:spacing w:after="0" w:line="560" w:lineRule="exact"/>
        <w:ind w:left="0" w:firstLine="420"/>
        <w:jc w:val="both"/>
        <w:rPr>
          <w:rFonts w:ascii="仿宋_GB2312" w:hAnsi="仿宋" w:eastAsia="仿宋_GB2312"/>
          <w:sz w:val="32"/>
          <w:szCs w:val="32"/>
        </w:rPr>
      </w:pPr>
      <w:r>
        <w:rPr>
          <w:rFonts w:hint="eastAsia" w:ascii="仿宋_GB2312" w:hAnsi="仿宋" w:eastAsia="仿宋_GB2312"/>
          <w:sz w:val="32"/>
          <w:szCs w:val="32"/>
        </w:rPr>
        <w:t>统计报表（如《固定资产投资项目基本情况表》或其他行业的统计年度和定期报表）；</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企业提供的其他证据。</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对新增设施信息的核查：</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现场观察新增设施的位置、型号；</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查阅可研报告或环评报告的批复；</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查阅固定资产能评报告。</w:t>
      </w: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3.6.2</w:t>
      </w:r>
      <w:r>
        <w:rPr>
          <w:rFonts w:hint="eastAsia" w:ascii="仿宋_GB2312" w:hAnsi="仿宋" w:eastAsia="仿宋_GB2312"/>
          <w:b/>
          <w:bCs/>
          <w:sz w:val="32"/>
          <w:szCs w:val="32"/>
        </w:rPr>
        <w:t>新增设施生产数据的核查</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核查机构应对重点碳排放单位201</w:t>
      </w:r>
      <w:r>
        <w:rPr>
          <w:rFonts w:ascii="仿宋_GB2312" w:hAnsi="仿宋" w:eastAsia="仿宋_GB2312"/>
          <w:sz w:val="32"/>
          <w:szCs w:val="32"/>
        </w:rPr>
        <w:t>9</w:t>
      </w:r>
      <w:r>
        <w:rPr>
          <w:rFonts w:hint="eastAsia" w:ascii="仿宋_GB2312" w:hAnsi="仿宋" w:eastAsia="仿宋_GB2312"/>
          <w:sz w:val="32"/>
          <w:szCs w:val="32"/>
        </w:rPr>
        <w:t>年1月1日后新投产运行的设施的生产数据（如产值、产量、建筑面积、供暖面积和供热量等）进行核查，核查内容包括：单位、来源、监测方法、监测频次、记录频次、数据缺失处理、交叉核对、确认的数值以及核查结论。核查机构对每一个数据的符合性进行报告。</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B)核查原则</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数据选取采用以下的优先序： </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1）新增设施的排放数据和生产数据应分别单独测量获得；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2）如果生产数据无法获得而排放数据可获得，可按照排放数据分摊推算生产数据；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3）如果生产数据可获得而排放数据不可获得，不能按生产数据分摊推算排放数据。排放数据可按照生产负荷或产量等分摊推算； </w:t>
      </w:r>
    </w:p>
    <w:p>
      <w:pPr>
        <w:widowControl w:val="0"/>
        <w:spacing w:after="0" w:line="560" w:lineRule="exact"/>
        <w:ind w:firstLine="659" w:firstLineChars="206"/>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4）如果排放数据和生产数据都没有单独测量的数据，按照如下原则处理： </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lang w:val="en-US"/>
        </w:rPr>
        <w:t xml:space="preserve">-首先估算新增设施的排放数据； </w:t>
      </w:r>
    </w:p>
    <w:p>
      <w:pPr>
        <w:widowControl w:val="0"/>
        <w:spacing w:after="0" w:line="560" w:lineRule="exact"/>
        <w:ind w:firstLine="640" w:firstLineChars="200"/>
        <w:jc w:val="both"/>
        <w:rPr>
          <w:rFonts w:ascii="仿宋_GB2312" w:hAnsi="仿宋" w:eastAsia="仿宋_GB2312"/>
          <w:sz w:val="32"/>
          <w:szCs w:val="32"/>
          <w:lang w:val="en-US"/>
        </w:rPr>
      </w:pPr>
      <w:r>
        <w:rPr>
          <w:rFonts w:ascii="仿宋_GB2312" w:hAnsi="仿宋" w:eastAsia="仿宋_GB2312"/>
          <w:sz w:val="32"/>
          <w:szCs w:val="32"/>
          <w:lang w:val="en-US"/>
        </w:rPr>
        <w:t xml:space="preserve">- </w:t>
      </w:r>
      <w:r>
        <w:rPr>
          <w:rFonts w:hint="eastAsia" w:ascii="仿宋_GB2312" w:hAnsi="仿宋" w:eastAsia="仿宋_GB2312"/>
          <w:sz w:val="32"/>
          <w:szCs w:val="32"/>
          <w:lang w:val="en-US"/>
        </w:rPr>
        <w:t xml:space="preserve">然后按照排放数据分摊推算新增产值的生产数据。 </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3.6.3</w:t>
      </w:r>
      <w:r>
        <w:rPr>
          <w:rFonts w:hint="eastAsia" w:ascii="仿宋_GB2312" w:hAnsi="仿宋" w:eastAsia="仿宋_GB2312"/>
          <w:b/>
          <w:bCs/>
          <w:sz w:val="32"/>
          <w:szCs w:val="32"/>
        </w:rPr>
        <w:t>新增设施排放量的核查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每一个新增设施的活动水平数据、排放因子以及排放量进行核查。活动水平和排放因子的核查发现可与核查报告中的3.3.2.2和报告中的3.3.2.3相协调，如果前面的核查发现已经描述很详细，这里简要描述一下即可。</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同对既有设施的核查。</w:t>
      </w:r>
    </w:p>
    <w:p>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3.6.4</w:t>
      </w:r>
      <w:r>
        <w:rPr>
          <w:rFonts w:hint="eastAsia" w:ascii="仿宋_GB2312" w:hAnsi="仿宋" w:eastAsia="仿宋_GB2312"/>
          <w:b/>
          <w:bCs/>
          <w:sz w:val="32"/>
          <w:szCs w:val="32"/>
        </w:rPr>
        <w:t>新增设施排放强度的核查</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核查机构应对新增设施的排放强度进行核查。核查机构应详细报告排放强度计算过程。</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（计算方法：排放强度＝所有新增设施的直接排放和间接排放／所有新增设施对应的生产数据）。</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spacing w:after="0" w:line="560" w:lineRule="exact"/>
        <w:ind w:firstLine="640" w:firstLineChars="200"/>
        <w:jc w:val="both"/>
        <w:rPr>
          <w:rFonts w:ascii="仿宋_GB2312" w:hAnsi="仿宋" w:eastAsia="仿宋_GB2312"/>
          <w:sz w:val="32"/>
          <w:szCs w:val="32"/>
          <w:lang w:val="en-US"/>
        </w:rPr>
      </w:pPr>
      <w:r>
        <w:rPr>
          <w:rFonts w:hint="eastAsia" w:ascii="仿宋_GB2312" w:hAnsi="仿宋" w:eastAsia="仿宋_GB2312"/>
          <w:sz w:val="32"/>
          <w:szCs w:val="32"/>
        </w:rPr>
        <w:t>验算计算过程。</w:t>
      </w:r>
    </w:p>
    <w:p>
      <w:pPr>
        <w:spacing w:after="0" w:line="560" w:lineRule="exact"/>
        <w:ind w:firstLine="659" w:firstLineChars="205"/>
        <w:rPr>
          <w:rFonts w:ascii="仿宋_GB2312" w:hAnsi="仿宋" w:eastAsia="仿宋_GB2312"/>
          <w:b/>
          <w:sz w:val="32"/>
          <w:szCs w:val="32"/>
          <w:lang w:val="en-US"/>
        </w:rPr>
      </w:pPr>
      <w:r>
        <w:rPr>
          <w:rFonts w:hint="eastAsia" w:ascii="仿宋_GB2312" w:hAnsi="仿宋" w:eastAsia="仿宋_GB2312"/>
          <w:b/>
          <w:sz w:val="32"/>
          <w:szCs w:val="32"/>
        </w:rPr>
        <w:t>3.6.5</w:t>
      </w:r>
      <w:r>
        <w:rPr>
          <w:rFonts w:hint="eastAsia" w:ascii="仿宋_GB2312" w:hAnsi="仿宋" w:eastAsia="仿宋_GB2312"/>
          <w:b/>
          <w:bCs/>
          <w:sz w:val="32"/>
          <w:szCs w:val="32"/>
        </w:rPr>
        <w:t>新增设施替代既有设施的核查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widowControl w:val="0"/>
        <w:spacing w:after="0" w:line="560" w:lineRule="exact"/>
        <w:ind w:firstLine="643" w:firstLineChars="201"/>
        <w:jc w:val="both"/>
        <w:rPr>
          <w:rFonts w:ascii="仿宋_GB2312" w:hAnsi="仿宋" w:eastAsia="仿宋_GB2312"/>
          <w:sz w:val="32"/>
          <w:szCs w:val="32"/>
        </w:rPr>
      </w:pPr>
      <w:r>
        <w:rPr>
          <w:rFonts w:hint="eastAsia" w:ascii="仿宋_GB2312" w:hAnsi="仿宋" w:eastAsia="仿宋_GB2312"/>
          <w:sz w:val="32"/>
          <w:szCs w:val="32"/>
        </w:rPr>
        <w:t>核查机构应对新增设施中那些对既有设施替代的新增设施进行核查。核查内容包括设施的基本信息、替代既有设备的情况、排放量。如有既有设施退出，也应在本节中详细描述核查发现。</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查阅新增设施的可研和环评批复文件确认是否属于替代既有设施；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现场观察设施；</w:t>
      </w:r>
    </w:p>
    <w:p>
      <w:pPr>
        <w:widowControl w:val="0"/>
        <w:numPr>
          <w:ilvl w:val="0"/>
          <w:numId w:val="22"/>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验算排放量的计算过程</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3.6.6既有设施退出的核查</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764" w:firstLineChars="239"/>
        <w:jc w:val="both"/>
        <w:rPr>
          <w:rFonts w:ascii="仿宋_GB2312" w:hAnsi="仿宋" w:eastAsia="仿宋_GB2312"/>
          <w:sz w:val="32"/>
          <w:szCs w:val="32"/>
        </w:rPr>
      </w:pPr>
      <w:r>
        <w:rPr>
          <w:rFonts w:hint="eastAsia" w:ascii="仿宋_GB2312" w:hAnsi="仿宋" w:eastAsia="仿宋_GB2312"/>
          <w:sz w:val="32"/>
          <w:szCs w:val="32"/>
        </w:rPr>
        <w:t>核查机构应对既有设施退出进行核查。核查内容包括既有设施退出的基本信息及在历史基准年及上一年度的排放量和</w:t>
      </w:r>
      <w:r>
        <w:rPr>
          <w:rFonts w:ascii="仿宋_GB2312" w:hAnsi="仿宋" w:eastAsia="仿宋_GB2312"/>
          <w:sz w:val="32"/>
          <w:szCs w:val="32"/>
        </w:rPr>
        <w:t>排放强度</w:t>
      </w:r>
      <w:r>
        <w:rPr>
          <w:rFonts w:hint="eastAsia" w:ascii="仿宋_GB2312" w:hAnsi="仿宋" w:eastAsia="仿宋_GB2312"/>
          <w:sz w:val="32"/>
          <w:szCs w:val="32"/>
        </w:rPr>
        <w:t>。</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B)核查方法</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查阅设施、设备管理台账、企业运行情况统计与说明等；</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现场观察；</w:t>
      </w:r>
    </w:p>
    <w:p>
      <w:pPr>
        <w:spacing w:after="0" w:line="560" w:lineRule="exact"/>
        <w:ind w:firstLine="764" w:firstLineChars="239"/>
        <w:rPr>
          <w:rFonts w:ascii="仿宋_GB2312" w:hAnsi="仿宋" w:eastAsia="仿宋_GB2312"/>
          <w:sz w:val="32"/>
          <w:szCs w:val="32"/>
        </w:rPr>
      </w:pPr>
      <w:r>
        <w:rPr>
          <w:rFonts w:ascii="仿宋_GB2312" w:hAnsi="仿宋" w:eastAsia="仿宋_GB2312"/>
          <w:sz w:val="32"/>
          <w:szCs w:val="32"/>
        </w:rPr>
        <w:t>-</w:t>
      </w:r>
      <w:r>
        <w:rPr>
          <w:rFonts w:eastAsia="仿宋_GB2312" w:cs="Calibri"/>
          <w:sz w:val="32"/>
          <w:szCs w:val="32"/>
        </w:rPr>
        <w:t>      </w:t>
      </w:r>
      <w:r>
        <w:rPr>
          <w:rFonts w:ascii="仿宋_GB2312" w:hAnsi="仿宋" w:eastAsia="仿宋_GB2312"/>
          <w:sz w:val="32"/>
          <w:szCs w:val="32"/>
        </w:rPr>
        <w:t xml:space="preserve"> 验算既有设施退出</w:t>
      </w:r>
      <w:r>
        <w:rPr>
          <w:rFonts w:hint="eastAsia" w:ascii="仿宋_GB2312" w:hAnsi="仿宋" w:eastAsia="仿宋_GB2312"/>
          <w:sz w:val="32"/>
          <w:szCs w:val="32"/>
        </w:rPr>
        <w:t>在</w:t>
      </w:r>
      <w:r>
        <w:rPr>
          <w:rFonts w:ascii="仿宋_GB2312" w:hAnsi="仿宋" w:eastAsia="仿宋_GB2312"/>
          <w:sz w:val="32"/>
          <w:szCs w:val="32"/>
        </w:rPr>
        <w:t>历史</w:t>
      </w:r>
      <w:r>
        <w:rPr>
          <w:rFonts w:hint="eastAsia" w:ascii="仿宋_GB2312" w:hAnsi="仿宋" w:eastAsia="仿宋_GB2312"/>
          <w:sz w:val="32"/>
          <w:szCs w:val="32"/>
        </w:rPr>
        <w:t>基准年排放量和</w:t>
      </w:r>
      <w:r>
        <w:rPr>
          <w:rFonts w:ascii="仿宋_GB2312" w:hAnsi="仿宋" w:eastAsia="仿宋_GB2312"/>
          <w:sz w:val="32"/>
          <w:szCs w:val="32"/>
        </w:rPr>
        <w:t>排放强度等</w:t>
      </w:r>
      <w:r>
        <w:rPr>
          <w:rFonts w:hint="eastAsia" w:ascii="仿宋_GB2312" w:hAnsi="仿宋" w:eastAsia="仿宋_GB2312"/>
          <w:sz w:val="32"/>
          <w:szCs w:val="32"/>
        </w:rPr>
        <w:t>的计算过程。</w:t>
      </w:r>
    </w:p>
    <w:p>
      <w:pPr>
        <w:spacing w:after="0" w:line="560" w:lineRule="exact"/>
        <w:ind w:firstLine="768" w:firstLineChars="239"/>
        <w:rPr>
          <w:rFonts w:ascii="仿宋_GB2312" w:hAnsi="仿宋" w:eastAsia="仿宋_GB2312"/>
          <w:b/>
          <w:sz w:val="32"/>
          <w:szCs w:val="32"/>
        </w:rPr>
      </w:pPr>
      <w:r>
        <w:rPr>
          <w:rFonts w:hint="eastAsia" w:ascii="仿宋_GB2312" w:hAnsi="仿宋" w:eastAsia="仿宋_GB2312"/>
          <w:b/>
          <w:sz w:val="32"/>
          <w:szCs w:val="32"/>
        </w:rPr>
        <w:t>3.7 未来二氧化碳控制措施的核查</w:t>
      </w:r>
    </w:p>
    <w:p>
      <w:pPr>
        <w:spacing w:after="0" w:line="560" w:lineRule="exact"/>
        <w:ind w:firstLine="768" w:firstLineChars="239"/>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核查机构应对重点碳排放单位描述的未来</w:t>
      </w:r>
      <w:r>
        <w:rPr>
          <w:rFonts w:ascii="仿宋_GB2312" w:hAnsi="仿宋" w:eastAsia="仿宋_GB2312"/>
          <w:sz w:val="32"/>
          <w:szCs w:val="32"/>
        </w:rPr>
        <w:t>3～5年二氧化碳控制措施</w:t>
      </w:r>
      <w:r>
        <w:rPr>
          <w:rFonts w:hint="eastAsia" w:ascii="仿宋_GB2312" w:hAnsi="仿宋" w:eastAsia="仿宋_GB2312"/>
          <w:sz w:val="32"/>
          <w:szCs w:val="32"/>
        </w:rPr>
        <w:t>特别是针对碳排放达峰和碳中和等方面采取的计划或规划等情况进行核查，并核查采用控制措施情况下和未采用控制措施情况下未来</w:t>
      </w:r>
      <w:r>
        <w:rPr>
          <w:rFonts w:ascii="仿宋_GB2312" w:hAnsi="仿宋" w:eastAsia="仿宋_GB2312"/>
          <w:sz w:val="32"/>
          <w:szCs w:val="32"/>
        </w:rPr>
        <w:t>3～5年每年的二氧化碳排放量的预估结果。</w:t>
      </w:r>
      <w:r>
        <w:rPr>
          <w:rFonts w:hint="eastAsia" w:ascii="仿宋_GB2312" w:hAnsi="仿宋" w:eastAsia="仿宋_GB2312"/>
          <w:sz w:val="32"/>
          <w:szCs w:val="32"/>
        </w:rPr>
        <w:t>核查机构应对上年度提交的二氧化碳控制措施的实施情况进行核查。报告内容应包含：</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控制措施的内容及其与法规的符合性；</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采用控制措施情况下未来3～5年每年的二氧化碳排放量的预估过程及计算是否正确；</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未采用控制措施情况下未来3～5年每年的二氧化碳排放量的预估过程及计算是否正确；</w:t>
      </w:r>
    </w:p>
    <w:p>
      <w:pPr>
        <w:widowControl w:val="0"/>
        <w:numPr>
          <w:ilvl w:val="0"/>
          <w:numId w:val="23"/>
        </w:numPr>
        <w:spacing w:after="0" w:line="560" w:lineRule="exact"/>
        <w:ind w:left="851" w:hanging="291"/>
        <w:jc w:val="both"/>
        <w:rPr>
          <w:rFonts w:ascii="仿宋_GB2312" w:hAnsi="仿宋" w:eastAsia="仿宋_GB2312"/>
          <w:sz w:val="32"/>
          <w:szCs w:val="32"/>
        </w:rPr>
      </w:pPr>
      <w:r>
        <w:rPr>
          <w:rFonts w:hint="eastAsia" w:ascii="仿宋_GB2312" w:hAnsi="仿宋" w:eastAsia="仿宋_GB2312"/>
          <w:sz w:val="32"/>
          <w:szCs w:val="32"/>
        </w:rPr>
        <w:t>上年度提交的二氧化碳控制措施的实施情况。</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B）核查方法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查阅能源审计等相关报告中的节能措施；</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利用EXCEL表格验算排放量的估算。</w:t>
      </w:r>
    </w:p>
    <w:p>
      <w:pPr>
        <w:widowControl w:val="0"/>
        <w:spacing w:after="0" w:line="560" w:lineRule="exact"/>
        <w:ind w:left="420" w:firstLine="144" w:firstLineChars="45"/>
        <w:jc w:val="both"/>
        <w:rPr>
          <w:rFonts w:ascii="仿宋_GB2312" w:hAnsi="仿宋" w:eastAsia="仿宋_GB2312"/>
          <w:sz w:val="32"/>
          <w:szCs w:val="32"/>
        </w:rPr>
      </w:pPr>
    </w:p>
    <w:p>
      <w:pPr>
        <w:widowControl w:val="0"/>
        <w:spacing w:after="0" w:line="560" w:lineRule="exact"/>
        <w:ind w:left="420" w:firstLine="145" w:firstLineChars="45"/>
        <w:jc w:val="both"/>
        <w:rPr>
          <w:rFonts w:ascii="仿宋_GB2312" w:hAnsi="仿宋" w:eastAsia="仿宋_GB2312"/>
          <w:b/>
          <w:sz w:val="32"/>
          <w:szCs w:val="32"/>
        </w:rPr>
      </w:pPr>
      <w:r>
        <w:rPr>
          <w:rFonts w:hint="eastAsia" w:ascii="仿宋_GB2312" w:hAnsi="仿宋" w:eastAsia="仿宋_GB2312"/>
          <w:b/>
          <w:sz w:val="32"/>
          <w:szCs w:val="32"/>
        </w:rPr>
        <w:t>3.8对监测计划的核查</w:t>
      </w: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核查机构应对重点碳排放单位的监测计划进行核查,确认根据适用的地方标准或核算和报告指南要求建立的监测计划合理性和执行情况，并报告如下的核查发现，格式参考下表：</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监测计划版本及修订情况符合性的核查发现；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报告主体描述符合性的核查发现；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核算边界和主要排放设施描述符合性的核查发现；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各个活动数据和排放因子获取方式符合性的核查发现；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数据内部质量控制和质量保证相关规定符合性的核查发现；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上一年度监测计划的合理性和核查年度监测计划的执行情况核查发现；</w:t>
      </w:r>
    </w:p>
    <w:p>
      <w:pPr>
        <w:widowControl w:val="0"/>
        <w:numPr>
          <w:ilvl w:val="0"/>
          <w:numId w:val="25"/>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核查年度的下一年度监测计划合理性的核查发现；</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监测计划版本的符合性</w:t>
            </w:r>
          </w:p>
        </w:tc>
        <w:tc>
          <w:tcPr>
            <w:tcW w:w="6342" w:type="dxa"/>
            <w:vAlign w:val="center"/>
          </w:tcPr>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最终版本与实际情况符合情况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发布或修改时间与实际情况相符合情况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adjustRightInd w:val="0"/>
              <w:snapToGrid w:val="0"/>
              <w:spacing w:beforeLines="50" w:after="0" w:line="300" w:lineRule="auto"/>
              <w:ind w:firstLine="480" w:firstLineChars="200"/>
              <w:rPr>
                <w:rFonts w:eastAsia="仿宋"/>
                <w:sz w:val="24"/>
                <w:szCs w:val="24"/>
              </w:rPr>
            </w:pPr>
            <w:r>
              <w:rPr>
                <w:rFonts w:eastAsia="仿宋"/>
                <w:sz w:val="24"/>
                <w:szCs w:val="24"/>
              </w:rPr>
              <w:t>发布或修改的内容满足适用地方标准或核算和报告指南要求情况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adjustRightInd w:val="0"/>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0" w:type="dxa"/>
            <w:shd w:val="clear" w:color="auto" w:fill="D8D8D8" w:themeFill="background1" w:themeFillShade="D9"/>
            <w:vAlign w:val="center"/>
          </w:tcPr>
          <w:p>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报告主体描述的符合性</w:t>
            </w:r>
          </w:p>
        </w:tc>
        <w:tc>
          <w:tcPr>
            <w:tcW w:w="6342" w:type="dxa"/>
            <w:vAlign w:val="center"/>
          </w:tcPr>
          <w:p>
            <w:pPr>
              <w:tabs>
                <w:tab w:val="left" w:pos="3960"/>
                <w:tab w:val="left" w:pos="4140"/>
              </w:tabs>
              <w:snapToGrid w:val="0"/>
              <w:spacing w:beforeLines="50" w:after="0" w:line="300" w:lineRule="auto"/>
              <w:ind w:firstLine="480" w:firstLineChars="200"/>
              <w:rPr>
                <w:rFonts w:eastAsia="仿宋"/>
                <w:bCs/>
                <w:sz w:val="24"/>
                <w:szCs w:val="24"/>
              </w:rPr>
            </w:pPr>
            <w:r>
              <w:rPr>
                <w:rFonts w:hint="eastAsia" w:eastAsia="仿宋"/>
                <w:bCs/>
                <w:sz w:val="24"/>
                <w:szCs w:val="24"/>
              </w:rPr>
              <w:t>企业（或者其他经济组织）的基本信息与实际符合情况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hint="eastAsia" w:eastAsia="仿宋"/>
                <w:bCs/>
                <w:sz w:val="24"/>
                <w:szCs w:val="24"/>
              </w:rPr>
              <w:t>企业主营产品、生产设施信息、组织机构图、厂区平面分布图、工艺流程图与实际符合情况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0" w:type="dxa"/>
            <w:shd w:val="clear" w:color="auto" w:fill="D8D8D8" w:themeFill="background1" w:themeFillShade="D9"/>
            <w:vAlign w:val="center"/>
          </w:tcPr>
          <w:p>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核算边界和主要排放设施描述的符合性</w:t>
            </w:r>
          </w:p>
        </w:tc>
        <w:tc>
          <w:tcPr>
            <w:tcW w:w="6342" w:type="dxa"/>
            <w:vAlign w:val="center"/>
          </w:tcPr>
          <w:p>
            <w:pPr>
              <w:snapToGrid w:val="0"/>
              <w:spacing w:beforeLines="50" w:after="0" w:line="300" w:lineRule="auto"/>
              <w:ind w:firstLine="480" w:firstLineChars="200"/>
              <w:rPr>
                <w:rFonts w:eastAsia="仿宋"/>
                <w:sz w:val="24"/>
                <w:szCs w:val="24"/>
              </w:rPr>
            </w:pPr>
            <w:r>
              <w:rPr>
                <w:rFonts w:hint="eastAsia" w:eastAsia="仿宋"/>
                <w:sz w:val="24"/>
                <w:szCs w:val="24"/>
              </w:rPr>
              <w:t>法人边界的核算范围与实际的符合情况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Lines="50" w:after="0" w:line="300" w:lineRule="auto"/>
              <w:ind w:firstLine="480" w:firstLineChars="200"/>
              <w:rPr>
                <w:rFonts w:eastAsia="仿宋"/>
                <w:sz w:val="24"/>
                <w:szCs w:val="24"/>
              </w:rPr>
            </w:pPr>
            <w:r>
              <w:rPr>
                <w:rFonts w:hint="eastAsia" w:eastAsia="仿宋"/>
                <w:sz w:val="24"/>
                <w:szCs w:val="24"/>
              </w:rPr>
              <w:t>补充数据表的核算范围与实际的符合情况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Lines="50" w:after="0" w:line="300" w:lineRule="auto"/>
              <w:ind w:firstLine="480" w:firstLineChars="200"/>
              <w:rPr>
                <w:rFonts w:eastAsia="仿宋"/>
                <w:sz w:val="24"/>
                <w:szCs w:val="24"/>
              </w:rPr>
            </w:pPr>
            <w:r>
              <w:rPr>
                <w:rFonts w:hint="eastAsia" w:eastAsia="仿宋"/>
                <w:sz w:val="24"/>
                <w:szCs w:val="24"/>
              </w:rPr>
              <w:t>主要排放设施与实际的符合情况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数据获取方式的符合性</w:t>
            </w:r>
          </w:p>
        </w:tc>
        <w:tc>
          <w:tcPr>
            <w:tcW w:w="6342" w:type="dxa"/>
            <w:vAlign w:val="center"/>
          </w:tcPr>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监测计划中涉及的所有活动水平数据和排放因子识别全面情况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bCs/>
                <w:sz w:val="24"/>
                <w:szCs w:val="24"/>
              </w:rPr>
            </w:pPr>
            <w:r>
              <w:rPr>
                <w:rFonts w:eastAsia="仿宋"/>
                <w:bCs/>
                <w:sz w:val="24"/>
                <w:szCs w:val="24"/>
              </w:rPr>
              <w:t>监测计划中对参与核算所需要的所有数据都制定了获取方式情况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bCs/>
                <w:sz w:val="24"/>
                <w:szCs w:val="24"/>
              </w:rPr>
            </w:pPr>
            <w:r>
              <w:rPr>
                <w:rFonts w:eastAsia="仿宋"/>
                <w:sz w:val="24"/>
                <w:szCs w:val="24"/>
              </w:rPr>
              <w:t>所填报的</w:t>
            </w:r>
            <w:r>
              <w:rPr>
                <w:rFonts w:eastAsia="仿宋"/>
                <w:bCs/>
                <w:sz w:val="24"/>
                <w:szCs w:val="24"/>
              </w:rPr>
              <w:t>数据单位与核算指南一致情况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所有数据的计算方法和获取方式合理且符合适用的地方标准或核算和报告指南的要求</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数据获取过程中涉及的测量设备的型号、位置属实情况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监测频次、精度和校准频次符合相关要求情况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数据缺失时的处理方式能够确保不会导致排放量的低估和配额的过量发放情况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snapToGrid w:val="0"/>
              <w:spacing w:beforeLines="50" w:after="0" w:line="300" w:lineRule="auto"/>
              <w:ind w:firstLine="480" w:firstLineChars="200"/>
              <w:rPr>
                <w:rFonts w:eastAsia="仿宋"/>
                <w:bCs/>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数据内部质量控制和质量保证的符合性</w:t>
            </w:r>
          </w:p>
        </w:tc>
        <w:tc>
          <w:tcPr>
            <w:tcW w:w="6342" w:type="dxa"/>
            <w:vAlign w:val="center"/>
          </w:tcPr>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受审核方已指定专人负责温室气体监测计划制定、温室气体报告工作情况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受审核方已建立监测计划的制定、修订、审批以及执行等的管理制度情况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受审核方已建立温室气体排放报告的编写、内部审核以及审批等管理制度情况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受审核方已建立温室气体数据文件的保存和归档管理制度</w:t>
            </w:r>
            <w:r>
              <w:rPr>
                <w:rFonts w:hint="eastAsia" w:eastAsia="仿宋"/>
                <w:sz w:val="24"/>
                <w:szCs w:val="24"/>
              </w:rPr>
              <w:t>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sz w:val="24"/>
                <w:szCs w:val="24"/>
              </w:rPr>
            </w:pPr>
            <w:r>
              <w:rPr>
                <w:rFonts w:eastAsia="仿宋"/>
                <w:sz w:val="24"/>
                <w:szCs w:val="24"/>
              </w:rPr>
              <w:t>受审核方监测计划制定和执行人员以及排放报告编制人员具备制定相应报告的能力情况</w:t>
            </w:r>
            <w:r>
              <w:rPr>
                <w:rFonts w:ascii="Segoe UI Symbol" w:hAnsi="Segoe UI Symbol" w:eastAsia="仿宋" w:cs="Segoe UI Symbol"/>
                <w:sz w:val="24"/>
                <w:szCs w:val="24"/>
              </w:rPr>
              <w:t>☐</w:t>
            </w:r>
            <w:r>
              <w:rPr>
                <w:rFonts w:hint="eastAsia" w:eastAsia="仿宋"/>
                <w:sz w:val="24"/>
                <w:szCs w:val="24"/>
              </w:rPr>
              <w:t>是</w:t>
            </w:r>
            <w:r>
              <w:rPr>
                <w:rFonts w:ascii="Segoe UI Symbol" w:hAnsi="Segoe UI Symbol" w:eastAsia="仿宋" w:cs="Segoe UI Symbol"/>
                <w:sz w:val="24"/>
                <w:szCs w:val="24"/>
              </w:rPr>
              <w:t>☐</w:t>
            </w:r>
            <w:r>
              <w:rPr>
                <w:rFonts w:hint="eastAsia" w:eastAsia="仿宋"/>
                <w:sz w:val="24"/>
                <w:szCs w:val="24"/>
              </w:rPr>
              <w:t>否</w:t>
            </w:r>
          </w:p>
          <w:p>
            <w:pPr>
              <w:tabs>
                <w:tab w:val="left" w:pos="3960"/>
                <w:tab w:val="left" w:pos="4140"/>
              </w:tabs>
              <w:snapToGrid w:val="0"/>
              <w:spacing w:beforeLines="50" w:after="0" w:line="300" w:lineRule="auto"/>
              <w:ind w:firstLine="480" w:firstLineChars="200"/>
              <w:rPr>
                <w:rFonts w:eastAsia="仿宋"/>
                <w:b/>
                <w:sz w:val="24"/>
                <w:szCs w:val="24"/>
              </w:rPr>
            </w:pPr>
            <w:r>
              <w:rPr>
                <w:rFonts w:eastAsia="仿宋"/>
                <w:sz w:val="24"/>
                <w:szCs w:val="24"/>
              </w:rPr>
              <w:t>若否，需要详细说明并</w:t>
            </w:r>
            <w:r>
              <w:rPr>
                <w:rFonts w:hint="eastAsia" w:eastAsia="仿宋"/>
                <w:sz w:val="24"/>
                <w:szCs w:val="24"/>
              </w:rPr>
              <w:t>简要描述不符合(如有),详细描述及纠正措施链接核查报告附件1）。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tabs>
                <w:tab w:val="left" w:pos="3960"/>
                <w:tab w:val="left" w:pos="4140"/>
              </w:tabs>
              <w:snapToGrid w:val="0"/>
              <w:spacing w:beforeLines="50" w:after="0" w:line="300" w:lineRule="auto"/>
              <w:ind w:firstLine="482" w:firstLineChars="200"/>
              <w:rPr>
                <w:rFonts w:eastAsia="仿宋"/>
                <w:b/>
                <w:sz w:val="24"/>
                <w:szCs w:val="24"/>
              </w:rPr>
            </w:pPr>
            <w:r>
              <w:rPr>
                <w:rFonts w:eastAsia="仿宋"/>
                <w:b/>
                <w:sz w:val="24"/>
                <w:szCs w:val="24"/>
              </w:rPr>
              <w:t>其他核查发现（如有）</w:t>
            </w:r>
          </w:p>
        </w:tc>
        <w:tc>
          <w:tcPr>
            <w:tcW w:w="6342" w:type="dxa"/>
            <w:vAlign w:val="center"/>
          </w:tcPr>
          <w:p>
            <w:pPr>
              <w:snapToGrid w:val="0"/>
              <w:spacing w:beforeLines="50" w:after="0" w:line="300" w:lineRule="auto"/>
              <w:ind w:firstLine="480" w:firstLineChars="200"/>
              <w:rPr>
                <w:rFonts w:eastAsia="仿宋"/>
                <w:bCs/>
                <w:sz w:val="24"/>
                <w:szCs w:val="24"/>
              </w:rPr>
            </w:pPr>
            <w:r>
              <w:rPr>
                <w:rFonts w:eastAsia="仿宋"/>
                <w:bCs/>
                <w:sz w:val="24"/>
                <w:szCs w:val="24"/>
              </w:rPr>
              <w:t>若还有其它需要说明的核查发现，请详细描述。</w:t>
            </w:r>
          </w:p>
        </w:tc>
      </w:tr>
    </w:tbl>
    <w:p>
      <w:pPr>
        <w:widowControl w:val="0"/>
        <w:spacing w:after="0" w:line="560" w:lineRule="exact"/>
        <w:ind w:left="987"/>
        <w:jc w:val="both"/>
        <w:rPr>
          <w:rFonts w:ascii="仿宋_GB2312" w:hAnsi="仿宋" w:eastAsia="仿宋_GB2312"/>
          <w:sz w:val="32"/>
          <w:szCs w:val="32"/>
        </w:rPr>
      </w:pPr>
    </w:p>
    <w:p>
      <w:pPr>
        <w:widowControl w:val="0"/>
        <w:spacing w:after="0" w:line="560" w:lineRule="exact"/>
        <w:ind w:left="567"/>
        <w:jc w:val="both"/>
        <w:outlineLvl w:val="0"/>
        <w:rPr>
          <w:rFonts w:ascii="仿宋_GB2312" w:hAnsi="仿宋" w:eastAsia="仿宋_GB2312"/>
          <w:sz w:val="32"/>
          <w:szCs w:val="32"/>
        </w:rPr>
      </w:pPr>
      <w:r>
        <w:rPr>
          <w:rFonts w:hint="eastAsia" w:ascii="仿宋_GB2312" w:hAnsi="仿宋" w:eastAsia="仿宋_GB2312"/>
          <w:sz w:val="32"/>
          <w:szCs w:val="32"/>
        </w:rPr>
        <w:t>B）核查方法</w:t>
      </w:r>
    </w:p>
    <w:p>
      <w:pPr>
        <w:widowControl w:val="0"/>
        <w:numPr>
          <w:ilvl w:val="0"/>
          <w:numId w:val="26"/>
        </w:numPr>
        <w:spacing w:after="0" w:line="560" w:lineRule="exact"/>
        <w:jc w:val="both"/>
        <w:rPr>
          <w:rFonts w:ascii="仿宋_GB2312" w:hAnsi="仿宋" w:eastAsia="仿宋_GB2312"/>
          <w:sz w:val="32"/>
          <w:szCs w:val="32"/>
        </w:rPr>
      </w:pPr>
      <w:r>
        <w:rPr>
          <w:rFonts w:ascii="仿宋_GB2312" w:hAnsi="仿宋" w:eastAsia="仿宋_GB2312"/>
          <w:sz w:val="32"/>
          <w:szCs w:val="32"/>
        </w:rPr>
        <w:t>访谈确认监测计划制定及实施情况；</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查阅相关参数的检测报告；</w:t>
      </w:r>
    </w:p>
    <w:p>
      <w:pPr>
        <w:widowControl w:val="0"/>
        <w:numPr>
          <w:ilvl w:val="0"/>
          <w:numId w:val="26"/>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观察现有监测设备的配置情况；</w:t>
      </w:r>
    </w:p>
    <w:p>
      <w:pPr>
        <w:widowControl w:val="0"/>
        <w:numPr>
          <w:ilvl w:val="0"/>
          <w:numId w:val="26"/>
        </w:numPr>
        <w:spacing w:after="0" w:line="560" w:lineRule="exact"/>
        <w:ind w:left="567" w:firstLine="6"/>
        <w:jc w:val="both"/>
        <w:rPr>
          <w:rFonts w:ascii="仿宋_GB2312" w:hAnsi="仿宋" w:eastAsia="仿宋_GB2312"/>
          <w:sz w:val="32"/>
          <w:szCs w:val="32"/>
        </w:rPr>
      </w:pPr>
      <w:r>
        <w:rPr>
          <w:rFonts w:hint="eastAsia" w:ascii="仿宋_GB2312" w:hAnsi="仿宋" w:eastAsia="仿宋_GB2312"/>
          <w:sz w:val="32"/>
          <w:szCs w:val="32"/>
        </w:rPr>
        <w:t>访谈了解监测设备的下一步配置计划。</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3.9对京内移动设施和京外能源消费总量的核查</w:t>
      </w:r>
    </w:p>
    <w:p>
      <w:pPr>
        <w:spacing w:after="0" w:line="560" w:lineRule="exact"/>
        <w:ind w:firstLine="659" w:firstLineChars="205"/>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核查机构应对重点碳排放单位的其他能源消费信息进行核查,并报告如下核查发现：</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能源消耗（燃料品种、电力等）是否完整；</w:t>
      </w:r>
    </w:p>
    <w:p>
      <w:pPr>
        <w:widowControl w:val="0"/>
        <w:numPr>
          <w:ilvl w:val="0"/>
          <w:numId w:val="27"/>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消费数据是否真实、可信。</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查阅油品购买记录；</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查阅移动源行驶里程；</w:t>
      </w:r>
    </w:p>
    <w:p>
      <w:pPr>
        <w:widowControl w:val="0"/>
        <w:numPr>
          <w:ilvl w:val="0"/>
          <w:numId w:val="24"/>
        </w:numPr>
        <w:spacing w:after="0" w:line="560" w:lineRule="exact"/>
        <w:jc w:val="both"/>
        <w:rPr>
          <w:rFonts w:ascii="仿宋_GB2312" w:hAnsi="仿宋" w:eastAsia="仿宋_GB2312"/>
          <w:sz w:val="32"/>
          <w:szCs w:val="32"/>
        </w:rPr>
      </w:pPr>
      <w:r>
        <w:rPr>
          <w:rFonts w:hint="eastAsia" w:ascii="仿宋_GB2312" w:hAnsi="仿宋" w:eastAsia="仿宋_GB2312"/>
          <w:sz w:val="32"/>
          <w:szCs w:val="32"/>
        </w:rPr>
        <w:t>查阅能源平衡表。</w:t>
      </w:r>
    </w:p>
    <w:p>
      <w:pPr>
        <w:widowControl w:val="0"/>
        <w:spacing w:after="0" w:line="560" w:lineRule="exact"/>
        <w:ind w:left="420"/>
        <w:jc w:val="both"/>
        <w:rPr>
          <w:rFonts w:ascii="仿宋_GB2312" w:hAnsi="仿宋" w:eastAsia="仿宋_GB2312"/>
          <w:sz w:val="32"/>
          <w:szCs w:val="32"/>
        </w:rPr>
      </w:pPr>
      <w:r>
        <w:rPr>
          <w:rFonts w:hint="eastAsia" w:ascii="仿宋_GB2312" w:hAnsi="仿宋" w:eastAsia="仿宋_GB2312"/>
          <w:sz w:val="32"/>
          <w:szCs w:val="32"/>
        </w:rPr>
        <w:t xml:space="preserve">   核查机构应注意，交通设施的京内移动设施和</w:t>
      </w:r>
      <w:r>
        <w:rPr>
          <w:rFonts w:ascii="仿宋_GB2312" w:hAnsi="仿宋" w:eastAsia="仿宋_GB2312"/>
          <w:sz w:val="32"/>
          <w:szCs w:val="32"/>
        </w:rPr>
        <w:t>航空器的排放</w:t>
      </w:r>
      <w:r>
        <w:rPr>
          <w:rFonts w:hint="eastAsia" w:ascii="仿宋_GB2312" w:hAnsi="仿宋" w:eastAsia="仿宋_GB2312"/>
          <w:sz w:val="32"/>
          <w:szCs w:val="32"/>
        </w:rPr>
        <w:t>应作为核算边界内的排放设施纳入核查范围，而不应当作为本节核查的内容。</w:t>
      </w:r>
    </w:p>
    <w:p>
      <w:pPr>
        <w:spacing w:after="0" w:line="560" w:lineRule="exact"/>
        <w:ind w:firstLine="659" w:firstLineChars="205"/>
        <w:rPr>
          <w:rFonts w:ascii="仿宋_GB2312" w:hAnsi="仿宋" w:eastAsia="仿宋_GB2312"/>
          <w:b/>
          <w:sz w:val="32"/>
          <w:szCs w:val="32"/>
        </w:rPr>
      </w:pPr>
      <w:r>
        <w:rPr>
          <w:rFonts w:hint="eastAsia" w:ascii="仿宋_GB2312" w:hAnsi="仿宋" w:eastAsia="仿宋_GB2312"/>
          <w:b/>
          <w:sz w:val="32"/>
          <w:szCs w:val="32"/>
        </w:rPr>
        <w:t>3.10对数据质量管理的核查</w:t>
      </w:r>
    </w:p>
    <w:p>
      <w:pPr>
        <w:spacing w:after="0" w:line="560" w:lineRule="exact"/>
        <w:ind w:firstLine="659" w:firstLineChars="205"/>
        <w:jc w:val="both"/>
        <w:outlineLvl w:val="0"/>
        <w:rPr>
          <w:rFonts w:ascii="仿宋_GB2312" w:hAnsi="仿宋" w:eastAsia="仿宋_GB2312"/>
          <w:b/>
          <w:sz w:val="32"/>
          <w:szCs w:val="32"/>
        </w:rPr>
      </w:pPr>
      <w:r>
        <w:rPr>
          <w:rFonts w:hint="eastAsia" w:ascii="仿宋_GB2312" w:hAnsi="仿宋" w:eastAsia="仿宋_GB2312"/>
          <w:b/>
          <w:sz w:val="32"/>
          <w:szCs w:val="32"/>
        </w:rPr>
        <w:t>A）报告内容</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核查机构应对重点碳排放单位的二氧化碳排放质量管理体系进行核查,核查内容包括：</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是否按标准和规定进行仪表的校准和检定；</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是否明确了管理部门，专人负责数据的记录、收集和整理工作；</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是否建立了数据的监测、收集和获取的规章制度；</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是否制定了数据缺失、生产活动变化以及报告方法变更的应对措施；</w:t>
      </w:r>
    </w:p>
    <w:p>
      <w:pPr>
        <w:widowControl w:val="0"/>
        <w:numPr>
          <w:ilvl w:val="0"/>
          <w:numId w:val="27"/>
        </w:numPr>
        <w:spacing w:after="0" w:line="560" w:lineRule="exact"/>
        <w:ind w:left="565" w:leftChars="257" w:firstLine="0"/>
        <w:jc w:val="both"/>
        <w:rPr>
          <w:rFonts w:ascii="仿宋_GB2312" w:hAnsi="仿宋" w:eastAsia="仿宋_GB2312"/>
          <w:sz w:val="32"/>
          <w:szCs w:val="32"/>
        </w:rPr>
      </w:pPr>
      <w:r>
        <w:rPr>
          <w:rFonts w:hint="eastAsia" w:ascii="仿宋_GB2312" w:hAnsi="仿宋" w:eastAsia="仿宋_GB2312"/>
          <w:sz w:val="32"/>
          <w:szCs w:val="32"/>
        </w:rPr>
        <w:t>文档管理是否规范。</w:t>
      </w:r>
    </w:p>
    <w:p>
      <w:pPr>
        <w:spacing w:after="0" w:line="560" w:lineRule="exact"/>
        <w:ind w:firstLine="630" w:firstLineChars="196"/>
        <w:outlineLvl w:val="0"/>
        <w:rPr>
          <w:rFonts w:ascii="仿宋_GB2312" w:hAnsi="仿宋" w:eastAsia="仿宋_GB2312"/>
          <w:b/>
          <w:sz w:val="32"/>
          <w:szCs w:val="32"/>
        </w:rPr>
      </w:pPr>
      <w:r>
        <w:rPr>
          <w:rFonts w:hint="eastAsia" w:ascii="仿宋_GB2312" w:hAnsi="仿宋" w:eastAsia="仿宋_GB2312"/>
          <w:b/>
          <w:sz w:val="32"/>
          <w:szCs w:val="32"/>
        </w:rPr>
        <w:t>B) 核查方法</w:t>
      </w:r>
    </w:p>
    <w:p>
      <w:pPr>
        <w:widowControl w:val="0"/>
        <w:numPr>
          <w:ilvl w:val="0"/>
          <w:numId w:val="24"/>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与管理人员及二氧化碳和能源管理人员交谈；</w:t>
      </w:r>
    </w:p>
    <w:p>
      <w:pPr>
        <w:widowControl w:val="0"/>
        <w:numPr>
          <w:ilvl w:val="0"/>
          <w:numId w:val="28"/>
        </w:numPr>
        <w:spacing w:after="0" w:line="560" w:lineRule="exact"/>
        <w:ind w:hanging="273"/>
        <w:jc w:val="both"/>
        <w:rPr>
          <w:rFonts w:ascii="仿宋_GB2312" w:hAnsi="仿宋" w:eastAsia="仿宋_GB2312"/>
          <w:sz w:val="32"/>
          <w:szCs w:val="32"/>
        </w:rPr>
      </w:pPr>
      <w:r>
        <w:rPr>
          <w:rFonts w:hint="eastAsia" w:ascii="仿宋_GB2312" w:hAnsi="仿宋" w:eastAsia="仿宋_GB2312"/>
          <w:sz w:val="32"/>
          <w:szCs w:val="32"/>
        </w:rPr>
        <w:t>查阅企业规章制度及监测计划等确认。</w:t>
      </w:r>
    </w:p>
    <w:p>
      <w:pPr>
        <w:spacing w:after="0" w:line="560" w:lineRule="exact"/>
        <w:ind w:firstLine="630" w:firstLineChars="196"/>
        <w:jc w:val="both"/>
        <w:outlineLvl w:val="0"/>
        <w:rPr>
          <w:rFonts w:ascii="仿宋_GB2312" w:hAnsi="仿宋" w:eastAsia="仿宋_GB2312"/>
          <w:b/>
          <w:sz w:val="32"/>
          <w:szCs w:val="32"/>
        </w:rPr>
      </w:pPr>
      <w:r>
        <w:rPr>
          <w:rFonts w:hint="eastAsia" w:ascii="仿宋_GB2312" w:hAnsi="仿宋" w:eastAsia="仿宋_GB2312"/>
          <w:b/>
          <w:sz w:val="32"/>
          <w:szCs w:val="32"/>
        </w:rPr>
        <w:t>4. 核查结论</w:t>
      </w:r>
    </w:p>
    <w:p>
      <w:pPr>
        <w:spacing w:after="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核查机构应在核查报告中出具肯定或否定的核查结论。只有当不符合关闭后，核查机构才能出具肯定的核查结论。核查结论应包含下列内容：</w:t>
      </w:r>
    </w:p>
    <w:p>
      <w:pPr>
        <w:pStyle w:val="5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4.1 核算、报告及方法学的符合性；</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 本年度排放量及</w:t>
      </w:r>
      <w:r>
        <w:rPr>
          <w:rFonts w:ascii="仿宋_GB2312" w:hAnsi="仿宋" w:eastAsia="仿宋_GB2312"/>
          <w:sz w:val="32"/>
          <w:szCs w:val="32"/>
        </w:rPr>
        <w:t>活动水平数据</w:t>
      </w:r>
      <w:r>
        <w:rPr>
          <w:rFonts w:hint="eastAsia" w:ascii="仿宋_GB2312" w:hAnsi="仿宋" w:eastAsia="仿宋_GB2312"/>
          <w:sz w:val="32"/>
          <w:szCs w:val="32"/>
        </w:rPr>
        <w:t>的声明；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4.2.1 经核查的直接和间接排放量的声明；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4.2.2 经核查的活动水平</w:t>
      </w:r>
      <w:r>
        <w:rPr>
          <w:rFonts w:ascii="仿宋_GB2312" w:hAnsi="仿宋" w:eastAsia="仿宋_GB2312"/>
          <w:sz w:val="32"/>
          <w:szCs w:val="32"/>
        </w:rPr>
        <w:t>数据的</w:t>
      </w:r>
      <w:r>
        <w:rPr>
          <w:rFonts w:hint="eastAsia" w:ascii="仿宋_GB2312" w:hAnsi="仿宋" w:eastAsia="仿宋_GB2312"/>
          <w:sz w:val="32"/>
          <w:szCs w:val="32"/>
        </w:rPr>
        <w:t>声明。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 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4.3.1 本年度排放量波动的原因说明;</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4.3.2排放下降幅度说明:</w:t>
      </w:r>
      <w:r>
        <w:rPr>
          <w:rFonts w:hint="eastAsia" w:ascii="仿宋_GB2312" w:eastAsia="仿宋_GB2312"/>
          <w:sz w:val="32"/>
          <w:szCs w:val="32"/>
        </w:rPr>
        <w:t>履约年度二氧化碳排放量1</w:t>
      </w:r>
      <w:r>
        <w:rPr>
          <w:rFonts w:ascii="仿宋_GB2312" w:eastAsia="仿宋_GB2312"/>
          <w:sz w:val="32"/>
          <w:szCs w:val="32"/>
        </w:rPr>
        <w:t>0</w:t>
      </w:r>
      <w:r>
        <w:rPr>
          <w:rFonts w:hint="eastAsia" w:ascii="仿宋_GB2312" w:eastAsia="仿宋_GB2312"/>
          <w:sz w:val="32"/>
          <w:szCs w:val="32"/>
        </w:rPr>
        <w:t>万吨（含）以上的</w:t>
      </w:r>
      <w:r>
        <w:rPr>
          <w:rFonts w:ascii="仿宋_GB2312" w:eastAsia="仿宋_GB2312"/>
          <w:sz w:val="32"/>
          <w:szCs w:val="32"/>
        </w:rPr>
        <w:t>重点碳排放单位，</w:t>
      </w:r>
      <w:r>
        <w:rPr>
          <w:rFonts w:hint="eastAsia" w:ascii="仿宋_GB2312" w:eastAsia="仿宋_GB2312"/>
          <w:sz w:val="32"/>
          <w:szCs w:val="32"/>
        </w:rPr>
        <w:t>如</w:t>
      </w:r>
      <w:r>
        <w:rPr>
          <w:rFonts w:ascii="仿宋_GB2312" w:eastAsia="仿宋_GB2312"/>
          <w:sz w:val="32"/>
          <w:szCs w:val="32"/>
        </w:rPr>
        <w:t>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超过2</w:t>
      </w:r>
      <w:r>
        <w:rPr>
          <w:rFonts w:ascii="仿宋_GB2312" w:eastAsia="仿宋_GB2312"/>
          <w:sz w:val="32"/>
          <w:szCs w:val="32"/>
        </w:rPr>
        <w:t>0</w:t>
      </w:r>
      <w:r>
        <w:rPr>
          <w:rFonts w:hint="eastAsia" w:ascii="仿宋_GB2312" w:eastAsia="仿宋_GB2312"/>
          <w:sz w:val="32"/>
          <w:szCs w:val="32"/>
        </w:rPr>
        <w:t>%（含）；对于履约年度二氧化碳排放量1</w:t>
      </w:r>
      <w:r>
        <w:rPr>
          <w:rFonts w:ascii="仿宋_GB2312" w:eastAsia="仿宋_GB2312"/>
          <w:sz w:val="32"/>
          <w:szCs w:val="32"/>
        </w:rPr>
        <w:t>0</w:t>
      </w:r>
      <w:r>
        <w:rPr>
          <w:rFonts w:hint="eastAsia" w:ascii="仿宋_GB2312" w:eastAsia="仿宋_GB2312"/>
          <w:sz w:val="32"/>
          <w:szCs w:val="32"/>
        </w:rPr>
        <w:t>万吨以下的</w:t>
      </w:r>
      <w:r>
        <w:rPr>
          <w:rFonts w:ascii="仿宋_GB2312" w:eastAsia="仿宋_GB2312"/>
          <w:sz w:val="32"/>
          <w:szCs w:val="32"/>
        </w:rPr>
        <w:t>重点碳排放单位</w:t>
      </w:r>
      <w:r>
        <w:rPr>
          <w:rFonts w:hint="eastAsia" w:ascii="仿宋_GB2312" w:eastAsia="仿宋_GB2312"/>
          <w:sz w:val="32"/>
          <w:szCs w:val="32"/>
        </w:rPr>
        <w:t>，</w:t>
      </w:r>
      <w:r>
        <w:rPr>
          <w:rFonts w:ascii="仿宋_GB2312" w:eastAsia="仿宋_GB2312"/>
          <w:sz w:val="32"/>
          <w:szCs w:val="32"/>
        </w:rPr>
        <w:t>如果</w:t>
      </w:r>
      <w:r>
        <w:rPr>
          <w:rFonts w:hint="eastAsia" w:ascii="仿宋_GB2312" w:eastAsia="仿宋_GB2312"/>
          <w:sz w:val="32"/>
          <w:szCs w:val="32"/>
        </w:rPr>
        <w:t>履约</w:t>
      </w:r>
      <w:r>
        <w:rPr>
          <w:rFonts w:ascii="仿宋_GB2312" w:eastAsia="仿宋_GB2312"/>
          <w:sz w:val="32"/>
          <w:szCs w:val="32"/>
        </w:rPr>
        <w:t>年度排放量相对于历史基准年</w:t>
      </w:r>
      <w:r>
        <w:rPr>
          <w:rFonts w:hint="eastAsia" w:ascii="仿宋_GB2312" w:eastAsia="仿宋_GB2312"/>
          <w:sz w:val="32"/>
          <w:szCs w:val="32"/>
        </w:rPr>
        <w:t>排放量</w:t>
      </w:r>
      <w:r>
        <w:rPr>
          <w:rFonts w:ascii="仿宋_GB2312" w:eastAsia="仿宋_GB2312"/>
          <w:sz w:val="32"/>
          <w:szCs w:val="32"/>
        </w:rPr>
        <w:t>下降幅度</w:t>
      </w:r>
      <w:r>
        <w:rPr>
          <w:rFonts w:hint="eastAsia" w:ascii="仿宋_GB2312" w:eastAsia="仿宋_GB2312"/>
          <w:sz w:val="32"/>
          <w:szCs w:val="32"/>
        </w:rPr>
        <w:t>超过</w:t>
      </w:r>
      <w:r>
        <w:rPr>
          <w:rFonts w:ascii="仿宋_GB2312" w:eastAsia="仿宋_GB2312"/>
          <w:sz w:val="32"/>
          <w:szCs w:val="32"/>
        </w:rPr>
        <w:t>30</w:t>
      </w:r>
      <w:r>
        <w:rPr>
          <w:rFonts w:hint="eastAsia" w:ascii="仿宋_GB2312" w:eastAsia="仿宋_GB2312"/>
          <w:sz w:val="32"/>
          <w:szCs w:val="32"/>
        </w:rPr>
        <w:t>%（含）</w:t>
      </w:r>
      <w:r>
        <w:rPr>
          <w:rFonts w:hint="eastAsia" w:ascii="仿宋_GB2312" w:hAnsi="仿宋" w:eastAsia="仿宋_GB2312"/>
          <w:sz w:val="32"/>
          <w:szCs w:val="32"/>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4.3.3本年度</w:t>
      </w:r>
      <w:r>
        <w:rPr>
          <w:rFonts w:ascii="仿宋_GB2312" w:hAnsi="仿宋" w:eastAsia="仿宋_GB2312"/>
          <w:sz w:val="32"/>
          <w:szCs w:val="32"/>
        </w:rPr>
        <w:t>活动水平</w:t>
      </w:r>
      <w:r>
        <w:rPr>
          <w:rFonts w:hint="eastAsia" w:ascii="仿宋_GB2312" w:hAnsi="仿宋" w:eastAsia="仿宋_GB2312"/>
          <w:sz w:val="32"/>
          <w:szCs w:val="32"/>
        </w:rPr>
        <w:t>波动的原因说明，</w:t>
      </w:r>
      <w:r>
        <w:rPr>
          <w:rFonts w:ascii="仿宋_GB2312" w:hAnsi="仿宋" w:eastAsia="仿宋_GB2312"/>
          <w:sz w:val="32"/>
          <w:szCs w:val="32"/>
        </w:rPr>
        <w:t>包括与基准年和上一年度对比的情况。</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4.4核算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4.4.1</w:t>
      </w:r>
      <w:r>
        <w:rPr>
          <w:rFonts w:ascii="Times New Roman" w:hAnsi="Times New Roman" w:eastAsia="仿宋_GB2312"/>
          <w:kern w:val="2"/>
          <w:sz w:val="32"/>
          <w:szCs w:val="32"/>
          <w:lang w:val="en-US"/>
        </w:rPr>
        <w:t>本年度场所边界的变化</w:t>
      </w:r>
      <w:r>
        <w:rPr>
          <w:rFonts w:hint="eastAsia" w:ascii="Times New Roman" w:hAnsi="Times New Roman" w:eastAsia="仿宋_GB2312"/>
          <w:kern w:val="2"/>
          <w:sz w:val="32"/>
          <w:szCs w:val="32"/>
          <w:lang w:val="en-US"/>
        </w:rPr>
        <w:t>，</w:t>
      </w:r>
      <w:r>
        <w:rPr>
          <w:rFonts w:ascii="仿宋_GB2312" w:hAnsi="仿宋" w:eastAsia="仿宋_GB2312"/>
          <w:sz w:val="32"/>
          <w:szCs w:val="32"/>
        </w:rPr>
        <w:t>包括与基准年和上一年度对比的情况</w:t>
      </w:r>
      <w:r>
        <w:rPr>
          <w:rFonts w:hint="eastAsia" w:ascii="仿宋_GB2312" w:hAnsi="仿宋" w:eastAsia="仿宋_GB2312"/>
          <w:sz w:val="32"/>
          <w:szCs w:val="32"/>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ascii="仿宋_GB2312" w:hAnsi="仿宋" w:eastAsia="仿宋_GB2312"/>
          <w:sz w:val="32"/>
          <w:szCs w:val="32"/>
        </w:rPr>
        <w:t>4.4.2</w:t>
      </w:r>
      <w:r>
        <w:rPr>
          <w:rFonts w:ascii="Times New Roman" w:hAnsi="Times New Roman" w:eastAsia="仿宋"/>
          <w:kern w:val="2"/>
          <w:sz w:val="32"/>
          <w:szCs w:val="32"/>
          <w:lang w:val="en-US"/>
        </w:rPr>
        <w:t>本年度排放设施的变化</w:t>
      </w:r>
      <w:r>
        <w:rPr>
          <w:rFonts w:hint="eastAsia" w:ascii="Times New Roman" w:hAnsi="Times New Roman" w:eastAsia="仿宋"/>
          <w:kern w:val="2"/>
          <w:sz w:val="32"/>
          <w:szCs w:val="32"/>
          <w:lang w:val="en-US"/>
        </w:rPr>
        <w:t>，包括是否</w:t>
      </w:r>
      <w:r>
        <w:rPr>
          <w:rFonts w:ascii="Times New Roman" w:hAnsi="Times New Roman" w:eastAsia="仿宋"/>
          <w:kern w:val="2"/>
          <w:sz w:val="32"/>
          <w:szCs w:val="32"/>
          <w:lang w:val="en-US"/>
        </w:rPr>
        <w:t>符合既有设施调整、</w:t>
      </w:r>
      <w:r>
        <w:rPr>
          <w:rFonts w:hint="eastAsia" w:ascii="Times New Roman" w:hAnsi="Times New Roman" w:eastAsia="仿宋"/>
          <w:kern w:val="2"/>
          <w:sz w:val="32"/>
          <w:szCs w:val="32"/>
          <w:lang w:val="en-US"/>
        </w:rPr>
        <w:t>既有</w:t>
      </w:r>
      <w:r>
        <w:rPr>
          <w:rFonts w:ascii="Times New Roman" w:hAnsi="Times New Roman" w:eastAsia="仿宋"/>
          <w:kern w:val="2"/>
          <w:sz w:val="32"/>
          <w:szCs w:val="32"/>
          <w:lang w:val="en-US"/>
        </w:rPr>
        <w:t>设施退出、新增设施</w:t>
      </w:r>
      <w:r>
        <w:rPr>
          <w:rFonts w:hint="eastAsia" w:ascii="Times New Roman" w:hAnsi="Times New Roman" w:eastAsia="仿宋"/>
          <w:kern w:val="2"/>
          <w:sz w:val="32"/>
          <w:szCs w:val="32"/>
          <w:lang w:val="en-US"/>
        </w:rPr>
        <w:t>、</w:t>
      </w:r>
      <w:r>
        <w:rPr>
          <w:rFonts w:ascii="Times New Roman" w:hAnsi="Times New Roman" w:eastAsia="仿宋"/>
          <w:kern w:val="2"/>
          <w:sz w:val="32"/>
          <w:szCs w:val="32"/>
          <w:lang w:val="en-US"/>
        </w:rPr>
        <w:t>新增替代既有</w:t>
      </w:r>
      <w:r>
        <w:rPr>
          <w:rFonts w:hint="eastAsia" w:ascii="Times New Roman" w:hAnsi="Times New Roman" w:eastAsia="仿宋"/>
          <w:kern w:val="2"/>
          <w:sz w:val="32"/>
          <w:szCs w:val="32"/>
          <w:lang w:val="en-US"/>
        </w:rPr>
        <w:t>设施的</w:t>
      </w:r>
      <w:r>
        <w:rPr>
          <w:rFonts w:ascii="Times New Roman" w:hAnsi="Times New Roman" w:eastAsia="仿宋"/>
          <w:kern w:val="2"/>
          <w:sz w:val="32"/>
          <w:szCs w:val="32"/>
          <w:lang w:val="en-US"/>
        </w:rPr>
        <w:t>活动水平和排放量等情况</w:t>
      </w:r>
      <w:r>
        <w:rPr>
          <w:rFonts w:hint="eastAsia" w:ascii="Times New Roman" w:hAnsi="Times New Roman" w:eastAsia="仿宋"/>
          <w:kern w:val="2"/>
          <w:sz w:val="32"/>
          <w:szCs w:val="32"/>
          <w:lang w:val="en-US"/>
        </w:rPr>
        <w:t>。</w:t>
      </w:r>
    </w:p>
    <w:p>
      <w:pPr>
        <w:pStyle w:val="50"/>
        <w:widowControl w:val="0"/>
        <w:numPr>
          <w:ilvl w:val="0"/>
          <w:numId w:val="29"/>
        </w:numPr>
        <w:spacing w:after="0" w:line="560" w:lineRule="exact"/>
        <w:ind w:left="851" w:hanging="425"/>
        <w:jc w:val="both"/>
        <w:rPr>
          <w:rFonts w:ascii="仿宋_GB2312" w:hAnsi="仿宋" w:eastAsia="仿宋_GB2312"/>
          <w:sz w:val="32"/>
          <w:szCs w:val="32"/>
        </w:rPr>
      </w:pPr>
      <w:r>
        <w:rPr>
          <w:rFonts w:hint="eastAsia" w:ascii="仿宋_GB2312" w:hAnsi="仿宋" w:eastAsia="仿宋_GB2312"/>
          <w:sz w:val="32"/>
          <w:szCs w:val="32"/>
        </w:rPr>
        <w:t>4.5核查过程未覆盖到的问题的描述。</w:t>
      </w:r>
    </w:p>
    <w:p>
      <w:pPr>
        <w:spacing w:after="0" w:line="560" w:lineRule="exact"/>
        <w:ind w:firstLine="549" w:firstLineChars="171"/>
        <w:outlineLvl w:val="0"/>
        <w:rPr>
          <w:rFonts w:ascii="仿宋_GB2312" w:hAnsi="仿宋" w:eastAsia="仿宋_GB2312"/>
          <w:b/>
          <w:sz w:val="32"/>
          <w:szCs w:val="32"/>
        </w:rPr>
      </w:pPr>
      <w:r>
        <w:rPr>
          <w:rFonts w:hint="eastAsia" w:ascii="仿宋_GB2312" w:hAnsi="仿宋" w:eastAsia="仿宋_GB2312"/>
          <w:b/>
          <w:sz w:val="32"/>
          <w:szCs w:val="32"/>
        </w:rPr>
        <w:t>5. 附件</w:t>
      </w:r>
    </w:p>
    <w:p>
      <w:pPr>
        <w:spacing w:after="0" w:line="560" w:lineRule="exact"/>
        <w:ind w:firstLine="549" w:firstLineChars="171"/>
        <w:rPr>
          <w:rFonts w:ascii="仿宋_GB2312" w:hAnsi="仿宋" w:eastAsia="仿宋_GB2312"/>
          <w:b/>
          <w:sz w:val="32"/>
          <w:szCs w:val="32"/>
        </w:rPr>
      </w:pPr>
      <w:r>
        <w:rPr>
          <w:rFonts w:hint="eastAsia" w:ascii="仿宋_GB2312" w:hAnsi="仿宋" w:eastAsia="仿宋_GB2312"/>
          <w:b/>
          <w:sz w:val="32"/>
          <w:szCs w:val="32"/>
        </w:rPr>
        <w:t>附件1：不符合清单</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核查机构应采用如下格式，详细报告在核查过程中开具的不符合，以及重点碳排放单位对不符合的原因分析、纠正及纠正措施以及最终的核查结论。</w:t>
      </w:r>
    </w:p>
    <w:p>
      <w:pPr>
        <w:spacing w:after="0" w:line="560" w:lineRule="exact"/>
        <w:ind w:firstLine="564"/>
        <w:rPr>
          <w:rFonts w:ascii="仿宋_GB2312" w:hAnsi="仿宋" w:eastAsia="仿宋_GB2312"/>
          <w:sz w:val="32"/>
          <w:szCs w:val="32"/>
        </w:rPr>
      </w:pP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189"/>
        <w:gridCol w:w="2739"/>
        <w:gridCol w:w="31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序号</w:t>
            </w:r>
          </w:p>
        </w:tc>
        <w:tc>
          <w:tcPr>
            <w:tcW w:w="118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不符合描述</w:t>
            </w:r>
          </w:p>
        </w:tc>
        <w:tc>
          <w:tcPr>
            <w:tcW w:w="273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重点碳排放单位原因分析</w:t>
            </w:r>
          </w:p>
        </w:tc>
        <w:tc>
          <w:tcPr>
            <w:tcW w:w="311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重点碳排放单位采取的纠正及纠正措施</w:t>
            </w:r>
          </w:p>
        </w:tc>
        <w:tc>
          <w:tcPr>
            <w:tcW w:w="1559" w:type="dxa"/>
          </w:tcPr>
          <w:p>
            <w:pPr>
              <w:spacing w:after="0" w:line="560" w:lineRule="exact"/>
              <w:jc w:val="center"/>
              <w:rPr>
                <w:rFonts w:ascii="仿宋_GB2312" w:hAnsi="仿宋" w:eastAsia="仿宋_GB2312" w:cs="宋体"/>
                <w:b/>
                <w:bCs/>
                <w:sz w:val="28"/>
                <w:szCs w:val="28"/>
              </w:rPr>
            </w:pPr>
            <w:r>
              <w:rPr>
                <w:rFonts w:hint="eastAsia" w:ascii="仿宋_GB2312" w:hAnsi="仿宋" w:eastAsia="仿宋_GB2312" w:cs="宋体"/>
                <w:b/>
                <w:bCs/>
                <w:sz w:val="28"/>
                <w:szCs w:val="28"/>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NC1</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NC2</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spacing w:after="0" w:line="560" w:lineRule="exact"/>
              <w:rPr>
                <w:rFonts w:ascii="仿宋_GB2312" w:hAnsi="仿宋" w:eastAsia="仿宋_GB2312"/>
                <w:sz w:val="32"/>
                <w:szCs w:val="32"/>
              </w:rPr>
            </w:pPr>
            <w:r>
              <w:rPr>
                <w:rFonts w:hint="eastAsia" w:ascii="仿宋_GB2312" w:hAnsi="仿宋" w:eastAsia="仿宋_GB2312"/>
                <w:sz w:val="32"/>
                <w:szCs w:val="32"/>
              </w:rPr>
              <w:t>……</w:t>
            </w:r>
          </w:p>
        </w:tc>
        <w:tc>
          <w:tcPr>
            <w:tcW w:w="1189" w:type="dxa"/>
          </w:tcPr>
          <w:p>
            <w:pPr>
              <w:spacing w:after="0" w:line="560" w:lineRule="exact"/>
              <w:rPr>
                <w:rFonts w:ascii="仿宋_GB2312" w:hAnsi="仿宋" w:eastAsia="仿宋_GB2312"/>
                <w:sz w:val="32"/>
                <w:szCs w:val="32"/>
              </w:rPr>
            </w:pPr>
          </w:p>
        </w:tc>
        <w:tc>
          <w:tcPr>
            <w:tcW w:w="2739" w:type="dxa"/>
          </w:tcPr>
          <w:p>
            <w:pPr>
              <w:spacing w:after="0" w:line="560" w:lineRule="exact"/>
              <w:rPr>
                <w:rFonts w:ascii="仿宋_GB2312" w:hAnsi="仿宋" w:eastAsia="仿宋_GB2312"/>
                <w:sz w:val="32"/>
                <w:szCs w:val="32"/>
              </w:rPr>
            </w:pPr>
          </w:p>
        </w:tc>
        <w:tc>
          <w:tcPr>
            <w:tcW w:w="3119" w:type="dxa"/>
          </w:tcPr>
          <w:p>
            <w:pPr>
              <w:spacing w:after="0" w:line="560" w:lineRule="exact"/>
              <w:rPr>
                <w:rFonts w:ascii="仿宋_GB2312" w:hAnsi="仿宋" w:eastAsia="仿宋_GB2312"/>
                <w:sz w:val="32"/>
                <w:szCs w:val="32"/>
              </w:rPr>
            </w:pPr>
          </w:p>
        </w:tc>
        <w:tc>
          <w:tcPr>
            <w:tcW w:w="1559" w:type="dxa"/>
          </w:tcPr>
          <w:p>
            <w:pPr>
              <w:spacing w:after="0" w:line="560" w:lineRule="exact"/>
              <w:rPr>
                <w:rFonts w:ascii="仿宋_GB2312" w:hAnsi="仿宋" w:eastAsia="仿宋_GB2312"/>
                <w:sz w:val="32"/>
                <w:szCs w:val="32"/>
              </w:rPr>
            </w:pPr>
          </w:p>
        </w:tc>
      </w:tr>
    </w:tbl>
    <w:p>
      <w:pPr>
        <w:spacing w:after="0" w:line="560" w:lineRule="exact"/>
        <w:rPr>
          <w:rFonts w:ascii="仿宋_GB2312" w:hAnsi="仿宋" w:eastAsia="仿宋_GB2312"/>
          <w:sz w:val="32"/>
          <w:szCs w:val="32"/>
        </w:rPr>
      </w:pPr>
    </w:p>
    <w:p>
      <w:pPr>
        <w:spacing w:after="0" w:line="560"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附件2：对今后数据核算活动的建议</w:t>
      </w:r>
    </w:p>
    <w:p>
      <w:pPr>
        <w:spacing w:after="0" w:line="560" w:lineRule="exact"/>
        <w:ind w:firstLine="564"/>
        <w:jc w:val="both"/>
        <w:rPr>
          <w:rFonts w:ascii="仿宋_GB2312" w:hAnsi="仿宋" w:eastAsia="仿宋_GB2312"/>
          <w:sz w:val="32"/>
          <w:szCs w:val="32"/>
        </w:rPr>
      </w:pPr>
      <w:r>
        <w:rPr>
          <w:rFonts w:hint="eastAsia" w:ascii="仿宋_GB2312" w:hAnsi="仿宋" w:eastAsia="仿宋_GB2312"/>
          <w:sz w:val="32"/>
          <w:szCs w:val="32"/>
        </w:rPr>
        <w:t>核查机构应在核查报告中对重点碳排放单位那些虽然不违反适用的地方标准或核算和报告指南但是将来有可能出现误报告或不符合的情况提出建议。</w:t>
      </w:r>
    </w:p>
    <w:p>
      <w:pPr>
        <w:spacing w:after="0" w:line="560" w:lineRule="exact"/>
        <w:ind w:firstLine="630" w:firstLineChars="196"/>
        <w:jc w:val="both"/>
        <w:outlineLvl w:val="0"/>
        <w:rPr>
          <w:rFonts w:ascii="楷体_GB2312" w:hAnsi="黑体" w:eastAsia="楷体_GB2312"/>
          <w:b/>
          <w:sz w:val="32"/>
          <w:szCs w:val="32"/>
        </w:rPr>
      </w:pPr>
      <w:r>
        <w:rPr>
          <w:rFonts w:hint="eastAsia" w:ascii="楷体_GB2312" w:hAnsi="黑体" w:eastAsia="楷体_GB2312"/>
          <w:b/>
          <w:sz w:val="32"/>
          <w:szCs w:val="32"/>
        </w:rPr>
        <w:t>（五）参考文件</w:t>
      </w:r>
    </w:p>
    <w:p>
      <w:pPr>
        <w:spacing w:after="0" w:line="560" w:lineRule="exact"/>
        <w:ind w:firstLine="645"/>
        <w:jc w:val="both"/>
        <w:rPr>
          <w:rFonts w:ascii="仿宋_GB2312" w:hAnsi="仿宋" w:eastAsia="仿宋_GB2312"/>
          <w:sz w:val="32"/>
          <w:szCs w:val="32"/>
        </w:rPr>
      </w:pPr>
      <w:r>
        <w:rPr>
          <w:rFonts w:hint="eastAsia" w:ascii="仿宋_GB2312" w:hAnsi="仿宋" w:eastAsia="仿宋_GB2312"/>
          <w:sz w:val="32"/>
          <w:szCs w:val="32"/>
        </w:rPr>
        <w:t>核查机构应在核查报告中列出参考文献及核查过程的支持性文件的清单。</w:t>
      </w:r>
    </w:p>
    <w:p>
      <w:pPr>
        <w:spacing w:after="0" w:line="560" w:lineRule="exact"/>
        <w:ind w:firstLine="645"/>
        <w:jc w:val="both"/>
        <w:rPr>
          <w:rFonts w:ascii="仿宋_GB2312" w:hAnsi="仿宋" w:eastAsia="仿宋_GB2312"/>
          <w:sz w:val="32"/>
          <w:szCs w:val="32"/>
        </w:rPr>
      </w:pPr>
    </w:p>
    <w:p>
      <w:pPr>
        <w:spacing w:after="0" w:line="560" w:lineRule="exact"/>
        <w:ind w:firstLine="645"/>
        <w:jc w:val="both"/>
        <w:rPr>
          <w:rFonts w:ascii="仿宋_GB2312" w:hAnsi="仿宋" w:eastAsia="仿宋_GB2312"/>
          <w:bCs/>
          <w:sz w:val="32"/>
          <w:szCs w:val="32"/>
        </w:rPr>
      </w:pPr>
      <w:r>
        <w:rPr>
          <w:rFonts w:hint="eastAsia" w:ascii="仿宋_GB2312" w:hAnsi="仿宋" w:eastAsia="仿宋_GB2312"/>
          <w:sz w:val="32"/>
          <w:szCs w:val="32"/>
        </w:rPr>
        <w:t>附件</w:t>
      </w:r>
      <w:r>
        <w:rPr>
          <w:rFonts w:ascii="仿宋_GB2312" w:hAnsi="仿宋" w:eastAsia="仿宋_GB2312"/>
          <w:sz w:val="32"/>
          <w:szCs w:val="32"/>
        </w:rPr>
        <w:t>：</w:t>
      </w:r>
      <w:r>
        <w:rPr>
          <w:rFonts w:hint="eastAsia" w:ascii="仿宋_GB2312" w:hAnsi="仿宋" w:eastAsia="仿宋_GB2312"/>
          <w:sz w:val="32"/>
          <w:szCs w:val="32"/>
        </w:rPr>
        <w:t>1.</w:t>
      </w:r>
      <w:r>
        <w:rPr>
          <w:rFonts w:hint="eastAsia" w:ascii="仿宋_GB2312" w:hAnsi="仿宋" w:eastAsia="仿宋_GB2312"/>
          <w:bCs/>
          <w:sz w:val="32"/>
          <w:szCs w:val="32"/>
        </w:rPr>
        <w:t>核查报告基本格式</w:t>
      </w:r>
    </w:p>
    <w:p>
      <w:pPr>
        <w:spacing w:after="0" w:line="560" w:lineRule="exact"/>
        <w:ind w:right="850"/>
        <w:rPr>
          <w:rFonts w:ascii="仿宋_GB2312" w:hAnsi="仿宋" w:eastAsia="仿宋_GB2312" w:cs="Arial"/>
          <w:caps/>
          <w:sz w:val="32"/>
          <w:szCs w:val="32"/>
        </w:rPr>
      </w:pPr>
      <w:r>
        <w:rPr>
          <w:rFonts w:ascii="仿宋_GB2312" w:hAnsi="仿宋" w:eastAsia="仿宋_GB2312"/>
          <w:sz w:val="32"/>
          <w:szCs w:val="32"/>
        </w:rPr>
        <w:t xml:space="preserve">          2.</w:t>
      </w:r>
      <w:r>
        <w:rPr>
          <w:rFonts w:hint="eastAsia" w:ascii="仿宋_GB2312" w:hAnsi="仿宋" w:eastAsia="仿宋_GB2312" w:cs="Arial"/>
          <w:caps/>
          <w:sz w:val="32"/>
          <w:szCs w:val="32"/>
        </w:rPr>
        <w:t>扉页核查结论模板</w:t>
      </w:r>
    </w:p>
    <w:p>
      <w:pPr>
        <w:spacing w:after="0" w:line="560" w:lineRule="exact"/>
        <w:ind w:firstLine="645"/>
        <w:jc w:val="both"/>
        <w:rPr>
          <w:rFonts w:ascii="仿宋_GB2312" w:hAnsi="仿宋" w:eastAsia="仿宋_GB2312"/>
          <w:sz w:val="32"/>
          <w:szCs w:val="32"/>
        </w:rPr>
      </w:pPr>
    </w:p>
    <w:p>
      <w:pPr>
        <w:pStyle w:val="150"/>
        <w:spacing w:after="0" w:line="560" w:lineRule="exact"/>
        <w:ind w:left="0"/>
        <w:rPr>
          <w:rFonts w:ascii="黑体" w:hAnsi="黑体" w:eastAsia="黑体"/>
          <w:sz w:val="32"/>
          <w:szCs w:val="32"/>
        </w:rPr>
      </w:pPr>
      <w:r>
        <w:rPr>
          <w:rFonts w:hint="eastAsia" w:ascii="仿宋_GB2312" w:hAnsi="仿宋" w:eastAsia="仿宋_GB2312"/>
          <w:sz w:val="32"/>
          <w:szCs w:val="32"/>
        </w:rPr>
        <w:br w:type="page"/>
      </w:r>
      <w:r>
        <w:rPr>
          <w:rFonts w:hint="eastAsia" w:ascii="黑体" w:hAnsi="黑体" w:eastAsia="黑体"/>
          <w:sz w:val="32"/>
          <w:szCs w:val="32"/>
        </w:rPr>
        <w:t>附件1</w:t>
      </w:r>
    </w:p>
    <w:p>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核查报告基本格式</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 xml:space="preserve">第一部分  报告封面 </w:t>
      </w: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rPr>
          <w:rFonts w:ascii="仿宋_GB2312" w:hAnsi="宋体" w:eastAsia="仿宋_GB2312" w:cs="宋体"/>
          <w:sz w:val="32"/>
          <w:szCs w:val="32"/>
        </w:rPr>
      </w:pP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 (重点碳排放单位名称)</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****年度</w:t>
      </w:r>
    </w:p>
    <w:p>
      <w:pPr>
        <w:spacing w:after="0" w:line="560" w:lineRule="exact"/>
        <w:jc w:val="center"/>
        <w:rPr>
          <w:rFonts w:ascii="仿宋_GB2312" w:hAnsi="仿宋" w:eastAsia="仿宋_GB2312" w:cs="宋体"/>
          <w:sz w:val="32"/>
          <w:szCs w:val="32"/>
        </w:rPr>
      </w:pPr>
      <w:r>
        <w:rPr>
          <w:rFonts w:hint="eastAsia" w:ascii="仿宋_GB2312" w:hAnsi="仿宋" w:eastAsia="仿宋_GB2312" w:cs="宋体"/>
          <w:sz w:val="32"/>
          <w:szCs w:val="32"/>
        </w:rPr>
        <w:t>二氧化碳排放核查报告</w:t>
      </w: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sz w:val="32"/>
          <w:szCs w:val="32"/>
          <w:u w:val="single"/>
        </w:rPr>
      </w:pPr>
      <w:r>
        <w:rPr>
          <w:rFonts w:hint="eastAsia" w:ascii="仿宋_GB2312" w:hAnsi="仿宋" w:eastAsia="仿宋_GB2312" w:cs="宋体"/>
          <w:sz w:val="32"/>
          <w:szCs w:val="32"/>
        </w:rPr>
        <w:t xml:space="preserve">    核查机构名称（公章）：</w:t>
      </w:r>
    </w:p>
    <w:p>
      <w:pPr>
        <w:spacing w:after="0" w:line="560" w:lineRule="exact"/>
        <w:ind w:firstLine="567"/>
        <w:rPr>
          <w:rFonts w:ascii="仿宋_GB2312" w:hAnsi="仿宋" w:eastAsia="仿宋_GB2312" w:cs="宋体"/>
          <w:b/>
          <w:bCs/>
          <w:sz w:val="32"/>
          <w:szCs w:val="32"/>
        </w:rPr>
      </w:pPr>
      <w:r>
        <w:rPr>
          <w:rFonts w:hint="eastAsia" w:ascii="仿宋_GB2312" w:hAnsi="仿宋" w:eastAsia="仿宋_GB2312" w:cs="宋体"/>
          <w:sz w:val="32"/>
          <w:szCs w:val="32"/>
        </w:rPr>
        <w:t>报告日期:</w:t>
      </w: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第二部分  报告扉页</w:t>
      </w:r>
    </w:p>
    <w:tbl>
      <w:tblPr>
        <w:tblStyle w:val="35"/>
        <w:tblW w:w="9498" w:type="dxa"/>
        <w:tblInd w:w="-176" w:type="dxa"/>
        <w:tblLayout w:type="fixed"/>
        <w:tblCellMar>
          <w:top w:w="0" w:type="dxa"/>
          <w:left w:w="108" w:type="dxa"/>
          <w:bottom w:w="0" w:type="dxa"/>
          <w:right w:w="108" w:type="dxa"/>
        </w:tblCellMar>
      </w:tblPr>
      <w:tblGrid>
        <w:gridCol w:w="1844"/>
        <w:gridCol w:w="409"/>
        <w:gridCol w:w="1639"/>
        <w:gridCol w:w="78"/>
        <w:gridCol w:w="850"/>
        <w:gridCol w:w="15"/>
        <w:gridCol w:w="2112"/>
        <w:gridCol w:w="47"/>
        <w:gridCol w:w="236"/>
        <w:gridCol w:w="709"/>
        <w:gridCol w:w="1559"/>
      </w:tblGrid>
      <w:tr>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委托方名称</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bCs/>
                <w:sz w:val="24"/>
                <w:szCs w:val="24"/>
              </w:rPr>
            </w:pPr>
          </w:p>
        </w:tc>
      </w:tr>
      <w:tr>
        <w:tblPrEx>
          <w:tblCellMar>
            <w:top w:w="0" w:type="dxa"/>
            <w:left w:w="108" w:type="dxa"/>
            <w:bottom w:w="0" w:type="dxa"/>
            <w:right w:w="108" w:type="dxa"/>
          </w:tblCellMar>
        </w:tblPrEx>
        <w:trPr>
          <w:trHeight w:val="336"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_GB2312" w:hAnsi="仿宋" w:eastAsia="仿宋_GB2312"/>
                <w:bCs/>
                <w:sz w:val="24"/>
                <w:szCs w:val="24"/>
              </w:rPr>
            </w:pPr>
          </w:p>
        </w:tc>
      </w:tr>
      <w:tr>
        <w:tblPrEx>
          <w:tblCellMar>
            <w:top w:w="0" w:type="dxa"/>
            <w:left w:w="108" w:type="dxa"/>
            <w:bottom w:w="0" w:type="dxa"/>
            <w:right w:w="108" w:type="dxa"/>
          </w:tblCellMar>
        </w:tblPrEx>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核查机构名称</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地址</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bCs/>
                <w:sz w:val="24"/>
                <w:szCs w:val="24"/>
              </w:rPr>
            </w:pPr>
          </w:p>
        </w:tc>
      </w:tr>
      <w:tr>
        <w:tblPrEx>
          <w:tblCellMar>
            <w:top w:w="0" w:type="dxa"/>
            <w:left w:w="108" w:type="dxa"/>
            <w:bottom w:w="0" w:type="dxa"/>
            <w:right w:w="108" w:type="dxa"/>
          </w:tblCellMar>
        </w:tblPrEx>
        <w:trPr>
          <w:trHeight w:val="318" w:hRule="atLeast"/>
        </w:trPr>
        <w:tc>
          <w:tcPr>
            <w:tcW w:w="2253" w:type="dxa"/>
            <w:gridSpan w:val="2"/>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联系人</w:t>
            </w:r>
          </w:p>
        </w:tc>
        <w:tc>
          <w:tcPr>
            <w:tcW w:w="2582" w:type="dxa"/>
            <w:gridSpan w:val="4"/>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c>
          <w:tcPr>
            <w:tcW w:w="2395"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sz w:val="24"/>
                <w:szCs w:val="24"/>
              </w:rPr>
              <w:t>联系方式（电话、</w:t>
            </w:r>
            <w:r>
              <w:rPr>
                <w:rFonts w:ascii="仿宋_GB2312" w:hAnsi="仿宋" w:eastAsia="仿宋_GB2312"/>
                <w:sz w:val="24"/>
                <w:szCs w:val="24"/>
              </w:rPr>
              <w:t>email）</w:t>
            </w:r>
          </w:p>
        </w:tc>
        <w:tc>
          <w:tcPr>
            <w:tcW w:w="2268" w:type="dxa"/>
            <w:gridSpan w:val="2"/>
            <w:tcBorders>
              <w:top w:val="single" w:color="000000" w:sz="4" w:space="0"/>
              <w:left w:val="nil"/>
              <w:bottom w:val="single" w:color="000000" w:sz="4" w:space="0"/>
              <w:right w:val="single" w:color="000000" w:sz="4" w:space="0"/>
            </w:tcBorders>
            <w:vAlign w:val="center"/>
          </w:tcPr>
          <w:p>
            <w:pPr>
              <w:spacing w:after="0" w:line="360" w:lineRule="auto"/>
              <w:jc w:val="center"/>
              <w:rPr>
                <w:rFonts w:ascii="仿宋_GB2312" w:hAnsi="仿宋" w:eastAsia="仿宋_GB2312"/>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(初始)版本/日期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w:t>
            </w:r>
            <w:r>
              <w:rPr>
                <w:rFonts w:ascii="仿宋_GB2312" w:hAnsi="仿宋" w:eastAsia="仿宋_GB2312" w:cs="宋体"/>
                <w:sz w:val="24"/>
                <w:szCs w:val="24"/>
              </w:rPr>
              <w:t>(最终)版本/日期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二氧化碳排放报告期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81"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二氧化碳排放</w:t>
            </w:r>
            <w:r>
              <w:rPr>
                <w:rFonts w:ascii="仿宋_GB2312" w:hAnsi="仿宋" w:eastAsia="仿宋_GB2312" w:cs="宋体"/>
                <w:sz w:val="24"/>
                <w:szCs w:val="24"/>
              </w:rPr>
              <w:t>报告边界</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经核查后的二氧化碳排放量</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新增设施的排放量及排放强度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既有</w:t>
            </w:r>
            <w:r>
              <w:rPr>
                <w:rFonts w:ascii="仿宋_GB2312" w:hAnsi="仿宋" w:eastAsia="仿宋_GB2312" w:cs="宋体"/>
                <w:sz w:val="24"/>
                <w:szCs w:val="24"/>
              </w:rPr>
              <w:t>设施退出的</w:t>
            </w:r>
            <w:r>
              <w:rPr>
                <w:rFonts w:hint="eastAsia" w:ascii="仿宋_GB2312" w:hAnsi="仿宋" w:eastAsia="仿宋_GB2312" w:cs="宋体"/>
                <w:sz w:val="24"/>
                <w:szCs w:val="24"/>
              </w:rPr>
              <w:t>基准年</w:t>
            </w:r>
            <w:r>
              <w:rPr>
                <w:rFonts w:ascii="仿宋_GB2312" w:hAnsi="仿宋" w:eastAsia="仿宋_GB2312" w:cs="宋体"/>
                <w:sz w:val="24"/>
                <w:szCs w:val="24"/>
              </w:rPr>
              <w:t>排放量及</w:t>
            </w:r>
            <w:r>
              <w:rPr>
                <w:rFonts w:hint="eastAsia" w:ascii="仿宋_GB2312" w:hAnsi="仿宋" w:eastAsia="仿宋_GB2312" w:cs="宋体"/>
                <w:sz w:val="24"/>
                <w:szCs w:val="24"/>
              </w:rPr>
              <w:t>排放</w:t>
            </w:r>
            <w:r>
              <w:rPr>
                <w:rFonts w:ascii="仿宋_GB2312" w:hAnsi="仿宋" w:eastAsia="仿宋_GB2312" w:cs="宋体"/>
                <w:sz w:val="24"/>
                <w:szCs w:val="24"/>
              </w:rPr>
              <w:t>强度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替代既有设施的新增设施排放量</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重点碳排放单位所属行业领域</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rPr>
          <w:trHeight w:val="290" w:hRule="atLeast"/>
        </w:trPr>
        <w:tc>
          <w:tcPr>
            <w:tcW w:w="3970" w:type="dxa"/>
            <w:gridSpan w:val="4"/>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标准及方法学</w:t>
            </w:r>
          </w:p>
        </w:tc>
        <w:tc>
          <w:tcPr>
            <w:tcW w:w="5528" w:type="dxa"/>
            <w:gridSpan w:val="7"/>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bCs/>
                <w:sz w:val="24"/>
                <w:szCs w:val="24"/>
              </w:rPr>
            </w:pPr>
          </w:p>
        </w:tc>
      </w:tr>
      <w:tr>
        <w:tblPrEx>
          <w:tblCellMar>
            <w:top w:w="0" w:type="dxa"/>
            <w:left w:w="108" w:type="dxa"/>
            <w:bottom w:w="0" w:type="dxa"/>
            <w:right w:w="108" w:type="dxa"/>
          </w:tblCellMar>
        </w:tblPrEx>
        <w:tc>
          <w:tcPr>
            <w:tcW w:w="9498" w:type="dxa"/>
            <w:gridSpan w:val="11"/>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核查结论</w:t>
            </w:r>
          </w:p>
          <w:p>
            <w:pPr>
              <w:pStyle w:val="58"/>
              <w:spacing w:line="360" w:lineRule="auto"/>
              <w:ind w:firstLine="326"/>
              <w:rPr>
                <w:rFonts w:ascii="仿宋_GB2312" w:hAnsi="仿宋" w:eastAsia="仿宋_GB2312" w:cs="宋体"/>
                <w:color w:val="000000"/>
                <w:spacing w:val="-8"/>
                <w:sz w:val="24"/>
                <w:szCs w:val="24"/>
              </w:rPr>
            </w:pPr>
            <w:r>
              <w:rPr>
                <w:rFonts w:hint="eastAsia" w:ascii="仿宋_GB2312" w:hAnsi="仿宋" w:eastAsia="仿宋_GB2312"/>
                <w:sz w:val="24"/>
                <w:szCs w:val="24"/>
              </w:rPr>
              <w:t>详见附件</w:t>
            </w:r>
            <w:r>
              <w:rPr>
                <w:rFonts w:ascii="仿宋_GB2312" w:hAnsi="仿宋" w:eastAsia="仿宋_GB2312"/>
                <w:sz w:val="24"/>
                <w:szCs w:val="24"/>
              </w:rPr>
              <w:t>的核查结论模板</w:t>
            </w:r>
          </w:p>
        </w:tc>
      </w:tr>
      <w:tr>
        <w:tblPrEx>
          <w:tblCellMar>
            <w:top w:w="0" w:type="dxa"/>
            <w:left w:w="108" w:type="dxa"/>
            <w:bottom w:w="0" w:type="dxa"/>
            <w:right w:w="108" w:type="dxa"/>
          </w:tblCellMar>
        </w:tblPrEx>
        <w:trPr>
          <w:trHeight w:val="359" w:hRule="atLeast"/>
        </w:trPr>
        <w:tc>
          <w:tcPr>
            <w:tcW w:w="184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核查组组长</w:t>
            </w:r>
          </w:p>
        </w:tc>
        <w:tc>
          <w:tcPr>
            <w:tcW w:w="204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p>
        </w:tc>
        <w:tc>
          <w:tcPr>
            <w:tcW w:w="928"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27" w:type="dxa"/>
            <w:gridSpan w:val="2"/>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p>
        </w:tc>
        <w:tc>
          <w:tcPr>
            <w:tcW w:w="992" w:type="dxa"/>
            <w:gridSpan w:val="3"/>
            <w:tcBorders>
              <w:top w:val="single" w:color="000000" w:sz="4" w:space="0"/>
              <w:left w:val="nil"/>
              <w:bottom w:val="single" w:color="000000"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000000" w:sz="4" w:space="0"/>
              <w:left w:val="nil"/>
              <w:bottom w:val="single" w:color="000000" w:sz="4" w:space="0"/>
              <w:right w:val="single" w:color="000000" w:sz="4" w:space="0"/>
            </w:tcBorders>
          </w:tcPr>
          <w:p>
            <w:pPr>
              <w:spacing w:after="0" w:line="360" w:lineRule="auto"/>
              <w:rPr>
                <w:rFonts w:ascii="仿宋_GB2312" w:hAnsi="仿宋" w:eastAsia="仿宋_GB2312" w:cs="宋体"/>
                <w:b/>
                <w:sz w:val="24"/>
                <w:szCs w:val="24"/>
              </w:rPr>
            </w:pPr>
          </w:p>
        </w:tc>
      </w:tr>
      <w:tr>
        <w:tblPrEx>
          <w:tblCellMar>
            <w:top w:w="0" w:type="dxa"/>
            <w:left w:w="108" w:type="dxa"/>
            <w:bottom w:w="0" w:type="dxa"/>
            <w:right w:w="108" w:type="dxa"/>
          </w:tblCellMar>
        </w:tblPrEx>
        <w:trPr>
          <w:trHeight w:val="257" w:hRule="atLeast"/>
        </w:trPr>
        <w:tc>
          <w:tcPr>
            <w:tcW w:w="1844" w:type="dxa"/>
            <w:tcBorders>
              <w:top w:val="single" w:color="000000" w:sz="4" w:space="0"/>
              <w:left w:val="single" w:color="000000" w:sz="4" w:space="0"/>
              <w:bottom w:val="single" w:color="auto" w:sz="4" w:space="0"/>
              <w:right w:val="single" w:color="000000"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核查组成员</w:t>
            </w:r>
          </w:p>
        </w:tc>
        <w:tc>
          <w:tcPr>
            <w:tcW w:w="7654" w:type="dxa"/>
            <w:gridSpan w:val="10"/>
            <w:tcBorders>
              <w:top w:val="single" w:color="000000" w:sz="4" w:space="0"/>
              <w:left w:val="nil"/>
              <w:bottom w:val="single" w:color="auto" w:sz="4" w:space="0"/>
              <w:right w:val="single" w:color="000000" w:sz="4" w:space="0"/>
            </w:tcBorders>
            <w:vAlign w:val="center"/>
          </w:tcPr>
          <w:p>
            <w:pPr>
              <w:spacing w:after="0" w:line="360" w:lineRule="auto"/>
              <w:rPr>
                <w:rFonts w:ascii="仿宋_GB2312" w:hAnsi="仿宋" w:eastAsia="仿宋_GB2312" w:cs="宋体"/>
                <w:sz w:val="24"/>
                <w:szCs w:val="24"/>
              </w:rPr>
            </w:pPr>
          </w:p>
        </w:tc>
      </w:tr>
      <w:tr>
        <w:tblPrEx>
          <w:tblCellMar>
            <w:top w:w="0" w:type="dxa"/>
            <w:left w:w="108" w:type="dxa"/>
            <w:bottom w:w="0" w:type="dxa"/>
            <w:right w:w="108" w:type="dxa"/>
          </w:tblCellMar>
        </w:tblPrEx>
        <w:trPr>
          <w:trHeight w:val="363"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技术复核人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pPr>
              <w:spacing w:after="0" w:line="360" w:lineRule="auto"/>
              <w:rPr>
                <w:rFonts w:ascii="仿宋_GB2312" w:hAnsi="仿宋" w:eastAsia="仿宋_GB2312" w:cs="宋体"/>
                <w:b/>
                <w:sz w:val="24"/>
                <w:szCs w:val="24"/>
              </w:rPr>
            </w:pPr>
          </w:p>
        </w:tc>
      </w:tr>
      <w:tr>
        <w:tblPrEx>
          <w:tblCellMar>
            <w:top w:w="0" w:type="dxa"/>
            <w:left w:w="108" w:type="dxa"/>
            <w:bottom w:w="0" w:type="dxa"/>
            <w:right w:w="108" w:type="dxa"/>
          </w:tblCellMar>
        </w:tblPrEx>
        <w:trPr>
          <w:trHeight w:val="411" w:hRule="atLeast"/>
        </w:trPr>
        <w:tc>
          <w:tcPr>
            <w:tcW w:w="1844" w:type="dxa"/>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批准人</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bCs/>
                <w:sz w:val="24"/>
                <w:szCs w:val="24"/>
              </w:rPr>
            </w:pPr>
          </w:p>
        </w:tc>
        <w:tc>
          <w:tcPr>
            <w:tcW w:w="94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签名</w:t>
            </w:r>
          </w:p>
        </w:tc>
        <w:tc>
          <w:tcPr>
            <w:tcW w:w="2159"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仿宋_GB2312" w:hAnsi="仿宋" w:eastAsia="仿宋_GB2312" w:cs="宋体"/>
                <w:sz w:val="24"/>
                <w:szCs w:val="24"/>
              </w:rPr>
            </w:pPr>
            <w:r>
              <w:rPr>
                <w:rFonts w:hint="eastAsia" w:ascii="仿宋_GB2312" w:hAnsi="仿宋" w:eastAsia="仿宋_GB2312" w:cs="宋体"/>
                <w:sz w:val="24"/>
                <w:szCs w:val="24"/>
              </w:rPr>
              <w:t>日期</w:t>
            </w:r>
          </w:p>
        </w:tc>
        <w:tc>
          <w:tcPr>
            <w:tcW w:w="1559" w:type="dxa"/>
            <w:tcBorders>
              <w:top w:val="single" w:color="auto" w:sz="4" w:space="0"/>
              <w:left w:val="single" w:color="auto" w:sz="4" w:space="0"/>
              <w:bottom w:val="single" w:color="auto" w:sz="4" w:space="0"/>
              <w:right w:val="single" w:color="auto" w:sz="4" w:space="0"/>
            </w:tcBorders>
          </w:tcPr>
          <w:p>
            <w:pPr>
              <w:spacing w:after="0" w:line="360" w:lineRule="auto"/>
              <w:rPr>
                <w:rFonts w:ascii="仿宋_GB2312" w:hAnsi="仿宋" w:eastAsia="仿宋_GB2312" w:cs="宋体"/>
                <w:b/>
                <w:sz w:val="24"/>
                <w:szCs w:val="24"/>
              </w:rPr>
            </w:pPr>
          </w:p>
        </w:tc>
      </w:tr>
    </w:tbl>
    <w:p>
      <w:pPr>
        <w:spacing w:after="0" w:line="560" w:lineRule="exact"/>
        <w:rPr>
          <w:rFonts w:ascii="仿宋_GB2312" w:hAnsi="仿宋" w:eastAsia="仿宋_GB2312" w:cs="宋体"/>
          <w:sz w:val="32"/>
          <w:szCs w:val="32"/>
        </w:rPr>
      </w:pPr>
    </w:p>
    <w:p>
      <w:pPr>
        <w:spacing w:after="0" w:line="560" w:lineRule="exact"/>
        <w:rPr>
          <w:rFonts w:ascii="仿宋_GB2312" w:hAnsi="仿宋" w:eastAsia="仿宋_GB2312" w:cs="宋体"/>
          <w:b/>
          <w:bCs/>
          <w:sz w:val="32"/>
          <w:szCs w:val="32"/>
        </w:rPr>
      </w:pPr>
      <w:r>
        <w:rPr>
          <w:rFonts w:hint="eastAsia" w:ascii="仿宋_GB2312" w:hAnsi="仿宋" w:eastAsia="仿宋_GB2312" w:cs="宋体"/>
          <w:sz w:val="32"/>
          <w:szCs w:val="32"/>
        </w:rPr>
        <w:br w:type="page"/>
      </w:r>
      <w:r>
        <w:rPr>
          <w:rFonts w:hint="eastAsia" w:ascii="仿宋_GB2312" w:hAnsi="仿宋" w:eastAsia="仿宋_GB2312" w:cs="宋体"/>
          <w:b/>
          <w:bCs/>
          <w:sz w:val="32"/>
          <w:szCs w:val="32"/>
        </w:rPr>
        <w:t>第三部分  目录</w:t>
      </w:r>
    </w:p>
    <w:p>
      <w:pPr>
        <w:spacing w:after="0" w:line="560" w:lineRule="exact"/>
        <w:rPr>
          <w:rFonts w:ascii="仿宋_GB2312" w:hAnsi="仿宋" w:eastAsia="仿宋_GB2312" w:cs="宋体"/>
          <w:b/>
          <w:bCs/>
          <w:sz w:val="32"/>
          <w:szCs w:val="32"/>
        </w:rPr>
      </w:pPr>
      <w:r>
        <w:rPr>
          <w:rFonts w:hint="eastAsia" w:ascii="仿宋_GB2312" w:hAnsi="仿宋" w:eastAsia="仿宋_GB2312" w:cs="宋体"/>
          <w:b/>
          <w:bCs/>
          <w:sz w:val="32"/>
          <w:szCs w:val="32"/>
        </w:rPr>
        <w:t>第四部分  核查报告正文（至少包括以下内容）</w:t>
      </w:r>
    </w:p>
    <w:p>
      <w:pPr>
        <w:spacing w:after="0" w:line="560" w:lineRule="exact"/>
        <w:ind w:right="850"/>
        <w:outlineLvl w:val="0"/>
        <w:rPr>
          <w:rFonts w:ascii="仿宋_GB2312" w:hAnsi="仿宋" w:eastAsia="仿宋_GB2312" w:cs="Arial"/>
          <w:b/>
          <w:sz w:val="32"/>
          <w:szCs w:val="32"/>
        </w:rPr>
      </w:pPr>
      <w:r>
        <w:rPr>
          <w:rFonts w:hint="eastAsia" w:ascii="仿宋_GB2312" w:hAnsi="仿宋" w:eastAsia="仿宋_GB2312" w:cs="Arial"/>
          <w:b/>
          <w:caps/>
          <w:sz w:val="32"/>
          <w:szCs w:val="32"/>
        </w:rPr>
        <w:t>1. 概述</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1.1. 核查目的</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1.2. 核查范围</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1.3. 核查准则</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2. 核查过程和方法</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2.1. 核查组安排</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2.2. 文件评审</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2.3. 现场访问</w:t>
      </w:r>
    </w:p>
    <w:p>
      <w:pPr>
        <w:spacing w:after="0" w:line="560" w:lineRule="exact"/>
        <w:ind w:right="851"/>
        <w:rPr>
          <w:rFonts w:ascii="仿宋_GB2312" w:hAnsi="仿宋" w:eastAsia="仿宋_GB2312" w:cs="Arial"/>
          <w:sz w:val="32"/>
          <w:szCs w:val="32"/>
        </w:rPr>
      </w:pPr>
      <w:r>
        <w:rPr>
          <w:rFonts w:hint="eastAsia" w:ascii="仿宋_GB2312" w:hAnsi="仿宋" w:eastAsia="仿宋_GB2312" w:cs="Arial"/>
          <w:sz w:val="32"/>
          <w:szCs w:val="32"/>
        </w:rPr>
        <w:t>2.4. 核查报告编写及内部技术复核</w:t>
      </w:r>
    </w:p>
    <w:p>
      <w:pPr>
        <w:spacing w:after="0" w:line="560" w:lineRule="exact"/>
        <w:ind w:left="851" w:right="851" w:hanging="851"/>
        <w:rPr>
          <w:rFonts w:ascii="仿宋_GB2312" w:hAnsi="仿宋" w:eastAsia="仿宋_GB2312" w:cs="Arial"/>
          <w:b/>
          <w:sz w:val="32"/>
          <w:szCs w:val="32"/>
        </w:rPr>
      </w:pPr>
      <w:r>
        <w:rPr>
          <w:rFonts w:hint="eastAsia" w:ascii="仿宋_GB2312" w:hAnsi="仿宋" w:eastAsia="仿宋_GB2312" w:cs="Arial"/>
          <w:b/>
          <w:sz w:val="32"/>
          <w:szCs w:val="32"/>
        </w:rPr>
        <w:t>3 .核查发现</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3.1  重点碳排放单位的基本信息的核查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3.2  重点碳排放单位的设施边界及排放源识别的核查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3.3  核算方法、数据与《企业(单位)二氧化碳核算与报告指南》的符合性的核查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3.4  测量设备校准的符合性的核查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3.5  二氧化碳排放量计算过程及结果的核查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3.6</w:t>
      </w:r>
      <w:r>
        <w:rPr>
          <w:rFonts w:hint="eastAsia" w:ascii="仿宋_GB2312" w:hAnsi="仿宋" w:eastAsia="仿宋_GB2312" w:cs="宋体"/>
          <w:sz w:val="32"/>
          <w:szCs w:val="32"/>
        </w:rPr>
        <w:tab/>
      </w:r>
      <w:r>
        <w:rPr>
          <w:rFonts w:hint="eastAsia" w:ascii="仿宋_GB2312" w:hAnsi="仿宋" w:eastAsia="仿宋_GB2312" w:cs="宋体"/>
          <w:sz w:val="32"/>
          <w:szCs w:val="32"/>
        </w:rPr>
        <w:t>新增排放设施及既有设施退出的核查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3.7</w:t>
      </w:r>
      <w:r>
        <w:rPr>
          <w:rFonts w:hint="eastAsia" w:ascii="仿宋_GB2312" w:hAnsi="仿宋" w:eastAsia="仿宋_GB2312" w:cs="宋体"/>
          <w:sz w:val="32"/>
          <w:szCs w:val="32"/>
        </w:rPr>
        <w:tab/>
      </w:r>
      <w:r>
        <w:rPr>
          <w:rFonts w:hint="eastAsia" w:ascii="仿宋_GB2312" w:hAnsi="仿宋" w:eastAsia="仿宋_GB2312" w:cs="宋体"/>
          <w:sz w:val="32"/>
          <w:szCs w:val="32"/>
        </w:rPr>
        <w:t>未来二氧化碳控制措施的核查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3.8 对监测计划的核查</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3.9</w:t>
      </w:r>
      <w:r>
        <w:rPr>
          <w:rFonts w:hint="eastAsia" w:ascii="仿宋_GB2312" w:hAnsi="仿宋" w:eastAsia="仿宋_GB2312" w:cs="宋体"/>
          <w:sz w:val="32"/>
          <w:szCs w:val="32"/>
        </w:rPr>
        <w:tab/>
      </w:r>
      <w:r>
        <w:rPr>
          <w:rFonts w:hint="eastAsia" w:ascii="仿宋_GB2312" w:hAnsi="仿宋" w:eastAsia="仿宋_GB2312" w:cs="宋体"/>
          <w:sz w:val="32"/>
          <w:szCs w:val="32"/>
        </w:rPr>
        <w:t>京内移动设施和京外能源消费总量的核查</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3.10对数据质量管理的核查</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4. 核查结论</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4.1</w:t>
      </w:r>
      <w:r>
        <w:rPr>
          <w:rFonts w:hint="eastAsia" w:ascii="仿宋_GB2312" w:hAnsi="仿宋" w:eastAsia="仿宋_GB2312" w:cs="宋体"/>
          <w:sz w:val="32"/>
          <w:szCs w:val="32"/>
        </w:rPr>
        <w:tab/>
      </w:r>
      <w:r>
        <w:rPr>
          <w:rFonts w:hint="eastAsia" w:ascii="仿宋_GB2312" w:hAnsi="仿宋" w:eastAsia="仿宋_GB2312" w:cs="宋体"/>
          <w:sz w:val="32"/>
          <w:szCs w:val="32"/>
        </w:rPr>
        <w:t>核算、报告与方法学的符合性</w:t>
      </w:r>
    </w:p>
    <w:p>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4.2</w:t>
      </w:r>
      <w:r>
        <w:rPr>
          <w:rFonts w:hint="eastAsia" w:ascii="仿宋_GB2312" w:hAnsi="仿宋" w:eastAsia="仿宋_GB2312" w:cs="宋体"/>
          <w:sz w:val="32"/>
          <w:szCs w:val="32"/>
        </w:rPr>
        <w:tab/>
      </w:r>
      <w:r>
        <w:rPr>
          <w:rFonts w:hint="eastAsia" w:ascii="仿宋_GB2312" w:hAnsi="仿宋" w:eastAsia="仿宋_GB2312" w:cs="宋体"/>
          <w:sz w:val="32"/>
          <w:szCs w:val="32"/>
        </w:rPr>
        <w:t>本年度排放量及活动水平</w:t>
      </w:r>
      <w:r>
        <w:rPr>
          <w:rFonts w:ascii="仿宋_GB2312" w:hAnsi="仿宋" w:eastAsia="仿宋_GB2312" w:cs="宋体"/>
          <w:sz w:val="32"/>
          <w:szCs w:val="32"/>
        </w:rPr>
        <w:t>数据</w:t>
      </w:r>
      <w:r>
        <w:rPr>
          <w:rFonts w:hint="eastAsia" w:ascii="仿宋_GB2312" w:hAnsi="仿宋" w:eastAsia="仿宋_GB2312" w:cs="宋体"/>
          <w:sz w:val="32"/>
          <w:szCs w:val="32"/>
        </w:rPr>
        <w:t>的声明</w:t>
      </w:r>
    </w:p>
    <w:p>
      <w:pPr>
        <w:spacing w:after="0" w:line="560" w:lineRule="exact"/>
        <w:ind w:left="640" w:hanging="640" w:hangingChars="200"/>
        <w:rPr>
          <w:rFonts w:ascii="仿宋_GB2312" w:hAnsi="仿宋" w:eastAsia="仿宋_GB2312" w:cs="宋体"/>
          <w:sz w:val="32"/>
          <w:szCs w:val="32"/>
        </w:rPr>
      </w:pPr>
      <w:r>
        <w:rPr>
          <w:rFonts w:hint="eastAsia" w:ascii="仿宋_GB2312" w:hAnsi="仿宋" w:eastAsia="仿宋_GB2312" w:cs="宋体"/>
          <w:sz w:val="32"/>
          <w:szCs w:val="32"/>
        </w:rPr>
        <w:t>4.3</w:t>
      </w:r>
      <w:r>
        <w:rPr>
          <w:rFonts w:hint="eastAsia" w:ascii="仿宋_GB2312" w:hAnsi="仿宋" w:eastAsia="仿宋_GB2312"/>
          <w:sz w:val="32"/>
          <w:szCs w:val="32"/>
        </w:rPr>
        <w:t>本年度排放量及</w:t>
      </w:r>
      <w:r>
        <w:rPr>
          <w:rFonts w:ascii="仿宋_GB2312" w:hAnsi="仿宋" w:eastAsia="仿宋_GB2312"/>
          <w:sz w:val="32"/>
          <w:szCs w:val="32"/>
        </w:rPr>
        <w:t>活动水平</w:t>
      </w:r>
      <w:r>
        <w:rPr>
          <w:rFonts w:hint="eastAsia" w:ascii="仿宋_GB2312" w:hAnsi="仿宋" w:eastAsia="仿宋_GB2312"/>
          <w:sz w:val="32"/>
          <w:szCs w:val="32"/>
        </w:rPr>
        <w:t>波动的</w:t>
      </w:r>
      <w:r>
        <w:rPr>
          <w:rFonts w:ascii="仿宋_GB2312" w:hAnsi="仿宋" w:eastAsia="仿宋_GB2312"/>
          <w:sz w:val="32"/>
          <w:szCs w:val="32"/>
        </w:rPr>
        <w:t>原因说明</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4</w:t>
      </w:r>
      <w:r>
        <w:rPr>
          <w:rFonts w:hint="eastAsia" w:ascii="仿宋_GB2312" w:hAnsi="仿宋" w:eastAsia="仿宋_GB2312"/>
          <w:sz w:val="32"/>
          <w:szCs w:val="32"/>
        </w:rPr>
        <w:t>核算</w:t>
      </w:r>
      <w:r>
        <w:rPr>
          <w:rFonts w:ascii="仿宋_GB2312" w:hAnsi="仿宋" w:eastAsia="仿宋_GB2312"/>
          <w:sz w:val="32"/>
          <w:szCs w:val="32"/>
        </w:rPr>
        <w:t>和报告边界变化（</w:t>
      </w:r>
      <w:r>
        <w:rPr>
          <w:rFonts w:hint="eastAsia" w:ascii="仿宋_GB2312" w:hAnsi="仿宋" w:eastAsia="仿宋_GB2312"/>
          <w:sz w:val="32"/>
          <w:szCs w:val="32"/>
        </w:rPr>
        <w:t>含</w:t>
      </w:r>
      <w:r>
        <w:rPr>
          <w:rFonts w:ascii="仿宋_GB2312" w:hAnsi="仿宋" w:eastAsia="仿宋_GB2312"/>
          <w:sz w:val="32"/>
          <w:szCs w:val="32"/>
        </w:rPr>
        <w:t>设施变化）</w:t>
      </w:r>
      <w:r>
        <w:rPr>
          <w:rFonts w:hint="eastAsia" w:ascii="仿宋_GB2312" w:hAnsi="仿宋" w:eastAsia="仿宋_GB2312"/>
          <w:sz w:val="32"/>
          <w:szCs w:val="32"/>
        </w:rPr>
        <w:t>情况</w:t>
      </w:r>
    </w:p>
    <w:p>
      <w:pPr>
        <w:spacing w:after="0" w:line="560" w:lineRule="exact"/>
        <w:rPr>
          <w:rFonts w:ascii="仿宋_GB2312" w:hAnsi="仿宋" w:eastAsia="仿宋_GB2312" w:cs="宋体"/>
          <w:sz w:val="32"/>
          <w:szCs w:val="32"/>
        </w:rPr>
      </w:pPr>
      <w:r>
        <w:rPr>
          <w:rFonts w:hint="eastAsia" w:ascii="仿宋_GB2312" w:hAnsi="仿宋" w:eastAsia="仿宋_GB2312" w:cs="宋体"/>
          <w:sz w:val="32"/>
          <w:szCs w:val="32"/>
        </w:rPr>
        <w:t>4.</w:t>
      </w:r>
      <w:r>
        <w:rPr>
          <w:rFonts w:ascii="仿宋_GB2312" w:hAnsi="仿宋" w:eastAsia="仿宋_GB2312" w:cs="宋体"/>
          <w:sz w:val="32"/>
          <w:szCs w:val="32"/>
        </w:rPr>
        <w:t>5</w:t>
      </w:r>
      <w:r>
        <w:rPr>
          <w:rFonts w:hint="eastAsia" w:ascii="仿宋_GB2312" w:hAnsi="仿宋" w:eastAsia="仿宋_GB2312" w:cs="宋体"/>
          <w:sz w:val="32"/>
          <w:szCs w:val="32"/>
        </w:rPr>
        <w:tab/>
      </w:r>
      <w:r>
        <w:rPr>
          <w:rFonts w:hint="eastAsia" w:ascii="仿宋_GB2312" w:hAnsi="仿宋" w:eastAsia="仿宋_GB2312" w:cs="宋体"/>
          <w:sz w:val="32"/>
          <w:szCs w:val="32"/>
        </w:rPr>
        <w:t>核查过程未覆盖到的问题的描述</w:t>
      </w:r>
    </w:p>
    <w:p>
      <w:pPr>
        <w:spacing w:after="0" w:line="560" w:lineRule="exact"/>
        <w:ind w:right="850"/>
        <w:outlineLvl w:val="0"/>
        <w:rPr>
          <w:rFonts w:ascii="仿宋_GB2312" w:hAnsi="仿宋" w:eastAsia="仿宋_GB2312" w:cs="Arial"/>
          <w:b/>
          <w:caps/>
          <w:sz w:val="32"/>
          <w:szCs w:val="32"/>
        </w:rPr>
      </w:pPr>
      <w:r>
        <w:rPr>
          <w:rFonts w:hint="eastAsia" w:ascii="仿宋_GB2312" w:hAnsi="仿宋" w:eastAsia="仿宋_GB2312" w:cs="Arial"/>
          <w:b/>
          <w:caps/>
          <w:sz w:val="32"/>
          <w:szCs w:val="32"/>
        </w:rPr>
        <w:t>5. 附件</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附件1：不符合清单</w:t>
      </w:r>
    </w:p>
    <w:p>
      <w:pPr>
        <w:spacing w:after="0" w:line="560" w:lineRule="exact"/>
        <w:ind w:right="850"/>
        <w:rPr>
          <w:rFonts w:ascii="仿宋_GB2312" w:hAnsi="仿宋" w:eastAsia="仿宋_GB2312" w:cs="Arial"/>
          <w:caps/>
          <w:sz w:val="32"/>
          <w:szCs w:val="32"/>
        </w:rPr>
      </w:pPr>
      <w:r>
        <w:rPr>
          <w:rFonts w:hint="eastAsia" w:ascii="仿宋_GB2312" w:hAnsi="仿宋" w:eastAsia="仿宋_GB2312" w:cs="Arial"/>
          <w:caps/>
          <w:sz w:val="32"/>
          <w:szCs w:val="32"/>
        </w:rPr>
        <w:t>附件2：对今后核算活动的建议</w:t>
      </w:r>
    </w:p>
    <w:p>
      <w:pPr>
        <w:spacing w:after="0" w:line="560" w:lineRule="exact"/>
        <w:rPr>
          <w:rFonts w:ascii="仿宋_GB2312" w:hAnsi="仿宋" w:eastAsia="仿宋_GB2312" w:cs="宋体"/>
          <w:b/>
          <w:bCs/>
          <w:sz w:val="32"/>
          <w:szCs w:val="32"/>
        </w:rPr>
      </w:pPr>
    </w:p>
    <w:p>
      <w:pPr>
        <w:spacing w:after="0" w:line="560" w:lineRule="exact"/>
        <w:rPr>
          <w:rFonts w:ascii="仿宋_GB2312" w:hAnsi="仿宋" w:eastAsia="仿宋_GB2312" w:cs="Arial"/>
          <w:caps/>
          <w:sz w:val="32"/>
          <w:szCs w:val="32"/>
        </w:rPr>
      </w:pPr>
      <w:r>
        <w:rPr>
          <w:rFonts w:hint="eastAsia" w:ascii="仿宋_GB2312" w:hAnsi="仿宋" w:eastAsia="仿宋_GB2312" w:cs="宋体"/>
          <w:b/>
          <w:bCs/>
          <w:sz w:val="32"/>
          <w:szCs w:val="32"/>
        </w:rPr>
        <w:t>第五部分  参考文件</w:t>
      </w:r>
      <w:r>
        <w:rPr>
          <w:rFonts w:ascii="仿宋_GB2312" w:hAnsi="仿宋" w:eastAsia="仿宋_GB2312" w:cs="Arial"/>
          <w:caps/>
          <w:sz w:val="32"/>
          <w:szCs w:val="32"/>
        </w:rPr>
        <w:br w:type="page"/>
      </w:r>
    </w:p>
    <w:p>
      <w:pPr>
        <w:spacing w:after="0" w:line="560" w:lineRule="exact"/>
        <w:rPr>
          <w:rFonts w:ascii="黑体" w:hAnsi="黑体" w:eastAsia="黑体"/>
          <w:sz w:val="32"/>
          <w:szCs w:val="32"/>
        </w:rPr>
      </w:pPr>
      <w:r>
        <w:rPr>
          <w:rFonts w:hint="eastAsia" w:ascii="黑体" w:hAnsi="黑体" w:eastAsia="黑体"/>
          <w:sz w:val="32"/>
          <w:szCs w:val="32"/>
        </w:rPr>
        <w:t>附件2</w:t>
      </w:r>
    </w:p>
    <w:p>
      <w:pPr>
        <w:spacing w:after="0" w:line="560" w:lineRule="exact"/>
        <w:ind w:right="850"/>
        <w:jc w:val="center"/>
        <w:rPr>
          <w:rFonts w:cs="Arial" w:asciiTheme="majorEastAsia" w:hAnsiTheme="majorEastAsia" w:eastAsiaTheme="majorEastAsia"/>
          <w:b/>
          <w:caps/>
          <w:sz w:val="44"/>
          <w:szCs w:val="44"/>
        </w:rPr>
      </w:pPr>
    </w:p>
    <w:p>
      <w:pPr>
        <w:spacing w:after="0" w:line="560" w:lineRule="exact"/>
        <w:ind w:right="850"/>
        <w:jc w:val="center"/>
        <w:rPr>
          <w:rFonts w:cs="Arial" w:asciiTheme="majorEastAsia" w:hAnsiTheme="majorEastAsia" w:eastAsiaTheme="majorEastAsia"/>
          <w:b/>
          <w:caps/>
          <w:sz w:val="44"/>
          <w:szCs w:val="44"/>
        </w:rPr>
      </w:pPr>
      <w:r>
        <w:rPr>
          <w:rFonts w:hint="eastAsia" w:cs="Arial" w:asciiTheme="majorEastAsia" w:hAnsiTheme="majorEastAsia" w:eastAsiaTheme="majorEastAsia"/>
          <w:b/>
          <w:caps/>
          <w:sz w:val="44"/>
          <w:szCs w:val="44"/>
        </w:rPr>
        <w:t>扉页核查结论模板</w:t>
      </w:r>
    </w:p>
    <w:p>
      <w:pPr>
        <w:spacing w:after="0" w:line="560" w:lineRule="exac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核查结论</w:t>
      </w:r>
    </w:p>
    <w:p>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二氧化碳排放重点排放单位（以下简称排放单位）委托</w:t>
      </w:r>
      <w:r>
        <w:rPr>
          <w:rFonts w:ascii="Times New Roman" w:hAnsi="Times New Roman" w:eastAsia="仿宋_GB2312"/>
          <w:color w:val="000000" w:themeColor="text1"/>
          <w:sz w:val="32"/>
          <w:szCs w:val="32"/>
        </w:rPr>
        <w:t>xxx单位（核查机构）</w:t>
      </w:r>
      <w:r>
        <w:rPr>
          <w:rFonts w:hint="eastAsia" w:ascii="Times New Roman" w:hAnsi="Times New Roman" w:eastAsia="仿宋_GB2312"/>
          <w:color w:val="000000" w:themeColor="text1"/>
          <w:sz w:val="32"/>
          <w:szCs w:val="32"/>
        </w:rPr>
        <w:t>开展</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年二氧化碳排放的核查工作。核查范围包括排放单位所有在北京市辖区内的固定设施和</w:t>
      </w:r>
      <w:r>
        <w:rPr>
          <w:rFonts w:hint="eastAsia" w:ascii="仿宋_GB2312" w:hAnsi="仿宋" w:eastAsia="仿宋_GB2312"/>
          <w:color w:val="000000" w:themeColor="text1"/>
          <w:sz w:val="32"/>
          <w:szCs w:val="32"/>
        </w:rPr>
        <w:t>以北京为注册地的交通运输行业的移动设施产生的二氧化碳直接排放和二氧化碳间接排放</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通过文件评审、现场访问、核查报告编写及内部技术复核，核查组对排放单位</w:t>
      </w:r>
      <w:r>
        <w:rPr>
          <w:rFonts w:ascii="Times New Roman" w:hAnsi="Times New Roman" w:eastAsia="仿宋_GB2312"/>
          <w:color w:val="000000" w:themeColor="text1"/>
          <w:sz w:val="32"/>
          <w:szCs w:val="32"/>
        </w:rPr>
        <w:t>XXXX</w:t>
      </w:r>
      <w:r>
        <w:rPr>
          <w:rFonts w:hint="eastAsia" w:ascii="Times New Roman" w:hAnsi="Times New Roman" w:eastAsia="仿宋_GB2312"/>
          <w:color w:val="000000" w:themeColor="text1"/>
          <w:sz w:val="32"/>
          <w:szCs w:val="32"/>
        </w:rPr>
        <w:t>年度二氧化碳排放报告形成如下核查结论：</w:t>
      </w:r>
    </w:p>
    <w:p>
      <w:pPr>
        <w:pStyle w:val="50"/>
        <w:numPr>
          <w:ilvl w:val="0"/>
          <w:numId w:val="30"/>
        </w:numPr>
        <w:spacing w:after="0" w:line="560" w:lineRule="exact"/>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核算、报告与方法学的符合性</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核查组确认所有不符合已全部关闭，排放单位的核算与报告均符合地方标准或适用的核算和报告指南（名称）的要求，核查组对本排放报告出具肯定的核查结论。</w:t>
      </w:r>
    </w:p>
    <w:p>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本年度排放量及活动水平数据的声明</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经核查的直接和间接排放量与最终排放报告中数据一致。经核查的直接排放量为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吨，间接排放量为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吨，总排放量为</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p>
    <w:p>
      <w:pPr>
        <w:spacing w:after="0" w:line="560" w:lineRule="exact"/>
        <w:ind w:firstLine="640" w:firstLineChars="200"/>
        <w:jc w:val="both"/>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经核查活动水平数据</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（例如建筑面积）与最终排放报告中数据一致。经核查的建筑面积为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平方米。</w:t>
      </w:r>
    </w:p>
    <w:p>
      <w:pPr>
        <w:spacing w:after="0" w:line="560" w:lineRule="exact"/>
        <w:ind w:firstLine="640" w:firstLineChars="200"/>
        <w:jc w:val="both"/>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年度排放量及活动水平波动的原因说明</w:t>
      </w:r>
    </w:p>
    <w:p>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本年度排放量与上一年度排放量相比增加（或减少）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，其中直接排放相比上一年度增加（或减少）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，间接排放相比上一年度增加（或减少）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，原因为</w:t>
      </w:r>
      <w:r>
        <w:rPr>
          <w:rFonts w:ascii="Times New Roman" w:hAnsi="Times New Roman" w:eastAsia="仿宋_GB2312"/>
          <w:color w:val="000000" w:themeColor="text1"/>
          <w:sz w:val="32"/>
          <w:szCs w:val="32"/>
        </w:rPr>
        <w:t>xxxxxxx</w:t>
      </w:r>
      <w:r>
        <w:rPr>
          <w:rFonts w:hint="eastAsia" w:ascii="Times New Roman" w:hAnsi="Times New Roman" w:eastAsia="仿宋_GB2312"/>
          <w:color w:val="000000" w:themeColor="text1"/>
          <w:sz w:val="32"/>
          <w:szCs w:val="32"/>
        </w:rPr>
        <w:t>。</w:t>
      </w:r>
    </w:p>
    <w:p>
      <w:pPr>
        <w:spacing w:after="0"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本年度排放量相比历史基准年份排放量相比增加（或减少）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本年度排放量相比上一年度增加（或减少）</w:t>
      </w:r>
      <w:r>
        <w:rPr>
          <w:rFonts w:ascii="Times New Roman" w:hAnsi="Times New Roman" w:eastAsia="仿宋_GB2312"/>
          <w:color w:val="000000" w:themeColor="text1"/>
          <w:sz w:val="32"/>
          <w:szCs w:val="32"/>
        </w:rPr>
        <w:t>xxxx.xx</w:t>
      </w:r>
      <w:r>
        <w:rPr>
          <w:rFonts w:hint="eastAsia" w:ascii="Times New Roman" w:hAnsi="Times New Roman" w:eastAsia="仿宋_GB2312"/>
          <w:color w:val="000000" w:themeColor="text1"/>
          <w:sz w:val="32"/>
          <w:szCs w:val="32"/>
        </w:rPr>
        <w:t>吨，增加（或减少）比例为</w:t>
      </w:r>
      <w:r>
        <w:rPr>
          <w:rFonts w:ascii="Times New Roman" w:hAnsi="Times New Roman" w:eastAsia="仿宋_GB2312"/>
          <w:color w:val="000000" w:themeColor="text1"/>
          <w:sz w:val="32"/>
          <w:szCs w:val="32"/>
        </w:rPr>
        <w:t>x.xx%</w:t>
      </w:r>
      <w:r>
        <w:rPr>
          <w:rFonts w:hint="eastAsia" w:ascii="Times New Roman" w:hAnsi="Times New Roman" w:eastAsia="仿宋_GB2312"/>
          <w:color w:val="000000" w:themeColor="text1"/>
          <w:sz w:val="32"/>
          <w:szCs w:val="32"/>
        </w:rPr>
        <w:t>。</w:t>
      </w:r>
    </w:p>
    <w:p>
      <w:pPr>
        <w:spacing w:after="0" w:line="560" w:lineRule="exact"/>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pPr>
              <w:spacing w:after="0" w:line="560" w:lineRule="exact"/>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144"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500.00</w:t>
            </w:r>
          </w:p>
        </w:tc>
        <w:tc>
          <w:tcPr>
            <w:tcW w:w="2243"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14297.00</w:t>
            </w:r>
          </w:p>
        </w:tc>
        <w:tc>
          <w:tcPr>
            <w:tcW w:w="227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14797.00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144"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3000.00</w:t>
            </w:r>
          </w:p>
        </w:tc>
        <w:tc>
          <w:tcPr>
            <w:tcW w:w="2243"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13643.00</w:t>
            </w:r>
          </w:p>
        </w:tc>
        <w:tc>
          <w:tcPr>
            <w:tcW w:w="227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144"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3500.00</w:t>
            </w:r>
          </w:p>
        </w:tc>
        <w:tc>
          <w:tcPr>
            <w:tcW w:w="2243"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13500.00</w:t>
            </w:r>
          </w:p>
        </w:tc>
        <w:tc>
          <w:tcPr>
            <w:tcW w:w="227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144"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243"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13600.00</w:t>
            </w:r>
          </w:p>
        </w:tc>
        <w:tc>
          <w:tcPr>
            <w:tcW w:w="227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2020</w:t>
            </w:r>
          </w:p>
        </w:tc>
        <w:tc>
          <w:tcPr>
            <w:tcW w:w="2144"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4500.00</w:t>
            </w:r>
          </w:p>
        </w:tc>
        <w:tc>
          <w:tcPr>
            <w:tcW w:w="2243" w:type="dxa"/>
            <w:noWrap/>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14000.00</w:t>
            </w:r>
          </w:p>
        </w:tc>
        <w:tc>
          <w:tcPr>
            <w:tcW w:w="2270" w:type="dxa"/>
            <w:vAlign w:val="center"/>
          </w:tcPr>
          <w:p>
            <w:pPr>
              <w:spacing w:after="0" w:line="56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18900.00</w:t>
            </w:r>
          </w:p>
        </w:tc>
      </w:tr>
    </w:tbl>
    <w:p>
      <w:pPr>
        <w:ind w:firstLine="640" w:firstLineChars="200"/>
        <w:rPr>
          <w:rFonts w:ascii="Times New Roman" w:hAnsi="Times New Roman" w:eastAsia="仿宋_GB2312"/>
          <w:sz w:val="32"/>
          <w:szCs w:val="32"/>
        </w:rPr>
      </w:pPr>
    </w:p>
    <w:p>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24"/>
        </w:rPr>
        <w:t>图</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排放量变化趋势图（增加2</w:t>
      </w:r>
      <w:r>
        <w:rPr>
          <w:rFonts w:ascii="Times New Roman" w:hAnsi="Times New Roman" w:eastAsia="仿宋_GB2312"/>
          <w:color w:val="000000" w:themeColor="text1"/>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列表说明从基准年一直到现在每年直接和间接排放量及其变化情况，并说出变化的原因，活动水平的变化等。</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排放单位核算和报告边界为北京市辖区内的xxxxx的厂区（或服务范围），与上一年度相比，增加（或减少）xxxx厂区（或服务范围）；与</w:t>
      </w:r>
      <w:r>
        <w:rPr>
          <w:rFonts w:hint="eastAsia" w:ascii="Times New Roman" w:hAnsi="Times New Roman" w:eastAsia="仿宋_GB2312"/>
          <w:sz w:val="32"/>
          <w:szCs w:val="32"/>
        </w:rPr>
        <w:t>历史</w:t>
      </w:r>
      <w:r>
        <w:rPr>
          <w:rFonts w:ascii="Times New Roman" w:hAnsi="Times New Roman" w:eastAsia="仿宋_GB2312"/>
          <w:sz w:val="32"/>
          <w:szCs w:val="32"/>
        </w:rPr>
        <w:t>基准年相比，增加（或减少）xxx厂区（或服务范围）。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4.2 </w:t>
      </w:r>
      <w:r>
        <w:rPr>
          <w:rFonts w:ascii="Times New Roman" w:hAnsi="Times New Roman" w:eastAsia="仿宋"/>
          <w:sz w:val="32"/>
          <w:szCs w:val="32"/>
        </w:rPr>
        <w:t>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排放单位退出的既有设施（或服务范围）包括xxx。</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756"/>
        <w:gridCol w:w="1095"/>
        <w:gridCol w:w="687"/>
        <w:gridCol w:w="922"/>
        <w:gridCol w:w="1083"/>
        <w:gridCol w:w="1181"/>
        <w:gridCol w:w="1181"/>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pPr>
              <w:spacing w:after="0" w:line="240" w:lineRule="auto"/>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756" w:type="dxa"/>
            <w:vMerge w:val="restart"/>
            <w:vAlign w:val="center"/>
          </w:tcPr>
          <w:p>
            <w:pPr>
              <w:spacing w:after="0" w:line="240" w:lineRule="auto"/>
              <w:jc w:val="center"/>
              <w:rPr>
                <w:rFonts w:ascii="Times New Roman" w:hAnsi="Times New Roman" w:eastAsia="仿宋_GB2312"/>
                <w:sz w:val="24"/>
                <w:szCs w:val="24"/>
              </w:rPr>
            </w:pPr>
            <w:r>
              <w:rPr>
                <w:rFonts w:ascii="Times New Roman" w:hAnsi="Times New Roman" w:eastAsia="仿宋_GB2312"/>
                <w:sz w:val="24"/>
                <w:szCs w:val="24"/>
              </w:rPr>
              <w:t>既有设施名称</w:t>
            </w:r>
          </w:p>
        </w:tc>
        <w:tc>
          <w:tcPr>
            <w:tcW w:w="1095" w:type="dxa"/>
            <w:vMerge w:val="restart"/>
            <w:vAlign w:val="center"/>
          </w:tcPr>
          <w:p>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既有设施对应其它生产信息（如适用）</w:t>
            </w:r>
          </w:p>
        </w:tc>
        <w:tc>
          <w:tcPr>
            <w:tcW w:w="687" w:type="dxa"/>
            <w:vMerge w:val="restart"/>
            <w:vAlign w:val="center"/>
          </w:tcPr>
          <w:p>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退出时间</w:t>
            </w:r>
          </w:p>
        </w:tc>
        <w:tc>
          <w:tcPr>
            <w:tcW w:w="922" w:type="dxa"/>
            <w:vMerge w:val="restart"/>
            <w:vAlign w:val="center"/>
          </w:tcPr>
          <w:p>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是否由新增设施替代</w:t>
            </w:r>
          </w:p>
        </w:tc>
        <w:tc>
          <w:tcPr>
            <w:tcW w:w="1083" w:type="dxa"/>
            <w:vMerge w:val="restart"/>
            <w:tcBorders>
              <w:right w:val="single" w:color="auto" w:sz="4" w:space="0"/>
            </w:tcBorders>
            <w:vAlign w:val="center"/>
          </w:tcPr>
          <w:p>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年度</w:t>
            </w:r>
          </w:p>
        </w:tc>
        <w:tc>
          <w:tcPr>
            <w:tcW w:w="3543" w:type="dxa"/>
            <w:gridSpan w:val="3"/>
            <w:tcBorders>
              <w:left w:val="single" w:color="auto" w:sz="4" w:space="0"/>
            </w:tcBorders>
            <w:vAlign w:val="center"/>
          </w:tcPr>
          <w:p>
            <w:pPr>
              <w:spacing w:after="0"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62" w:type="dxa"/>
            <w:vMerge w:val="continue"/>
            <w:vAlign w:val="center"/>
          </w:tcPr>
          <w:p>
            <w:pPr>
              <w:jc w:val="center"/>
              <w:rPr>
                <w:rFonts w:ascii="Times New Roman" w:hAnsi="Times New Roman" w:eastAsia="仿宋_GB2312"/>
                <w:sz w:val="24"/>
                <w:szCs w:val="24"/>
              </w:rPr>
            </w:pPr>
          </w:p>
        </w:tc>
        <w:tc>
          <w:tcPr>
            <w:tcW w:w="756" w:type="dxa"/>
            <w:vMerge w:val="continue"/>
            <w:vAlign w:val="center"/>
          </w:tcPr>
          <w:p>
            <w:pPr>
              <w:jc w:val="center"/>
              <w:rPr>
                <w:rFonts w:ascii="Times New Roman" w:hAnsi="Times New Roman" w:eastAsia="仿宋_GB2312"/>
                <w:sz w:val="24"/>
                <w:szCs w:val="24"/>
              </w:rPr>
            </w:pPr>
          </w:p>
        </w:tc>
        <w:tc>
          <w:tcPr>
            <w:tcW w:w="1095" w:type="dxa"/>
            <w:vMerge w:val="continue"/>
            <w:vAlign w:val="center"/>
          </w:tcPr>
          <w:p>
            <w:pPr>
              <w:jc w:val="center"/>
              <w:rPr>
                <w:rFonts w:ascii="Times New Roman" w:hAnsi="Times New Roman" w:eastAsia="仿宋_GB2312"/>
                <w:sz w:val="24"/>
                <w:szCs w:val="24"/>
              </w:rPr>
            </w:pPr>
          </w:p>
        </w:tc>
        <w:tc>
          <w:tcPr>
            <w:tcW w:w="687" w:type="dxa"/>
            <w:vMerge w:val="continue"/>
            <w:vAlign w:val="center"/>
          </w:tcPr>
          <w:p>
            <w:pPr>
              <w:jc w:val="center"/>
              <w:rPr>
                <w:rFonts w:ascii="Times New Roman" w:hAnsi="Times New Roman" w:eastAsia="仿宋_GB2312"/>
                <w:sz w:val="24"/>
                <w:szCs w:val="24"/>
              </w:rPr>
            </w:pPr>
          </w:p>
        </w:tc>
        <w:tc>
          <w:tcPr>
            <w:tcW w:w="922" w:type="dxa"/>
            <w:vMerge w:val="continue"/>
            <w:vAlign w:val="center"/>
          </w:tcPr>
          <w:p>
            <w:pPr>
              <w:jc w:val="center"/>
              <w:rPr>
                <w:rFonts w:ascii="Times New Roman" w:hAnsi="Times New Roman" w:eastAsia="仿宋_GB2312"/>
                <w:sz w:val="24"/>
                <w:szCs w:val="24"/>
              </w:rPr>
            </w:pPr>
          </w:p>
        </w:tc>
        <w:tc>
          <w:tcPr>
            <w:tcW w:w="1083" w:type="dxa"/>
            <w:vMerge w:val="continue"/>
            <w:tcBorders>
              <w:right w:val="single" w:color="auto" w:sz="4" w:space="0"/>
            </w:tcBorders>
            <w:vAlign w:val="center"/>
          </w:tcPr>
          <w:p>
            <w:pPr>
              <w:jc w:val="center"/>
              <w:rPr>
                <w:rFonts w:ascii="Times New Roman" w:hAnsi="Times New Roman" w:eastAsia="仿宋_GB2312"/>
                <w:sz w:val="24"/>
                <w:szCs w:val="24"/>
              </w:rPr>
            </w:pPr>
          </w:p>
        </w:tc>
        <w:tc>
          <w:tcPr>
            <w:tcW w:w="1181" w:type="dxa"/>
            <w:tcBorders>
              <w:left w:val="single" w:color="auto" w:sz="4"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直接排放量</w:t>
            </w:r>
          </w:p>
          <w:p>
            <w:pPr>
              <w:jc w:val="center"/>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18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间接排放量（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c>
          <w:tcPr>
            <w:tcW w:w="1181" w:type="dxa"/>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总排放量（</w:t>
            </w:r>
            <w:r>
              <w:rPr>
                <w:rFonts w:ascii="Times New Roman" w:hAnsi="Times New Roman" w:eastAsia="仿宋_GB2312"/>
                <w:sz w:val="24"/>
                <w:szCs w:val="24"/>
              </w:rPr>
              <w:t>tCO</w:t>
            </w:r>
            <w:r>
              <w:rPr>
                <w:rFonts w:ascii="Times New Roman" w:hAnsi="Times New Roman" w:eastAsia="仿宋_GB2312"/>
                <w:sz w:val="24"/>
                <w:szCs w:val="24"/>
                <w:vertAlign w:val="subscript"/>
              </w:rPr>
              <w:t>2</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6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r>
              <w:rPr>
                <w:rFonts w:hint="eastAsia" w:ascii="Times New Roman" w:hAnsi="Times New Roman" w:eastAsia="仿宋_GB2312"/>
                <w:sz w:val="24"/>
                <w:szCs w:val="24"/>
                <w:vertAlign w:val="superscript"/>
              </w:rPr>
              <w:t>※</w:t>
            </w:r>
          </w:p>
        </w:tc>
        <w:tc>
          <w:tcPr>
            <w:tcW w:w="756" w:type="dxa"/>
            <w:vMerge w:val="restart"/>
            <w:vAlign w:val="center"/>
          </w:tcPr>
          <w:p>
            <w:pPr>
              <w:jc w:val="center"/>
              <w:rPr>
                <w:rFonts w:ascii="Times New Roman" w:hAnsi="Times New Roman" w:eastAsia="仿宋_GB2312"/>
                <w:sz w:val="24"/>
                <w:szCs w:val="24"/>
              </w:rPr>
            </w:pPr>
          </w:p>
        </w:tc>
        <w:tc>
          <w:tcPr>
            <w:tcW w:w="1095" w:type="dxa"/>
            <w:vMerge w:val="restart"/>
            <w:vAlign w:val="center"/>
          </w:tcPr>
          <w:p>
            <w:pPr>
              <w:jc w:val="center"/>
              <w:rPr>
                <w:rFonts w:ascii="Times New Roman" w:hAnsi="Times New Roman" w:eastAsia="仿宋_GB2312"/>
                <w:sz w:val="24"/>
                <w:szCs w:val="24"/>
              </w:rPr>
            </w:pPr>
          </w:p>
        </w:tc>
        <w:tc>
          <w:tcPr>
            <w:tcW w:w="687" w:type="dxa"/>
            <w:vMerge w:val="restart"/>
            <w:vAlign w:val="center"/>
          </w:tcPr>
          <w:p>
            <w:pPr>
              <w:jc w:val="center"/>
              <w:rPr>
                <w:rFonts w:ascii="Times New Roman" w:hAnsi="Times New Roman" w:eastAsia="仿宋_GB2312"/>
                <w:sz w:val="24"/>
                <w:szCs w:val="24"/>
              </w:rPr>
            </w:pPr>
          </w:p>
        </w:tc>
        <w:tc>
          <w:tcPr>
            <w:tcW w:w="922" w:type="dxa"/>
            <w:vMerge w:val="restart"/>
          </w:tcPr>
          <w:p>
            <w:pPr>
              <w:rPr>
                <w:rFonts w:ascii="Times New Roman" w:hAnsi="Times New Roman" w:eastAsia="仿宋_GB2312"/>
                <w:sz w:val="24"/>
                <w:szCs w:val="24"/>
              </w:rPr>
            </w:pPr>
          </w:p>
        </w:tc>
        <w:tc>
          <w:tcPr>
            <w:tcW w:w="1083" w:type="dxa"/>
            <w:tcBorders>
              <w:right w:val="single" w:color="auto" w:sz="4" w:space="0"/>
            </w:tcBorders>
          </w:tcPr>
          <w:p>
            <w:pP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181" w:type="dxa"/>
            <w:tcBorders>
              <w:left w:val="single" w:color="auto" w:sz="4" w:space="0"/>
            </w:tcBorders>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pPr>
              <w:rPr>
                <w:rFonts w:ascii="Times New Roman" w:hAnsi="Times New Roman" w:eastAsia="仿宋_GB2312"/>
                <w:sz w:val="24"/>
                <w:szCs w:val="24"/>
              </w:rPr>
            </w:pPr>
          </w:p>
        </w:tc>
        <w:tc>
          <w:tcPr>
            <w:tcW w:w="756" w:type="dxa"/>
            <w:vMerge w:val="continue"/>
          </w:tcPr>
          <w:p>
            <w:pPr>
              <w:rPr>
                <w:rFonts w:ascii="Times New Roman" w:hAnsi="Times New Roman" w:eastAsia="仿宋_GB2312"/>
                <w:sz w:val="24"/>
                <w:szCs w:val="24"/>
              </w:rPr>
            </w:pPr>
          </w:p>
        </w:tc>
        <w:tc>
          <w:tcPr>
            <w:tcW w:w="1095" w:type="dxa"/>
            <w:vMerge w:val="continue"/>
          </w:tcPr>
          <w:p>
            <w:pPr>
              <w:rPr>
                <w:rFonts w:ascii="Times New Roman" w:hAnsi="Times New Roman" w:eastAsia="仿宋_GB2312"/>
                <w:sz w:val="24"/>
                <w:szCs w:val="24"/>
              </w:rPr>
            </w:pPr>
          </w:p>
        </w:tc>
        <w:tc>
          <w:tcPr>
            <w:tcW w:w="687" w:type="dxa"/>
            <w:vMerge w:val="continue"/>
          </w:tcPr>
          <w:p>
            <w:pPr>
              <w:rPr>
                <w:rFonts w:ascii="Times New Roman" w:hAnsi="Times New Roman" w:eastAsia="仿宋_GB2312"/>
                <w:sz w:val="24"/>
                <w:szCs w:val="24"/>
              </w:rPr>
            </w:pPr>
          </w:p>
        </w:tc>
        <w:tc>
          <w:tcPr>
            <w:tcW w:w="922" w:type="dxa"/>
            <w:vMerge w:val="continue"/>
          </w:tcPr>
          <w:p>
            <w:pPr>
              <w:rPr>
                <w:rFonts w:ascii="Times New Roman" w:hAnsi="Times New Roman" w:eastAsia="仿宋_GB2312"/>
                <w:sz w:val="24"/>
                <w:szCs w:val="24"/>
              </w:rPr>
            </w:pPr>
          </w:p>
        </w:tc>
        <w:tc>
          <w:tcPr>
            <w:tcW w:w="1083" w:type="dxa"/>
            <w:tcBorders>
              <w:right w:val="single" w:color="auto" w:sz="4" w:space="0"/>
            </w:tcBorders>
          </w:tcPr>
          <w:p>
            <w:pP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181" w:type="dxa"/>
            <w:tcBorders>
              <w:left w:val="single" w:color="auto" w:sz="4" w:space="0"/>
            </w:tcBorders>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62" w:type="dxa"/>
            <w:vMerge w:val="continue"/>
          </w:tcPr>
          <w:p>
            <w:pPr>
              <w:rPr>
                <w:rFonts w:ascii="Times New Roman" w:hAnsi="Times New Roman" w:eastAsia="仿宋_GB2312"/>
                <w:sz w:val="24"/>
                <w:szCs w:val="24"/>
              </w:rPr>
            </w:pPr>
          </w:p>
        </w:tc>
        <w:tc>
          <w:tcPr>
            <w:tcW w:w="756" w:type="dxa"/>
            <w:vMerge w:val="continue"/>
          </w:tcPr>
          <w:p>
            <w:pPr>
              <w:rPr>
                <w:rFonts w:ascii="Times New Roman" w:hAnsi="Times New Roman" w:eastAsia="仿宋_GB2312"/>
                <w:sz w:val="24"/>
                <w:szCs w:val="24"/>
              </w:rPr>
            </w:pPr>
          </w:p>
        </w:tc>
        <w:tc>
          <w:tcPr>
            <w:tcW w:w="1095" w:type="dxa"/>
            <w:vMerge w:val="continue"/>
          </w:tcPr>
          <w:p>
            <w:pPr>
              <w:rPr>
                <w:rFonts w:ascii="Times New Roman" w:hAnsi="Times New Roman" w:eastAsia="仿宋_GB2312"/>
                <w:sz w:val="24"/>
                <w:szCs w:val="24"/>
              </w:rPr>
            </w:pPr>
          </w:p>
        </w:tc>
        <w:tc>
          <w:tcPr>
            <w:tcW w:w="687" w:type="dxa"/>
            <w:vMerge w:val="continue"/>
          </w:tcPr>
          <w:p>
            <w:pPr>
              <w:rPr>
                <w:rFonts w:ascii="Times New Roman" w:hAnsi="Times New Roman" w:eastAsia="仿宋_GB2312"/>
                <w:sz w:val="24"/>
                <w:szCs w:val="24"/>
              </w:rPr>
            </w:pPr>
          </w:p>
        </w:tc>
        <w:tc>
          <w:tcPr>
            <w:tcW w:w="922" w:type="dxa"/>
            <w:vMerge w:val="continue"/>
          </w:tcPr>
          <w:p>
            <w:pPr>
              <w:rPr>
                <w:rFonts w:ascii="Times New Roman" w:hAnsi="Times New Roman" w:eastAsia="仿宋_GB2312"/>
                <w:sz w:val="24"/>
                <w:szCs w:val="24"/>
              </w:rPr>
            </w:pPr>
          </w:p>
        </w:tc>
        <w:tc>
          <w:tcPr>
            <w:tcW w:w="1083" w:type="dxa"/>
            <w:tcBorders>
              <w:right w:val="single" w:color="auto" w:sz="4" w:space="0"/>
            </w:tcBorders>
          </w:tcPr>
          <w:p>
            <w:pPr>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181" w:type="dxa"/>
            <w:tcBorders>
              <w:left w:val="single" w:color="auto" w:sz="4" w:space="0"/>
            </w:tcBorders>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restart"/>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756" w:type="dxa"/>
            <w:vMerge w:val="restart"/>
            <w:vAlign w:val="center"/>
          </w:tcPr>
          <w:p>
            <w:pPr>
              <w:jc w:val="center"/>
              <w:rPr>
                <w:rFonts w:ascii="Times New Roman" w:hAnsi="Times New Roman" w:eastAsia="仿宋_GB2312"/>
                <w:sz w:val="24"/>
                <w:szCs w:val="24"/>
              </w:rPr>
            </w:pPr>
          </w:p>
        </w:tc>
        <w:tc>
          <w:tcPr>
            <w:tcW w:w="1095" w:type="dxa"/>
            <w:vMerge w:val="restart"/>
            <w:vAlign w:val="center"/>
          </w:tcPr>
          <w:p>
            <w:pPr>
              <w:jc w:val="center"/>
              <w:rPr>
                <w:rFonts w:ascii="Times New Roman" w:hAnsi="Times New Roman" w:eastAsia="仿宋_GB2312"/>
                <w:sz w:val="24"/>
                <w:szCs w:val="24"/>
              </w:rPr>
            </w:pPr>
          </w:p>
        </w:tc>
        <w:tc>
          <w:tcPr>
            <w:tcW w:w="687" w:type="dxa"/>
            <w:vMerge w:val="restart"/>
            <w:vAlign w:val="center"/>
          </w:tcPr>
          <w:p>
            <w:pPr>
              <w:jc w:val="center"/>
              <w:rPr>
                <w:rFonts w:ascii="Times New Roman" w:hAnsi="Times New Roman" w:eastAsia="仿宋_GB2312"/>
                <w:sz w:val="24"/>
                <w:szCs w:val="24"/>
              </w:rPr>
            </w:pPr>
          </w:p>
        </w:tc>
        <w:tc>
          <w:tcPr>
            <w:tcW w:w="922" w:type="dxa"/>
            <w:vMerge w:val="restart"/>
          </w:tcPr>
          <w:p>
            <w:pPr>
              <w:rPr>
                <w:rFonts w:ascii="Times New Roman" w:hAnsi="Times New Roman" w:eastAsia="仿宋_GB2312"/>
                <w:sz w:val="24"/>
                <w:szCs w:val="24"/>
              </w:rPr>
            </w:pPr>
          </w:p>
        </w:tc>
        <w:tc>
          <w:tcPr>
            <w:tcW w:w="1083" w:type="dxa"/>
            <w:tcBorders>
              <w:right w:val="single" w:color="auto" w:sz="4" w:space="0"/>
            </w:tcBorders>
          </w:tcPr>
          <w:p>
            <w:pPr>
              <w:rPr>
                <w:rFonts w:ascii="Times New Roman" w:hAnsi="Times New Roman" w:eastAsia="仿宋_GB2312"/>
                <w:sz w:val="24"/>
                <w:szCs w:val="24"/>
              </w:rPr>
            </w:pPr>
            <w:r>
              <w:rPr>
                <w:rFonts w:ascii="Times New Roman" w:hAnsi="Times New Roman" w:eastAsia="仿宋_GB2312"/>
                <w:sz w:val="24"/>
                <w:szCs w:val="24"/>
              </w:rPr>
              <w:t>2016</w:t>
            </w:r>
            <w:r>
              <w:rPr>
                <w:rFonts w:hint="eastAsia" w:ascii="Times New Roman" w:hAnsi="Times New Roman" w:eastAsia="仿宋_GB2312"/>
                <w:sz w:val="24"/>
                <w:szCs w:val="24"/>
              </w:rPr>
              <w:t>年</w:t>
            </w:r>
          </w:p>
        </w:tc>
        <w:tc>
          <w:tcPr>
            <w:tcW w:w="1181" w:type="dxa"/>
            <w:tcBorders>
              <w:left w:val="single" w:color="auto" w:sz="4" w:space="0"/>
            </w:tcBorders>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62" w:type="dxa"/>
            <w:vMerge w:val="continue"/>
          </w:tcPr>
          <w:p>
            <w:pPr>
              <w:rPr>
                <w:rFonts w:ascii="Times New Roman" w:hAnsi="Times New Roman" w:eastAsia="仿宋_GB2312"/>
                <w:sz w:val="24"/>
                <w:szCs w:val="24"/>
              </w:rPr>
            </w:pPr>
          </w:p>
        </w:tc>
        <w:tc>
          <w:tcPr>
            <w:tcW w:w="756" w:type="dxa"/>
            <w:vMerge w:val="continue"/>
          </w:tcPr>
          <w:p>
            <w:pPr>
              <w:rPr>
                <w:rFonts w:ascii="Times New Roman" w:hAnsi="Times New Roman" w:eastAsia="仿宋_GB2312"/>
                <w:sz w:val="24"/>
                <w:szCs w:val="24"/>
              </w:rPr>
            </w:pPr>
          </w:p>
        </w:tc>
        <w:tc>
          <w:tcPr>
            <w:tcW w:w="1095" w:type="dxa"/>
            <w:vMerge w:val="continue"/>
          </w:tcPr>
          <w:p>
            <w:pPr>
              <w:rPr>
                <w:rFonts w:ascii="Times New Roman" w:hAnsi="Times New Roman" w:eastAsia="仿宋_GB2312"/>
                <w:sz w:val="24"/>
                <w:szCs w:val="24"/>
              </w:rPr>
            </w:pPr>
          </w:p>
        </w:tc>
        <w:tc>
          <w:tcPr>
            <w:tcW w:w="687" w:type="dxa"/>
            <w:vMerge w:val="continue"/>
          </w:tcPr>
          <w:p>
            <w:pPr>
              <w:rPr>
                <w:rFonts w:ascii="Times New Roman" w:hAnsi="Times New Roman" w:eastAsia="仿宋_GB2312"/>
                <w:sz w:val="24"/>
                <w:szCs w:val="24"/>
              </w:rPr>
            </w:pPr>
          </w:p>
        </w:tc>
        <w:tc>
          <w:tcPr>
            <w:tcW w:w="922" w:type="dxa"/>
            <w:vMerge w:val="continue"/>
          </w:tcPr>
          <w:p>
            <w:pPr>
              <w:rPr>
                <w:rFonts w:ascii="Times New Roman" w:hAnsi="Times New Roman" w:eastAsia="仿宋_GB2312"/>
                <w:sz w:val="24"/>
                <w:szCs w:val="24"/>
              </w:rPr>
            </w:pPr>
          </w:p>
        </w:tc>
        <w:tc>
          <w:tcPr>
            <w:tcW w:w="1083" w:type="dxa"/>
            <w:tcBorders>
              <w:right w:val="single" w:color="auto" w:sz="4" w:space="0"/>
            </w:tcBorders>
          </w:tcPr>
          <w:p>
            <w:pPr>
              <w:rPr>
                <w:rFonts w:ascii="Times New Roman" w:hAnsi="Times New Roman" w:eastAsia="仿宋_GB2312"/>
                <w:sz w:val="24"/>
                <w:szCs w:val="24"/>
              </w:rPr>
            </w:pPr>
            <w:r>
              <w:rPr>
                <w:rFonts w:ascii="Times New Roman" w:hAnsi="Times New Roman" w:eastAsia="仿宋_GB2312"/>
                <w:sz w:val="24"/>
                <w:szCs w:val="24"/>
              </w:rPr>
              <w:t>2017</w:t>
            </w:r>
            <w:r>
              <w:rPr>
                <w:rFonts w:hint="eastAsia" w:ascii="Times New Roman" w:hAnsi="Times New Roman" w:eastAsia="仿宋_GB2312"/>
                <w:sz w:val="24"/>
                <w:szCs w:val="24"/>
              </w:rPr>
              <w:t>年</w:t>
            </w:r>
          </w:p>
        </w:tc>
        <w:tc>
          <w:tcPr>
            <w:tcW w:w="1181" w:type="dxa"/>
            <w:tcBorders>
              <w:left w:val="single" w:color="auto" w:sz="4" w:space="0"/>
            </w:tcBorders>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2" w:type="dxa"/>
            <w:vMerge w:val="continue"/>
          </w:tcPr>
          <w:p>
            <w:pPr>
              <w:rPr>
                <w:rFonts w:ascii="Times New Roman" w:hAnsi="Times New Roman" w:eastAsia="仿宋_GB2312"/>
                <w:sz w:val="24"/>
                <w:szCs w:val="24"/>
              </w:rPr>
            </w:pPr>
          </w:p>
        </w:tc>
        <w:tc>
          <w:tcPr>
            <w:tcW w:w="756" w:type="dxa"/>
            <w:vMerge w:val="continue"/>
          </w:tcPr>
          <w:p>
            <w:pPr>
              <w:rPr>
                <w:rFonts w:ascii="Times New Roman" w:hAnsi="Times New Roman" w:eastAsia="仿宋_GB2312"/>
                <w:sz w:val="24"/>
                <w:szCs w:val="24"/>
              </w:rPr>
            </w:pPr>
          </w:p>
        </w:tc>
        <w:tc>
          <w:tcPr>
            <w:tcW w:w="1095" w:type="dxa"/>
            <w:vMerge w:val="continue"/>
          </w:tcPr>
          <w:p>
            <w:pPr>
              <w:rPr>
                <w:rFonts w:ascii="Times New Roman" w:hAnsi="Times New Roman" w:eastAsia="仿宋_GB2312"/>
                <w:sz w:val="24"/>
                <w:szCs w:val="24"/>
              </w:rPr>
            </w:pPr>
          </w:p>
        </w:tc>
        <w:tc>
          <w:tcPr>
            <w:tcW w:w="687" w:type="dxa"/>
            <w:vMerge w:val="continue"/>
          </w:tcPr>
          <w:p>
            <w:pPr>
              <w:rPr>
                <w:rFonts w:ascii="Times New Roman" w:hAnsi="Times New Roman" w:eastAsia="仿宋_GB2312"/>
                <w:sz w:val="24"/>
                <w:szCs w:val="24"/>
              </w:rPr>
            </w:pPr>
          </w:p>
        </w:tc>
        <w:tc>
          <w:tcPr>
            <w:tcW w:w="922" w:type="dxa"/>
            <w:vMerge w:val="continue"/>
          </w:tcPr>
          <w:p>
            <w:pPr>
              <w:rPr>
                <w:rFonts w:ascii="Times New Roman" w:hAnsi="Times New Roman" w:eastAsia="仿宋_GB2312"/>
                <w:sz w:val="24"/>
                <w:szCs w:val="24"/>
              </w:rPr>
            </w:pPr>
          </w:p>
        </w:tc>
        <w:tc>
          <w:tcPr>
            <w:tcW w:w="1083" w:type="dxa"/>
            <w:tcBorders>
              <w:right w:val="single" w:color="auto" w:sz="4" w:space="0"/>
            </w:tcBorders>
          </w:tcPr>
          <w:p>
            <w:pPr>
              <w:rPr>
                <w:rFonts w:ascii="Times New Roman" w:hAnsi="Times New Roman" w:eastAsia="仿宋_GB2312"/>
                <w:sz w:val="24"/>
                <w:szCs w:val="24"/>
              </w:rPr>
            </w:pPr>
            <w:r>
              <w:rPr>
                <w:rFonts w:ascii="Times New Roman" w:hAnsi="Times New Roman" w:eastAsia="仿宋_GB2312"/>
                <w:sz w:val="24"/>
                <w:szCs w:val="24"/>
              </w:rPr>
              <w:t>2018</w:t>
            </w:r>
            <w:r>
              <w:rPr>
                <w:rFonts w:hint="eastAsia" w:ascii="Times New Roman" w:hAnsi="Times New Roman" w:eastAsia="仿宋_GB2312"/>
                <w:sz w:val="24"/>
                <w:szCs w:val="24"/>
              </w:rPr>
              <w:t>年</w:t>
            </w:r>
          </w:p>
        </w:tc>
        <w:tc>
          <w:tcPr>
            <w:tcW w:w="1181" w:type="dxa"/>
            <w:tcBorders>
              <w:left w:val="single" w:color="auto" w:sz="4" w:space="0"/>
            </w:tcBorders>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c>
          <w:tcPr>
            <w:tcW w:w="1181" w:type="dxa"/>
          </w:tcPr>
          <w:p>
            <w:pPr>
              <w:rPr>
                <w:rFonts w:ascii="Times New Roman" w:hAnsi="Times New Roman" w:eastAsia="仿宋_GB2312"/>
                <w:sz w:val="24"/>
                <w:szCs w:val="24"/>
              </w:rPr>
            </w:pPr>
          </w:p>
        </w:tc>
      </w:tr>
    </w:tbl>
    <w:p>
      <w:pPr>
        <w:rPr>
          <w:rFonts w:ascii="Times New Roman" w:hAnsi="Times New Roman"/>
        </w:rPr>
      </w:pPr>
      <w:r>
        <w:rPr>
          <w:rFonts w:ascii="Times New Roman" w:hAnsi="Times New Roman"/>
          <w:vertAlign w:val="superscript"/>
        </w:rPr>
        <w:t>※</w:t>
      </w:r>
      <w:r>
        <w:rPr>
          <w:rFonts w:ascii="Times New Roman" w:hAnsi="Times New Roman"/>
        </w:rPr>
        <w:t>注1：若有多个既有设施退出，请自行添加。</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排放单位新增设施（或新增服务范围）主要包括xxx。其中，xx替代了既有设施xx，新增设施及其排放量如下：</w:t>
      </w:r>
    </w:p>
    <w:p>
      <w:pPr>
        <w:spacing w:after="0" w:line="560" w:lineRule="exact"/>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表</w:t>
      </w:r>
      <w:r>
        <w:rPr>
          <w:rFonts w:ascii="Times New Roman" w:hAnsi="Times New Roman" w:eastAsia="仿宋_GB2312"/>
          <w:color w:val="000000" w:themeColor="text1"/>
          <w:sz w:val="24"/>
        </w:rPr>
        <w:t xml:space="preserve">XX  </w:t>
      </w:r>
      <w:r>
        <w:rPr>
          <w:rFonts w:hint="eastAsia" w:ascii="Times New Roman" w:hAnsi="Times New Roman" w:eastAsia="仿宋_GB2312"/>
          <w:color w:val="000000" w:themeColor="text1"/>
          <w:sz w:val="24"/>
        </w:rPr>
        <w:t>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217"/>
        <w:gridCol w:w="1666"/>
        <w:gridCol w:w="1562"/>
        <w:gridCol w:w="156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序号</w:t>
            </w:r>
          </w:p>
        </w:tc>
        <w:tc>
          <w:tcPr>
            <w:tcW w:w="714" w:type="pct"/>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设施新增年份</w:t>
            </w:r>
          </w:p>
        </w:tc>
        <w:tc>
          <w:tcPr>
            <w:tcW w:w="978" w:type="pct"/>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新增设施类型</w:t>
            </w:r>
          </w:p>
        </w:tc>
        <w:tc>
          <w:tcPr>
            <w:tcW w:w="917" w:type="pct"/>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是否替代既有设施，被替代既有设施类型</w:t>
            </w:r>
          </w:p>
        </w:tc>
        <w:tc>
          <w:tcPr>
            <w:tcW w:w="917" w:type="pct"/>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新增设施排放量（吨）</w:t>
            </w:r>
          </w:p>
        </w:tc>
        <w:tc>
          <w:tcPr>
            <w:tcW w:w="917" w:type="pct"/>
            <w:vAlign w:val="center"/>
          </w:tcPr>
          <w:p>
            <w:pPr>
              <w:tabs>
                <w:tab w:val="left" w:pos="1701"/>
              </w:tabs>
              <w:spacing w:after="0" w:line="240" w:lineRule="auto"/>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替代既有设施的新增排放量</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rPr>
              <w:t>吨</w:t>
            </w:r>
            <w:r>
              <w:rPr>
                <w:rFonts w:ascii="Times New Roman" w:hAnsi="Times New Roman"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pPr>
              <w:spacing w:after="0" w:line="240" w:lineRule="auto"/>
              <w:jc w:val="center"/>
              <w:rPr>
                <w:rFonts w:ascii="Times New Roman" w:hAnsi="Times New Roman" w:eastAsia="仿宋"/>
                <w:sz w:val="24"/>
                <w:szCs w:val="24"/>
              </w:rPr>
            </w:pPr>
            <w:r>
              <w:rPr>
                <w:rFonts w:ascii="Times New Roman" w:hAnsi="Times New Roman" w:eastAsia="仿宋_GB2312"/>
                <w:color w:val="000000"/>
                <w:sz w:val="24"/>
                <w:szCs w:val="24"/>
              </w:rPr>
              <w:t>1</w:t>
            </w:r>
          </w:p>
        </w:tc>
        <w:tc>
          <w:tcPr>
            <w:tcW w:w="714" w:type="pct"/>
          </w:tcPr>
          <w:p>
            <w:pPr>
              <w:spacing w:after="0" w:line="240" w:lineRule="auto"/>
              <w:rPr>
                <w:rFonts w:ascii="Times New Roman" w:hAnsi="Times New Roman" w:eastAsia="仿宋"/>
                <w:sz w:val="24"/>
                <w:szCs w:val="24"/>
              </w:rPr>
            </w:pPr>
          </w:p>
        </w:tc>
        <w:tc>
          <w:tcPr>
            <w:tcW w:w="978" w:type="pct"/>
          </w:tcPr>
          <w:p>
            <w:pPr>
              <w:spacing w:after="0" w:line="240" w:lineRule="auto"/>
              <w:rPr>
                <w:rFonts w:ascii="Times New Roman" w:hAnsi="Times New Roman" w:eastAsia="仿宋"/>
                <w:sz w:val="24"/>
                <w:szCs w:val="24"/>
              </w:rPr>
            </w:pPr>
          </w:p>
        </w:tc>
        <w:tc>
          <w:tcPr>
            <w:tcW w:w="917" w:type="pct"/>
          </w:tcPr>
          <w:p>
            <w:pPr>
              <w:spacing w:after="0" w:line="240" w:lineRule="auto"/>
              <w:rPr>
                <w:rFonts w:ascii="Times New Roman" w:hAnsi="Times New Roman" w:eastAsia="仿宋"/>
                <w:sz w:val="24"/>
                <w:szCs w:val="24"/>
              </w:rPr>
            </w:pPr>
          </w:p>
        </w:tc>
        <w:tc>
          <w:tcPr>
            <w:tcW w:w="917" w:type="pct"/>
          </w:tcPr>
          <w:p>
            <w:pPr>
              <w:spacing w:after="0" w:line="240" w:lineRule="auto"/>
              <w:rPr>
                <w:rFonts w:ascii="Times New Roman" w:hAnsi="Times New Roman" w:eastAsia="仿宋"/>
                <w:sz w:val="24"/>
                <w:szCs w:val="24"/>
              </w:rPr>
            </w:pPr>
          </w:p>
        </w:tc>
        <w:tc>
          <w:tcPr>
            <w:tcW w:w="917" w:type="pct"/>
          </w:tcPr>
          <w:p>
            <w:pPr>
              <w:spacing w:after="0" w:line="24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pPr>
              <w:spacing w:after="0" w:line="240" w:lineRule="auto"/>
              <w:jc w:val="center"/>
              <w:rPr>
                <w:rFonts w:ascii="Times New Roman" w:hAnsi="Times New Roman" w:eastAsia="仿宋"/>
                <w:sz w:val="24"/>
                <w:szCs w:val="24"/>
              </w:rPr>
            </w:pPr>
            <w:r>
              <w:rPr>
                <w:rFonts w:hint="eastAsia" w:ascii="Times New Roman" w:hAnsi="Times New Roman" w:eastAsia="仿宋_GB2312"/>
                <w:color w:val="000000"/>
                <w:sz w:val="24"/>
                <w:szCs w:val="24"/>
              </w:rPr>
              <w:t>合计</w:t>
            </w:r>
          </w:p>
        </w:tc>
        <w:tc>
          <w:tcPr>
            <w:tcW w:w="714" w:type="pct"/>
          </w:tcPr>
          <w:p>
            <w:pPr>
              <w:spacing w:after="0" w:line="240" w:lineRule="auto"/>
              <w:rPr>
                <w:rFonts w:ascii="Times New Roman" w:hAnsi="Times New Roman" w:eastAsia="仿宋"/>
                <w:sz w:val="24"/>
                <w:szCs w:val="24"/>
              </w:rPr>
            </w:pPr>
          </w:p>
        </w:tc>
        <w:tc>
          <w:tcPr>
            <w:tcW w:w="978" w:type="pct"/>
          </w:tcPr>
          <w:p>
            <w:pPr>
              <w:spacing w:after="0" w:line="240" w:lineRule="auto"/>
              <w:rPr>
                <w:rFonts w:ascii="Times New Roman" w:hAnsi="Times New Roman" w:eastAsia="仿宋"/>
                <w:sz w:val="24"/>
                <w:szCs w:val="24"/>
              </w:rPr>
            </w:pPr>
          </w:p>
        </w:tc>
        <w:tc>
          <w:tcPr>
            <w:tcW w:w="917" w:type="pct"/>
          </w:tcPr>
          <w:p>
            <w:pPr>
              <w:spacing w:after="0" w:line="240" w:lineRule="auto"/>
              <w:rPr>
                <w:rFonts w:ascii="Times New Roman" w:hAnsi="Times New Roman" w:eastAsia="仿宋"/>
                <w:sz w:val="24"/>
                <w:szCs w:val="24"/>
              </w:rPr>
            </w:pPr>
          </w:p>
        </w:tc>
        <w:tc>
          <w:tcPr>
            <w:tcW w:w="917" w:type="pct"/>
          </w:tcPr>
          <w:p>
            <w:pPr>
              <w:spacing w:after="0" w:line="240" w:lineRule="auto"/>
              <w:rPr>
                <w:rFonts w:ascii="Times New Roman" w:hAnsi="Times New Roman" w:eastAsia="仿宋"/>
                <w:sz w:val="24"/>
                <w:szCs w:val="24"/>
              </w:rPr>
            </w:pPr>
          </w:p>
        </w:tc>
        <w:tc>
          <w:tcPr>
            <w:tcW w:w="917" w:type="pct"/>
          </w:tcPr>
          <w:p>
            <w:pPr>
              <w:spacing w:after="0" w:line="24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6"/>
          </w:tcPr>
          <w:p>
            <w:pPr>
              <w:spacing w:after="0" w:line="240" w:lineRule="auto"/>
              <w:rPr>
                <w:rFonts w:ascii="Times New Roman" w:hAnsi="Times New Roman" w:eastAsia="仿宋"/>
                <w:sz w:val="24"/>
                <w:szCs w:val="24"/>
              </w:rPr>
            </w:pPr>
            <w:r>
              <w:rPr>
                <w:rFonts w:hint="eastAsia" w:ascii="Times New Roman" w:hAnsi="Times New Roman" w:eastAsia="仿宋"/>
                <w:sz w:val="24"/>
                <w:szCs w:val="24"/>
              </w:rPr>
              <w:t>备注：</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新增设施排放量为xxxx.xx吨，是基准年份排放量的xx.xx%，新增设施对应的活动水平为xxx（例如新增建筑面积xxx平方米），此信息供新增设施配额发放参考。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640" w:firstLineChars="200"/>
        <w:rPr>
          <w:rFonts w:ascii="Times New Roman" w:hAnsi="Times New Roman"/>
        </w:rPr>
      </w:pPr>
      <w:r>
        <w:rPr>
          <w:rFonts w:ascii="Times New Roman" w:hAnsi="Times New Roman" w:eastAsia="仿宋_GB2312"/>
          <w:sz w:val="32"/>
          <w:szCs w:val="32"/>
        </w:rPr>
        <w:t>本次核查中，由于xx原因，xxxx方面未覆盖。</w:t>
      </w:r>
      <w:r>
        <w:rPr>
          <w:rFonts w:ascii="Times New Roman" w:hAnsi="Times New Roman"/>
        </w:rPr>
        <w:br w:type="page"/>
      </w: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热力生产和供应企业</w:t>
      </w:r>
    </w:p>
    <w:p>
      <w:pPr>
        <w:spacing w:after="0" w:line="560" w:lineRule="exact"/>
        <w:rPr>
          <w:rFonts w:ascii="Times New Roman" w:hAnsi="Times New Roman" w:eastAsia="仿宋"/>
          <w:sz w:val="32"/>
          <w:szCs w:val="32"/>
        </w:rPr>
      </w:pPr>
      <w:r>
        <w:rPr>
          <w:rFonts w:ascii="Times New Roman" w:hAnsi="Times New Roman" w:eastAsia="仿宋"/>
          <w:sz w:val="32"/>
          <w:szCs w:val="32"/>
        </w:rPr>
        <w:t>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xxxx公司（以下简称排放单位）委托xxx公司开展XXXX年二氧化碳排放的核查工作。核查范围包括排放单位所有在北京市辖区内固定设施导致的二氧化碳直接排放和二氧化碳间接排放。</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1. 核算、报告与方法学的符合性</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核查组确认所有不符合已全部关闭，排放单位的核算与报告均符合方法学</w:t>
      </w:r>
      <w:r>
        <w:rPr>
          <w:rFonts w:hint="eastAsia" w:ascii="Times New Roman" w:hAnsi="Times New Roman" w:eastAsia="仿宋"/>
          <w:sz w:val="32"/>
          <w:szCs w:val="32"/>
        </w:rPr>
        <w:t>《二氧化碳排放核算和报告要求热力生产和供应业》（DB11/T 1784-2020）</w:t>
      </w:r>
      <w:r>
        <w:rPr>
          <w:rFonts w:ascii="Times New Roman" w:hAnsi="Times New Roman" w:eastAsia="仿宋"/>
          <w:sz w:val="32"/>
          <w:szCs w:val="32"/>
        </w:rPr>
        <w:t>的要求，核查组对本排放报告出具肯定的核查结论。</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2. 本年度排放量及活动水平数据的声明</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经核查的直接和间接排放量与最终排放报告中数据一致。经核查的直接排放量为310424.18</w:t>
      </w:r>
      <w:r>
        <w:rPr>
          <w:rFonts w:ascii="Times New Roman" w:hAnsi="Times New Roman" w:eastAsia="仿宋"/>
          <w:color w:val="000000"/>
          <w:sz w:val="32"/>
          <w:szCs w:val="32"/>
        </w:rPr>
        <w:t>吨，间接排放量为36779.13吨，总排放量为347203.31吨</w:t>
      </w:r>
      <w:r>
        <w:rPr>
          <w:rFonts w:ascii="Times New Roman" w:hAnsi="Times New Roman" w:eastAsia="仿宋"/>
          <w:sz w:val="32"/>
          <w:szCs w:val="32"/>
        </w:rPr>
        <w:t>。</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经核查的供热量与最终排放报告中数据一致。其中燃气锅炉直供的建筑物供热量为xxxxTJ，燃气锅炉间供的热力站一次侧输入热源产生热量为xxxxTJ，燃煤锅炉直供的建筑供热量为xxxxTJ，燃煤锅炉间供的热力站一次侧输入热源产生热量为xxxxTJ，电锅炉所供的建筑供热量为xxxxTJ，燃油锅炉所供的建筑供热量为xxxxTJ，地源热泵所供的建筑供热量为xxxxTJ，其他供热方式所供的建筑物供热量为xxxxTJ；热力站一次侧输入热量为xxxTJ。</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3. 年度</w:t>
      </w:r>
      <w:r>
        <w:rPr>
          <w:rFonts w:hint="eastAsia" w:ascii="Times New Roman" w:hAnsi="Times New Roman" w:eastAsia="仿宋"/>
          <w:sz w:val="32"/>
          <w:szCs w:val="32"/>
        </w:rPr>
        <w:t>排放量及活动水平</w:t>
      </w:r>
      <w:r>
        <w:rPr>
          <w:rFonts w:ascii="Times New Roman" w:hAnsi="Times New Roman" w:eastAsia="仿宋"/>
          <w:sz w:val="32"/>
          <w:szCs w:val="32"/>
        </w:rPr>
        <w:t>波动的原因说明</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本年度排放量与上年度排放量相比增加</w:t>
      </w:r>
      <w:r>
        <w:rPr>
          <w:rFonts w:ascii="Times New Roman" w:hAnsi="Times New Roman" w:eastAsia="仿宋"/>
          <w:color w:val="000000"/>
          <w:sz w:val="32"/>
          <w:szCs w:val="32"/>
        </w:rPr>
        <w:t>71782.51吨/26.06%</w:t>
      </w:r>
      <w:r>
        <w:rPr>
          <w:rFonts w:ascii="Times New Roman" w:hAnsi="Times New Roman" w:eastAsia="仿宋"/>
          <w:sz w:val="32"/>
          <w:szCs w:val="32"/>
        </w:rPr>
        <w:t>，</w:t>
      </w:r>
      <w:bookmarkStart w:id="17" w:name="OLE_LINK2"/>
      <w:bookmarkStart w:id="18" w:name="OLE_LINK3"/>
      <w:r>
        <w:rPr>
          <w:rFonts w:ascii="Times New Roman" w:hAnsi="Times New Roman" w:eastAsia="仿宋"/>
          <w:sz w:val="32"/>
          <w:szCs w:val="32"/>
        </w:rPr>
        <w:t>其中直接排放相比上一年度增加66006.69吨/27.01%，间接排放相比上一年度增加</w:t>
      </w:r>
      <w:bookmarkEnd w:id="17"/>
      <w:bookmarkEnd w:id="18"/>
      <w:r>
        <w:rPr>
          <w:rFonts w:ascii="Times New Roman" w:hAnsi="Times New Roman" w:eastAsia="仿宋"/>
          <w:sz w:val="32"/>
          <w:szCs w:val="32"/>
        </w:rPr>
        <w:t>5775.82吨/18.63%，原因为排放单位2019年通过新建、划转和收购增加了xx个热源厂，供热量明显增加，热力站耗电量也相应有所提高。</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本年度排放量相比历史基准年份排放量相比上升71782.51吨，上升比例为26.06%，原因为排放单位增加了xx个热源厂含xx座燃气锅炉、xx座燃煤锅炉</w:t>
      </w:r>
      <w:r>
        <w:rPr>
          <w:rFonts w:hint="eastAsia" w:ascii="Times New Roman" w:hAnsi="Times New Roman" w:eastAsia="仿宋_GB2312"/>
          <w:sz w:val="32"/>
          <w:szCs w:val="32"/>
        </w:rPr>
        <w:t>、xx座燃油锅炉、xx座电锅炉</w:t>
      </w:r>
      <w:r>
        <w:rPr>
          <w:rFonts w:ascii="Times New Roman" w:hAnsi="Times New Roman" w:eastAsia="仿宋_GB2312"/>
          <w:sz w:val="32"/>
          <w:szCs w:val="32"/>
        </w:rPr>
        <w:t>，增加了xx个热力站，供热面积增加了xxx平方米，供热量增加了xxxxTJ；相比上一年度增加了XXX，原因是XXX</w:t>
      </w:r>
    </w:p>
    <w:p>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60"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2016</w:t>
            </w:r>
          </w:p>
        </w:tc>
        <w:tc>
          <w:tcPr>
            <w:tcW w:w="2144"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229417.49</w:t>
            </w:r>
          </w:p>
        </w:tc>
        <w:tc>
          <w:tcPr>
            <w:tcW w:w="2243"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29003.31</w:t>
            </w:r>
          </w:p>
        </w:tc>
        <w:tc>
          <w:tcPr>
            <w:tcW w:w="227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258420.80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2017</w:t>
            </w:r>
          </w:p>
        </w:tc>
        <w:tc>
          <w:tcPr>
            <w:tcW w:w="2144"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234417.49</w:t>
            </w:r>
          </w:p>
        </w:tc>
        <w:tc>
          <w:tcPr>
            <w:tcW w:w="2243"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30203.31</w:t>
            </w:r>
          </w:p>
        </w:tc>
        <w:tc>
          <w:tcPr>
            <w:tcW w:w="227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264620.80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2018</w:t>
            </w:r>
          </w:p>
        </w:tc>
        <w:tc>
          <w:tcPr>
            <w:tcW w:w="2144"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244417.49</w:t>
            </w:r>
          </w:p>
        </w:tc>
        <w:tc>
          <w:tcPr>
            <w:tcW w:w="2243"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31003.31</w:t>
            </w:r>
          </w:p>
        </w:tc>
        <w:tc>
          <w:tcPr>
            <w:tcW w:w="227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275420.80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2019</w:t>
            </w:r>
          </w:p>
        </w:tc>
        <w:tc>
          <w:tcPr>
            <w:tcW w:w="2144"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243"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27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spacing w:line="240" w:lineRule="auto"/>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2</w:t>
            </w:r>
            <w:r>
              <w:rPr>
                <w:rFonts w:ascii="Times New Roman" w:hAnsi="Times New Roman" w:eastAsia="仿宋_GB2312"/>
                <w:color w:val="000000"/>
                <w:sz w:val="21"/>
                <w:szCs w:val="21"/>
              </w:rPr>
              <w:t>020</w:t>
            </w:r>
          </w:p>
        </w:tc>
        <w:tc>
          <w:tcPr>
            <w:tcW w:w="2144"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310424.18</w:t>
            </w:r>
          </w:p>
        </w:tc>
        <w:tc>
          <w:tcPr>
            <w:tcW w:w="2243" w:type="dxa"/>
            <w:noWrap/>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36779.13</w:t>
            </w:r>
          </w:p>
        </w:tc>
        <w:tc>
          <w:tcPr>
            <w:tcW w:w="2270" w:type="dxa"/>
            <w:vAlign w:val="center"/>
          </w:tcPr>
          <w:p>
            <w:pPr>
              <w:spacing w:line="240"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347203.31</w:t>
            </w:r>
          </w:p>
        </w:tc>
      </w:tr>
    </w:tbl>
    <w:p>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图1  排放量变化趋势图（增加</w:t>
      </w:r>
      <w:r>
        <w:rPr>
          <w:rFonts w:hint="eastAsia" w:ascii="Times New Roman" w:hAnsi="Times New Roman" w:eastAsia="仿宋_GB2312"/>
          <w:sz w:val="32"/>
          <w:szCs w:val="32"/>
        </w:rPr>
        <w:t>2</w:t>
      </w:r>
      <w:r>
        <w:rPr>
          <w:rFonts w:ascii="Times New Roman" w:hAnsi="Times New Roman" w:eastAsia="仿宋_GB2312"/>
          <w:sz w:val="32"/>
          <w:szCs w:val="32"/>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
          <w:sz w:val="32"/>
          <w:szCs w:val="32"/>
        </w:rPr>
        <w:t>4.1 本年度</w:t>
      </w:r>
      <w:r>
        <w:rPr>
          <w:rFonts w:ascii="Times New Roman" w:hAnsi="Times New Roman" w:eastAsia="仿宋_GB2312"/>
          <w:sz w:val="32"/>
          <w:szCs w:val="32"/>
        </w:rPr>
        <w:t>场所边界的变化</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排放单位核算和报告边界为北京市辖区内所涉及的热源厂xxx个，热力站xxx座，热力管网xxx公里，总供热面积xxx亿平方米，此外，还包括位于xxx的办公楼。</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相比上年度，增加xxx个热源厂、xxx座热力站，增加供热面积xxx平方米。</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相比基准年，增加xxx个热源厂、xxx座热力站，增加供热面积xxx平方米。</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4.2本年度排放设施的变化</w:t>
      </w:r>
    </w:p>
    <w:p>
      <w:pPr>
        <w:spacing w:after="0" w:line="560" w:lineRule="exact"/>
        <w:ind w:firstLine="465"/>
        <w:rPr>
          <w:rFonts w:ascii="Times New Roman" w:hAnsi="Times New Roman" w:eastAsia="仿宋"/>
          <w:sz w:val="32"/>
          <w:szCs w:val="32"/>
        </w:rPr>
      </w:pPr>
      <w:r>
        <w:rPr>
          <w:rFonts w:ascii="Times New Roman" w:hAnsi="Times New Roman" w:eastAsia="仿宋"/>
          <w:sz w:val="32"/>
          <w:szCs w:val="32"/>
        </w:rPr>
        <w:t>排放单位不涉及既有设施配额调整。</w:t>
      </w:r>
    </w:p>
    <w:p>
      <w:pPr>
        <w:spacing w:after="0" w:line="560" w:lineRule="exact"/>
        <w:ind w:firstLine="465"/>
        <w:rPr>
          <w:rFonts w:ascii="Times New Roman" w:hAnsi="Times New Roman" w:eastAsia="仿宋"/>
          <w:bCs/>
          <w:sz w:val="32"/>
          <w:szCs w:val="32"/>
        </w:rPr>
      </w:pPr>
      <w:r>
        <w:rPr>
          <w:rFonts w:ascii="Times New Roman" w:hAnsi="Times New Roman" w:eastAsia="仿宋"/>
          <w:bCs/>
          <w:sz w:val="32"/>
          <w:szCs w:val="32"/>
        </w:rPr>
        <w:t>排放单位退出的既有设施包括xx热源厂的2台燃气锅炉。</w:t>
      </w:r>
    </w:p>
    <w:p>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2"/>
        <w:gridCol w:w="1090"/>
        <w:gridCol w:w="708"/>
        <w:gridCol w:w="916"/>
        <w:gridCol w:w="1078"/>
        <w:gridCol w:w="1174"/>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pPr>
              <w:jc w:val="center"/>
              <w:rPr>
                <w:rFonts w:ascii="Times New Roman" w:hAnsi="Times New Roman" w:eastAsia="仿宋_GB2312"/>
                <w:sz w:val="24"/>
              </w:rPr>
            </w:pPr>
          </w:p>
        </w:tc>
        <w:tc>
          <w:tcPr>
            <w:tcW w:w="786" w:type="dxa"/>
            <w:vMerge w:val="continue"/>
            <w:vAlign w:val="center"/>
          </w:tcPr>
          <w:p>
            <w:pPr>
              <w:jc w:val="center"/>
              <w:rPr>
                <w:rFonts w:ascii="Times New Roman" w:hAnsi="Times New Roman" w:eastAsia="仿宋_GB2312"/>
                <w:sz w:val="24"/>
              </w:rPr>
            </w:pPr>
          </w:p>
        </w:tc>
        <w:tc>
          <w:tcPr>
            <w:tcW w:w="1134" w:type="dxa"/>
            <w:vMerge w:val="continue"/>
            <w:vAlign w:val="center"/>
          </w:tcPr>
          <w:p>
            <w:pPr>
              <w:jc w:val="center"/>
              <w:rPr>
                <w:rFonts w:ascii="Times New Roman" w:hAnsi="Times New Roman" w:eastAsia="仿宋_GB2312"/>
                <w:sz w:val="24"/>
              </w:rPr>
            </w:pPr>
          </w:p>
        </w:tc>
        <w:tc>
          <w:tcPr>
            <w:tcW w:w="709" w:type="dxa"/>
            <w:vMerge w:val="continue"/>
            <w:vAlign w:val="center"/>
          </w:tcPr>
          <w:p>
            <w:pPr>
              <w:jc w:val="center"/>
              <w:rPr>
                <w:rFonts w:ascii="Times New Roman" w:hAnsi="Times New Roman" w:eastAsia="仿宋_GB2312"/>
                <w:sz w:val="24"/>
              </w:rPr>
            </w:pPr>
          </w:p>
        </w:tc>
        <w:tc>
          <w:tcPr>
            <w:tcW w:w="968" w:type="dxa"/>
            <w:vMerge w:val="continue"/>
            <w:vAlign w:val="center"/>
          </w:tcPr>
          <w:p>
            <w:pPr>
              <w:jc w:val="center"/>
              <w:rPr>
                <w:rFonts w:ascii="Times New Roman" w:hAnsi="Times New Roman" w:eastAsia="仿宋_GB2312"/>
                <w:sz w:val="24"/>
              </w:rPr>
            </w:pPr>
          </w:p>
        </w:tc>
        <w:tc>
          <w:tcPr>
            <w:tcW w:w="1121" w:type="dxa"/>
            <w:vMerge w:val="continue"/>
            <w:tcBorders>
              <w:right w:val="single" w:color="auto" w:sz="4" w:space="0"/>
            </w:tcBorders>
            <w:vAlign w:val="center"/>
          </w:tcPr>
          <w:p>
            <w:pPr>
              <w:jc w:val="center"/>
              <w:rPr>
                <w:rFonts w:ascii="Times New Roman" w:hAnsi="Times New Roman" w:eastAsia="仿宋_GB2312"/>
                <w:sz w:val="24"/>
              </w:rPr>
            </w:pP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直接排放量</w:t>
            </w:r>
          </w:p>
          <w:p>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燃气锅炉</w:t>
            </w:r>
          </w:p>
        </w:tc>
        <w:tc>
          <w:tcPr>
            <w:tcW w:w="1134" w:type="dxa"/>
            <w:vMerge w:val="restart"/>
            <w:vAlign w:val="center"/>
          </w:tcPr>
          <w:p>
            <w:pPr>
              <w:jc w:val="center"/>
              <w:rPr>
                <w:rFonts w:ascii="Times New Roman" w:hAnsi="Times New Roman" w:eastAsia="仿宋_GB2312"/>
                <w:sz w:val="24"/>
              </w:rPr>
            </w:pP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2017</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2000.00</w:t>
            </w:r>
          </w:p>
        </w:tc>
        <w:tc>
          <w:tcPr>
            <w:tcW w:w="1116" w:type="dxa"/>
          </w:tcPr>
          <w:p>
            <w:pPr>
              <w:rPr>
                <w:rFonts w:ascii="Times New Roman" w:hAnsi="Times New Roman" w:eastAsia="仿宋_GB2312"/>
                <w:sz w:val="24"/>
              </w:rPr>
            </w:pPr>
            <w:r>
              <w:rPr>
                <w:rFonts w:ascii="Times New Roman" w:hAnsi="Times New Roman" w:eastAsia="仿宋_GB2312"/>
                <w:sz w:val="24"/>
              </w:rPr>
              <w:t>30.00</w:t>
            </w:r>
          </w:p>
        </w:tc>
        <w:tc>
          <w:tcPr>
            <w:tcW w:w="1116" w:type="dxa"/>
          </w:tcPr>
          <w:p>
            <w:pPr>
              <w:rPr>
                <w:rFonts w:ascii="Times New Roman" w:hAnsi="Times New Roman" w:eastAsia="仿宋_GB2312"/>
                <w:sz w:val="24"/>
              </w:rPr>
            </w:pPr>
            <w:r>
              <w:rPr>
                <w:rFonts w:ascii="Times New Roman" w:hAnsi="Times New Roman" w:eastAsia="仿宋_GB2312"/>
                <w:sz w:val="24"/>
              </w:rPr>
              <w:t>2030.00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800.00</w:t>
            </w:r>
          </w:p>
        </w:tc>
        <w:tc>
          <w:tcPr>
            <w:tcW w:w="1116" w:type="dxa"/>
          </w:tcPr>
          <w:p>
            <w:pPr>
              <w:rPr>
                <w:rFonts w:ascii="Times New Roman" w:hAnsi="Times New Roman" w:eastAsia="仿宋_GB2312"/>
                <w:sz w:val="24"/>
              </w:rPr>
            </w:pPr>
            <w:r>
              <w:rPr>
                <w:rFonts w:ascii="Times New Roman" w:hAnsi="Times New Roman" w:eastAsia="仿宋_GB2312"/>
                <w:sz w:val="24"/>
              </w:rPr>
              <w:t>10.00</w:t>
            </w:r>
          </w:p>
        </w:tc>
        <w:tc>
          <w:tcPr>
            <w:tcW w:w="1116" w:type="dxa"/>
          </w:tcPr>
          <w:p>
            <w:pPr>
              <w:rPr>
                <w:rFonts w:ascii="Times New Roman" w:hAnsi="Times New Roman" w:eastAsia="仿宋_GB2312"/>
                <w:sz w:val="24"/>
              </w:rPr>
            </w:pPr>
            <w:r>
              <w:rPr>
                <w:rFonts w:ascii="Times New Roman" w:hAnsi="Times New Roman" w:eastAsia="仿宋_GB2312"/>
                <w:sz w:val="24"/>
              </w:rPr>
              <w:t>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1116" w:type="dxa"/>
            <w:vAlign w:val="center"/>
          </w:tcPr>
          <w:p>
            <w:pPr>
              <w:tabs>
                <w:tab w:val="left" w:pos="420"/>
              </w:tabs>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465"/>
        <w:rPr>
          <w:rFonts w:ascii="Times New Roman" w:hAnsi="Times New Roman" w:eastAsia="仿宋"/>
          <w:sz w:val="32"/>
          <w:szCs w:val="32"/>
        </w:rPr>
      </w:pPr>
      <w:r>
        <w:rPr>
          <w:rFonts w:ascii="Times New Roman" w:hAnsi="Times New Roman" w:eastAsia="仿宋"/>
          <w:bCs/>
          <w:sz w:val="32"/>
          <w:szCs w:val="32"/>
        </w:rPr>
        <w:t>排放单位新增设施主要包括新建、划转及收购的热源厂的锅炉以及原有热源厂新增的排放设施，新增设施及其排放量信息具体如下，</w:t>
      </w:r>
      <w:r>
        <w:rPr>
          <w:rFonts w:ascii="Times New Roman" w:hAnsi="Times New Roman" w:eastAsia="仿宋"/>
          <w:sz w:val="32"/>
          <w:szCs w:val="32"/>
        </w:rPr>
        <w:t>信息供新增设施配额发放参考。</w:t>
      </w:r>
    </w:p>
    <w:p>
      <w:pPr>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24"/>
        <w:gridCol w:w="3805"/>
        <w:gridCol w:w="1129"/>
        <w:gridCol w:w="130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jc w:val="center"/>
              <w:rPr>
                <w:rFonts w:ascii="Times New Roman" w:hAnsi="Times New Roman" w:eastAsia="仿宋"/>
                <w:bCs/>
                <w:sz w:val="24"/>
              </w:rPr>
            </w:pPr>
            <w:r>
              <w:rPr>
                <w:rFonts w:ascii="Times New Roman" w:hAnsi="Times New Roman" w:eastAsia="仿宋"/>
                <w:bCs/>
                <w:sz w:val="24"/>
              </w:rPr>
              <w:t>序号</w:t>
            </w:r>
          </w:p>
        </w:tc>
        <w:tc>
          <w:tcPr>
            <w:tcW w:w="542" w:type="pct"/>
          </w:tcPr>
          <w:p>
            <w:pPr>
              <w:jc w:val="center"/>
              <w:rPr>
                <w:rFonts w:ascii="Times New Roman" w:hAnsi="Times New Roman" w:eastAsia="仿宋"/>
                <w:bCs/>
                <w:sz w:val="24"/>
              </w:rPr>
            </w:pPr>
            <w:r>
              <w:rPr>
                <w:rFonts w:ascii="Times New Roman" w:hAnsi="Times New Roman" w:eastAsia="仿宋"/>
                <w:bCs/>
                <w:sz w:val="24"/>
              </w:rPr>
              <w:t>设施新增年份</w:t>
            </w:r>
          </w:p>
        </w:tc>
        <w:tc>
          <w:tcPr>
            <w:tcW w:w="2234" w:type="pct"/>
          </w:tcPr>
          <w:p>
            <w:pPr>
              <w:jc w:val="center"/>
              <w:rPr>
                <w:rFonts w:ascii="Times New Roman" w:hAnsi="Times New Roman" w:eastAsia="仿宋"/>
                <w:bCs/>
                <w:sz w:val="24"/>
              </w:rPr>
            </w:pPr>
            <w:r>
              <w:rPr>
                <w:rFonts w:ascii="Times New Roman" w:hAnsi="Times New Roman" w:eastAsia="仿宋"/>
                <w:bCs/>
                <w:sz w:val="24"/>
              </w:rPr>
              <w:t>新增设施类型</w:t>
            </w:r>
          </w:p>
        </w:tc>
        <w:tc>
          <w:tcPr>
            <w:tcW w:w="663" w:type="pct"/>
          </w:tcPr>
          <w:p>
            <w:pPr>
              <w:ind w:left="-110" w:leftChars="-50" w:right="-110" w:rightChars="-50"/>
              <w:jc w:val="center"/>
              <w:rPr>
                <w:rFonts w:ascii="Times New Roman" w:hAnsi="Times New Roman" w:eastAsia="仿宋"/>
                <w:bCs/>
                <w:sz w:val="24"/>
              </w:rPr>
            </w:pPr>
            <w:r>
              <w:rPr>
                <w:rFonts w:ascii="Times New Roman" w:hAnsi="Times New Roman" w:eastAsia="仿宋"/>
                <w:bCs/>
                <w:sz w:val="24"/>
              </w:rPr>
              <w:t>是否替代既有设施，</w:t>
            </w:r>
            <w:r>
              <w:rPr>
                <w:rFonts w:ascii="Times New Roman" w:hAnsi="Times New Roman" w:eastAsia="仿宋_GB2312"/>
                <w:color w:val="000000"/>
                <w:sz w:val="24"/>
              </w:rPr>
              <w:t>被替代既有设施类型</w:t>
            </w:r>
          </w:p>
        </w:tc>
        <w:tc>
          <w:tcPr>
            <w:tcW w:w="764" w:type="pct"/>
          </w:tcPr>
          <w:p>
            <w:pPr>
              <w:jc w:val="center"/>
              <w:rPr>
                <w:rFonts w:ascii="Times New Roman" w:hAnsi="Times New Roman" w:eastAsia="仿宋"/>
                <w:bCs/>
                <w:sz w:val="24"/>
              </w:rPr>
            </w:pPr>
            <w:r>
              <w:rPr>
                <w:rFonts w:ascii="Times New Roman" w:hAnsi="Times New Roman" w:eastAsia="仿宋"/>
                <w:bCs/>
                <w:sz w:val="24"/>
              </w:rPr>
              <w:t>新增设施排放量（吨）</w:t>
            </w:r>
          </w:p>
        </w:tc>
        <w:tc>
          <w:tcPr>
            <w:tcW w:w="485" w:type="pct"/>
          </w:tcPr>
          <w:p>
            <w:pPr>
              <w:ind w:left="-110" w:leftChars="-50" w:right="-110" w:rightChars="-50"/>
              <w:jc w:val="center"/>
              <w:rPr>
                <w:rFonts w:ascii="Times New Roman" w:hAnsi="Times New Roman" w:eastAsia="仿宋"/>
                <w:bCs/>
                <w:sz w:val="24"/>
              </w:rPr>
            </w:pPr>
            <w:r>
              <w:rPr>
                <w:rFonts w:hint="eastAsia" w:ascii="Times New Roman" w:hAnsi="Times New Roman" w:eastAsia="仿宋"/>
                <w:bCs/>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jc w:val="center"/>
              <w:rPr>
                <w:rFonts w:ascii="Times New Roman" w:hAnsi="Times New Roman" w:eastAsia="仿宋"/>
                <w:bCs/>
                <w:sz w:val="24"/>
              </w:rPr>
            </w:pPr>
            <w:r>
              <w:rPr>
                <w:rFonts w:ascii="Times New Roman" w:hAnsi="Times New Roman" w:eastAsia="仿宋"/>
                <w:bCs/>
                <w:sz w:val="24"/>
              </w:rPr>
              <w:t>1</w:t>
            </w:r>
          </w:p>
        </w:tc>
        <w:tc>
          <w:tcPr>
            <w:tcW w:w="542" w:type="pct"/>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pPr>
              <w:jc w:val="center"/>
              <w:rPr>
                <w:rFonts w:ascii="Times New Roman" w:hAnsi="Times New Roman" w:eastAsia="仿宋"/>
                <w:bCs/>
                <w:sz w:val="24"/>
              </w:rPr>
            </w:pPr>
            <w:r>
              <w:rPr>
                <w:rFonts w:ascii="Times New Roman" w:hAnsi="Times New Roman" w:eastAsia="仿宋"/>
                <w:bCs/>
                <w:sz w:val="24"/>
              </w:rPr>
              <w:t>燃气锅炉x</w:t>
            </w:r>
            <w:r>
              <w:rPr>
                <w:rFonts w:hint="eastAsia" w:ascii="Times New Roman" w:hAnsi="Times New Roman" w:eastAsia="仿宋"/>
                <w:bCs/>
                <w:sz w:val="24"/>
              </w:rPr>
              <w:t>x</w:t>
            </w:r>
            <w:r>
              <w:rPr>
                <w:rFonts w:ascii="Times New Roman" w:hAnsi="Times New Roman" w:eastAsia="仿宋"/>
                <w:bCs/>
                <w:sz w:val="24"/>
              </w:rPr>
              <w:t>台：</w:t>
            </w:r>
            <w:r>
              <w:rPr>
                <w:rFonts w:ascii="Times New Roman" w:hAnsi="Times New Roman" w:eastAsia="仿宋"/>
                <w:sz w:val="24"/>
              </w:rPr>
              <w:t>xxx、xxx、xxx</w:t>
            </w:r>
          </w:p>
        </w:tc>
        <w:tc>
          <w:tcPr>
            <w:tcW w:w="663" w:type="pct"/>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 xml:space="preserve">58000.00 </w:t>
            </w:r>
          </w:p>
        </w:tc>
        <w:tc>
          <w:tcPr>
            <w:tcW w:w="485" w:type="pct"/>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jc w:val="center"/>
              <w:rPr>
                <w:rFonts w:ascii="Times New Roman" w:hAnsi="Times New Roman" w:eastAsia="仿宋"/>
                <w:bCs/>
                <w:sz w:val="24"/>
              </w:rPr>
            </w:pPr>
            <w:r>
              <w:rPr>
                <w:rFonts w:ascii="Times New Roman" w:hAnsi="Times New Roman" w:eastAsia="仿宋"/>
                <w:bCs/>
                <w:sz w:val="24"/>
              </w:rPr>
              <w:t>2</w:t>
            </w:r>
          </w:p>
        </w:tc>
        <w:tc>
          <w:tcPr>
            <w:tcW w:w="542" w:type="pct"/>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pPr>
              <w:jc w:val="center"/>
              <w:rPr>
                <w:rFonts w:ascii="Times New Roman" w:hAnsi="Times New Roman" w:eastAsia="仿宋"/>
                <w:bCs/>
                <w:sz w:val="24"/>
              </w:rPr>
            </w:pPr>
            <w:r>
              <w:rPr>
                <w:rFonts w:ascii="Times New Roman" w:hAnsi="Times New Roman" w:eastAsia="仿宋"/>
                <w:bCs/>
                <w:sz w:val="24"/>
              </w:rPr>
              <w:t>燃煤锅炉</w:t>
            </w:r>
            <w:r>
              <w:rPr>
                <w:rFonts w:hint="eastAsia" w:ascii="Times New Roman" w:hAnsi="Times New Roman" w:eastAsia="仿宋"/>
                <w:bCs/>
                <w:sz w:val="24"/>
              </w:rPr>
              <w:t>x</w:t>
            </w:r>
            <w:r>
              <w:rPr>
                <w:rFonts w:ascii="Times New Roman" w:hAnsi="Times New Roman" w:eastAsia="仿宋"/>
                <w:bCs/>
                <w:sz w:val="24"/>
              </w:rPr>
              <w:t>x台：</w:t>
            </w:r>
            <w:r>
              <w:rPr>
                <w:rFonts w:ascii="Times New Roman" w:hAnsi="Times New Roman" w:eastAsia="仿宋"/>
                <w:sz w:val="24"/>
              </w:rPr>
              <w:t>xxx、xxx、xxx</w:t>
            </w:r>
          </w:p>
        </w:tc>
        <w:tc>
          <w:tcPr>
            <w:tcW w:w="663" w:type="pct"/>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 xml:space="preserve">4000.00 </w:t>
            </w:r>
          </w:p>
        </w:tc>
        <w:tc>
          <w:tcPr>
            <w:tcW w:w="485" w:type="pct"/>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jc w:val="center"/>
              <w:rPr>
                <w:rFonts w:ascii="Times New Roman" w:hAnsi="Times New Roman" w:eastAsia="仿宋"/>
                <w:bCs/>
                <w:sz w:val="24"/>
              </w:rPr>
            </w:pPr>
            <w:r>
              <w:rPr>
                <w:rFonts w:ascii="Times New Roman" w:hAnsi="Times New Roman" w:eastAsia="仿宋"/>
                <w:bCs/>
                <w:sz w:val="24"/>
              </w:rPr>
              <w:t>3</w:t>
            </w:r>
          </w:p>
        </w:tc>
        <w:tc>
          <w:tcPr>
            <w:tcW w:w="542" w:type="pct"/>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pPr>
              <w:jc w:val="center"/>
              <w:rPr>
                <w:rFonts w:ascii="Times New Roman" w:hAnsi="Times New Roman" w:eastAsia="仿宋"/>
                <w:bCs/>
                <w:sz w:val="24"/>
              </w:rPr>
            </w:pPr>
            <w:r>
              <w:rPr>
                <w:rFonts w:ascii="Times New Roman" w:hAnsi="Times New Roman" w:eastAsia="仿宋"/>
                <w:bCs/>
                <w:sz w:val="24"/>
              </w:rPr>
              <w:t>燃油锅炉xx台：</w:t>
            </w:r>
            <w:r>
              <w:rPr>
                <w:rFonts w:ascii="Times New Roman" w:hAnsi="Times New Roman" w:eastAsia="仿宋"/>
                <w:sz w:val="24"/>
              </w:rPr>
              <w:t>xxx、xxx、xxx</w:t>
            </w:r>
          </w:p>
        </w:tc>
        <w:tc>
          <w:tcPr>
            <w:tcW w:w="663" w:type="pct"/>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2000.00</w:t>
            </w:r>
          </w:p>
        </w:tc>
        <w:tc>
          <w:tcPr>
            <w:tcW w:w="485" w:type="pct"/>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jc w:val="center"/>
              <w:rPr>
                <w:rFonts w:ascii="Times New Roman" w:hAnsi="Times New Roman" w:eastAsia="仿宋"/>
                <w:bCs/>
                <w:sz w:val="24"/>
              </w:rPr>
            </w:pPr>
            <w:r>
              <w:rPr>
                <w:rFonts w:ascii="Times New Roman" w:hAnsi="Times New Roman" w:eastAsia="仿宋"/>
                <w:bCs/>
                <w:sz w:val="24"/>
              </w:rPr>
              <w:t>4</w:t>
            </w:r>
          </w:p>
        </w:tc>
        <w:tc>
          <w:tcPr>
            <w:tcW w:w="542" w:type="pct"/>
            <w:vAlign w:val="center"/>
          </w:tcPr>
          <w:p>
            <w:pPr>
              <w:jc w:val="center"/>
              <w:rPr>
                <w:rFonts w:ascii="Times New Roman" w:hAnsi="Times New Roman" w:eastAsia="仿宋"/>
                <w:bCs/>
                <w:sz w:val="24"/>
              </w:rPr>
            </w:pPr>
            <w:r>
              <w:rPr>
                <w:rFonts w:ascii="Times New Roman" w:hAnsi="Times New Roman" w:eastAsia="仿宋"/>
                <w:bCs/>
                <w:sz w:val="24"/>
              </w:rPr>
              <w:t>2019</w:t>
            </w:r>
          </w:p>
        </w:tc>
        <w:tc>
          <w:tcPr>
            <w:tcW w:w="2234" w:type="pct"/>
            <w:vAlign w:val="center"/>
          </w:tcPr>
          <w:p>
            <w:pPr>
              <w:jc w:val="center"/>
              <w:rPr>
                <w:rFonts w:ascii="Times New Roman" w:hAnsi="Times New Roman" w:eastAsia="仿宋"/>
                <w:bCs/>
                <w:sz w:val="24"/>
              </w:rPr>
            </w:pPr>
            <w:r>
              <w:rPr>
                <w:rFonts w:ascii="Times New Roman" w:hAnsi="Times New Roman" w:eastAsia="仿宋"/>
                <w:bCs/>
                <w:sz w:val="24"/>
              </w:rPr>
              <w:t>电锅炉xx台：</w:t>
            </w:r>
            <w:r>
              <w:rPr>
                <w:rFonts w:ascii="Times New Roman" w:hAnsi="Times New Roman" w:eastAsia="仿宋"/>
                <w:sz w:val="24"/>
              </w:rPr>
              <w:t>xxx、xxx、xxx</w:t>
            </w:r>
          </w:p>
        </w:tc>
        <w:tc>
          <w:tcPr>
            <w:tcW w:w="663" w:type="pct"/>
            <w:vAlign w:val="center"/>
          </w:tcPr>
          <w:p>
            <w:pPr>
              <w:jc w:val="center"/>
              <w:rPr>
                <w:rFonts w:ascii="Times New Roman" w:hAnsi="Times New Roman" w:eastAsia="仿宋"/>
                <w:bCs/>
                <w:sz w:val="24"/>
              </w:rPr>
            </w:pPr>
            <w:r>
              <w:rPr>
                <w:rFonts w:ascii="Times New Roman" w:hAnsi="Times New Roman" w:eastAsia="仿宋"/>
                <w:bCs/>
                <w:sz w:val="24"/>
              </w:rPr>
              <w:t>否</w:t>
            </w:r>
          </w:p>
        </w:tc>
        <w:tc>
          <w:tcPr>
            <w:tcW w:w="764" w:type="pct"/>
            <w:vAlign w:val="center"/>
          </w:tcPr>
          <w:p>
            <w:pPr>
              <w:jc w:val="center"/>
              <w:textAlignment w:val="center"/>
              <w:rPr>
                <w:rFonts w:ascii="Times New Roman" w:hAnsi="Times New Roman" w:eastAsia="仿宋"/>
                <w:bCs/>
                <w:sz w:val="24"/>
              </w:rPr>
            </w:pPr>
            <w:r>
              <w:rPr>
                <w:rFonts w:ascii="Times New Roman" w:hAnsi="Times New Roman" w:eastAsia="仿宋"/>
                <w:color w:val="000000"/>
                <w:sz w:val="24"/>
              </w:rPr>
              <w:t>600.00</w:t>
            </w:r>
          </w:p>
        </w:tc>
        <w:tc>
          <w:tcPr>
            <w:tcW w:w="485" w:type="pct"/>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jc w:val="center"/>
              <w:rPr>
                <w:rFonts w:ascii="Times New Roman" w:hAnsi="Times New Roman" w:eastAsia="仿宋"/>
                <w:bCs/>
                <w:sz w:val="24"/>
              </w:rPr>
            </w:pPr>
            <w:r>
              <w:rPr>
                <w:rFonts w:hint="eastAsia" w:ascii="Times New Roman" w:hAnsi="Times New Roman" w:eastAsia="仿宋"/>
                <w:bCs/>
                <w:sz w:val="24"/>
              </w:rPr>
              <w:t>5</w:t>
            </w:r>
          </w:p>
        </w:tc>
        <w:tc>
          <w:tcPr>
            <w:tcW w:w="542" w:type="pct"/>
            <w:vAlign w:val="center"/>
          </w:tcPr>
          <w:p>
            <w:pPr>
              <w:jc w:val="center"/>
              <w:rPr>
                <w:rFonts w:ascii="Times New Roman" w:hAnsi="Times New Roman" w:eastAsia="仿宋"/>
                <w:bCs/>
                <w:sz w:val="24"/>
              </w:rPr>
            </w:pPr>
            <w:r>
              <w:rPr>
                <w:rFonts w:hint="eastAsia" w:ascii="Times New Roman" w:hAnsi="Times New Roman" w:eastAsia="仿宋"/>
                <w:bCs/>
                <w:sz w:val="24"/>
              </w:rPr>
              <w:t>2019</w:t>
            </w:r>
          </w:p>
        </w:tc>
        <w:tc>
          <w:tcPr>
            <w:tcW w:w="2234" w:type="pct"/>
            <w:vAlign w:val="center"/>
          </w:tcPr>
          <w:p>
            <w:pPr>
              <w:jc w:val="center"/>
              <w:rPr>
                <w:rFonts w:ascii="Times New Roman" w:hAnsi="Times New Roman" w:eastAsia="仿宋"/>
                <w:bCs/>
                <w:sz w:val="24"/>
              </w:rPr>
            </w:pPr>
            <w:r>
              <w:rPr>
                <w:rFonts w:hint="eastAsia" w:ascii="Times New Roman" w:hAnsi="Times New Roman" w:eastAsia="仿宋"/>
                <w:bCs/>
                <w:sz w:val="24"/>
              </w:rPr>
              <w:t>热力站：xx座</w:t>
            </w:r>
          </w:p>
        </w:tc>
        <w:tc>
          <w:tcPr>
            <w:tcW w:w="663" w:type="pct"/>
            <w:vAlign w:val="center"/>
          </w:tcPr>
          <w:p>
            <w:pPr>
              <w:jc w:val="center"/>
              <w:rPr>
                <w:rFonts w:ascii="Times New Roman" w:hAnsi="Times New Roman" w:eastAsia="仿宋"/>
                <w:bCs/>
                <w:sz w:val="24"/>
              </w:rPr>
            </w:pPr>
            <w:r>
              <w:rPr>
                <w:rFonts w:hint="eastAsia" w:ascii="Times New Roman" w:hAnsi="Times New Roman" w:eastAsia="仿宋"/>
                <w:bCs/>
                <w:sz w:val="24"/>
              </w:rPr>
              <w:t>否</w:t>
            </w:r>
          </w:p>
        </w:tc>
        <w:tc>
          <w:tcPr>
            <w:tcW w:w="764" w:type="pct"/>
            <w:vAlign w:val="center"/>
          </w:tcPr>
          <w:p>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485" w:type="pct"/>
            <w:vAlign w:val="center"/>
          </w:tcPr>
          <w:p>
            <w:pPr>
              <w:jc w:val="center"/>
              <w:rPr>
                <w:rFonts w:ascii="Times New Roman" w:hAnsi="Times New Roman"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pPr>
              <w:jc w:val="center"/>
              <w:rPr>
                <w:rFonts w:ascii="Times New Roman" w:hAnsi="Times New Roman" w:eastAsia="仿宋"/>
                <w:bCs/>
                <w:sz w:val="24"/>
              </w:rPr>
            </w:pPr>
            <w:r>
              <w:rPr>
                <w:rFonts w:hint="eastAsia" w:ascii="Times New Roman" w:hAnsi="Times New Roman" w:eastAsia="仿宋"/>
                <w:bCs/>
                <w:sz w:val="24"/>
              </w:rPr>
              <w:t>6</w:t>
            </w:r>
          </w:p>
        </w:tc>
        <w:tc>
          <w:tcPr>
            <w:tcW w:w="542" w:type="pct"/>
            <w:vAlign w:val="center"/>
          </w:tcPr>
          <w:p>
            <w:pPr>
              <w:jc w:val="center"/>
              <w:rPr>
                <w:rFonts w:ascii="Times New Roman" w:hAnsi="Times New Roman" w:eastAsia="仿宋"/>
                <w:bCs/>
                <w:sz w:val="24"/>
              </w:rPr>
            </w:pPr>
            <w:r>
              <w:rPr>
                <w:rFonts w:hint="eastAsia" w:ascii="Times New Roman" w:hAnsi="Times New Roman" w:eastAsia="仿宋"/>
                <w:bCs/>
                <w:sz w:val="24"/>
              </w:rPr>
              <w:t>2</w:t>
            </w:r>
            <w:r>
              <w:rPr>
                <w:rFonts w:ascii="Times New Roman" w:hAnsi="Times New Roman" w:eastAsia="仿宋"/>
                <w:bCs/>
                <w:sz w:val="24"/>
              </w:rPr>
              <w:t>020</w:t>
            </w:r>
          </w:p>
        </w:tc>
        <w:tc>
          <w:tcPr>
            <w:tcW w:w="2234" w:type="pct"/>
            <w:vAlign w:val="center"/>
          </w:tcPr>
          <w:p>
            <w:pPr>
              <w:jc w:val="center"/>
              <w:rPr>
                <w:rFonts w:ascii="Times New Roman" w:hAnsi="Times New Roman" w:eastAsia="仿宋"/>
                <w:bCs/>
                <w:sz w:val="24"/>
              </w:rPr>
            </w:pPr>
            <w:r>
              <w:rPr>
                <w:rFonts w:hint="eastAsia" w:ascii="Times New Roman" w:hAnsi="Times New Roman" w:eastAsia="仿宋"/>
                <w:bCs/>
                <w:sz w:val="24"/>
              </w:rPr>
              <w:t>热力站：xx座</w:t>
            </w:r>
          </w:p>
        </w:tc>
        <w:tc>
          <w:tcPr>
            <w:tcW w:w="663" w:type="pct"/>
            <w:vAlign w:val="center"/>
          </w:tcPr>
          <w:p>
            <w:pPr>
              <w:jc w:val="center"/>
              <w:rPr>
                <w:rFonts w:ascii="Times New Roman" w:hAnsi="Times New Roman" w:eastAsia="仿宋"/>
                <w:bCs/>
                <w:sz w:val="24"/>
              </w:rPr>
            </w:pPr>
            <w:r>
              <w:rPr>
                <w:rFonts w:hint="eastAsia" w:ascii="Times New Roman" w:hAnsi="Times New Roman" w:eastAsia="仿宋"/>
                <w:bCs/>
                <w:sz w:val="24"/>
              </w:rPr>
              <w:t>否</w:t>
            </w:r>
          </w:p>
        </w:tc>
        <w:tc>
          <w:tcPr>
            <w:tcW w:w="764" w:type="pct"/>
            <w:vAlign w:val="center"/>
          </w:tcPr>
          <w:p>
            <w:pPr>
              <w:jc w:val="center"/>
              <w:textAlignment w:val="center"/>
              <w:rPr>
                <w:rFonts w:ascii="Times New Roman" w:hAnsi="Times New Roman" w:eastAsia="仿宋"/>
                <w:color w:val="000000"/>
                <w:sz w:val="24"/>
              </w:rPr>
            </w:pPr>
            <w:r>
              <w:rPr>
                <w:rFonts w:hint="eastAsia" w:ascii="Times New Roman" w:hAnsi="Times New Roman" w:eastAsia="仿宋"/>
                <w:color w:val="000000"/>
                <w:sz w:val="24"/>
              </w:rPr>
              <w:t>3000.00</w:t>
            </w:r>
          </w:p>
        </w:tc>
        <w:tc>
          <w:tcPr>
            <w:tcW w:w="485" w:type="pct"/>
            <w:vAlign w:val="center"/>
          </w:tcPr>
          <w:p>
            <w:pPr>
              <w:jc w:val="center"/>
              <w:rPr>
                <w:rFonts w:ascii="Times New Roman" w:hAnsi="Times New Roman" w:eastAsia="仿宋"/>
                <w:bCs/>
                <w:sz w:val="24"/>
              </w:rPr>
            </w:pPr>
            <w:r>
              <w:rPr>
                <w:rFonts w:ascii="Times New Roman" w:hAnsi="Times New Roman"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pPr>
              <w:ind w:left="-110" w:leftChars="-50" w:right="-110" w:rightChars="-50"/>
              <w:jc w:val="center"/>
              <w:rPr>
                <w:rFonts w:ascii="Times New Roman" w:hAnsi="Times New Roman" w:eastAsia="仿宋"/>
                <w:bCs/>
                <w:sz w:val="24"/>
              </w:rPr>
            </w:pPr>
            <w:r>
              <w:rPr>
                <w:rFonts w:ascii="Times New Roman" w:hAnsi="Times New Roman" w:eastAsia="仿宋"/>
                <w:bCs/>
                <w:sz w:val="24"/>
              </w:rPr>
              <w:t>合计</w:t>
            </w:r>
          </w:p>
        </w:tc>
        <w:tc>
          <w:tcPr>
            <w:tcW w:w="542" w:type="pct"/>
          </w:tcPr>
          <w:p>
            <w:pPr>
              <w:jc w:val="center"/>
              <w:rPr>
                <w:rFonts w:ascii="Times New Roman" w:hAnsi="Times New Roman" w:eastAsia="仿宋"/>
                <w:bCs/>
                <w:sz w:val="24"/>
              </w:rPr>
            </w:pPr>
          </w:p>
        </w:tc>
        <w:tc>
          <w:tcPr>
            <w:tcW w:w="2234" w:type="pct"/>
          </w:tcPr>
          <w:p>
            <w:pPr>
              <w:jc w:val="center"/>
              <w:rPr>
                <w:rFonts w:ascii="Times New Roman" w:hAnsi="Times New Roman" w:eastAsia="仿宋"/>
                <w:bCs/>
                <w:sz w:val="24"/>
              </w:rPr>
            </w:pPr>
          </w:p>
        </w:tc>
        <w:tc>
          <w:tcPr>
            <w:tcW w:w="663" w:type="pct"/>
          </w:tcPr>
          <w:p>
            <w:pPr>
              <w:jc w:val="center"/>
              <w:rPr>
                <w:rFonts w:ascii="Times New Roman" w:hAnsi="Times New Roman" w:eastAsia="仿宋"/>
                <w:bCs/>
                <w:sz w:val="24"/>
              </w:rPr>
            </w:pPr>
          </w:p>
        </w:tc>
        <w:tc>
          <w:tcPr>
            <w:tcW w:w="764" w:type="pct"/>
          </w:tcPr>
          <w:p>
            <w:pPr>
              <w:jc w:val="center"/>
              <w:textAlignment w:val="top"/>
              <w:rPr>
                <w:rFonts w:ascii="Times New Roman" w:hAnsi="Times New Roman" w:eastAsia="仿宋"/>
                <w:bCs/>
                <w:sz w:val="24"/>
              </w:rPr>
            </w:pPr>
            <w:r>
              <w:rPr>
                <w:rFonts w:ascii="Times New Roman" w:hAnsi="Times New Roman" w:eastAsia="仿宋"/>
                <w:color w:val="000000"/>
                <w:sz w:val="24"/>
              </w:rPr>
              <w:t xml:space="preserve">70600.00 </w:t>
            </w:r>
          </w:p>
        </w:tc>
        <w:tc>
          <w:tcPr>
            <w:tcW w:w="485" w:type="pct"/>
            <w:vAlign w:val="center"/>
          </w:tcPr>
          <w:p>
            <w:pPr>
              <w:jc w:val="center"/>
              <w:rPr>
                <w:rFonts w:ascii="Times New Roman" w:hAnsi="Times New Roman" w:eastAsia="仿宋"/>
                <w:bCs/>
                <w:sz w:val="24"/>
              </w:rPr>
            </w:pPr>
            <w:r>
              <w:rPr>
                <w:rFonts w:ascii="Times New Roman" w:hAnsi="Times New Roman" w:eastAsia="仿宋"/>
                <w:bCs/>
                <w:sz w:val="24"/>
              </w:rPr>
              <w:t>/</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新增设施排放量为70600.00吨，是基准年份排放量的XX%，新增燃气锅炉为直供，</w:t>
      </w:r>
      <w:r>
        <w:rPr>
          <w:rFonts w:ascii="Times New Roman" w:hAnsi="Times New Roman" w:eastAsia="仿宋"/>
          <w:sz w:val="32"/>
          <w:szCs w:val="32"/>
        </w:rPr>
        <w:t>建筑物供热量为xxxxTJ；新增燃煤锅炉为直供，建筑供热量为xxxxTJ；燃油锅炉所供的建筑供热量为xxxxTJ</w:t>
      </w:r>
      <w:r>
        <w:rPr>
          <w:rFonts w:ascii="Times New Roman" w:hAnsi="Times New Roman" w:eastAsia="仿宋_GB2312"/>
          <w:sz w:val="32"/>
          <w:szCs w:val="32"/>
        </w:rPr>
        <w:t>；</w:t>
      </w:r>
      <w:r>
        <w:rPr>
          <w:rFonts w:ascii="Times New Roman" w:hAnsi="Times New Roman" w:eastAsia="仿宋"/>
          <w:sz w:val="32"/>
          <w:szCs w:val="32"/>
        </w:rPr>
        <w:t>电锅炉所供的建筑供热量为xxxxTJ；新增设施对应的热力站一次侧输入热量为xxxxTJ。</w:t>
      </w:r>
      <w:r>
        <w:rPr>
          <w:rFonts w:ascii="Times New Roman" w:hAnsi="Times New Roman" w:eastAsia="仿宋_GB2312"/>
          <w:sz w:val="32"/>
          <w:szCs w:val="32"/>
        </w:rPr>
        <w:t>此信息供新增设施配额发放参考。</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5. 核查过程未覆盖的问题描述</w:t>
      </w:r>
    </w:p>
    <w:p>
      <w:pPr>
        <w:spacing w:after="0" w:line="560" w:lineRule="exact"/>
        <w:ind w:firstLine="640" w:firstLineChars="200"/>
        <w:rPr>
          <w:rFonts w:ascii="Times New Roman" w:hAnsi="Times New Roman" w:eastAsia="仿宋"/>
          <w:sz w:val="32"/>
          <w:szCs w:val="32"/>
        </w:rPr>
      </w:pPr>
      <w:r>
        <w:rPr>
          <w:rFonts w:ascii="Times New Roman" w:hAnsi="Times New Roman" w:eastAsia="仿宋"/>
          <w:sz w:val="32"/>
          <w:szCs w:val="32"/>
        </w:rPr>
        <w:t>由于天然气表和电表分别为燃气公司及电力公司管控，因此未能核查这些仪表的检定信息。</w:t>
      </w:r>
    </w:p>
    <w:p>
      <w:pPr>
        <w:rPr>
          <w:rFonts w:ascii="Times New Roman" w:hAnsi="Times New Roman"/>
        </w:rPr>
      </w:pPr>
      <w:r>
        <w:rPr>
          <w:rFonts w:ascii="Times New Roman" w:hAnsi="Times New Roman"/>
        </w:rPr>
        <w:br w:type="page"/>
      </w: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电力生产企业</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《二氧化碳排放核算和报告要求电力生产业》（DB11/T 1781-2020）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经核查的直接和间接排放量与最终排放报告中的数据一致。经核查的直接排放量为2799714.26吨，间接排放量为3888.38吨，总排放量为2803602.64吨。</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经核查的供电量、供热量与最终排放报告中数据一致。经核查的一期1#机组供电量为xxxMWh，供热量为xxxxTJ，供热比为xxx；二期2#机组供电量为xxxMWh，供热量为xxxxTJ，供热比为xxx；三期二拖一（</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#）机组供电量为xxxMWh，供热量为xxxxTJ，供热比为xxx</w:t>
      </w:r>
      <w:r>
        <w:rPr>
          <w:rFonts w:hint="eastAsia" w:ascii="Times New Roman" w:hAnsi="Times New Roman" w:eastAsia="仿宋_GB2312"/>
          <w:sz w:val="32"/>
          <w:szCs w:val="32"/>
        </w:rPr>
        <w:t>；</w:t>
      </w:r>
      <w:r>
        <w:rPr>
          <w:rFonts w:ascii="Times New Roman" w:hAnsi="Times New Roman" w:eastAsia="仿宋_GB2312"/>
          <w:sz w:val="32"/>
          <w:szCs w:val="32"/>
        </w:rPr>
        <w:t>燃气热水炉供热量为xxxxTJ。</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增加242659.68吨/9.48%，其中直接排放相比上年度增加242159.68吨/9.47%，间接排放相比上一年度增加500.00吨/14.76%。由于电网调控原因，供电量大幅上升，相比上一年度上升40.00%，其中一期燃机供电量增加，二期燃机供电量下降，三期燃机在11月开始投入使用；同时，周边企业的热能消耗需求基本保持不变，供热量变化不大。因此主要是由于供电量上升导致碳排放量大幅增加。</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本年度排放量相比历史基准年份排放量增加242659.68吨，上升比例为9.48%，受电网调控，供电量相比基准年增加40.00%，而供热量变化幅度不大，导致排放量上升。</w:t>
      </w:r>
    </w:p>
    <w:p>
      <w:pPr>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Layout w:type="fixed"/>
        <w:tblCellMar>
          <w:top w:w="0" w:type="dxa"/>
          <w:left w:w="108" w:type="dxa"/>
          <w:bottom w:w="0" w:type="dxa"/>
          <w:right w:w="108" w:type="dxa"/>
        </w:tblCellMar>
      </w:tblPr>
      <w:tblGrid>
        <w:gridCol w:w="1260"/>
        <w:gridCol w:w="2144"/>
        <w:gridCol w:w="2243"/>
        <w:gridCol w:w="2270"/>
      </w:tblGrid>
      <w:tr>
        <w:tblPrEx>
          <w:tblCellMar>
            <w:top w:w="0" w:type="dxa"/>
            <w:left w:w="108" w:type="dxa"/>
            <w:bottom w:w="0" w:type="dxa"/>
            <w:right w:w="108" w:type="dxa"/>
          </w:tblCellMar>
        </w:tblPrEx>
        <w:trPr>
          <w:trHeight w:val="1028"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年度</w:t>
            </w:r>
          </w:p>
        </w:tc>
        <w:tc>
          <w:tcPr>
            <w:tcW w:w="2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CellMar>
            <w:top w:w="0" w:type="dxa"/>
            <w:left w:w="108" w:type="dxa"/>
            <w:bottom w:w="0" w:type="dxa"/>
            <w:right w:w="108" w:type="dxa"/>
          </w:tblCellMar>
        </w:tblPrEx>
        <w:trPr>
          <w:trHeight w:val="547" w:hRule="atLeast"/>
        </w:trPr>
        <w:tc>
          <w:tcPr>
            <w:tcW w:w="126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1571714.26</w:t>
            </w:r>
          </w:p>
        </w:tc>
        <w:tc>
          <w:tcPr>
            <w:tcW w:w="2243"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2688.38</w:t>
            </w:r>
          </w:p>
        </w:tc>
        <w:tc>
          <w:tcPr>
            <w:tcW w:w="22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1574402.64</w:t>
            </w:r>
          </w:p>
        </w:tc>
      </w:tr>
      <w:tr>
        <w:tblPrEx>
          <w:tblCellMar>
            <w:top w:w="0" w:type="dxa"/>
            <w:left w:w="108" w:type="dxa"/>
            <w:bottom w:w="0" w:type="dxa"/>
            <w:right w:w="108" w:type="dxa"/>
          </w:tblCellMar>
        </w:tblPrEx>
        <w:trPr>
          <w:trHeight w:val="347" w:hRule="atLeast"/>
        </w:trPr>
        <w:tc>
          <w:tcPr>
            <w:tcW w:w="126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1619714.26</w:t>
            </w:r>
          </w:p>
        </w:tc>
        <w:tc>
          <w:tcPr>
            <w:tcW w:w="2243"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2988.38</w:t>
            </w:r>
          </w:p>
        </w:tc>
        <w:tc>
          <w:tcPr>
            <w:tcW w:w="22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1622702.64</w:t>
            </w:r>
          </w:p>
        </w:tc>
      </w:tr>
      <w:tr>
        <w:tblPrEx>
          <w:tblCellMar>
            <w:top w:w="0" w:type="dxa"/>
            <w:left w:w="108" w:type="dxa"/>
            <w:bottom w:w="0" w:type="dxa"/>
            <w:right w:w="108" w:type="dxa"/>
          </w:tblCellMar>
        </w:tblPrEx>
        <w:trPr>
          <w:trHeight w:val="347" w:hRule="atLeast"/>
        </w:trPr>
        <w:tc>
          <w:tcPr>
            <w:tcW w:w="1260"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2557554.58</w:t>
            </w:r>
          </w:p>
        </w:tc>
        <w:tc>
          <w:tcPr>
            <w:tcW w:w="2243" w:type="dxa"/>
            <w:tcBorders>
              <w:top w:val="nil"/>
              <w:left w:val="nil"/>
              <w:bottom w:val="single" w:color="auto" w:sz="4" w:space="0"/>
              <w:right w:val="single" w:color="auto" w:sz="4" w:space="0"/>
            </w:tcBorders>
            <w:noWrap/>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3388.38</w:t>
            </w:r>
          </w:p>
        </w:tc>
        <w:tc>
          <w:tcPr>
            <w:tcW w:w="2270" w:type="dxa"/>
            <w:tcBorders>
              <w:top w:val="nil"/>
              <w:left w:val="nil"/>
              <w:bottom w:val="single" w:color="auto" w:sz="4" w:space="0"/>
              <w:right w:val="single" w:color="auto" w:sz="4" w:space="0"/>
            </w:tcBorders>
            <w:vAlign w:val="center"/>
          </w:tcPr>
          <w:p>
            <w:pPr>
              <w:jc w:val="center"/>
              <w:textAlignment w:val="center"/>
              <w:rPr>
                <w:rFonts w:ascii="Times New Roman" w:hAnsi="Times New Roman"/>
                <w:color w:val="000000"/>
                <w:sz w:val="24"/>
              </w:rPr>
            </w:pPr>
            <w:r>
              <w:rPr>
                <w:rFonts w:ascii="Times New Roman" w:hAnsi="Times New Roman" w:eastAsia="仿宋_GB2312"/>
                <w:color w:val="000000"/>
                <w:sz w:val="24"/>
              </w:rPr>
              <w:t>2560942.96</w:t>
            </w:r>
          </w:p>
        </w:tc>
      </w:tr>
      <w:tr>
        <w:tblPrEx>
          <w:tblCellMar>
            <w:top w:w="0" w:type="dxa"/>
            <w:left w:w="108" w:type="dxa"/>
            <w:bottom w:w="0" w:type="dxa"/>
            <w:right w:w="108" w:type="dxa"/>
          </w:tblCellMar>
        </w:tblPrEx>
        <w:trPr>
          <w:trHeight w:val="347" w:hRule="atLeast"/>
        </w:trPr>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tcBorders>
              <w:top w:val="single" w:color="auto" w:sz="4" w:space="0"/>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243" w:type="dxa"/>
            <w:tcBorders>
              <w:top w:val="single" w:color="auto" w:sz="4" w:space="0"/>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27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r>
        <w:tblPrEx>
          <w:tblCellMar>
            <w:top w:w="0" w:type="dxa"/>
            <w:left w:w="108" w:type="dxa"/>
            <w:bottom w:w="0" w:type="dxa"/>
            <w:right w:w="108" w:type="dxa"/>
          </w:tblCellMar>
        </w:tblPrEx>
        <w:trPr>
          <w:trHeight w:val="347" w:hRule="atLeast"/>
        </w:trPr>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tcBorders>
              <w:top w:val="single" w:color="auto" w:sz="4" w:space="0"/>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2799714.26</w:t>
            </w:r>
          </w:p>
        </w:tc>
        <w:tc>
          <w:tcPr>
            <w:tcW w:w="2243" w:type="dxa"/>
            <w:tcBorders>
              <w:top w:val="single" w:color="auto" w:sz="4" w:space="0"/>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3888.38</w:t>
            </w:r>
          </w:p>
        </w:tc>
        <w:tc>
          <w:tcPr>
            <w:tcW w:w="2270" w:type="dxa"/>
            <w:tcBorders>
              <w:top w:val="single" w:color="auto" w:sz="4" w:space="0"/>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2803602.64</w:t>
            </w:r>
          </w:p>
        </w:tc>
      </w:tr>
    </w:tbl>
    <w:p>
      <w:pPr>
        <w:ind w:firstLine="440" w:firstLineChars="200"/>
        <w:jc w:val="center"/>
        <w:rPr>
          <w:rFonts w:ascii="Times New Roman" w:hAnsi="Times New Roman"/>
        </w:rPr>
      </w:pPr>
      <w:r>
        <w:rPr>
          <w:lang w:val="en-US"/>
        </w:rPr>
        <w:drawing>
          <wp:inline distT="0" distB="0" distL="0" distR="0">
            <wp:extent cx="4568825" cy="2740025"/>
            <wp:effectExtent l="0" t="0" r="3175" b="3175"/>
            <wp:docPr id="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0" w:line="560" w:lineRule="exact"/>
        <w:jc w:val="center"/>
        <w:rPr>
          <w:rFonts w:ascii="Times New Roman" w:hAnsi="Times New Roman" w:eastAsia="仿宋_GB2312"/>
          <w:sz w:val="24"/>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4.核算和报告边界及变化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w:t>
      </w:r>
      <w:r>
        <w:rPr>
          <w:rFonts w:hint="eastAsia" w:ascii="Times New Roman" w:hAnsi="Times New Roman" w:eastAsia="仿宋_GB2312"/>
          <w:sz w:val="32"/>
          <w:szCs w:val="32"/>
        </w:rPr>
        <w:t>包含一期的xxMW1#燃气机组、二期xxMW2#燃气机组，三期二拖一3#-5#燃机机组，以及xxMW燃气热水炉。</w:t>
      </w:r>
      <w:r>
        <w:rPr>
          <w:rFonts w:ascii="Times New Roman" w:hAnsi="Times New Roman" w:eastAsia="仿宋_GB2312"/>
          <w:sz w:val="32"/>
          <w:szCs w:val="32"/>
        </w:rPr>
        <w:t>与上年度相比，场所边界无变化；与基准年相比，场所边界无变化。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排放单位不涉及既有设施配额调整。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排放单位新增设施主要包括燃气机组及热水锅炉，均未替代既有设施。新增设施及其排放量信息如下：</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217"/>
        <w:gridCol w:w="1668"/>
        <w:gridCol w:w="1564"/>
        <w:gridCol w:w="156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979"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新增设施类型/名称</w:t>
            </w:r>
          </w:p>
        </w:tc>
        <w:tc>
          <w:tcPr>
            <w:tcW w:w="918"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918"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918" w:type="pct"/>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jc w:val="center"/>
              <w:rPr>
                <w:rFonts w:ascii="Times New Roman" w:hAnsi="Times New Roman" w:eastAsia="仿宋_GB2312"/>
                <w:sz w:val="24"/>
              </w:rPr>
            </w:pPr>
            <w:r>
              <w:rPr>
                <w:rFonts w:ascii="Times New Roman" w:hAnsi="Times New Roman" w:eastAsia="仿宋_GB2312"/>
                <w:color w:val="000000"/>
                <w:sz w:val="24"/>
              </w:rPr>
              <w:t>1</w:t>
            </w:r>
          </w:p>
        </w:tc>
        <w:tc>
          <w:tcPr>
            <w:tcW w:w="714" w:type="pct"/>
          </w:tcPr>
          <w:p>
            <w:pPr>
              <w:jc w:val="center"/>
              <w:rPr>
                <w:rFonts w:ascii="Times New Roman" w:hAnsi="Times New Roman" w:eastAsia="仿宋_GB2312"/>
                <w:sz w:val="24"/>
              </w:rPr>
            </w:pPr>
            <w:r>
              <w:rPr>
                <w:rFonts w:ascii="Times New Roman" w:hAnsi="Times New Roman" w:eastAsia="仿宋_GB2312"/>
                <w:sz w:val="24"/>
              </w:rPr>
              <w:t>2019</w:t>
            </w:r>
          </w:p>
        </w:tc>
        <w:tc>
          <w:tcPr>
            <w:tcW w:w="979" w:type="pct"/>
          </w:tcPr>
          <w:p>
            <w:pPr>
              <w:jc w:val="center"/>
              <w:rPr>
                <w:rFonts w:ascii="Times New Roman" w:hAnsi="Times New Roman" w:eastAsia="仿宋_GB2312"/>
                <w:sz w:val="24"/>
              </w:rPr>
            </w:pPr>
            <w:r>
              <w:rPr>
                <w:rFonts w:hint="eastAsia" w:ascii="Times New Roman" w:hAnsi="Times New Roman" w:eastAsia="仿宋_GB2312"/>
                <w:sz w:val="24"/>
              </w:rPr>
              <w:t>二拖一燃气机组（3#-5#）</w:t>
            </w:r>
          </w:p>
        </w:tc>
        <w:tc>
          <w:tcPr>
            <w:tcW w:w="918" w:type="pct"/>
          </w:tcPr>
          <w:p>
            <w:pPr>
              <w:jc w:val="center"/>
              <w:rPr>
                <w:rFonts w:ascii="Times New Roman" w:hAnsi="Times New Roman" w:eastAsia="仿宋_GB2312"/>
                <w:sz w:val="24"/>
              </w:rPr>
            </w:pPr>
            <w:r>
              <w:rPr>
                <w:rFonts w:ascii="Times New Roman" w:hAnsi="Times New Roman" w:eastAsia="仿宋_GB2312"/>
                <w:sz w:val="24"/>
              </w:rPr>
              <w:t>否</w:t>
            </w:r>
          </w:p>
        </w:tc>
        <w:tc>
          <w:tcPr>
            <w:tcW w:w="918" w:type="pct"/>
          </w:tcPr>
          <w:p>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118000.00 </w:t>
            </w:r>
          </w:p>
        </w:tc>
        <w:tc>
          <w:tcPr>
            <w:tcW w:w="918" w:type="pct"/>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714" w:type="pct"/>
          </w:tcPr>
          <w:p>
            <w:pPr>
              <w:jc w:val="center"/>
              <w:rPr>
                <w:rFonts w:ascii="Times New Roman" w:hAnsi="Times New Roman" w:eastAsia="仿宋_GB2312"/>
                <w:sz w:val="24"/>
              </w:rPr>
            </w:pPr>
            <w:r>
              <w:rPr>
                <w:rFonts w:ascii="Times New Roman" w:hAnsi="Times New Roman" w:eastAsia="仿宋_GB2312"/>
                <w:sz w:val="24"/>
              </w:rPr>
              <w:t>2019</w:t>
            </w:r>
          </w:p>
        </w:tc>
        <w:tc>
          <w:tcPr>
            <w:tcW w:w="979" w:type="pct"/>
          </w:tcPr>
          <w:p>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918" w:type="pct"/>
          </w:tcPr>
          <w:p>
            <w:pPr>
              <w:jc w:val="center"/>
              <w:rPr>
                <w:rFonts w:ascii="Times New Roman" w:hAnsi="Times New Roman" w:eastAsia="仿宋_GB2312"/>
                <w:sz w:val="24"/>
              </w:rPr>
            </w:pPr>
            <w:r>
              <w:rPr>
                <w:rFonts w:ascii="Times New Roman" w:hAnsi="Times New Roman" w:eastAsia="仿宋_GB2312"/>
                <w:sz w:val="24"/>
              </w:rPr>
              <w:t>否</w:t>
            </w:r>
          </w:p>
        </w:tc>
        <w:tc>
          <w:tcPr>
            <w:tcW w:w="918" w:type="pct"/>
          </w:tcPr>
          <w:p>
            <w:pPr>
              <w:jc w:val="center"/>
              <w:textAlignment w:val="top"/>
              <w:rPr>
                <w:rFonts w:ascii="Times New Roman" w:hAnsi="Times New Roman" w:eastAsia="仿宋_GB2312"/>
                <w:sz w:val="24"/>
              </w:rPr>
            </w:pPr>
            <w:r>
              <w:rPr>
                <w:rFonts w:ascii="Times New Roman" w:hAnsi="Times New Roman" w:eastAsia="仿宋_GB2312"/>
                <w:color w:val="000000"/>
                <w:sz w:val="24"/>
              </w:rPr>
              <w:t xml:space="preserve">60000.00 </w:t>
            </w:r>
          </w:p>
        </w:tc>
        <w:tc>
          <w:tcPr>
            <w:tcW w:w="918" w:type="pct"/>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979" w:type="pct"/>
          </w:tcPr>
          <w:p>
            <w:pPr>
              <w:jc w:val="center"/>
              <w:rPr>
                <w:rFonts w:ascii="Times New Roman" w:hAnsi="Times New Roman" w:eastAsia="仿宋_GB2312"/>
                <w:sz w:val="24"/>
              </w:rPr>
            </w:pPr>
            <w:r>
              <w:rPr>
                <w:rFonts w:hint="eastAsia" w:ascii="Times New Roman" w:hAnsi="Times New Roman" w:eastAsia="仿宋_GB2312"/>
                <w:sz w:val="24"/>
              </w:rPr>
              <w:t>燃气热水锅炉</w:t>
            </w:r>
          </w:p>
        </w:tc>
        <w:tc>
          <w:tcPr>
            <w:tcW w:w="918" w:type="pct"/>
          </w:tcPr>
          <w:p>
            <w:pPr>
              <w:jc w:val="center"/>
              <w:rPr>
                <w:rFonts w:ascii="Times New Roman" w:hAnsi="Times New Roman" w:eastAsia="仿宋_GB2312"/>
                <w:sz w:val="24"/>
              </w:rPr>
            </w:pPr>
            <w:r>
              <w:rPr>
                <w:rFonts w:ascii="Times New Roman" w:hAnsi="Times New Roman" w:eastAsia="仿宋_GB2312"/>
                <w:sz w:val="24"/>
              </w:rPr>
              <w:t>否</w:t>
            </w:r>
          </w:p>
        </w:tc>
        <w:tc>
          <w:tcPr>
            <w:tcW w:w="918" w:type="pct"/>
          </w:tcPr>
          <w:p>
            <w:pPr>
              <w:jc w:val="center"/>
              <w:textAlignment w:val="top"/>
              <w:rPr>
                <w:rFonts w:ascii="Times New Roman" w:hAnsi="Times New Roman" w:eastAsia="仿宋_GB2312"/>
                <w:color w:val="000000"/>
                <w:sz w:val="24"/>
              </w:rPr>
            </w:pPr>
            <w:r>
              <w:rPr>
                <w:rFonts w:hint="eastAsia" w:ascii="Times New Roman" w:hAnsi="Times New Roman" w:eastAsia="仿宋_GB2312"/>
                <w:color w:val="000000"/>
                <w:sz w:val="24"/>
              </w:rPr>
              <w:t>X</w:t>
            </w:r>
            <w:r>
              <w:rPr>
                <w:rFonts w:ascii="Times New Roman" w:hAnsi="Times New Roman" w:eastAsia="仿宋_GB2312"/>
                <w:color w:val="000000"/>
                <w:sz w:val="24"/>
              </w:rPr>
              <w:t>XXX</w:t>
            </w:r>
          </w:p>
        </w:tc>
        <w:tc>
          <w:tcPr>
            <w:tcW w:w="918" w:type="pct"/>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tcPr>
          <w:p>
            <w:pPr>
              <w:jc w:val="center"/>
              <w:rPr>
                <w:rFonts w:ascii="Times New Roman" w:hAnsi="Times New Roman" w:eastAsia="仿宋_GB2312"/>
                <w:color w:val="000000"/>
                <w:sz w:val="24"/>
              </w:rPr>
            </w:pPr>
            <w:r>
              <w:rPr>
                <w:rFonts w:ascii="Times New Roman" w:hAnsi="Times New Roman" w:eastAsia="仿宋_GB2312"/>
                <w:color w:val="000000"/>
                <w:sz w:val="24"/>
              </w:rPr>
              <w:t>合计</w:t>
            </w:r>
          </w:p>
        </w:tc>
        <w:tc>
          <w:tcPr>
            <w:tcW w:w="714" w:type="pct"/>
          </w:tcPr>
          <w:p>
            <w:pPr>
              <w:jc w:val="center"/>
              <w:rPr>
                <w:rFonts w:ascii="Times New Roman" w:hAnsi="Times New Roman" w:eastAsia="仿宋_GB2312"/>
                <w:sz w:val="24"/>
              </w:rPr>
            </w:pPr>
          </w:p>
        </w:tc>
        <w:tc>
          <w:tcPr>
            <w:tcW w:w="979" w:type="pct"/>
          </w:tcPr>
          <w:p>
            <w:pPr>
              <w:jc w:val="center"/>
              <w:rPr>
                <w:rFonts w:ascii="Times New Roman" w:hAnsi="Times New Roman" w:eastAsia="仿宋_GB2312"/>
                <w:sz w:val="24"/>
              </w:rPr>
            </w:pPr>
          </w:p>
        </w:tc>
        <w:tc>
          <w:tcPr>
            <w:tcW w:w="918" w:type="pct"/>
          </w:tcPr>
          <w:p>
            <w:pPr>
              <w:jc w:val="center"/>
              <w:rPr>
                <w:rFonts w:ascii="Times New Roman" w:hAnsi="Times New Roman" w:eastAsia="仿宋_GB2312"/>
                <w:sz w:val="24"/>
              </w:rPr>
            </w:pPr>
          </w:p>
        </w:tc>
        <w:tc>
          <w:tcPr>
            <w:tcW w:w="918" w:type="pct"/>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XXXX </w:t>
            </w:r>
          </w:p>
        </w:tc>
        <w:tc>
          <w:tcPr>
            <w:tcW w:w="918" w:type="pct"/>
          </w:tcPr>
          <w:p>
            <w:pPr>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根据北京市配额核定方法，发电企业（热电联产）采用基准线法进行配额核定，无需核查新增设施的活动水平数据。</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由于柴油流量计未进行校验而无法核对。核查准则中所要求的其他内容已在本次核查中全面覆盖。</w:t>
      </w:r>
    </w:p>
    <w:p>
      <w:pPr>
        <w:pStyle w:val="4"/>
        <w:spacing w:before="0" w:after="0" w:line="560" w:lineRule="exact"/>
        <w:rPr>
          <w:rFonts w:ascii="Times New Roman" w:hAnsi="Times New Roman" w:eastAsia="仿宋_GB2312"/>
          <w:szCs w:val="32"/>
        </w:rPr>
        <w:sectPr>
          <w:pgSz w:w="11906" w:h="16838"/>
          <w:pgMar w:top="1440" w:right="1800" w:bottom="1440" w:left="1800" w:header="851" w:footer="992" w:gutter="0"/>
          <w:cols w:space="720" w:num="1"/>
          <w:docGrid w:type="lines" w:linePitch="312" w:charSpace="0"/>
        </w:sectPr>
      </w:pPr>
    </w:p>
    <w:p>
      <w:pPr>
        <w:pStyle w:val="4"/>
        <w:rPr>
          <w:rFonts w:asciiTheme="majorEastAsia" w:hAnsiTheme="majorEastAsia" w:eastAsiaTheme="majorEastAsia"/>
          <w:sz w:val="32"/>
          <w:szCs w:val="32"/>
        </w:rPr>
      </w:pPr>
      <w:r>
        <w:rPr>
          <w:rFonts w:hint="eastAsia" w:asciiTheme="majorEastAsia" w:hAnsiTheme="majorEastAsia" w:eastAsiaTheme="majorEastAsia"/>
          <w:sz w:val="32"/>
          <w:szCs w:val="32"/>
        </w:rPr>
        <w:t>水泥制造企业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《二氧化碳排放核算和报告要求水泥制造业》（DB11/T 1782-2020）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4500.00吨（其中化石燃料燃烧排放量为3200.00吨，工业生产过程排放量为500.00吨，废弃物处理排放量为800.00吨），间接排放量为13600.00吨，总排放量为18100.00吨。</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协同处理废弃物的种类、数量、废弃物预处置及协同处置部分耗电量与最终排放报告中数据一致。经核查的协同处理废弃物种类为xxx，处理量为xxxx吨。废弃物的预处置部分的耗电量为xxxMWh，废弃物的协同处置部分的耗电量为xxxMWh。</w:t>
      </w:r>
    </w:p>
    <w:p>
      <w:pPr>
        <w:spacing w:after="0" w:line="560" w:lineRule="exact"/>
        <w:ind w:firstLine="640" w:firstLineChars="200"/>
        <w:jc w:val="both"/>
        <w:rPr>
          <w:rFonts w:ascii="Times New Roman" w:hAnsi="Times New Roman" w:eastAsia="仿宋_GB2312"/>
          <w:b/>
          <w:bCs/>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年度排放量与上一年度排放量相比增加了1100.00吨/6.47%，其中直接排放量增加了1000.00吨/28.57%，间接排放量增加了100.00吨/0.74%。原因为xxxxxx。</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本年度排放量与历史基准年份排放量相比增加了1100.00吨，增加比例为6.47%。原因为xxxxxx。</w:t>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144"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43"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间接排放量（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c>
          <w:tcPr>
            <w:tcW w:w="2270" w:type="dxa"/>
            <w:vAlign w:val="center"/>
          </w:tcPr>
          <w:p>
            <w:pPr>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排放总量（</w:t>
            </w:r>
            <w:r>
              <w:rPr>
                <w:rFonts w:ascii="Times New Roman" w:hAnsi="Times New Roman" w:eastAsia="仿宋_GB2312"/>
                <w:color w:val="000000"/>
                <w:sz w:val="21"/>
                <w:szCs w:val="21"/>
              </w:rPr>
              <w:t>tCO</w:t>
            </w:r>
            <w:r>
              <w:rPr>
                <w:rFonts w:ascii="Times New Roman" w:hAnsi="Times New Roman" w:eastAsia="仿宋_GB2312"/>
                <w:color w:val="000000"/>
                <w:sz w:val="21"/>
                <w:szCs w:val="21"/>
                <w:vertAlign w:val="subscript"/>
              </w:rPr>
              <w:t>2</w:t>
            </w:r>
            <w:r>
              <w:rPr>
                <w:rFonts w:hint="eastAsia" w:ascii="Times New Roman" w:hAnsi="Times New Roman"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1000.00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13000.00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1260" w:type="dxa"/>
            <w:noWrap/>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4500.00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18100.00 </w:t>
            </w:r>
          </w:p>
        </w:tc>
      </w:tr>
    </w:tbl>
    <w:p>
      <w:pPr>
        <w:ind w:firstLine="640" w:firstLineChars="200"/>
        <w:rPr>
          <w:rFonts w:ascii="Times New Roman" w:hAnsi="Times New Roman" w:eastAsia="仿宋_GB2312"/>
          <w:sz w:val="32"/>
          <w:szCs w:val="32"/>
        </w:rPr>
      </w:pPr>
    </w:p>
    <w:p>
      <w:pPr>
        <w:ind w:firstLine="440" w:firstLineChars="200"/>
        <w:rPr>
          <w:rFonts w:ascii="Times New Roman" w:hAnsi="Times New Roman" w:eastAsia="仿宋_GB2312"/>
          <w:sz w:val="32"/>
          <w:szCs w:val="32"/>
        </w:rPr>
      </w:pPr>
      <w:r>
        <w:rPr>
          <w:lang w:val="en-US"/>
        </w:rPr>
        <w:drawing>
          <wp:inline distT="0" distB="0" distL="0" distR="0">
            <wp:extent cx="4568825" cy="2740025"/>
            <wp:effectExtent l="0" t="0" r="3175" b="317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排放单位核算和报告边界为位于xxx的生产厂区，有2条xxxx生产线，xx个废弃物预处理车间。与上一年度相比，场所边界无变化；与基准年相比，场所边界无变化。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排放单位2018年xxxx设施（或服务范围）截至2018年底运行（或服务）时间不足12个月，符合既有设施排放配额调整的申请条件。此信息供既有设施调整配额参考。</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pPr>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pPr>
              <w:jc w:val="center"/>
              <w:rPr>
                <w:rFonts w:ascii="Times New Roman" w:hAnsi="Times New Roman" w:eastAsia="仿宋_GB2312"/>
                <w:sz w:val="24"/>
              </w:rPr>
            </w:pPr>
          </w:p>
        </w:tc>
        <w:tc>
          <w:tcPr>
            <w:tcW w:w="786" w:type="dxa"/>
            <w:vMerge w:val="continue"/>
            <w:vAlign w:val="center"/>
          </w:tcPr>
          <w:p>
            <w:pPr>
              <w:jc w:val="center"/>
              <w:rPr>
                <w:rFonts w:ascii="Times New Roman" w:hAnsi="Times New Roman" w:eastAsia="仿宋_GB2312"/>
                <w:sz w:val="24"/>
              </w:rPr>
            </w:pPr>
          </w:p>
        </w:tc>
        <w:tc>
          <w:tcPr>
            <w:tcW w:w="1134" w:type="dxa"/>
            <w:vMerge w:val="continue"/>
            <w:vAlign w:val="center"/>
          </w:tcPr>
          <w:p>
            <w:pPr>
              <w:jc w:val="center"/>
              <w:rPr>
                <w:rFonts w:ascii="Times New Roman" w:hAnsi="Times New Roman" w:eastAsia="仿宋_GB2312"/>
                <w:sz w:val="24"/>
              </w:rPr>
            </w:pPr>
          </w:p>
        </w:tc>
        <w:tc>
          <w:tcPr>
            <w:tcW w:w="709" w:type="dxa"/>
            <w:vMerge w:val="continue"/>
            <w:vAlign w:val="center"/>
          </w:tcPr>
          <w:p>
            <w:pPr>
              <w:jc w:val="center"/>
              <w:rPr>
                <w:rFonts w:ascii="Times New Roman" w:hAnsi="Times New Roman" w:eastAsia="仿宋_GB2312"/>
                <w:sz w:val="24"/>
              </w:rPr>
            </w:pPr>
          </w:p>
        </w:tc>
        <w:tc>
          <w:tcPr>
            <w:tcW w:w="968" w:type="dxa"/>
            <w:vMerge w:val="continue"/>
            <w:vAlign w:val="center"/>
          </w:tcPr>
          <w:p>
            <w:pPr>
              <w:jc w:val="center"/>
              <w:rPr>
                <w:rFonts w:ascii="Times New Roman" w:hAnsi="Times New Roman" w:eastAsia="仿宋_GB2312"/>
                <w:sz w:val="24"/>
              </w:rPr>
            </w:pPr>
          </w:p>
        </w:tc>
        <w:tc>
          <w:tcPr>
            <w:tcW w:w="1121" w:type="dxa"/>
            <w:vMerge w:val="continue"/>
            <w:tcBorders>
              <w:right w:val="single" w:color="auto" w:sz="4" w:space="0"/>
            </w:tcBorders>
            <w:vAlign w:val="center"/>
          </w:tcPr>
          <w:p>
            <w:pPr>
              <w:jc w:val="center"/>
              <w:rPr>
                <w:rFonts w:ascii="Times New Roman" w:hAnsi="Times New Roman" w:eastAsia="仿宋_GB2312"/>
                <w:sz w:val="24"/>
              </w:rPr>
            </w:pP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直接排放量</w:t>
            </w:r>
          </w:p>
          <w:p>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pPr>
              <w:jc w:val="center"/>
              <w:rPr>
                <w:rFonts w:ascii="Times New Roman" w:hAnsi="Times New Roman" w:eastAsia="仿宋_GB2312"/>
                <w:sz w:val="24"/>
              </w:rPr>
            </w:pP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200.00</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60.00</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180.00</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65.00</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20.00</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5.00</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25.00</w:t>
            </w:r>
          </w:p>
        </w:tc>
      </w:tr>
    </w:tbl>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17"/>
        <w:gridCol w:w="2194"/>
        <w:gridCol w:w="1551"/>
        <w:gridCol w:w="119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87"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70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835" w:type="pct"/>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714"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287"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w:t>
            </w:r>
          </w:p>
        </w:tc>
        <w:tc>
          <w:tcPr>
            <w:tcW w:w="91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70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300.00</w:t>
            </w:r>
          </w:p>
        </w:tc>
        <w:tc>
          <w:tcPr>
            <w:tcW w:w="835"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jc w:val="center"/>
              <w:rPr>
                <w:rFonts w:ascii="Times New Roman" w:hAnsi="Times New Roman" w:eastAsia="仿宋_GB2312"/>
                <w:sz w:val="24"/>
              </w:rPr>
            </w:pPr>
            <w:r>
              <w:rPr>
                <w:rFonts w:ascii="Times New Roman" w:hAnsi="Times New Roman" w:eastAsia="仿宋_GB2312"/>
                <w:color w:val="000000"/>
                <w:sz w:val="24"/>
              </w:rPr>
              <w:t>2</w:t>
            </w:r>
          </w:p>
        </w:tc>
        <w:tc>
          <w:tcPr>
            <w:tcW w:w="714" w:type="pct"/>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287" w:type="pc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910"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pPr>
              <w:jc w:val="center"/>
              <w:rPr>
                <w:rFonts w:ascii="Times New Roman" w:hAnsi="Times New Roman" w:eastAsia="仿宋_GB2312"/>
                <w:sz w:val="24"/>
              </w:rPr>
            </w:pPr>
            <w:r>
              <w:rPr>
                <w:rFonts w:ascii="Times New Roman" w:hAnsi="Times New Roman" w:eastAsia="仿宋_GB2312"/>
                <w:sz w:val="24"/>
              </w:rPr>
              <w:t>500.00</w:t>
            </w:r>
          </w:p>
        </w:tc>
        <w:tc>
          <w:tcPr>
            <w:tcW w:w="835" w:type="pct"/>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87" w:type="pct"/>
            <w:vAlign w:val="center"/>
          </w:tcPr>
          <w:p>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910"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835"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jc w:val="center"/>
              <w:rPr>
                <w:rFonts w:ascii="Times New Roman" w:hAnsi="Times New Roman" w:eastAsia="仿宋_GB2312"/>
                <w:sz w:val="24"/>
              </w:rPr>
            </w:pPr>
            <w:r>
              <w:rPr>
                <w:rFonts w:ascii="Times New Roman" w:hAnsi="Times New Roman" w:eastAsia="仿宋_GB2312"/>
                <w:color w:val="000000"/>
                <w:sz w:val="24"/>
              </w:rPr>
              <w:t>合计</w:t>
            </w:r>
          </w:p>
        </w:tc>
        <w:tc>
          <w:tcPr>
            <w:tcW w:w="714" w:type="pct"/>
          </w:tcPr>
          <w:p>
            <w:pPr>
              <w:rPr>
                <w:rFonts w:ascii="Times New Roman" w:hAnsi="Times New Roman" w:eastAsia="仿宋_GB2312"/>
                <w:sz w:val="24"/>
              </w:rPr>
            </w:pPr>
          </w:p>
        </w:tc>
        <w:tc>
          <w:tcPr>
            <w:tcW w:w="1287" w:type="pct"/>
          </w:tcPr>
          <w:p>
            <w:pPr>
              <w:rPr>
                <w:rFonts w:ascii="Times New Roman" w:hAnsi="Times New Roman" w:eastAsia="仿宋_GB2312"/>
                <w:sz w:val="24"/>
              </w:rPr>
            </w:pPr>
          </w:p>
        </w:tc>
        <w:tc>
          <w:tcPr>
            <w:tcW w:w="910" w:type="pct"/>
          </w:tcPr>
          <w:p>
            <w:pPr>
              <w:rPr>
                <w:rFonts w:ascii="Times New Roman" w:hAnsi="Times New Roman" w:eastAsia="仿宋_GB2312"/>
                <w:sz w:val="24"/>
              </w:rPr>
            </w:pPr>
          </w:p>
        </w:tc>
        <w:tc>
          <w:tcPr>
            <w:tcW w:w="700" w:type="pc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835" w:type="pct"/>
          </w:tcPr>
          <w:p>
            <w:pPr>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排放单位2020年新增设施的总排放量为XXX吨，是基准年排放量的XXX%</w:t>
      </w:r>
      <w:r>
        <w:rPr>
          <w:rStyle w:val="39"/>
          <w:rFonts w:eastAsia="仿宋_GB2312"/>
          <w:sz w:val="32"/>
          <w:szCs w:val="32"/>
        </w:rPr>
        <w:t>，新增设施主要用于废弃物协同处置，对应的xx废弃物处理量为xxx吨</w:t>
      </w:r>
      <w:r>
        <w:rPr>
          <w:rFonts w:ascii="Times New Roman" w:hAnsi="Times New Roman" w:eastAsia="仿宋_GB2312"/>
          <w:sz w:val="32"/>
          <w:szCs w:val="32"/>
        </w:rPr>
        <w:t>。此信息供新增设施发放配额参考。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石油化工生产企业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二氧化碳排放的核查工作。核查范围包括排放单位所有在北京市行政辖区内固定设施导致的二氧化碳直接排放和二氧化碳间接排放。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《二氧化碳排放核算和报告要求石油化工生产业》（DB11/T 1783-2020）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经核查的直接和间接排放量与最终排放报告中的数据一致。经核查的直接排放量为2000.00吨（化石燃料燃烧排放量为1500.00吨，工业生产过程排放量为500.00吨），间接排放量为12000.00吨，总排放量为14000.00吨。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经核查的产品产量、产值与最终排放报告中数据一致。经核查的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w:t>
      </w:r>
      <w:r>
        <w:rPr>
          <w:rFonts w:hint="eastAsia" w:ascii="Times New Roman" w:hAnsi="Times New Roman" w:eastAsia="仿宋_GB2312"/>
          <w:sz w:val="32"/>
          <w:szCs w:val="32"/>
        </w:rPr>
        <w:t>吨，产值为</w:t>
      </w:r>
      <w:r>
        <w:rPr>
          <w:rFonts w:ascii="Times New Roman" w:hAnsi="Times New Roman" w:eastAsia="仿宋_GB2312"/>
          <w:sz w:val="32"/>
          <w:szCs w:val="32"/>
        </w:rPr>
        <w:t>xxx</w:t>
      </w:r>
      <w:r>
        <w:rPr>
          <w:rFonts w:hint="eastAsia" w:ascii="Times New Roman" w:hAnsi="Times New Roman" w:eastAsia="仿宋_GB2312"/>
          <w:sz w:val="32"/>
          <w:szCs w:val="32"/>
        </w:rPr>
        <w:t>万元。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 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本年度排放量与上年度排放量相比下降了3000.00吨/17.65%，其中，直接排放量下降了1500.00吨/42.86%，间接排放量下降了1500.00吨/11.11%。原因为xxxxxx。</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本年度排放量与历史基准年份排放量相比下降了3000.00吨，下降比例为17.65%。原因为xxxxxx。</w:t>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7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144"/>
        <w:gridCol w:w="224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260"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2144"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2243"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2270" w:type="dxa"/>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14297.00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19297.00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13643.00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16643.00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13500.00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17000.00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60" w:type="dxa"/>
            <w:noWrap/>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2144"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2000.00 </w:t>
            </w:r>
          </w:p>
        </w:tc>
        <w:tc>
          <w:tcPr>
            <w:tcW w:w="2243" w:type="dxa"/>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12000.00 </w:t>
            </w:r>
          </w:p>
        </w:tc>
        <w:tc>
          <w:tcPr>
            <w:tcW w:w="2270" w:type="dxa"/>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14000.00 </w:t>
            </w:r>
          </w:p>
        </w:tc>
      </w:tr>
    </w:tbl>
    <w:p>
      <w:pPr>
        <w:ind w:firstLine="440" w:firstLineChars="200"/>
        <w:rPr>
          <w:rFonts w:ascii="Times New Roman" w:hAnsi="Times New Roman"/>
        </w:rPr>
      </w:pPr>
      <w:r>
        <w:rPr>
          <w:lang w:val="en-US"/>
        </w:rPr>
        <w:drawing>
          <wp:inline distT="0" distB="0" distL="0" distR="0">
            <wp:extent cx="4568825" cy="2740025"/>
            <wp:effectExtent l="0" t="0" r="3175" b="317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排放单位核算和报告边界为位于xxx的生产厂区，有2条xxxx生产线。与上年度相比，场所边界无变化；与基准年相比，场所边界无变化。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排放单位不涉及既有设施排放配额调整。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排放单位既有设施退出为xxx，未被新增设施替代。</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pPr>
              <w:jc w:val="center"/>
              <w:rPr>
                <w:rFonts w:ascii="Times New Roman" w:hAnsi="Times New Roman" w:eastAsia="仿宋_GB2312"/>
                <w:sz w:val="24"/>
              </w:rPr>
            </w:pPr>
          </w:p>
        </w:tc>
        <w:tc>
          <w:tcPr>
            <w:tcW w:w="786" w:type="dxa"/>
            <w:vMerge w:val="continue"/>
            <w:vAlign w:val="center"/>
          </w:tcPr>
          <w:p>
            <w:pPr>
              <w:jc w:val="center"/>
              <w:rPr>
                <w:rFonts w:ascii="Times New Roman" w:hAnsi="Times New Roman" w:eastAsia="仿宋_GB2312"/>
                <w:sz w:val="24"/>
              </w:rPr>
            </w:pPr>
          </w:p>
        </w:tc>
        <w:tc>
          <w:tcPr>
            <w:tcW w:w="1134" w:type="dxa"/>
            <w:vMerge w:val="continue"/>
            <w:vAlign w:val="center"/>
          </w:tcPr>
          <w:p>
            <w:pPr>
              <w:jc w:val="center"/>
              <w:rPr>
                <w:rFonts w:ascii="Times New Roman" w:hAnsi="Times New Roman" w:eastAsia="仿宋_GB2312"/>
                <w:sz w:val="24"/>
              </w:rPr>
            </w:pPr>
          </w:p>
        </w:tc>
        <w:tc>
          <w:tcPr>
            <w:tcW w:w="709" w:type="dxa"/>
            <w:vMerge w:val="continue"/>
            <w:vAlign w:val="center"/>
          </w:tcPr>
          <w:p>
            <w:pPr>
              <w:jc w:val="center"/>
              <w:rPr>
                <w:rFonts w:ascii="Times New Roman" w:hAnsi="Times New Roman" w:eastAsia="仿宋_GB2312"/>
                <w:sz w:val="24"/>
              </w:rPr>
            </w:pPr>
          </w:p>
        </w:tc>
        <w:tc>
          <w:tcPr>
            <w:tcW w:w="968" w:type="dxa"/>
            <w:vMerge w:val="continue"/>
            <w:vAlign w:val="center"/>
          </w:tcPr>
          <w:p>
            <w:pPr>
              <w:jc w:val="center"/>
              <w:rPr>
                <w:rFonts w:ascii="Times New Roman" w:hAnsi="Times New Roman" w:eastAsia="仿宋_GB2312"/>
                <w:sz w:val="24"/>
              </w:rPr>
            </w:pPr>
          </w:p>
        </w:tc>
        <w:tc>
          <w:tcPr>
            <w:tcW w:w="1121" w:type="dxa"/>
            <w:vMerge w:val="continue"/>
            <w:tcBorders>
              <w:right w:val="single" w:color="auto" w:sz="4" w:space="0"/>
            </w:tcBorders>
            <w:vAlign w:val="center"/>
          </w:tcPr>
          <w:p>
            <w:pPr>
              <w:jc w:val="center"/>
              <w:rPr>
                <w:rFonts w:ascii="Times New Roman" w:hAnsi="Times New Roman" w:eastAsia="仿宋_GB2312"/>
                <w:sz w:val="24"/>
              </w:rPr>
            </w:pP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直接排放量</w:t>
            </w:r>
          </w:p>
          <w:p>
            <w:pPr>
              <w:jc w:val="center"/>
              <w:rPr>
                <w:rFonts w:ascii="Times New Roman" w:hAnsi="Times New Roman" w:eastAsia="仿宋_GB2312"/>
                <w:sz w:val="24"/>
              </w:rPr>
            </w:pPr>
            <w:r>
              <w:rPr>
                <w:rFonts w:ascii="Times New Roman" w:hAnsi="Times New Roman" w:eastAsia="仿宋_GB2312"/>
                <w:sz w:val="24"/>
              </w:rPr>
              <w:t>（tCO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pPr>
              <w:jc w:val="center"/>
              <w:rPr>
                <w:rFonts w:ascii="Times New Roman" w:hAnsi="Times New Roman" w:eastAsia="仿宋_GB2312"/>
                <w:sz w:val="24"/>
              </w:rPr>
            </w:pP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100.00</w:t>
            </w:r>
          </w:p>
        </w:tc>
        <w:tc>
          <w:tcPr>
            <w:tcW w:w="1116" w:type="dxa"/>
          </w:tcPr>
          <w:p>
            <w:pPr>
              <w:rPr>
                <w:rFonts w:ascii="Times New Roman" w:hAnsi="Times New Roman" w:eastAsia="仿宋_GB2312"/>
                <w:sz w:val="24"/>
              </w:rPr>
            </w:pPr>
            <w:r>
              <w:rPr>
                <w:rFonts w:ascii="Times New Roman" w:hAnsi="Times New Roman" w:eastAsia="仿宋_GB2312"/>
                <w:sz w:val="24"/>
              </w:rPr>
              <w:t>20.00</w:t>
            </w:r>
          </w:p>
        </w:tc>
        <w:tc>
          <w:tcPr>
            <w:tcW w:w="1116" w:type="dxa"/>
          </w:tcPr>
          <w:p>
            <w:pPr>
              <w:rPr>
                <w:rFonts w:ascii="Times New Roman" w:hAnsi="Times New Roman" w:eastAsia="仿宋_GB2312"/>
                <w:sz w:val="24"/>
              </w:rPr>
            </w:pPr>
            <w:r>
              <w:rPr>
                <w:rFonts w:ascii="Times New Roman" w:hAnsi="Times New Roman" w:eastAsia="仿宋_GB2312"/>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120.00</w:t>
            </w:r>
          </w:p>
        </w:tc>
        <w:tc>
          <w:tcPr>
            <w:tcW w:w="1116" w:type="dxa"/>
          </w:tcPr>
          <w:p>
            <w:pPr>
              <w:rPr>
                <w:rFonts w:ascii="Times New Roman" w:hAnsi="Times New Roman" w:eastAsia="仿宋_GB2312"/>
                <w:sz w:val="24"/>
              </w:rPr>
            </w:pPr>
            <w:r>
              <w:rPr>
                <w:rFonts w:ascii="Times New Roman" w:hAnsi="Times New Roman" w:eastAsia="仿宋_GB2312"/>
                <w:sz w:val="24"/>
              </w:rPr>
              <w:t>18.00</w:t>
            </w:r>
          </w:p>
        </w:tc>
        <w:tc>
          <w:tcPr>
            <w:tcW w:w="1116" w:type="dxa"/>
          </w:tcPr>
          <w:p>
            <w:pPr>
              <w:rPr>
                <w:rFonts w:ascii="Times New Roman" w:hAnsi="Times New Roman" w:eastAsia="仿宋_GB2312"/>
                <w:sz w:val="24"/>
              </w:rPr>
            </w:pPr>
            <w:r>
              <w:rPr>
                <w:rFonts w:ascii="Times New Roman" w:hAnsi="Times New Roman" w:eastAsia="仿宋_GB2312"/>
                <w:sz w:val="24"/>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60.00</w:t>
            </w:r>
          </w:p>
        </w:tc>
        <w:tc>
          <w:tcPr>
            <w:tcW w:w="1116" w:type="dxa"/>
          </w:tcPr>
          <w:p>
            <w:pPr>
              <w:rPr>
                <w:rFonts w:ascii="Times New Roman" w:hAnsi="Times New Roman" w:eastAsia="仿宋_GB2312"/>
                <w:sz w:val="24"/>
              </w:rPr>
            </w:pPr>
            <w:r>
              <w:rPr>
                <w:rFonts w:ascii="Times New Roman" w:hAnsi="Times New Roman" w:eastAsia="仿宋_GB2312"/>
                <w:sz w:val="24"/>
              </w:rPr>
              <w:t>10.00</w:t>
            </w:r>
          </w:p>
        </w:tc>
        <w:tc>
          <w:tcPr>
            <w:tcW w:w="1116" w:type="dxa"/>
          </w:tcPr>
          <w:p>
            <w:pPr>
              <w:rPr>
                <w:rFonts w:ascii="Times New Roman" w:hAnsi="Times New Roman" w:eastAsia="仿宋_GB2312"/>
                <w:sz w:val="24"/>
              </w:rPr>
            </w:pPr>
            <w:r>
              <w:rPr>
                <w:rFonts w:ascii="Times New Roman" w:hAnsi="Times New Roman" w:eastAsia="仿宋_GB2312"/>
                <w:sz w:val="24"/>
              </w:rPr>
              <w:t>70.00</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排放单位新增设施主要为生产用电设备，其排放量信息见下表：</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217"/>
        <w:gridCol w:w="2194"/>
        <w:gridCol w:w="1552"/>
        <w:gridCol w:w="119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714"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88"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1"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70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835" w:type="pct"/>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714"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288"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911"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否</w:t>
            </w:r>
          </w:p>
        </w:tc>
        <w:tc>
          <w:tcPr>
            <w:tcW w:w="70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200.00</w:t>
            </w:r>
          </w:p>
        </w:tc>
        <w:tc>
          <w:tcPr>
            <w:tcW w:w="835"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pPr>
              <w:jc w:val="center"/>
              <w:rPr>
                <w:rFonts w:ascii="Times New Roman" w:hAnsi="Times New Roman" w:eastAsia="仿宋_GB2312"/>
                <w:sz w:val="24"/>
              </w:rPr>
            </w:pPr>
            <w:r>
              <w:rPr>
                <w:rFonts w:ascii="Times New Roman" w:hAnsi="Times New Roman" w:eastAsia="仿宋_GB2312"/>
                <w:color w:val="000000"/>
                <w:sz w:val="24"/>
              </w:rPr>
              <w:t>2</w:t>
            </w:r>
          </w:p>
        </w:tc>
        <w:tc>
          <w:tcPr>
            <w:tcW w:w="714" w:type="pct"/>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288" w:type="pct"/>
            <w:vAlign w:val="center"/>
          </w:tcPr>
          <w:p>
            <w:pPr>
              <w:jc w:val="center"/>
              <w:rPr>
                <w:rFonts w:ascii="Times New Roman" w:hAnsi="Times New Roman" w:eastAsia="仿宋_GB2312"/>
                <w:sz w:val="24"/>
              </w:rPr>
            </w:pPr>
            <w:r>
              <w:rPr>
                <w:rFonts w:ascii="Times New Roman" w:hAnsi="Times New Roman" w:eastAsia="仿宋_GB2312"/>
                <w:color w:val="000000"/>
                <w:sz w:val="24"/>
              </w:rPr>
              <w:t>xxx设备</w:t>
            </w:r>
          </w:p>
        </w:tc>
        <w:tc>
          <w:tcPr>
            <w:tcW w:w="911"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pPr>
              <w:jc w:val="center"/>
              <w:rPr>
                <w:rFonts w:ascii="Times New Roman" w:hAnsi="Times New Roman" w:eastAsia="仿宋_GB2312"/>
                <w:sz w:val="24"/>
              </w:rPr>
            </w:pPr>
            <w:r>
              <w:rPr>
                <w:rFonts w:ascii="Times New Roman" w:hAnsi="Times New Roman" w:eastAsia="仿宋_GB2312"/>
                <w:sz w:val="24"/>
              </w:rPr>
              <w:t>800.00</w:t>
            </w:r>
          </w:p>
        </w:tc>
        <w:tc>
          <w:tcPr>
            <w:tcW w:w="835" w:type="pct"/>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714"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88" w:type="pct"/>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xxx设备</w:t>
            </w:r>
          </w:p>
        </w:tc>
        <w:tc>
          <w:tcPr>
            <w:tcW w:w="911"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700" w:type="pc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835"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pPr>
              <w:jc w:val="center"/>
              <w:rPr>
                <w:rFonts w:ascii="Times New Roman" w:hAnsi="Times New Roman" w:eastAsia="仿宋_GB2312"/>
                <w:sz w:val="24"/>
              </w:rPr>
            </w:pPr>
            <w:r>
              <w:rPr>
                <w:rFonts w:ascii="Times New Roman" w:hAnsi="Times New Roman" w:eastAsia="仿宋_GB2312"/>
                <w:color w:val="000000"/>
                <w:sz w:val="24"/>
              </w:rPr>
              <w:t>合计</w:t>
            </w:r>
          </w:p>
        </w:tc>
        <w:tc>
          <w:tcPr>
            <w:tcW w:w="714" w:type="pct"/>
          </w:tcPr>
          <w:p>
            <w:pPr>
              <w:rPr>
                <w:rFonts w:ascii="Times New Roman" w:hAnsi="Times New Roman" w:eastAsia="仿宋_GB2312"/>
                <w:sz w:val="24"/>
              </w:rPr>
            </w:pPr>
          </w:p>
        </w:tc>
        <w:tc>
          <w:tcPr>
            <w:tcW w:w="1288" w:type="pct"/>
          </w:tcPr>
          <w:p>
            <w:pPr>
              <w:rPr>
                <w:rFonts w:ascii="Times New Roman" w:hAnsi="Times New Roman" w:eastAsia="仿宋_GB2312"/>
                <w:sz w:val="24"/>
              </w:rPr>
            </w:pPr>
          </w:p>
        </w:tc>
        <w:tc>
          <w:tcPr>
            <w:tcW w:w="911" w:type="pct"/>
          </w:tcPr>
          <w:p>
            <w:pPr>
              <w:rPr>
                <w:rFonts w:ascii="Times New Roman" w:hAnsi="Times New Roman" w:eastAsia="仿宋_GB2312"/>
                <w:sz w:val="24"/>
              </w:rPr>
            </w:pPr>
          </w:p>
        </w:tc>
        <w:tc>
          <w:tcPr>
            <w:tcW w:w="700" w:type="pc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835" w:type="pct"/>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rPr>
                <w:rFonts w:ascii="Times New Roman" w:hAnsi="Times New Roman" w:eastAsia="仿宋_GB2312"/>
                <w:sz w:val="24"/>
              </w:rPr>
            </w:pPr>
            <w:r>
              <w:rPr>
                <w:rFonts w:ascii="Times New Roman" w:hAnsi="Times New Roman" w:eastAsia="仿宋_GB2312"/>
                <w:sz w:val="24"/>
              </w:rPr>
              <w:t>备注：</w:t>
            </w:r>
          </w:p>
        </w:tc>
      </w:tr>
    </w:tbl>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新增设施排放量为XXX吨，是基准年份排放量的XXX%，新增设施对应的产值为xxxx万元。此信息供新增设施发放配额参考。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道路运输业企业</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度二氧化碳排放的核查工作。核查范围包括排放单位所有在北京市辖区内的运营系统以及直接为营运车辆服务的辅助系统导致的二氧化碳直接排放和二氧化碳间接排放。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《二氧化碳排放核算和报告要求道路运输业》（DB11/T 1786-2020）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经核查排放量与最终排放报告中的一致。经核查的排放量如下：</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894"/>
        <w:gridCol w:w="1667"/>
        <w:gridCol w:w="1753"/>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排放设施</w:t>
            </w:r>
          </w:p>
        </w:tc>
        <w:tc>
          <w:tcPr>
            <w:tcW w:w="1111"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化石燃料燃烧排放量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978"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过程排放量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1028"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间接排放量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c>
          <w:tcPr>
            <w:tcW w:w="990" w:type="pct"/>
            <w:vAlign w:val="center"/>
          </w:tcPr>
          <w:p>
            <w:pPr>
              <w:jc w:val="center"/>
              <w:rPr>
                <w:rFonts w:ascii="Times New Roman" w:hAnsi="Times New Roman" w:eastAsia="仿宋_GB2312"/>
                <w:sz w:val="21"/>
                <w:szCs w:val="21"/>
              </w:rPr>
            </w:pPr>
            <w:r>
              <w:rPr>
                <w:rFonts w:hint="eastAsia" w:ascii="Times New Roman" w:hAnsi="Times New Roman" w:eastAsia="仿宋_GB2312"/>
                <w:sz w:val="21"/>
                <w:szCs w:val="21"/>
              </w:rPr>
              <w:t>总排放量</w:t>
            </w:r>
          </w:p>
          <w:p>
            <w:pPr>
              <w:jc w:val="center"/>
              <w:rPr>
                <w:rFonts w:ascii="Times New Roman" w:hAnsi="Times New Roman" w:eastAsia="仿宋_GB2312"/>
                <w:sz w:val="21"/>
                <w:szCs w:val="21"/>
              </w:rPr>
            </w:pPr>
            <w:r>
              <w:rPr>
                <w:rFonts w:hint="eastAsia" w:ascii="Times New Roman" w:hAnsi="Times New Roman" w:eastAsia="仿宋_GB2312"/>
                <w:sz w:val="21"/>
                <w:szCs w:val="21"/>
              </w:rPr>
              <w:t>（</w:t>
            </w:r>
            <w:r>
              <w:rPr>
                <w:rFonts w:ascii="Times New Roman" w:hAnsi="Times New Roman" w:eastAsia="仿宋_GB2312"/>
                <w:sz w:val="21"/>
                <w:szCs w:val="21"/>
              </w:rPr>
              <w:t>tCO</w:t>
            </w:r>
            <w:r>
              <w:rPr>
                <w:rFonts w:ascii="Times New Roman" w:hAnsi="Times New Roman" w:eastAsia="仿宋_GB2312"/>
                <w:sz w:val="21"/>
                <w:szCs w:val="21"/>
                <w:vertAlign w:val="subscript"/>
              </w:rPr>
              <w:t>2</w:t>
            </w:r>
            <w:r>
              <w:rPr>
                <w:rFonts w:hint="eastAsia"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jc w:val="center"/>
              <w:rPr>
                <w:rFonts w:ascii="Times New Roman" w:hAnsi="Times New Roman" w:eastAsia="仿宋_GB2312"/>
                <w:sz w:val="24"/>
              </w:rPr>
            </w:pPr>
            <w:r>
              <w:rPr>
                <w:rFonts w:ascii="Times New Roman" w:hAnsi="Times New Roman" w:eastAsia="仿宋_GB2312"/>
                <w:sz w:val="24"/>
              </w:rPr>
              <w:t>移动设施</w:t>
            </w:r>
          </w:p>
        </w:tc>
        <w:tc>
          <w:tcPr>
            <w:tcW w:w="1894"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66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753"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1000.00 </w:t>
            </w:r>
          </w:p>
        </w:tc>
        <w:tc>
          <w:tcPr>
            <w:tcW w:w="1688"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35020.00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jc w:val="center"/>
              <w:rPr>
                <w:rFonts w:ascii="Times New Roman" w:hAnsi="Times New Roman" w:eastAsia="仿宋_GB2312"/>
                <w:sz w:val="24"/>
              </w:rPr>
            </w:pPr>
            <w:r>
              <w:rPr>
                <w:rFonts w:ascii="Times New Roman" w:hAnsi="Times New Roman" w:eastAsia="仿宋_GB2312"/>
                <w:sz w:val="24"/>
              </w:rPr>
              <w:t>固定设施</w:t>
            </w:r>
          </w:p>
        </w:tc>
        <w:tc>
          <w:tcPr>
            <w:tcW w:w="1894"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66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0.00 </w:t>
            </w:r>
          </w:p>
        </w:tc>
        <w:tc>
          <w:tcPr>
            <w:tcW w:w="1753"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300.00 </w:t>
            </w:r>
          </w:p>
        </w:tc>
        <w:tc>
          <w:tcPr>
            <w:tcW w:w="1688"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322.20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vAlign w:val="center"/>
          </w:tcPr>
          <w:p>
            <w:pPr>
              <w:jc w:val="center"/>
              <w:rPr>
                <w:rFonts w:ascii="Times New Roman" w:hAnsi="Times New Roman" w:eastAsia="仿宋_GB2312"/>
                <w:sz w:val="24"/>
              </w:rPr>
            </w:pPr>
            <w:r>
              <w:rPr>
                <w:rFonts w:ascii="Times New Roman" w:hAnsi="Times New Roman" w:eastAsia="仿宋_GB2312"/>
                <w:sz w:val="24"/>
              </w:rPr>
              <w:t>合计</w:t>
            </w:r>
          </w:p>
        </w:tc>
        <w:tc>
          <w:tcPr>
            <w:tcW w:w="1894"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34000.00 </w:t>
            </w:r>
          </w:p>
        </w:tc>
        <w:tc>
          <w:tcPr>
            <w:tcW w:w="1667"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20.00 </w:t>
            </w:r>
          </w:p>
        </w:tc>
        <w:tc>
          <w:tcPr>
            <w:tcW w:w="1753" w:type="dxa"/>
            <w:vAlign w:val="center"/>
          </w:tcPr>
          <w:p>
            <w:pPr>
              <w:jc w:val="center"/>
              <w:textAlignment w:val="center"/>
              <w:rPr>
                <w:rFonts w:ascii="Times New Roman" w:hAnsi="Times New Roman" w:eastAsia="仿宋_GB2312"/>
                <w:sz w:val="24"/>
              </w:rPr>
            </w:pPr>
            <w:r>
              <w:rPr>
                <w:rFonts w:ascii="Times New Roman" w:hAnsi="Times New Roman"/>
                <w:color w:val="000000"/>
                <w:sz w:val="24"/>
              </w:rPr>
              <w:t xml:space="preserve">1300.00 </w:t>
            </w:r>
          </w:p>
        </w:tc>
        <w:tc>
          <w:tcPr>
            <w:tcW w:w="1688" w:type="dxa"/>
          </w:tcPr>
          <w:p>
            <w:pPr>
              <w:jc w:val="center"/>
              <w:textAlignment w:val="top"/>
              <w:rPr>
                <w:rFonts w:ascii="Times New Roman" w:hAnsi="Times New Roman" w:eastAsia="仿宋_GB2312"/>
                <w:sz w:val="24"/>
              </w:rPr>
            </w:pPr>
            <w:r>
              <w:rPr>
                <w:rFonts w:ascii="Times New Roman" w:hAnsi="Times New Roman"/>
                <w:color w:val="000000"/>
                <w:sz w:val="24"/>
              </w:rPr>
              <w:t xml:space="preserve">35320.00 </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排放单位固定设施建筑面积和移动设施的运输总里程与最终排放报告中一致。经核查的固定设施建筑面积为xxxx平方米，移动设施运输总里程为xxxx万公里。</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3.排放量排放量及活动水平的原因说明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排放单位本年度排放量相比上年度排放量增加了4008.00吨/12.80%，其中</w:t>
      </w:r>
      <w:r>
        <w:rPr>
          <w:rFonts w:hint="eastAsia" w:ascii="Times New Roman" w:hAnsi="Times New Roman" w:eastAsia="仿宋_GB2312"/>
          <w:sz w:val="32"/>
          <w:szCs w:val="32"/>
        </w:rPr>
        <w:t>化石燃料燃烧</w:t>
      </w:r>
      <w:r>
        <w:rPr>
          <w:rFonts w:ascii="Times New Roman" w:hAnsi="Times New Roman" w:eastAsia="仿宋_GB2312"/>
          <w:sz w:val="32"/>
          <w:szCs w:val="32"/>
        </w:rPr>
        <w:t>排放量增加了3800.00吨/12.58%，过程排放量增加了8.00吨/66.67%</w:t>
      </w:r>
      <w:r>
        <w:rPr>
          <w:rFonts w:hint="eastAsia" w:ascii="Times New Roman" w:hAnsi="Times New Roman" w:eastAsia="仿宋_GB2312"/>
          <w:sz w:val="32"/>
          <w:szCs w:val="32"/>
        </w:rPr>
        <w:t>，</w:t>
      </w:r>
      <w:r>
        <w:rPr>
          <w:rFonts w:ascii="Times New Roman" w:hAnsi="Times New Roman" w:eastAsia="仿宋_GB2312"/>
          <w:sz w:val="32"/>
          <w:szCs w:val="32"/>
        </w:rPr>
        <w:t>间接排放量增加了200.00吨/18.18%。主要原因是排放单位客运里程数增加10.44%，增加了运营车辆的数量，导致排放量上升明显。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本年度排放量相比历史基准年份排放量相比增加4008.00吨，增加比例为12.80%，原因为客运里程数增加了xxx万公里。</w:t>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表XX  排放量汇总表</w:t>
      </w:r>
    </w:p>
    <w:tbl>
      <w:tblPr>
        <w:tblStyle w:val="35"/>
        <w:tblW w:w="4997" w:type="pct"/>
        <w:tblInd w:w="0" w:type="dxa"/>
        <w:tblLayout w:type="autofit"/>
        <w:tblCellMar>
          <w:top w:w="0" w:type="dxa"/>
          <w:left w:w="108" w:type="dxa"/>
          <w:bottom w:w="0" w:type="dxa"/>
          <w:right w:w="108" w:type="dxa"/>
        </w:tblCellMar>
      </w:tblPr>
      <w:tblGrid>
        <w:gridCol w:w="1243"/>
        <w:gridCol w:w="1577"/>
        <w:gridCol w:w="1799"/>
        <w:gridCol w:w="1949"/>
        <w:gridCol w:w="1949"/>
      </w:tblGrid>
      <w:tr>
        <w:tblPrEx>
          <w:tblCellMar>
            <w:top w:w="0" w:type="dxa"/>
            <w:left w:w="108" w:type="dxa"/>
            <w:bottom w:w="0" w:type="dxa"/>
            <w:right w:w="108" w:type="dxa"/>
          </w:tblCellMar>
        </w:tblPrEx>
        <w:trPr>
          <w:trHeight w:val="730" w:hRule="atLeast"/>
        </w:trPr>
        <w:tc>
          <w:tcPr>
            <w:tcW w:w="7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92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化石燃料燃烧排放量（tCO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056"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过程排放量（tCO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14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1144"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CellMar>
            <w:top w:w="0" w:type="dxa"/>
            <w:left w:w="108" w:type="dxa"/>
            <w:bottom w:w="0" w:type="dxa"/>
            <w:right w:w="108" w:type="dxa"/>
          </w:tblCellMar>
        </w:tblPrEx>
        <w:trPr>
          <w:trHeight w:val="381" w:hRule="atLeast"/>
        </w:trPr>
        <w:tc>
          <w:tcPr>
            <w:tcW w:w="73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926" w:type="pct"/>
            <w:tcBorders>
              <w:top w:val="nil"/>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29000.00 </w:t>
            </w:r>
          </w:p>
        </w:tc>
        <w:tc>
          <w:tcPr>
            <w:tcW w:w="1056" w:type="pct"/>
            <w:tcBorders>
              <w:top w:val="nil"/>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4.00 </w:t>
            </w:r>
          </w:p>
        </w:tc>
        <w:tc>
          <w:tcPr>
            <w:tcW w:w="1144" w:type="pct"/>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900</w:t>
            </w:r>
          </w:p>
        </w:tc>
        <w:tc>
          <w:tcPr>
            <w:tcW w:w="1144" w:type="pct"/>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29904.00 </w:t>
            </w:r>
          </w:p>
        </w:tc>
      </w:tr>
      <w:tr>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926" w:type="pct"/>
            <w:tcBorders>
              <w:top w:val="nil"/>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29800.00 </w:t>
            </w:r>
          </w:p>
        </w:tc>
        <w:tc>
          <w:tcPr>
            <w:tcW w:w="1056" w:type="pct"/>
            <w:tcBorders>
              <w:top w:val="nil"/>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5.00 </w:t>
            </w:r>
          </w:p>
        </w:tc>
        <w:tc>
          <w:tcPr>
            <w:tcW w:w="1144" w:type="pct"/>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1000</w:t>
            </w:r>
          </w:p>
        </w:tc>
        <w:tc>
          <w:tcPr>
            <w:tcW w:w="1144" w:type="pct"/>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30805.00 </w:t>
            </w:r>
          </w:p>
        </w:tc>
      </w:tr>
      <w:tr>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926" w:type="pct"/>
            <w:tcBorders>
              <w:top w:val="nil"/>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30200.00 </w:t>
            </w:r>
          </w:p>
        </w:tc>
        <w:tc>
          <w:tcPr>
            <w:tcW w:w="1056" w:type="pct"/>
            <w:tcBorders>
              <w:top w:val="nil"/>
              <w:left w:val="nil"/>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12.00 </w:t>
            </w:r>
          </w:p>
        </w:tc>
        <w:tc>
          <w:tcPr>
            <w:tcW w:w="1144" w:type="pct"/>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1100</w:t>
            </w:r>
          </w:p>
        </w:tc>
        <w:tc>
          <w:tcPr>
            <w:tcW w:w="1144" w:type="pct"/>
            <w:tcBorders>
              <w:top w:val="nil"/>
              <w:left w:val="nil"/>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31312.00 </w:t>
            </w:r>
          </w:p>
        </w:tc>
      </w:tr>
      <w:tr>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926" w:type="pc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056" w:type="pc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114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114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r>
        <w:tblPrEx>
          <w:tblCellMar>
            <w:top w:w="0" w:type="dxa"/>
            <w:left w:w="108" w:type="dxa"/>
            <w:bottom w:w="0" w:type="dxa"/>
            <w:right w:w="108" w:type="dxa"/>
          </w:tblCellMar>
        </w:tblPrEx>
        <w:trPr>
          <w:trHeight w:val="347" w:hRule="atLeast"/>
        </w:trPr>
        <w:tc>
          <w:tcPr>
            <w:tcW w:w="730"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926" w:type="pc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34000.00 </w:t>
            </w:r>
          </w:p>
        </w:tc>
        <w:tc>
          <w:tcPr>
            <w:tcW w:w="1056" w:type="pc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20.00 </w:t>
            </w:r>
          </w:p>
        </w:tc>
        <w:tc>
          <w:tcPr>
            <w:tcW w:w="114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1300</w:t>
            </w:r>
          </w:p>
        </w:tc>
        <w:tc>
          <w:tcPr>
            <w:tcW w:w="1144"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 xml:space="preserve">35320.00 </w:t>
            </w:r>
          </w:p>
        </w:tc>
      </w:tr>
    </w:tbl>
    <w:p>
      <w:pPr>
        <w:rPr>
          <w:rFonts w:ascii="Times New Roman" w:hAnsi="Times New Roman"/>
        </w:rPr>
      </w:pPr>
      <w:r>
        <w:rPr>
          <w:lang w:val="en-US"/>
        </w:rPr>
        <w:drawing>
          <wp:inline distT="0" distB="0" distL="0" distR="0">
            <wp:extent cx="5282565" cy="2540000"/>
            <wp:effectExtent l="0" t="0" r="13335" b="12700"/>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0" w:line="560" w:lineRule="exact"/>
        <w:jc w:val="center"/>
        <w:rPr>
          <w:rFonts w:ascii="Times New Roman" w:hAnsi="Times New Roman"/>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排放单位核算和报告边界为北京市辖区内的服务范围，包括xx个公交场站，</w:t>
      </w:r>
      <w:r>
        <w:rPr>
          <w:rFonts w:hint="eastAsia" w:ascii="Times New Roman" w:hAnsi="Times New Roman" w:eastAsia="仿宋_GB2312"/>
          <w:sz w:val="32"/>
          <w:szCs w:val="32"/>
        </w:rPr>
        <w:t>汽油车xx辆，柴油车xx辆，电动车xx辆，LNG混合动力车xx辆，CNG混合动力车xx辆，</w:t>
      </w:r>
      <w:r>
        <w:rPr>
          <w:rFonts w:ascii="Times New Roman" w:hAnsi="Times New Roman" w:eastAsia="仿宋_GB2312"/>
          <w:sz w:val="32"/>
          <w:szCs w:val="32"/>
        </w:rPr>
        <w:t>xxx条运输线路。与上一年度相比，场所边界无变化；与基准年相比，场所边界无变化。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排放单位固定设施不涉及既有配额调整。</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根据交通企业配额调整办法，新增移动设施不需要申请配额调整，因此未对移动设施的排放量及对应的活动水平数据进行核查。排放单位新增设施详见下表：</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797"/>
        <w:gridCol w:w="2087"/>
        <w:gridCol w:w="1562"/>
        <w:gridCol w:w="1562"/>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468"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25"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17"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917"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918" w:type="pct"/>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jc w:val="center"/>
              <w:rPr>
                <w:rFonts w:ascii="Times New Roman" w:hAnsi="Times New Roman" w:eastAsia="仿宋_GB2312"/>
                <w:sz w:val="24"/>
              </w:rPr>
            </w:pPr>
            <w:r>
              <w:rPr>
                <w:rFonts w:ascii="Times New Roman" w:hAnsi="Times New Roman" w:eastAsia="仿宋_GB2312"/>
                <w:color w:val="000000"/>
                <w:sz w:val="24"/>
              </w:rPr>
              <w:t>1</w:t>
            </w:r>
          </w:p>
        </w:tc>
        <w:tc>
          <w:tcPr>
            <w:tcW w:w="468" w:type="pct"/>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468" w:type="pct"/>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pPr>
              <w:jc w:val="center"/>
              <w:rPr>
                <w:rFonts w:ascii="Times New Roman" w:hAnsi="Times New Roman" w:eastAsia="仿宋_GB2312"/>
                <w:sz w:val="24"/>
              </w:rPr>
            </w:pPr>
            <w:r>
              <w:rPr>
                <w:rFonts w:ascii="Times New Roman" w:hAnsi="Times New Roman" w:eastAsia="仿宋_GB2312"/>
                <w:sz w:val="24"/>
              </w:rPr>
              <w:t>移动设施：新增xx台LNG（xx）和CNG（xx）混合动力公交车，电动车xx台。</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468" w:type="pct"/>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225" w:type="pct"/>
            <w:vAlign w:val="center"/>
          </w:tcPr>
          <w:p>
            <w:pPr>
              <w:jc w:val="center"/>
              <w:rPr>
                <w:rFonts w:ascii="Times New Roman" w:hAnsi="Times New Roman" w:eastAsia="仿宋_GB2312"/>
                <w:sz w:val="24"/>
              </w:rPr>
            </w:pPr>
            <w:r>
              <w:rPr>
                <w:rFonts w:ascii="Times New Roman" w:hAnsi="Times New Roman" w:eastAsia="仿宋_GB2312"/>
                <w:sz w:val="24"/>
              </w:rPr>
              <w:t>移动设施：xx辆客车</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468" w:type="pct"/>
            <w:vAlign w:val="center"/>
          </w:tcPr>
          <w:p>
            <w:pPr>
              <w:jc w:val="center"/>
              <w:rPr>
                <w:rFonts w:ascii="Times New Roman" w:hAnsi="Times New Roman" w:eastAsia="仿宋_GB2312"/>
                <w:sz w:val="24"/>
              </w:rPr>
            </w:pPr>
            <w:r>
              <w:rPr>
                <w:rFonts w:ascii="Times New Roman" w:hAnsi="Times New Roman" w:eastAsia="仿宋_GB2312"/>
                <w:sz w:val="24"/>
              </w:rPr>
              <w:t>2020</w:t>
            </w:r>
          </w:p>
        </w:tc>
        <w:tc>
          <w:tcPr>
            <w:tcW w:w="1225" w:type="pct"/>
            <w:vAlign w:val="center"/>
          </w:tcPr>
          <w:p>
            <w:pPr>
              <w:jc w:val="center"/>
              <w:rPr>
                <w:rFonts w:ascii="Times New Roman" w:hAnsi="Times New Roman" w:eastAsia="仿宋_GB2312"/>
                <w:sz w:val="24"/>
              </w:rPr>
            </w:pPr>
            <w:r>
              <w:rPr>
                <w:rFonts w:ascii="Times New Roman" w:hAnsi="Times New Roman" w:eastAsia="仿宋_GB2312"/>
                <w:sz w:val="24"/>
              </w:rPr>
              <w:t>xx辆柴油/电混合动力客车</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917" w:type="pct"/>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918" w:type="pct"/>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jc w:val="center"/>
              <w:rPr>
                <w:rFonts w:ascii="Times New Roman" w:hAnsi="Times New Roman" w:eastAsia="仿宋_GB2312"/>
                <w:color w:val="000000"/>
                <w:sz w:val="24"/>
              </w:rPr>
            </w:pPr>
          </w:p>
        </w:tc>
        <w:tc>
          <w:tcPr>
            <w:tcW w:w="468" w:type="pct"/>
            <w:vAlign w:val="center"/>
          </w:tcPr>
          <w:p>
            <w:pPr>
              <w:jc w:val="center"/>
              <w:rPr>
                <w:rFonts w:ascii="Times New Roman" w:hAnsi="Times New Roman" w:eastAsia="仿宋_GB2312"/>
                <w:sz w:val="24"/>
              </w:rPr>
            </w:pPr>
          </w:p>
        </w:tc>
        <w:tc>
          <w:tcPr>
            <w:tcW w:w="1225" w:type="pct"/>
            <w:vAlign w:val="center"/>
          </w:tcPr>
          <w:p>
            <w:pPr>
              <w:jc w:val="center"/>
              <w:rPr>
                <w:rFonts w:ascii="Times New Roman" w:hAnsi="Times New Roman" w:eastAsia="仿宋_GB2312"/>
                <w:sz w:val="24"/>
              </w:rPr>
            </w:pPr>
          </w:p>
        </w:tc>
        <w:tc>
          <w:tcPr>
            <w:tcW w:w="917" w:type="pct"/>
            <w:vAlign w:val="center"/>
          </w:tcPr>
          <w:p>
            <w:pPr>
              <w:jc w:val="center"/>
              <w:rPr>
                <w:rFonts w:ascii="Times New Roman" w:hAnsi="Times New Roman" w:eastAsia="仿宋_GB2312"/>
                <w:sz w:val="24"/>
              </w:rPr>
            </w:pPr>
          </w:p>
        </w:tc>
        <w:tc>
          <w:tcPr>
            <w:tcW w:w="917" w:type="pct"/>
            <w:vAlign w:val="center"/>
          </w:tcPr>
          <w:p>
            <w:pPr>
              <w:jc w:val="center"/>
              <w:rPr>
                <w:rFonts w:ascii="Times New Roman" w:hAnsi="Times New Roman" w:eastAsia="仿宋_GB2312"/>
                <w:sz w:val="24"/>
              </w:rPr>
            </w:pPr>
          </w:p>
        </w:tc>
        <w:tc>
          <w:tcPr>
            <w:tcW w:w="918" w:type="pct"/>
            <w:vAlign w:val="center"/>
          </w:tcPr>
          <w:p>
            <w:pPr>
              <w:jc w:val="center"/>
              <w:rPr>
                <w:rFonts w:ascii="Times New Roman" w:hAnsi="Times New Roman" w:eastAsia="仿宋_GB2312"/>
                <w:sz w:val="24"/>
              </w:rPr>
            </w:pP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5.核查过程未覆盖的问题描述</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由于排放单位食堂液化石油气消耗量较低，排放单位液化石油气消耗量依据消耗罐数进行估计，因此未能核查液化石油气计量设备信息。</w:t>
      </w:r>
    </w:p>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由于电表为电力公司管控，因此未能核查电表的检定信息。</w:t>
      </w:r>
    </w:p>
    <w:p>
      <w:pPr>
        <w:ind w:firstLine="465"/>
        <w:rPr>
          <w:rFonts w:ascii="Times New Roman" w:hAnsi="Times New Roman" w:eastAsia="仿宋"/>
          <w:sz w:val="24"/>
        </w:rPr>
      </w:pPr>
    </w:p>
    <w:p>
      <w:pPr>
        <w:pStyle w:val="4"/>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通信</w:t>
      </w:r>
    </w:p>
    <w:p>
      <w:pPr>
        <w:spacing w:after="0" w:line="560" w:lineRule="exact"/>
        <w:rPr>
          <w:rFonts w:eastAsia="仿宋_GB2312"/>
          <w:sz w:val="32"/>
          <w:szCs w:val="32"/>
        </w:rPr>
      </w:pPr>
      <w:r>
        <w:rPr>
          <w:rFonts w:eastAsia="仿宋_GB2312"/>
          <w:sz w:val="32"/>
          <w:szCs w:val="32"/>
        </w:rPr>
        <w:t>核查结论</w:t>
      </w:r>
    </w:p>
    <w:p>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pPr>
        <w:spacing w:after="0" w:line="560" w:lineRule="exact"/>
        <w:ind w:firstLine="640" w:firstLineChars="200"/>
        <w:jc w:val="both"/>
        <w:rPr>
          <w:rFonts w:eastAsia="仿宋_GB2312"/>
          <w:sz w:val="32"/>
          <w:szCs w:val="32"/>
        </w:rPr>
      </w:pPr>
      <w:r>
        <w:rPr>
          <w:rFonts w:eastAsia="仿宋_GB2312"/>
          <w:sz w:val="32"/>
          <w:szCs w:val="32"/>
        </w:rPr>
        <w:t>核查组确认所有不符合已全部关闭，排放单位的核算与报告均符合方法学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经核查的直接和间接排放量与最终排放报告中数据一致。经核查的直接排放量为10616.72吨，间接排放量为1192094.66吨，总排放量为1202711.39吨。</w:t>
      </w:r>
    </w:p>
    <w:p>
      <w:pPr>
        <w:spacing w:after="0" w:line="560" w:lineRule="exact"/>
        <w:ind w:firstLine="640" w:firstLineChars="200"/>
        <w:jc w:val="both"/>
        <w:rPr>
          <w:rFonts w:eastAsia="仿宋_GB2312"/>
          <w:sz w:val="32"/>
          <w:szCs w:val="32"/>
        </w:rPr>
      </w:pPr>
      <w:r>
        <w:rPr>
          <w:rFonts w:eastAsia="仿宋_GB2312"/>
          <w:sz w:val="32"/>
          <w:szCs w:val="32"/>
        </w:rPr>
        <w:t>经核查的电信业务总量与最终排放报告中数据一致。经核查的电信业务总量为xxxxx万元</w:t>
      </w:r>
      <w:r>
        <w:rPr>
          <w:rFonts w:hint="eastAsia" w:eastAsia="仿宋_GB2312"/>
          <w:sz w:val="32"/>
          <w:szCs w:val="32"/>
        </w:rPr>
        <w:t>，其中移动业务总量为xx万元（移动语音业务总量xx万元、移动数据与互联网业务总量xx万元、移动增值及其他业务总量xx万元），固网业务总量xx万元。排放单位含xx个大型数据中心，数据中心总用电量为xxMWh，IT设备用电量为xxMWh。</w:t>
      </w:r>
    </w:p>
    <w:p>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pPr>
        <w:spacing w:after="0" w:line="560" w:lineRule="exact"/>
        <w:ind w:firstLine="640" w:firstLineChars="200"/>
        <w:jc w:val="both"/>
        <w:rPr>
          <w:rFonts w:eastAsia="仿宋_GB2312"/>
          <w:sz w:val="32"/>
          <w:szCs w:val="32"/>
        </w:rPr>
      </w:pPr>
      <w:r>
        <w:rPr>
          <w:rFonts w:eastAsia="仿宋_GB2312"/>
          <w:sz w:val="32"/>
          <w:szCs w:val="32"/>
        </w:rPr>
        <w:t>本年度排放量与上一年度排放量相比增加28021.34吨/2.3</w:t>
      </w:r>
      <w:r>
        <w:rPr>
          <w:rFonts w:hint="eastAsia" w:eastAsia="仿宋_GB2312"/>
          <w:sz w:val="32"/>
          <w:szCs w:val="32"/>
        </w:rPr>
        <w:t>9</w:t>
      </w:r>
      <w:r>
        <w:rPr>
          <w:rFonts w:eastAsia="仿宋_GB2312"/>
          <w:sz w:val="32"/>
          <w:szCs w:val="32"/>
        </w:rPr>
        <w:t>%，其中直接排放相比上一年度减少335.</w:t>
      </w:r>
      <w:r>
        <w:rPr>
          <w:rFonts w:hint="eastAsia" w:eastAsia="仿宋_GB2312"/>
          <w:sz w:val="32"/>
          <w:szCs w:val="32"/>
        </w:rPr>
        <w:t>70</w:t>
      </w:r>
      <w:r>
        <w:rPr>
          <w:rFonts w:eastAsia="仿宋_GB2312"/>
          <w:sz w:val="32"/>
          <w:szCs w:val="32"/>
        </w:rPr>
        <w:t>吨/3.07%，间接排放相比上一年度增加28357.0</w:t>
      </w:r>
      <w:r>
        <w:rPr>
          <w:rFonts w:hint="eastAsia" w:eastAsia="仿宋_GB2312"/>
          <w:sz w:val="32"/>
          <w:szCs w:val="32"/>
        </w:rPr>
        <w:t>2</w:t>
      </w:r>
      <w:r>
        <w:rPr>
          <w:rFonts w:eastAsia="仿宋_GB2312"/>
          <w:sz w:val="32"/>
          <w:szCs w:val="32"/>
        </w:rPr>
        <w:t>吨/2.44%，</w:t>
      </w:r>
      <w:r>
        <w:rPr>
          <w:rFonts w:hint="eastAsia" w:eastAsia="仿宋_GB2312"/>
          <w:sz w:val="32"/>
          <w:szCs w:val="32"/>
        </w:rPr>
        <w:t>由于4G的普及、大王卡等业务营销，导致移动数据与互联网业务总量上涨，所需要的设施增加，导致排放量上升。</w:t>
      </w:r>
    </w:p>
    <w:p>
      <w:pPr>
        <w:spacing w:after="0" w:line="560" w:lineRule="exact"/>
        <w:ind w:firstLine="640" w:firstLineChars="200"/>
        <w:jc w:val="both"/>
        <w:rPr>
          <w:rFonts w:eastAsia="仿宋_GB2312"/>
          <w:sz w:val="32"/>
          <w:szCs w:val="32"/>
        </w:rPr>
      </w:pPr>
      <w:r>
        <w:rPr>
          <w:rFonts w:eastAsia="仿宋_GB2312"/>
          <w:sz w:val="32"/>
          <w:szCs w:val="32"/>
        </w:rPr>
        <w:t>本年度排放量与历史基准年度相比，增加了28021.34吨，增加比例为</w:t>
      </w:r>
      <w:r>
        <w:rPr>
          <w:rFonts w:hint="eastAsia" w:eastAsia="仿宋_GB2312"/>
          <w:sz w:val="32"/>
          <w:szCs w:val="32"/>
        </w:rPr>
        <w:t>2.39</w:t>
      </w:r>
      <w:r>
        <w:rPr>
          <w:rFonts w:eastAsia="仿宋_GB2312"/>
          <w:sz w:val="32"/>
          <w:szCs w:val="32"/>
        </w:rPr>
        <w:t>%</w:t>
      </w:r>
      <w:r>
        <w:rPr>
          <w:rFonts w:hint="eastAsia" w:eastAsia="仿宋_GB2312"/>
          <w:sz w:val="32"/>
          <w:szCs w:val="32"/>
        </w:rPr>
        <w:t>，用电设施增加导致排放量增加</w:t>
      </w:r>
      <w:r>
        <w:rPr>
          <w:rFonts w:eastAsia="仿宋_GB2312"/>
          <w:sz w:val="32"/>
          <w:szCs w:val="32"/>
        </w:rPr>
        <w:t>。</w:t>
      </w:r>
    </w:p>
    <w:p>
      <w:pPr>
        <w:spacing w:after="0" w:line="560" w:lineRule="exact"/>
        <w:jc w:val="center"/>
        <w:rPr>
          <w:rFonts w:eastAsia="仿宋_GB2312"/>
          <w:sz w:val="32"/>
          <w:szCs w:val="32"/>
        </w:rPr>
      </w:pPr>
      <w:r>
        <w:rPr>
          <w:rFonts w:eastAsia="仿宋_GB2312"/>
          <w:sz w:val="24"/>
        </w:rPr>
        <w:t>表XX  排放量汇总表</w:t>
      </w:r>
    </w:p>
    <w:tbl>
      <w:tblPr>
        <w:tblStyle w:val="35"/>
        <w:tblW w:w="5000" w:type="pct"/>
        <w:tblInd w:w="0" w:type="dxa"/>
        <w:tblLayout w:type="autofit"/>
        <w:tblCellMar>
          <w:top w:w="0" w:type="dxa"/>
          <w:left w:w="108" w:type="dxa"/>
          <w:bottom w:w="0" w:type="dxa"/>
          <w:right w:w="108" w:type="dxa"/>
        </w:tblCellMar>
      </w:tblPr>
      <w:tblGrid>
        <w:gridCol w:w="1348"/>
        <w:gridCol w:w="2315"/>
        <w:gridCol w:w="2332"/>
        <w:gridCol w:w="2527"/>
      </w:tblGrid>
      <w:tr>
        <w:tblPrEx>
          <w:tblCellMar>
            <w:top w:w="0" w:type="dxa"/>
            <w:left w:w="108" w:type="dxa"/>
            <w:bottom w:w="0" w:type="dxa"/>
            <w:right w:w="108" w:type="dxa"/>
          </w:tblCellMar>
        </w:tblPrEx>
        <w:trPr>
          <w:trHeight w:val="718" w:hRule="atLeast"/>
        </w:trPr>
        <w:tc>
          <w:tcPr>
            <w:tcW w:w="791"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年度</w:t>
            </w:r>
          </w:p>
        </w:tc>
        <w:tc>
          <w:tcPr>
            <w:tcW w:w="1358" w:type="pct"/>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直接排放量（tCO2）</w:t>
            </w:r>
          </w:p>
        </w:tc>
        <w:tc>
          <w:tcPr>
            <w:tcW w:w="1368" w:type="pct"/>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间接排放量（tCO2）</w:t>
            </w:r>
          </w:p>
        </w:tc>
        <w:tc>
          <w:tcPr>
            <w:tcW w:w="1482" w:type="pct"/>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排放总量（tCO2）</w:t>
            </w:r>
          </w:p>
        </w:tc>
      </w:tr>
      <w:tr>
        <w:tblPrEx>
          <w:tblCellMar>
            <w:top w:w="0" w:type="dxa"/>
            <w:left w:w="108" w:type="dxa"/>
            <w:bottom w:w="0" w:type="dxa"/>
            <w:right w:w="108" w:type="dxa"/>
          </w:tblCellMar>
        </w:tblPrEx>
        <w:trPr>
          <w:trHeight w:val="403" w:hRule="atLeast"/>
        </w:trPr>
        <w:tc>
          <w:tcPr>
            <w:tcW w:w="791" w:type="pct"/>
            <w:tcBorders>
              <w:top w:val="nil"/>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eastAsia="仿宋_GB2312"/>
                <w:color w:val="000000"/>
                <w:sz w:val="24"/>
              </w:rPr>
              <w:t>2016</w:t>
            </w:r>
          </w:p>
        </w:tc>
        <w:tc>
          <w:tcPr>
            <w:tcW w:w="1358" w:type="pct"/>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8100.00</w:t>
            </w:r>
          </w:p>
        </w:tc>
        <w:tc>
          <w:tcPr>
            <w:tcW w:w="1368" w:type="pct"/>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1145500.00</w:t>
            </w:r>
          </w:p>
        </w:tc>
        <w:tc>
          <w:tcPr>
            <w:tcW w:w="1482" w:type="pct"/>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1153600.00</w:t>
            </w:r>
          </w:p>
        </w:tc>
      </w:tr>
      <w:tr>
        <w:tblPrEx>
          <w:tblCellMar>
            <w:top w:w="0" w:type="dxa"/>
            <w:left w:w="108" w:type="dxa"/>
            <w:bottom w:w="0" w:type="dxa"/>
            <w:right w:w="108" w:type="dxa"/>
          </w:tblCellMar>
        </w:tblPrEx>
        <w:trPr>
          <w:trHeight w:val="347" w:hRule="atLeast"/>
        </w:trPr>
        <w:tc>
          <w:tcPr>
            <w:tcW w:w="791" w:type="pct"/>
            <w:tcBorders>
              <w:top w:val="nil"/>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eastAsia="仿宋_GB2312"/>
                <w:color w:val="000000"/>
                <w:sz w:val="24"/>
              </w:rPr>
              <w:t>2017</w:t>
            </w:r>
          </w:p>
        </w:tc>
        <w:tc>
          <w:tcPr>
            <w:tcW w:w="1358" w:type="pct"/>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10125.00</w:t>
            </w:r>
          </w:p>
        </w:tc>
        <w:tc>
          <w:tcPr>
            <w:tcW w:w="1368" w:type="pct"/>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1152750.00</w:t>
            </w:r>
          </w:p>
        </w:tc>
        <w:tc>
          <w:tcPr>
            <w:tcW w:w="1482" w:type="pct"/>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1162875.00</w:t>
            </w:r>
          </w:p>
        </w:tc>
      </w:tr>
      <w:tr>
        <w:tblPrEx>
          <w:tblCellMar>
            <w:top w:w="0" w:type="dxa"/>
            <w:left w:w="108" w:type="dxa"/>
            <w:bottom w:w="0" w:type="dxa"/>
            <w:right w:w="108" w:type="dxa"/>
          </w:tblCellMar>
        </w:tblPrEx>
        <w:trPr>
          <w:trHeight w:val="347" w:hRule="atLeast"/>
        </w:trPr>
        <w:tc>
          <w:tcPr>
            <w:tcW w:w="791" w:type="pct"/>
            <w:tcBorders>
              <w:top w:val="nil"/>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eastAsia="仿宋_GB2312"/>
                <w:color w:val="000000"/>
                <w:sz w:val="24"/>
              </w:rPr>
              <w:t>2018</w:t>
            </w:r>
          </w:p>
        </w:tc>
        <w:tc>
          <w:tcPr>
            <w:tcW w:w="1358" w:type="pct"/>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10952.42</w:t>
            </w:r>
          </w:p>
        </w:tc>
        <w:tc>
          <w:tcPr>
            <w:tcW w:w="1368" w:type="pct"/>
            <w:tcBorders>
              <w:top w:val="nil"/>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1163737.64</w:t>
            </w:r>
          </w:p>
        </w:tc>
        <w:tc>
          <w:tcPr>
            <w:tcW w:w="1482" w:type="pct"/>
            <w:tcBorders>
              <w:top w:val="nil"/>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1174690.05</w:t>
            </w:r>
          </w:p>
        </w:tc>
      </w:tr>
      <w:tr>
        <w:tblPrEx>
          <w:tblCellMar>
            <w:top w:w="0" w:type="dxa"/>
            <w:left w:w="108" w:type="dxa"/>
            <w:bottom w:w="0" w:type="dxa"/>
            <w:right w:w="108" w:type="dxa"/>
          </w:tblCellMar>
        </w:tblPrEx>
        <w:trPr>
          <w:trHeight w:val="347" w:hRule="atLeast"/>
        </w:trPr>
        <w:tc>
          <w:tcPr>
            <w:tcW w:w="791" w:type="pct"/>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4"/>
              </w:rPr>
            </w:pPr>
            <w:bookmarkStart w:id="19" w:name="_Hlk34842921"/>
            <w:r>
              <w:rPr>
                <w:rFonts w:eastAsia="仿宋_GB2312"/>
                <w:color w:val="000000"/>
                <w:sz w:val="24"/>
              </w:rPr>
              <w:t>2019</w:t>
            </w:r>
          </w:p>
        </w:tc>
        <w:tc>
          <w:tcPr>
            <w:tcW w:w="1358"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10616.72</w:t>
            </w:r>
          </w:p>
        </w:tc>
        <w:tc>
          <w:tcPr>
            <w:tcW w:w="1368"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1192094.66</w:t>
            </w:r>
          </w:p>
        </w:tc>
        <w:tc>
          <w:tcPr>
            <w:tcW w:w="1482" w:type="pct"/>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1202711.39</w:t>
            </w:r>
          </w:p>
        </w:tc>
      </w:tr>
      <w:tr>
        <w:tblPrEx>
          <w:tblCellMar>
            <w:top w:w="0" w:type="dxa"/>
            <w:left w:w="108" w:type="dxa"/>
            <w:bottom w:w="0" w:type="dxa"/>
            <w:right w:w="108" w:type="dxa"/>
          </w:tblCellMar>
        </w:tblPrEx>
        <w:trPr>
          <w:trHeight w:val="347" w:hRule="atLeast"/>
        </w:trPr>
        <w:tc>
          <w:tcPr>
            <w:tcW w:w="791" w:type="pct"/>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358"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10616.72</w:t>
            </w:r>
          </w:p>
        </w:tc>
        <w:tc>
          <w:tcPr>
            <w:tcW w:w="1368"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rPr>
            </w:pPr>
            <w:r>
              <w:rPr>
                <w:rFonts w:ascii="Times New Roman" w:hAnsi="Times New Roman"/>
              </w:rPr>
              <w:t>1192094.66</w:t>
            </w:r>
          </w:p>
        </w:tc>
        <w:tc>
          <w:tcPr>
            <w:tcW w:w="1482" w:type="pct"/>
            <w:tcBorders>
              <w:top w:val="single" w:color="auto" w:sz="4" w:space="0"/>
              <w:left w:val="nil"/>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1202711.39</w:t>
            </w:r>
          </w:p>
        </w:tc>
      </w:tr>
      <w:bookmarkEnd w:id="19"/>
    </w:tbl>
    <w:p>
      <w:pPr>
        <w:ind w:firstLine="440" w:firstLineChars="200"/>
      </w:pPr>
    </w:p>
    <w:p>
      <w:pPr>
        <w:jc w:val="center"/>
      </w:pPr>
      <w:r>
        <w:rPr>
          <w:lang w:val="en-US"/>
        </w:rPr>
        <w:drawing>
          <wp:inline distT="0" distB="0" distL="0" distR="0">
            <wp:extent cx="4568825" cy="2740025"/>
            <wp:effectExtent l="0" t="0" r="3175" b="317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w:t>
      </w:r>
    </w:p>
    <w:p>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pPr>
        <w:spacing w:after="0" w:line="560" w:lineRule="exact"/>
        <w:ind w:firstLine="640" w:firstLineChars="200"/>
        <w:jc w:val="both"/>
        <w:rPr>
          <w:rFonts w:eastAsia="仿宋_GB2312"/>
          <w:sz w:val="32"/>
          <w:szCs w:val="32"/>
        </w:rPr>
      </w:pPr>
      <w:r>
        <w:rPr>
          <w:rFonts w:hint="eastAsia" w:eastAsia="仿宋_GB2312"/>
          <w:sz w:val="32"/>
          <w:szCs w:val="32"/>
        </w:rPr>
        <w:t>排放单位核算和报告边界为北京市辖区内的两个行政办公楼（xxx、x</w:t>
      </w:r>
      <w:r>
        <w:rPr>
          <w:rFonts w:eastAsia="仿宋_GB2312"/>
          <w:sz w:val="32"/>
          <w:szCs w:val="32"/>
        </w:rPr>
        <w:t>xx</w:t>
      </w:r>
      <w:r>
        <w:rPr>
          <w:rFonts w:hint="eastAsia" w:eastAsia="仿宋_GB2312"/>
          <w:sz w:val="32"/>
          <w:szCs w:val="32"/>
        </w:rPr>
        <w:t>）、xx个通信局所场所（办公楼、机房、基站、营业厅）以及xx个独立的营业厅、xx个基站、xx个大型数据中心。与上一年度相比，增加了2台燃气锅炉，xx个基站；与基准年相比，增加了2台燃气锅炉，xx个基站。</w:t>
      </w:r>
    </w:p>
    <w:p>
      <w:pPr>
        <w:spacing w:after="0" w:line="560" w:lineRule="exact"/>
        <w:ind w:firstLine="640" w:firstLineChars="200"/>
        <w:rPr>
          <w:rFonts w:eastAsia="仿宋_GB2312"/>
          <w:sz w:val="32"/>
          <w:szCs w:val="32"/>
        </w:rPr>
      </w:pPr>
      <w:r>
        <w:rPr>
          <w:rFonts w:hint="eastAsia" w:eastAsia="仿宋_GB2312"/>
          <w:sz w:val="32"/>
          <w:szCs w:val="32"/>
        </w:rPr>
        <w:t>4.2</w:t>
      </w:r>
      <w:r>
        <w:rPr>
          <w:rFonts w:eastAsia="仿宋_GB2312"/>
          <w:sz w:val="32"/>
          <w:szCs w:val="32"/>
        </w:rPr>
        <w:t>本年度排放设施的变化</w:t>
      </w:r>
    </w:p>
    <w:p>
      <w:pPr>
        <w:spacing w:after="0" w:line="560" w:lineRule="exact"/>
        <w:ind w:firstLine="465"/>
        <w:rPr>
          <w:rFonts w:eastAsia="仿宋_GB2312"/>
          <w:sz w:val="32"/>
          <w:szCs w:val="32"/>
        </w:rPr>
      </w:pPr>
      <w:r>
        <w:rPr>
          <w:rFonts w:eastAsia="仿宋_GB2312"/>
          <w:sz w:val="32"/>
          <w:szCs w:val="32"/>
        </w:rPr>
        <w:t>排放单位不涉及既有配额调整。</w:t>
      </w:r>
    </w:p>
    <w:p>
      <w:pPr>
        <w:spacing w:after="0" w:line="560" w:lineRule="exact"/>
        <w:ind w:firstLine="465"/>
        <w:jc w:val="both"/>
        <w:rPr>
          <w:rFonts w:eastAsia="仿宋_GB2312"/>
          <w:sz w:val="32"/>
          <w:szCs w:val="32"/>
        </w:rPr>
      </w:pPr>
      <w:r>
        <w:rPr>
          <w:rFonts w:eastAsia="仿宋_GB2312"/>
          <w:sz w:val="32"/>
          <w:szCs w:val="32"/>
        </w:rPr>
        <w:t>排放单位</w:t>
      </w:r>
      <w:r>
        <w:rPr>
          <w:rFonts w:hint="eastAsia" w:eastAsia="仿宋_GB2312"/>
          <w:sz w:val="32"/>
          <w:szCs w:val="32"/>
        </w:rPr>
        <w:t>XXXX年</w:t>
      </w:r>
      <w:r>
        <w:rPr>
          <w:rFonts w:eastAsia="仿宋_GB2312"/>
          <w:sz w:val="32"/>
          <w:szCs w:val="32"/>
        </w:rPr>
        <w:t>期间新增2台燃气锅炉，目前燃气锅炉为xx台。排放单位未对化石燃料设施替代进行统计，新增排放申请也未对化石燃料进行申请。新增设施主要包括通信网络设施及其配套空调、电源、监控等直接用于通信网络运营的设施。其中，直接用于通信网络运行的设施包括提供移动通信服务的室外站(2G/3G/4G) 、室内站(2G/3G/4G) 、室外站5G 和室内站5G；提供数据通信服务的IDC（数据中心）；提供传输、宽带、信息化、互联网等多种通信服务的各种固定网络设施等。上述设施均为新建设施，分布在市区及郊区的各类机房及基站内，不对原有设施替代。新增设施及其排放情况如下表所示：</w:t>
      </w:r>
    </w:p>
    <w:p>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42"/>
        <w:gridCol w:w="1119"/>
        <w:gridCol w:w="2540"/>
        <w:gridCol w:w="1215"/>
        <w:gridCol w:w="122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blHeader/>
        </w:trPr>
        <w:tc>
          <w:tcPr>
            <w:tcW w:w="285" w:type="pct"/>
            <w:vAlign w:val="center"/>
          </w:tcPr>
          <w:p>
            <w:pPr>
              <w:tabs>
                <w:tab w:val="left" w:pos="1701"/>
              </w:tabs>
              <w:rPr>
                <w:rFonts w:eastAsia="仿宋_GB2312"/>
                <w:color w:val="000000"/>
                <w:sz w:val="24"/>
              </w:rPr>
            </w:pPr>
            <w:r>
              <w:rPr>
                <w:rFonts w:eastAsia="仿宋_GB2312"/>
                <w:color w:val="000000"/>
                <w:sz w:val="24"/>
              </w:rPr>
              <w:t>序号</w:t>
            </w:r>
          </w:p>
        </w:tc>
        <w:tc>
          <w:tcPr>
            <w:tcW w:w="553" w:type="pct"/>
            <w:vAlign w:val="center"/>
          </w:tcPr>
          <w:p>
            <w:pPr>
              <w:tabs>
                <w:tab w:val="left" w:pos="1701"/>
              </w:tabs>
              <w:ind w:left="-110" w:leftChars="-50" w:right="-110" w:rightChars="-50"/>
              <w:rPr>
                <w:rFonts w:eastAsia="仿宋_GB2312"/>
                <w:color w:val="000000"/>
                <w:sz w:val="24"/>
              </w:rPr>
            </w:pPr>
            <w:r>
              <w:rPr>
                <w:rFonts w:hint="eastAsia" w:eastAsia="仿宋_GB2312"/>
                <w:color w:val="000000"/>
                <w:sz w:val="24"/>
              </w:rPr>
              <w:t>设施新增年份</w:t>
            </w:r>
          </w:p>
        </w:tc>
        <w:tc>
          <w:tcPr>
            <w:tcW w:w="2148" w:type="pct"/>
            <w:gridSpan w:val="2"/>
            <w:vAlign w:val="center"/>
          </w:tcPr>
          <w:p>
            <w:pPr>
              <w:tabs>
                <w:tab w:val="left" w:pos="1701"/>
              </w:tabs>
              <w:ind w:left="-110" w:leftChars="-50" w:right="-110" w:rightChars="-50"/>
              <w:jc w:val="center"/>
              <w:rPr>
                <w:rFonts w:eastAsia="仿宋_GB2312"/>
                <w:color w:val="000000"/>
                <w:sz w:val="24"/>
              </w:rPr>
            </w:pPr>
            <w:r>
              <w:rPr>
                <w:rFonts w:eastAsia="仿宋_GB2312"/>
                <w:color w:val="000000"/>
                <w:sz w:val="24"/>
              </w:rPr>
              <w:t>新增</w:t>
            </w:r>
            <w:r>
              <w:rPr>
                <w:rFonts w:hint="eastAsia" w:eastAsia="仿宋_GB2312"/>
                <w:color w:val="000000"/>
                <w:sz w:val="24"/>
              </w:rPr>
              <w:t>设施</w:t>
            </w:r>
            <w:r>
              <w:rPr>
                <w:rFonts w:eastAsia="仿宋_GB2312"/>
                <w:color w:val="000000"/>
                <w:sz w:val="24"/>
              </w:rPr>
              <w:t>类型</w:t>
            </w:r>
            <w:r>
              <w:rPr>
                <w:rStyle w:val="40"/>
                <w:rFonts w:eastAsia="仿宋_GB2312"/>
                <w:color w:val="000000"/>
                <w:sz w:val="24"/>
              </w:rPr>
              <w:footnoteReference w:id="0"/>
            </w:r>
          </w:p>
          <w:p>
            <w:pPr>
              <w:tabs>
                <w:tab w:val="left" w:pos="1701"/>
              </w:tabs>
              <w:jc w:val="center"/>
              <w:rPr>
                <w:rFonts w:eastAsia="仿宋_GB2312"/>
                <w:color w:val="000000"/>
                <w:sz w:val="24"/>
              </w:rPr>
            </w:pPr>
          </w:p>
        </w:tc>
        <w:tc>
          <w:tcPr>
            <w:tcW w:w="713" w:type="pct"/>
            <w:vAlign w:val="center"/>
          </w:tcPr>
          <w:p>
            <w:pPr>
              <w:tabs>
                <w:tab w:val="left" w:pos="1701"/>
              </w:tabs>
              <w:ind w:left="-110" w:leftChars="-50" w:right="-110" w:rightChars="-50"/>
              <w:rPr>
                <w:rFonts w:eastAsia="仿宋_GB2312"/>
                <w:color w:val="000000"/>
                <w:sz w:val="24"/>
              </w:rPr>
            </w:pPr>
            <w:r>
              <w:rPr>
                <w:rFonts w:eastAsia="仿宋_GB2312"/>
                <w:color w:val="000000"/>
                <w:sz w:val="24"/>
              </w:rPr>
              <w:t>是否替代既有设施，被替代既有设施类型</w:t>
            </w:r>
          </w:p>
        </w:tc>
        <w:tc>
          <w:tcPr>
            <w:tcW w:w="721" w:type="pct"/>
            <w:tcBorders>
              <w:bottom w:val="single" w:color="auto" w:sz="4" w:space="0"/>
            </w:tcBorders>
            <w:vAlign w:val="center"/>
          </w:tcPr>
          <w:p>
            <w:pPr>
              <w:tabs>
                <w:tab w:val="left" w:pos="1701"/>
              </w:tabs>
              <w:rPr>
                <w:rFonts w:eastAsia="仿宋_GB2312"/>
                <w:color w:val="000000"/>
                <w:sz w:val="24"/>
              </w:rPr>
            </w:pPr>
            <w:r>
              <w:rPr>
                <w:rFonts w:hint="eastAsia" w:eastAsia="仿宋_GB2312"/>
                <w:color w:val="000000"/>
                <w:sz w:val="24"/>
              </w:rPr>
              <w:t>新增设施</w:t>
            </w:r>
            <w:r>
              <w:rPr>
                <w:rFonts w:eastAsia="仿宋_GB2312"/>
                <w:color w:val="000000"/>
                <w:sz w:val="24"/>
              </w:rPr>
              <w:t>排放量（吨）</w:t>
            </w:r>
          </w:p>
        </w:tc>
        <w:tc>
          <w:tcPr>
            <w:tcW w:w="577" w:type="pct"/>
            <w:vAlign w:val="center"/>
          </w:tcPr>
          <w:p>
            <w:pPr>
              <w:tabs>
                <w:tab w:val="left" w:pos="1701"/>
              </w:tabs>
              <w:ind w:left="-110" w:leftChars="-50" w:right="-110" w:rightChars="-50"/>
              <w:rPr>
                <w:rFonts w:eastAsia="仿宋_GB2312"/>
                <w:color w:val="000000"/>
                <w:sz w:val="24"/>
              </w:rPr>
            </w:pPr>
            <w:r>
              <w:rPr>
                <w:rFonts w:hint="eastAsia"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85" w:type="pct"/>
            <w:vAlign w:val="center"/>
          </w:tcPr>
          <w:p>
            <w:pPr>
              <w:tabs>
                <w:tab w:val="left" w:pos="1701"/>
              </w:tabs>
              <w:rPr>
                <w:rFonts w:eastAsia="仿宋_GB2312"/>
                <w:sz w:val="24"/>
              </w:rPr>
            </w:pPr>
            <w:r>
              <w:rPr>
                <w:rFonts w:eastAsia="仿宋_GB2312"/>
                <w:sz w:val="24"/>
              </w:rPr>
              <w:t>1</w:t>
            </w:r>
          </w:p>
        </w:tc>
        <w:tc>
          <w:tcPr>
            <w:tcW w:w="553" w:type="pct"/>
            <w:vAlign w:val="center"/>
          </w:tcPr>
          <w:p>
            <w:pPr>
              <w:tabs>
                <w:tab w:val="left" w:pos="1701"/>
              </w:tabs>
              <w:rPr>
                <w:rFonts w:eastAsia="仿宋_GB2312"/>
                <w:sz w:val="24"/>
              </w:rPr>
            </w:pPr>
            <w:r>
              <w:rPr>
                <w:rFonts w:hint="eastAsia" w:eastAsia="仿宋_GB2312"/>
                <w:sz w:val="24"/>
              </w:rPr>
              <w:t>2019</w:t>
            </w:r>
          </w:p>
        </w:tc>
        <w:tc>
          <w:tcPr>
            <w:tcW w:w="657" w:type="pct"/>
            <w:vAlign w:val="center"/>
          </w:tcPr>
          <w:p>
            <w:pPr>
              <w:tabs>
                <w:tab w:val="left" w:pos="1701"/>
              </w:tabs>
              <w:rPr>
                <w:rFonts w:eastAsia="仿宋_GB2312"/>
                <w:sz w:val="24"/>
              </w:rPr>
            </w:pPr>
            <w:r>
              <w:rPr>
                <w:rFonts w:eastAsia="仿宋_GB2312"/>
                <w:sz w:val="24"/>
              </w:rPr>
              <w:t>数据中心</w:t>
            </w:r>
          </w:p>
        </w:tc>
        <w:tc>
          <w:tcPr>
            <w:tcW w:w="1491" w:type="pct"/>
            <w:vAlign w:val="center"/>
          </w:tcPr>
          <w:p>
            <w:pPr>
              <w:tabs>
                <w:tab w:val="left" w:pos="1701"/>
              </w:tabs>
              <w:rPr>
                <w:rFonts w:eastAsia="仿宋_GB2312"/>
                <w:sz w:val="24"/>
              </w:rPr>
            </w:pPr>
            <w:r>
              <w:rPr>
                <w:rFonts w:eastAsia="仿宋_GB2312"/>
                <w:sz w:val="24"/>
              </w:rPr>
              <w:t>新增IDC机房设备</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124600.07</w:t>
            </w:r>
          </w:p>
        </w:tc>
        <w:tc>
          <w:tcPr>
            <w:tcW w:w="577" w:type="pct"/>
            <w:vAlign w:val="center"/>
          </w:tcPr>
          <w:p>
            <w:pPr>
              <w:tabs>
                <w:tab w:val="left" w:pos="1701"/>
              </w:tabs>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restart"/>
            <w:vAlign w:val="center"/>
          </w:tcPr>
          <w:p>
            <w:pPr>
              <w:tabs>
                <w:tab w:val="left" w:pos="1701"/>
              </w:tabs>
              <w:rPr>
                <w:rFonts w:eastAsia="仿宋_GB2312"/>
                <w:sz w:val="24"/>
              </w:rPr>
            </w:pPr>
            <w:r>
              <w:rPr>
                <w:rFonts w:eastAsia="仿宋_GB2312"/>
                <w:sz w:val="24"/>
              </w:rPr>
              <w:t>2</w:t>
            </w:r>
          </w:p>
        </w:tc>
        <w:tc>
          <w:tcPr>
            <w:tcW w:w="553" w:type="pct"/>
            <w:vMerge w:val="restart"/>
            <w:vAlign w:val="center"/>
          </w:tcPr>
          <w:p>
            <w:pPr>
              <w:tabs>
                <w:tab w:val="left" w:pos="1701"/>
              </w:tabs>
              <w:rPr>
                <w:rFonts w:eastAsia="仿宋_GB2312"/>
                <w:sz w:val="24"/>
              </w:rPr>
            </w:pPr>
            <w:r>
              <w:rPr>
                <w:rFonts w:hint="eastAsia" w:eastAsia="仿宋_GB2312"/>
                <w:sz w:val="24"/>
              </w:rPr>
              <w:t>2019</w:t>
            </w:r>
          </w:p>
        </w:tc>
        <w:tc>
          <w:tcPr>
            <w:tcW w:w="657" w:type="pct"/>
            <w:vMerge w:val="restart"/>
            <w:vAlign w:val="center"/>
          </w:tcPr>
          <w:p>
            <w:pPr>
              <w:tabs>
                <w:tab w:val="left" w:pos="1701"/>
              </w:tabs>
              <w:rPr>
                <w:rFonts w:eastAsia="仿宋_GB2312"/>
                <w:sz w:val="24"/>
              </w:rPr>
            </w:pPr>
            <w:r>
              <w:rPr>
                <w:rFonts w:eastAsia="仿宋_GB2312"/>
                <w:sz w:val="24"/>
              </w:rPr>
              <w:t>移动通信设施</w:t>
            </w:r>
          </w:p>
        </w:tc>
        <w:tc>
          <w:tcPr>
            <w:tcW w:w="1491" w:type="pct"/>
            <w:vAlign w:val="center"/>
          </w:tcPr>
          <w:p>
            <w:pPr>
              <w:tabs>
                <w:tab w:val="left" w:pos="1701"/>
              </w:tabs>
              <w:rPr>
                <w:rFonts w:eastAsia="仿宋_GB2312"/>
                <w:sz w:val="24"/>
              </w:rPr>
            </w:pPr>
            <w:r>
              <w:rPr>
                <w:rFonts w:eastAsia="仿宋_GB2312"/>
                <w:sz w:val="24"/>
              </w:rPr>
              <w:t>室外站(2G/3G/4G)</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195644.96</w:t>
            </w:r>
          </w:p>
        </w:tc>
        <w:tc>
          <w:tcPr>
            <w:tcW w:w="577" w:type="pct"/>
            <w:vAlign w:val="center"/>
          </w:tcPr>
          <w:p>
            <w:pPr>
              <w:tabs>
                <w:tab w:val="left" w:pos="1701"/>
              </w:tabs>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pPr>
              <w:tabs>
                <w:tab w:val="left" w:pos="1701"/>
              </w:tabs>
              <w:rPr>
                <w:rFonts w:eastAsia="仿宋_GB2312"/>
                <w:sz w:val="24"/>
              </w:rPr>
            </w:pPr>
          </w:p>
        </w:tc>
        <w:tc>
          <w:tcPr>
            <w:tcW w:w="553" w:type="pct"/>
            <w:vMerge w:val="continue"/>
            <w:vAlign w:val="center"/>
          </w:tcPr>
          <w:p>
            <w:pPr>
              <w:tabs>
                <w:tab w:val="left" w:pos="1701"/>
              </w:tabs>
              <w:rPr>
                <w:rFonts w:eastAsia="仿宋_GB2312"/>
                <w:sz w:val="24"/>
              </w:rPr>
            </w:pPr>
          </w:p>
        </w:tc>
        <w:tc>
          <w:tcPr>
            <w:tcW w:w="657" w:type="pct"/>
            <w:vMerge w:val="continue"/>
            <w:vAlign w:val="center"/>
          </w:tcPr>
          <w:p>
            <w:pPr>
              <w:tabs>
                <w:tab w:val="left" w:pos="1701"/>
              </w:tabs>
              <w:rPr>
                <w:rFonts w:eastAsia="仿宋_GB2312"/>
                <w:sz w:val="24"/>
              </w:rPr>
            </w:pPr>
          </w:p>
        </w:tc>
        <w:tc>
          <w:tcPr>
            <w:tcW w:w="1491" w:type="pct"/>
            <w:vAlign w:val="center"/>
          </w:tcPr>
          <w:p>
            <w:pPr>
              <w:tabs>
                <w:tab w:val="left" w:pos="1701"/>
              </w:tabs>
              <w:rPr>
                <w:rFonts w:eastAsia="仿宋_GB2312"/>
                <w:sz w:val="24"/>
              </w:rPr>
            </w:pPr>
            <w:r>
              <w:rPr>
                <w:rFonts w:eastAsia="仿宋_GB2312"/>
                <w:sz w:val="24"/>
              </w:rPr>
              <w:t>室内站(2G/3G/4G)</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114072.95</w:t>
            </w:r>
          </w:p>
        </w:tc>
        <w:tc>
          <w:tcPr>
            <w:tcW w:w="577" w:type="pct"/>
            <w:vAlign w:val="center"/>
          </w:tcPr>
          <w:p>
            <w:pPr>
              <w:tabs>
                <w:tab w:val="left" w:pos="1701"/>
              </w:tabs>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5" w:type="pct"/>
            <w:vMerge w:val="continue"/>
            <w:vAlign w:val="center"/>
          </w:tcPr>
          <w:p>
            <w:pPr>
              <w:tabs>
                <w:tab w:val="left" w:pos="1701"/>
              </w:tabs>
              <w:rPr>
                <w:rFonts w:eastAsia="仿宋_GB2312"/>
                <w:sz w:val="24"/>
              </w:rPr>
            </w:pPr>
          </w:p>
        </w:tc>
        <w:tc>
          <w:tcPr>
            <w:tcW w:w="553" w:type="pct"/>
            <w:vMerge w:val="continue"/>
            <w:vAlign w:val="center"/>
          </w:tcPr>
          <w:p>
            <w:pPr>
              <w:tabs>
                <w:tab w:val="left" w:pos="1701"/>
              </w:tabs>
              <w:rPr>
                <w:rFonts w:eastAsia="仿宋_GB2312"/>
                <w:sz w:val="24"/>
              </w:rPr>
            </w:pPr>
          </w:p>
        </w:tc>
        <w:tc>
          <w:tcPr>
            <w:tcW w:w="657" w:type="pct"/>
            <w:vMerge w:val="continue"/>
            <w:vAlign w:val="center"/>
          </w:tcPr>
          <w:p>
            <w:pPr>
              <w:tabs>
                <w:tab w:val="left" w:pos="1701"/>
              </w:tabs>
              <w:rPr>
                <w:rFonts w:eastAsia="仿宋_GB2312"/>
                <w:sz w:val="24"/>
              </w:rPr>
            </w:pPr>
          </w:p>
        </w:tc>
        <w:tc>
          <w:tcPr>
            <w:tcW w:w="1491" w:type="pct"/>
            <w:vAlign w:val="center"/>
          </w:tcPr>
          <w:p>
            <w:pPr>
              <w:tabs>
                <w:tab w:val="left" w:pos="1701"/>
              </w:tabs>
              <w:rPr>
                <w:rFonts w:eastAsia="仿宋_GB2312"/>
                <w:sz w:val="24"/>
              </w:rPr>
            </w:pPr>
            <w:r>
              <w:rPr>
                <w:rFonts w:eastAsia="仿宋_GB2312"/>
                <w:sz w:val="24"/>
              </w:rPr>
              <w:t>室外站5G</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367.84</w:t>
            </w:r>
          </w:p>
        </w:tc>
        <w:tc>
          <w:tcPr>
            <w:tcW w:w="577" w:type="pct"/>
            <w:vAlign w:val="center"/>
          </w:tcPr>
          <w:p>
            <w:pPr>
              <w:tabs>
                <w:tab w:val="left" w:pos="1701"/>
              </w:tabs>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85" w:type="pct"/>
            <w:vMerge w:val="continue"/>
            <w:vAlign w:val="center"/>
          </w:tcPr>
          <w:p>
            <w:pPr>
              <w:tabs>
                <w:tab w:val="left" w:pos="1701"/>
              </w:tabs>
              <w:rPr>
                <w:rFonts w:eastAsia="仿宋_GB2312"/>
                <w:sz w:val="24"/>
              </w:rPr>
            </w:pPr>
          </w:p>
        </w:tc>
        <w:tc>
          <w:tcPr>
            <w:tcW w:w="553" w:type="pct"/>
            <w:vMerge w:val="continue"/>
            <w:vAlign w:val="center"/>
          </w:tcPr>
          <w:p>
            <w:pPr>
              <w:tabs>
                <w:tab w:val="left" w:pos="1701"/>
              </w:tabs>
              <w:rPr>
                <w:rFonts w:eastAsia="仿宋_GB2312"/>
                <w:sz w:val="24"/>
              </w:rPr>
            </w:pPr>
          </w:p>
        </w:tc>
        <w:tc>
          <w:tcPr>
            <w:tcW w:w="657" w:type="pct"/>
            <w:vMerge w:val="continue"/>
            <w:vAlign w:val="center"/>
          </w:tcPr>
          <w:p>
            <w:pPr>
              <w:tabs>
                <w:tab w:val="left" w:pos="1701"/>
              </w:tabs>
              <w:rPr>
                <w:rFonts w:eastAsia="仿宋_GB2312"/>
                <w:sz w:val="24"/>
              </w:rPr>
            </w:pPr>
          </w:p>
        </w:tc>
        <w:tc>
          <w:tcPr>
            <w:tcW w:w="1491" w:type="pct"/>
            <w:vAlign w:val="center"/>
          </w:tcPr>
          <w:p>
            <w:pPr>
              <w:tabs>
                <w:tab w:val="left" w:pos="1701"/>
              </w:tabs>
              <w:rPr>
                <w:rFonts w:eastAsia="仿宋_GB2312"/>
                <w:sz w:val="24"/>
              </w:rPr>
            </w:pPr>
            <w:r>
              <w:rPr>
                <w:rFonts w:eastAsia="仿宋_GB2312"/>
                <w:sz w:val="24"/>
              </w:rPr>
              <w:t>室内站5G</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0.00</w:t>
            </w:r>
          </w:p>
        </w:tc>
        <w:tc>
          <w:tcPr>
            <w:tcW w:w="577" w:type="pct"/>
            <w:vAlign w:val="center"/>
          </w:tcPr>
          <w:p>
            <w:pPr>
              <w:tabs>
                <w:tab w:val="left" w:pos="1701"/>
              </w:tabs>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restart"/>
            <w:vAlign w:val="center"/>
          </w:tcPr>
          <w:p>
            <w:pPr>
              <w:tabs>
                <w:tab w:val="left" w:pos="1701"/>
              </w:tabs>
              <w:rPr>
                <w:rFonts w:eastAsia="仿宋_GB2312"/>
                <w:sz w:val="24"/>
              </w:rPr>
            </w:pPr>
            <w:r>
              <w:rPr>
                <w:rFonts w:eastAsia="仿宋_GB2312"/>
                <w:sz w:val="24"/>
              </w:rPr>
              <w:t>3</w:t>
            </w:r>
          </w:p>
        </w:tc>
        <w:tc>
          <w:tcPr>
            <w:tcW w:w="553" w:type="pct"/>
            <w:vMerge w:val="restart"/>
            <w:vAlign w:val="center"/>
          </w:tcPr>
          <w:p>
            <w:pPr>
              <w:tabs>
                <w:tab w:val="left" w:pos="1701"/>
              </w:tabs>
              <w:rPr>
                <w:rFonts w:eastAsia="仿宋_GB2312"/>
                <w:sz w:val="24"/>
              </w:rPr>
            </w:pPr>
            <w:r>
              <w:rPr>
                <w:rFonts w:hint="eastAsia" w:eastAsia="仿宋_GB2312"/>
                <w:sz w:val="24"/>
              </w:rPr>
              <w:t>20</w:t>
            </w:r>
            <w:r>
              <w:rPr>
                <w:rFonts w:eastAsia="仿宋_GB2312"/>
                <w:sz w:val="24"/>
              </w:rPr>
              <w:t>20</w:t>
            </w:r>
          </w:p>
        </w:tc>
        <w:tc>
          <w:tcPr>
            <w:tcW w:w="657" w:type="pct"/>
            <w:vMerge w:val="restart"/>
            <w:vAlign w:val="center"/>
          </w:tcPr>
          <w:p>
            <w:pPr>
              <w:tabs>
                <w:tab w:val="left" w:pos="1701"/>
              </w:tabs>
              <w:rPr>
                <w:rFonts w:eastAsia="仿宋_GB2312"/>
                <w:sz w:val="24"/>
              </w:rPr>
            </w:pPr>
            <w:r>
              <w:rPr>
                <w:rFonts w:eastAsia="仿宋_GB2312"/>
                <w:sz w:val="24"/>
              </w:rPr>
              <w:t>固定及移动网络通信设施</w:t>
            </w:r>
          </w:p>
        </w:tc>
        <w:tc>
          <w:tcPr>
            <w:tcW w:w="1491" w:type="pct"/>
            <w:vAlign w:val="center"/>
          </w:tcPr>
          <w:p>
            <w:pPr>
              <w:tabs>
                <w:tab w:val="left" w:pos="1701"/>
              </w:tabs>
              <w:rPr>
                <w:rFonts w:eastAsia="仿宋_GB2312"/>
                <w:sz w:val="24"/>
              </w:rPr>
            </w:pPr>
            <w:r>
              <w:rPr>
                <w:rFonts w:eastAsia="仿宋_GB2312"/>
                <w:sz w:val="24"/>
              </w:rPr>
              <w:t>固定网主要传输设备（包括ATM、DDN、DPN、FR、IPRNA、MSTP、OTN、PTN、SDH）</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22569.37</w:t>
            </w:r>
          </w:p>
        </w:tc>
        <w:tc>
          <w:tcPr>
            <w:tcW w:w="577" w:type="pct"/>
            <w:vAlign w:val="center"/>
          </w:tcPr>
          <w:p>
            <w:pPr>
              <w:tabs>
                <w:tab w:val="left" w:pos="1701"/>
              </w:tabs>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pPr>
              <w:tabs>
                <w:tab w:val="left" w:pos="1701"/>
              </w:tabs>
              <w:rPr>
                <w:rFonts w:eastAsia="仿宋_GB2312"/>
                <w:sz w:val="24"/>
              </w:rPr>
            </w:pPr>
          </w:p>
        </w:tc>
        <w:tc>
          <w:tcPr>
            <w:tcW w:w="553" w:type="pct"/>
            <w:vMerge w:val="continue"/>
            <w:vAlign w:val="center"/>
          </w:tcPr>
          <w:p>
            <w:pPr>
              <w:tabs>
                <w:tab w:val="left" w:pos="1701"/>
              </w:tabs>
              <w:rPr>
                <w:rFonts w:eastAsia="仿宋_GB2312"/>
                <w:sz w:val="24"/>
              </w:rPr>
            </w:pPr>
          </w:p>
        </w:tc>
        <w:tc>
          <w:tcPr>
            <w:tcW w:w="657" w:type="pct"/>
            <w:vMerge w:val="continue"/>
            <w:vAlign w:val="center"/>
          </w:tcPr>
          <w:p>
            <w:pPr>
              <w:tabs>
                <w:tab w:val="left" w:pos="1701"/>
              </w:tabs>
              <w:rPr>
                <w:rFonts w:eastAsia="仿宋_GB2312"/>
                <w:sz w:val="24"/>
              </w:rPr>
            </w:pPr>
          </w:p>
        </w:tc>
        <w:tc>
          <w:tcPr>
            <w:tcW w:w="1491" w:type="pct"/>
            <w:vAlign w:val="center"/>
          </w:tcPr>
          <w:p>
            <w:pPr>
              <w:tabs>
                <w:tab w:val="left" w:pos="1701"/>
              </w:tabs>
              <w:rPr>
                <w:rFonts w:eastAsia="仿宋_GB2312"/>
                <w:sz w:val="24"/>
              </w:rPr>
            </w:pPr>
            <w:r>
              <w:rPr>
                <w:rFonts w:eastAsia="仿宋_GB2312"/>
                <w:sz w:val="24"/>
              </w:rPr>
              <w:t>固定网主要宽带设备（包括OLT、汇聚交换机、服务器、BRAS）</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14792.26</w:t>
            </w:r>
          </w:p>
        </w:tc>
        <w:tc>
          <w:tcPr>
            <w:tcW w:w="577" w:type="pct"/>
            <w:vAlign w:val="center"/>
          </w:tcPr>
          <w:p>
            <w:pPr>
              <w:tabs>
                <w:tab w:val="left" w:pos="1701"/>
              </w:tabs>
              <w:jc w:val="center"/>
              <w:rPr>
                <w:rFonts w:eastAsia="仿宋_GB2312"/>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pPr>
              <w:tabs>
                <w:tab w:val="left" w:pos="1701"/>
              </w:tabs>
              <w:rPr>
                <w:rFonts w:eastAsia="仿宋_GB2312"/>
                <w:sz w:val="24"/>
              </w:rPr>
            </w:pPr>
          </w:p>
        </w:tc>
        <w:tc>
          <w:tcPr>
            <w:tcW w:w="553" w:type="pct"/>
            <w:vMerge w:val="continue"/>
            <w:vAlign w:val="center"/>
          </w:tcPr>
          <w:p>
            <w:pPr>
              <w:tabs>
                <w:tab w:val="left" w:pos="1701"/>
              </w:tabs>
              <w:rPr>
                <w:rFonts w:eastAsia="仿宋_GB2312"/>
                <w:sz w:val="24"/>
              </w:rPr>
            </w:pPr>
          </w:p>
        </w:tc>
        <w:tc>
          <w:tcPr>
            <w:tcW w:w="657" w:type="pct"/>
            <w:vMerge w:val="continue"/>
            <w:vAlign w:val="center"/>
          </w:tcPr>
          <w:p>
            <w:pPr>
              <w:tabs>
                <w:tab w:val="left" w:pos="1701"/>
              </w:tabs>
              <w:rPr>
                <w:rFonts w:eastAsia="仿宋_GB2312"/>
                <w:sz w:val="24"/>
              </w:rPr>
            </w:pPr>
          </w:p>
        </w:tc>
        <w:tc>
          <w:tcPr>
            <w:tcW w:w="1491" w:type="pct"/>
            <w:vAlign w:val="center"/>
          </w:tcPr>
          <w:p>
            <w:pPr>
              <w:tabs>
                <w:tab w:val="left" w:pos="1701"/>
              </w:tabs>
              <w:rPr>
                <w:rFonts w:eastAsia="仿宋_GB2312"/>
                <w:sz w:val="24"/>
              </w:rPr>
            </w:pPr>
            <w:r>
              <w:rPr>
                <w:rFonts w:eastAsia="仿宋_GB2312"/>
                <w:sz w:val="24"/>
              </w:rPr>
              <w:t>固定网主要信息化设备（包括PC服务器、SAN网交换机、带库、安全设备、磁盘阵列、光纤交换机、交换机、路由器、小型机）</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78708.15</w:t>
            </w:r>
          </w:p>
        </w:tc>
        <w:tc>
          <w:tcPr>
            <w:tcW w:w="577" w:type="pct"/>
            <w:vAlign w:val="center"/>
          </w:tcPr>
          <w:p>
            <w:pPr>
              <w:tabs>
                <w:tab w:val="left" w:pos="1701"/>
              </w:tabs>
              <w:jc w:val="center"/>
              <w:rPr>
                <w:rFonts w:eastAsia="仿宋_GB2312"/>
                <w:color w:val="000000"/>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Merge w:val="continue"/>
            <w:vAlign w:val="center"/>
          </w:tcPr>
          <w:p>
            <w:pPr>
              <w:tabs>
                <w:tab w:val="left" w:pos="1701"/>
              </w:tabs>
              <w:rPr>
                <w:rFonts w:eastAsia="仿宋_GB2312"/>
                <w:sz w:val="24"/>
              </w:rPr>
            </w:pPr>
          </w:p>
        </w:tc>
        <w:tc>
          <w:tcPr>
            <w:tcW w:w="553" w:type="pct"/>
            <w:vMerge w:val="continue"/>
            <w:vAlign w:val="center"/>
          </w:tcPr>
          <w:p>
            <w:pPr>
              <w:tabs>
                <w:tab w:val="left" w:pos="1701"/>
              </w:tabs>
              <w:rPr>
                <w:rFonts w:eastAsia="仿宋_GB2312"/>
                <w:sz w:val="24"/>
              </w:rPr>
            </w:pPr>
          </w:p>
        </w:tc>
        <w:tc>
          <w:tcPr>
            <w:tcW w:w="657" w:type="pct"/>
            <w:vMerge w:val="continue"/>
            <w:vAlign w:val="center"/>
          </w:tcPr>
          <w:p>
            <w:pPr>
              <w:tabs>
                <w:tab w:val="left" w:pos="1701"/>
              </w:tabs>
              <w:rPr>
                <w:rFonts w:eastAsia="仿宋_GB2312"/>
                <w:sz w:val="24"/>
              </w:rPr>
            </w:pPr>
          </w:p>
        </w:tc>
        <w:tc>
          <w:tcPr>
            <w:tcW w:w="1491" w:type="pct"/>
            <w:vAlign w:val="center"/>
          </w:tcPr>
          <w:p>
            <w:pPr>
              <w:tabs>
                <w:tab w:val="left" w:pos="1701"/>
              </w:tabs>
              <w:rPr>
                <w:rFonts w:eastAsia="仿宋_GB2312"/>
                <w:sz w:val="24"/>
              </w:rPr>
            </w:pPr>
            <w:r>
              <w:rPr>
                <w:rFonts w:eastAsia="仿宋_GB2312"/>
                <w:sz w:val="24"/>
              </w:rPr>
              <w:t>固定网主要互联网设备</w:t>
            </w:r>
            <w:r>
              <w:rPr>
                <w:rFonts w:hint="eastAsia" w:eastAsia="仿宋_GB2312"/>
                <w:sz w:val="24"/>
              </w:rPr>
              <w:t>：xxxx个</w:t>
            </w:r>
          </w:p>
        </w:tc>
        <w:tc>
          <w:tcPr>
            <w:tcW w:w="713" w:type="pct"/>
            <w:vAlign w:val="center"/>
          </w:tcPr>
          <w:p>
            <w:pPr>
              <w:tabs>
                <w:tab w:val="left" w:pos="1701"/>
              </w:tabs>
              <w:rPr>
                <w:rFonts w:eastAsia="仿宋_GB2312"/>
                <w:sz w:val="24"/>
              </w:rPr>
            </w:pPr>
            <w:r>
              <w:rPr>
                <w:rFonts w:eastAsia="仿宋_GB2312"/>
                <w:sz w:val="24"/>
              </w:rPr>
              <w:t>否</w:t>
            </w: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8048.60</w:t>
            </w:r>
          </w:p>
        </w:tc>
        <w:tc>
          <w:tcPr>
            <w:tcW w:w="577" w:type="pct"/>
            <w:vAlign w:val="center"/>
          </w:tcPr>
          <w:p>
            <w:pPr>
              <w:tabs>
                <w:tab w:val="left" w:pos="1701"/>
              </w:tabs>
              <w:jc w:val="center"/>
              <w:rPr>
                <w:rFonts w:eastAsia="仿宋_GB2312"/>
                <w:color w:val="000000"/>
                <w:sz w:val="24"/>
              </w:rPr>
            </w:pPr>
            <w:r>
              <w:rPr>
                <w:rFonts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85" w:type="pct"/>
            <w:vAlign w:val="center"/>
          </w:tcPr>
          <w:p>
            <w:pPr>
              <w:tabs>
                <w:tab w:val="left" w:pos="1701"/>
              </w:tabs>
              <w:rPr>
                <w:rFonts w:eastAsia="仿宋_GB2312"/>
                <w:sz w:val="24"/>
              </w:rPr>
            </w:pPr>
            <w:r>
              <w:rPr>
                <w:rFonts w:eastAsia="仿宋_GB2312"/>
                <w:sz w:val="24"/>
              </w:rPr>
              <w:t>合计</w:t>
            </w:r>
          </w:p>
        </w:tc>
        <w:tc>
          <w:tcPr>
            <w:tcW w:w="553" w:type="pct"/>
            <w:vAlign w:val="center"/>
          </w:tcPr>
          <w:p>
            <w:pPr>
              <w:tabs>
                <w:tab w:val="left" w:pos="1701"/>
              </w:tabs>
              <w:rPr>
                <w:rFonts w:eastAsia="仿宋_GB2312"/>
                <w:sz w:val="24"/>
              </w:rPr>
            </w:pPr>
          </w:p>
        </w:tc>
        <w:tc>
          <w:tcPr>
            <w:tcW w:w="657" w:type="pct"/>
            <w:vAlign w:val="center"/>
          </w:tcPr>
          <w:p>
            <w:pPr>
              <w:tabs>
                <w:tab w:val="left" w:pos="1701"/>
              </w:tabs>
              <w:rPr>
                <w:rFonts w:eastAsia="仿宋_GB2312"/>
                <w:sz w:val="24"/>
              </w:rPr>
            </w:pPr>
          </w:p>
        </w:tc>
        <w:tc>
          <w:tcPr>
            <w:tcW w:w="1491" w:type="pct"/>
            <w:vAlign w:val="center"/>
          </w:tcPr>
          <w:p>
            <w:pPr>
              <w:tabs>
                <w:tab w:val="left" w:pos="1701"/>
              </w:tabs>
              <w:rPr>
                <w:rFonts w:eastAsia="仿宋_GB2312"/>
                <w:sz w:val="24"/>
              </w:rPr>
            </w:pPr>
          </w:p>
        </w:tc>
        <w:tc>
          <w:tcPr>
            <w:tcW w:w="713" w:type="pct"/>
            <w:vAlign w:val="center"/>
          </w:tcPr>
          <w:p>
            <w:pPr>
              <w:tabs>
                <w:tab w:val="left" w:pos="1701"/>
              </w:tabs>
              <w:rPr>
                <w:rFonts w:eastAsia="仿宋_GB2312"/>
                <w:sz w:val="24"/>
              </w:rPr>
            </w:pPr>
          </w:p>
        </w:tc>
        <w:tc>
          <w:tcPr>
            <w:tcW w:w="721" w:type="pct"/>
            <w:tcBorders>
              <w:top w:val="single" w:color="auto" w:sz="4" w:space="0"/>
              <w:left w:val="nil"/>
              <w:bottom w:val="single" w:color="auto" w:sz="4" w:space="0"/>
              <w:right w:val="nil"/>
            </w:tcBorders>
            <w:vAlign w:val="center"/>
          </w:tcPr>
          <w:p>
            <w:pPr>
              <w:jc w:val="center"/>
              <w:rPr>
                <w:rFonts w:ascii="Times New Roman" w:hAnsi="Times New Roman" w:eastAsia="等线"/>
                <w:color w:val="000000"/>
              </w:rPr>
            </w:pPr>
            <w:r>
              <w:rPr>
                <w:rFonts w:ascii="Times New Roman" w:hAnsi="Times New Roman" w:eastAsia="等线"/>
                <w:color w:val="000000"/>
              </w:rPr>
              <w:t>558804.19</w:t>
            </w:r>
          </w:p>
        </w:tc>
        <w:tc>
          <w:tcPr>
            <w:tcW w:w="577" w:type="pct"/>
            <w:vAlign w:val="center"/>
          </w:tcPr>
          <w:p>
            <w:pPr>
              <w:tabs>
                <w:tab w:val="left" w:pos="1701"/>
              </w:tabs>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00" w:type="pct"/>
            <w:gridSpan w:val="7"/>
            <w:vAlign w:val="center"/>
          </w:tcPr>
          <w:p>
            <w:pPr>
              <w:rPr>
                <w:rFonts w:eastAsia="仿宋_GB2312"/>
                <w:color w:val="000000"/>
                <w:sz w:val="24"/>
              </w:rPr>
            </w:pPr>
            <w:r>
              <w:rPr>
                <w:rFonts w:eastAsia="仿宋_GB2312"/>
                <w:color w:val="000000"/>
                <w:sz w:val="24"/>
              </w:rPr>
              <w:t>备注：</w:t>
            </w:r>
          </w:p>
          <w:p>
            <w:pPr>
              <w:ind w:left="-110" w:leftChars="-50" w:right="-110" w:rightChars="-50"/>
              <w:rPr>
                <w:rFonts w:eastAsia="仿宋_GB2312"/>
                <w:sz w:val="24"/>
              </w:rPr>
            </w:pPr>
            <w:r>
              <w:rPr>
                <w:rFonts w:hint="eastAsia" w:eastAsia="仿宋_GB2312"/>
                <w:color w:val="000000"/>
                <w:sz w:val="24"/>
              </w:rPr>
              <w:t>1）</w:t>
            </w:r>
            <w:r>
              <w:rPr>
                <w:rFonts w:eastAsia="仿宋_GB2312"/>
                <w:sz w:val="24"/>
              </w:rPr>
              <w:t>室外站(2G/3G/4G)每月用电量为</w:t>
            </w:r>
            <w:r>
              <w:rPr>
                <w:rFonts w:hint="eastAsia" w:eastAsia="仿宋_GB2312"/>
                <w:sz w:val="24"/>
              </w:rPr>
              <w:t>xxx</w:t>
            </w:r>
            <w:r>
              <w:rPr>
                <w:rFonts w:eastAsia="仿宋_GB2312"/>
                <w:sz w:val="24"/>
              </w:rPr>
              <w:t>度，室内站(2G/3G/4G)每月用电量为</w:t>
            </w:r>
            <w:r>
              <w:rPr>
                <w:rFonts w:hint="eastAsia" w:eastAsia="仿宋_GB2312"/>
                <w:sz w:val="24"/>
              </w:rPr>
              <w:t>xxx</w:t>
            </w:r>
            <w:r>
              <w:rPr>
                <w:rFonts w:eastAsia="仿宋_GB2312"/>
                <w:sz w:val="24"/>
              </w:rPr>
              <w:t>度，室外站5G每月用电量为</w:t>
            </w:r>
            <w:r>
              <w:rPr>
                <w:rFonts w:hint="eastAsia" w:eastAsia="仿宋_GB2312"/>
                <w:sz w:val="24"/>
              </w:rPr>
              <w:t>xxxx</w:t>
            </w:r>
            <w:r>
              <w:rPr>
                <w:rFonts w:eastAsia="仿宋_GB2312"/>
                <w:sz w:val="24"/>
              </w:rPr>
              <w:t>度，室内站5G尚未通入使用，无法实测用电量。</w:t>
            </w:r>
          </w:p>
          <w:p>
            <w:pPr>
              <w:tabs>
                <w:tab w:val="left" w:pos="1701"/>
              </w:tabs>
              <w:ind w:left="-110" w:leftChars="-50" w:right="-110" w:rightChars="-50"/>
              <w:rPr>
                <w:rFonts w:eastAsia="仿宋_GB2312"/>
                <w:color w:val="000000"/>
                <w:sz w:val="24"/>
              </w:rPr>
            </w:pPr>
            <w:r>
              <w:rPr>
                <w:rFonts w:hint="eastAsia" w:eastAsia="仿宋_GB2312"/>
                <w:sz w:val="24"/>
              </w:rPr>
              <w:t>2）</w:t>
            </w:r>
            <w:r>
              <w:rPr>
                <w:rFonts w:eastAsia="仿宋_GB2312"/>
                <w:sz w:val="24"/>
              </w:rPr>
              <w:t>随着IDC的新建，新增设施的使用系数将进一步降低，核查组要求排放单位对2020年度的使用系数进行统计并更新，按照北京市数据中心IT设备实际负载率</w:t>
            </w:r>
            <w:r>
              <w:rPr>
                <w:rFonts w:hint="eastAsia" w:eastAsia="仿宋_GB2312"/>
                <w:sz w:val="24"/>
              </w:rPr>
              <w:t>xx</w:t>
            </w:r>
            <w:r>
              <w:rPr>
                <w:rFonts w:eastAsia="仿宋_GB2312"/>
                <w:sz w:val="24"/>
              </w:rPr>
              <w:t>%核定，因此2020年度IDC的使用系数符合排放单位的实际情况。</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新增设施排放量为558804.19吨，是基准年份排放量的</w:t>
      </w:r>
      <w:r>
        <w:rPr>
          <w:rFonts w:hint="eastAsia" w:ascii="Times New Roman" w:hAnsi="Times New Roman" w:eastAsia="仿宋_GB2312"/>
          <w:sz w:val="32"/>
          <w:szCs w:val="32"/>
        </w:rPr>
        <w:t>47.57</w:t>
      </w:r>
      <w:r>
        <w:rPr>
          <w:rFonts w:ascii="Times New Roman" w:hAnsi="Times New Roman" w:eastAsia="仿宋_GB2312"/>
          <w:sz w:val="32"/>
          <w:szCs w:val="32"/>
        </w:rPr>
        <w:t>%，新增设施对应的</w:t>
      </w:r>
      <w:r>
        <w:rPr>
          <w:rFonts w:hint="eastAsia" w:eastAsia="仿宋_GB2312"/>
          <w:sz w:val="32"/>
          <w:szCs w:val="32"/>
        </w:rPr>
        <w:t>移动业务总量为xx万元（移动语音业务总量xx万元、移动数据与互联网业务总量xx万元、移动增值及其他业务总量xx万元），</w:t>
      </w:r>
      <w:r>
        <w:rPr>
          <w:rFonts w:ascii="Times New Roman" w:hAnsi="Times New Roman" w:eastAsia="仿宋_GB2312"/>
          <w:sz w:val="32"/>
          <w:szCs w:val="32"/>
        </w:rPr>
        <w:t>新增设施对应的</w:t>
      </w:r>
      <w:r>
        <w:rPr>
          <w:rFonts w:hint="eastAsia" w:eastAsia="仿宋_GB2312"/>
          <w:sz w:val="32"/>
          <w:szCs w:val="32"/>
        </w:rPr>
        <w:t>固网业务总量xx万元。新增设施的数据中心为大型数据中心，数据中心总用电量为xxMWh，IT设备用电量为xxMWh。</w:t>
      </w:r>
      <w:r>
        <w:rPr>
          <w:rFonts w:ascii="Times New Roman" w:hAnsi="Times New Roman" w:eastAsia="仿宋_GB2312"/>
          <w:sz w:val="32"/>
          <w:szCs w:val="32"/>
        </w:rPr>
        <w:t>此信息供新增设施配额发放参考。</w:t>
      </w:r>
    </w:p>
    <w:p>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pPr>
        <w:spacing w:after="0" w:line="560" w:lineRule="exact"/>
        <w:ind w:firstLine="465"/>
        <w:jc w:val="both"/>
        <w:rPr>
          <w:rFonts w:eastAsia="仿宋_GB2312"/>
          <w:sz w:val="32"/>
          <w:szCs w:val="32"/>
        </w:rPr>
      </w:pPr>
      <w:r>
        <w:rPr>
          <w:rFonts w:eastAsia="仿宋_GB2312"/>
          <w:sz w:val="32"/>
          <w:szCs w:val="32"/>
        </w:rPr>
        <w:t>由于天然气表和电表分别为燃气公司及电力公司管控，因此未能核查这些仪表的检定信息。</w:t>
      </w:r>
    </w:p>
    <w:p>
      <w:pPr>
        <w:spacing w:after="0" w:line="560" w:lineRule="exact"/>
        <w:ind w:firstLine="465"/>
        <w:jc w:val="both"/>
        <w:rPr>
          <w:rFonts w:eastAsia="仿宋"/>
          <w:sz w:val="24"/>
        </w:rPr>
      </w:pPr>
      <w:r>
        <w:rPr>
          <w:rFonts w:eastAsia="仿宋_GB2312"/>
          <w:sz w:val="32"/>
          <w:szCs w:val="32"/>
        </w:rPr>
        <w:t>由于排放单位的新增设施台账属于保密信息，核查组未能获得完整的新增设施台账，通过现场抽查的方式确认排放单位的新增设施来源于财务入账系统和建设部门运维系统，但数量多达上万条，抽查的项目有限，因此核查过程未能完全覆盖新增设施的数量。</w:t>
      </w:r>
    </w:p>
    <w:p>
      <w:pPr>
        <w:pStyle w:val="4"/>
        <w:spacing w:before="0" w:after="0" w:line="560" w:lineRule="exact"/>
        <w:sectPr>
          <w:pgSz w:w="11906" w:h="16838"/>
          <w:pgMar w:top="1440" w:right="1800" w:bottom="1440" w:left="1800" w:header="851" w:footer="992" w:gutter="0"/>
          <w:cols w:space="72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银行</w:t>
      </w:r>
    </w:p>
    <w:p>
      <w:pPr>
        <w:spacing w:after="0" w:line="560" w:lineRule="exact"/>
        <w:rPr>
          <w:rFonts w:eastAsia="仿宋_GB2312"/>
          <w:sz w:val="32"/>
          <w:szCs w:val="32"/>
        </w:rPr>
      </w:pPr>
      <w:r>
        <w:rPr>
          <w:rFonts w:eastAsia="仿宋_GB2312"/>
          <w:sz w:val="32"/>
          <w:szCs w:val="32"/>
        </w:rPr>
        <w:t>核查结论</w:t>
      </w:r>
    </w:p>
    <w:p>
      <w:pPr>
        <w:spacing w:after="0" w:line="560" w:lineRule="exact"/>
        <w:ind w:firstLine="640" w:firstLineChars="200"/>
        <w:jc w:val="both"/>
        <w:rPr>
          <w:rFonts w:eastAsia="仿宋_GB2312"/>
          <w:sz w:val="32"/>
          <w:szCs w:val="32"/>
        </w:rPr>
      </w:pPr>
      <w:r>
        <w:rPr>
          <w:rFonts w:eastAsia="仿宋"/>
          <w:sz w:val="32"/>
          <w:szCs w:val="32"/>
        </w:rPr>
        <w:t>xxxx公司（以下简称排放单位）委托xxx公司开展</w:t>
      </w:r>
      <w:r>
        <w:rPr>
          <w:rFonts w:hint="eastAsia" w:eastAsia="仿宋"/>
          <w:sz w:val="32"/>
          <w:szCs w:val="32"/>
        </w:rPr>
        <w:t>XXXX年</w:t>
      </w:r>
      <w:r>
        <w:rPr>
          <w:rFonts w:eastAsia="仿宋_GB2312"/>
          <w:sz w:val="32"/>
          <w:szCs w:val="32"/>
        </w:rPr>
        <w:t>二氧化碳排放的核查工作。核查范围包括排放单位所有在北京市辖区内固定设施导致的二氧化碳直接排放和二氧化碳间接排放。</w:t>
      </w:r>
    </w:p>
    <w:p>
      <w:pPr>
        <w:spacing w:after="0" w:line="560" w:lineRule="exact"/>
        <w:ind w:firstLine="640" w:firstLineChars="200"/>
        <w:jc w:val="both"/>
        <w:rPr>
          <w:rFonts w:eastAsia="仿宋_GB2312"/>
          <w:sz w:val="32"/>
          <w:szCs w:val="32"/>
        </w:rPr>
      </w:pPr>
      <w:r>
        <w:rPr>
          <w:rFonts w:eastAsia="仿宋_GB2312"/>
          <w:sz w:val="32"/>
          <w:szCs w:val="32"/>
        </w:rPr>
        <w:t>通过文件评审、现场访问、核查报告编写及内部技术复核，核查组对排放单位</w:t>
      </w:r>
      <w:r>
        <w:rPr>
          <w:rFonts w:hint="eastAsia" w:eastAsia="仿宋_GB2312"/>
          <w:sz w:val="32"/>
          <w:szCs w:val="32"/>
        </w:rPr>
        <w:t>XXXX年</w:t>
      </w:r>
      <w:r>
        <w:rPr>
          <w:rFonts w:eastAsia="仿宋_GB2312"/>
          <w:sz w:val="32"/>
          <w:szCs w:val="32"/>
        </w:rPr>
        <w:t>度二氧化碳排放报告形成如下核查结论：</w:t>
      </w:r>
    </w:p>
    <w:p>
      <w:pPr>
        <w:spacing w:after="0" w:line="560" w:lineRule="exact"/>
        <w:ind w:firstLine="640" w:firstLineChars="200"/>
        <w:jc w:val="both"/>
        <w:rPr>
          <w:rFonts w:eastAsia="仿宋_GB2312"/>
          <w:sz w:val="32"/>
          <w:szCs w:val="32"/>
        </w:rPr>
      </w:pPr>
      <w:r>
        <w:rPr>
          <w:rFonts w:eastAsia="仿宋_GB2312"/>
          <w:sz w:val="32"/>
          <w:szCs w:val="32"/>
        </w:rPr>
        <w:t>1. 核算、报告与方法学的符合性</w:t>
      </w:r>
    </w:p>
    <w:p>
      <w:pPr>
        <w:spacing w:after="0" w:line="560" w:lineRule="exact"/>
        <w:ind w:firstLine="640" w:firstLineChars="200"/>
        <w:jc w:val="both"/>
        <w:rPr>
          <w:rFonts w:eastAsia="仿宋_GB2312"/>
          <w:sz w:val="32"/>
          <w:szCs w:val="32"/>
        </w:rPr>
      </w:pPr>
      <w:r>
        <w:rPr>
          <w:rFonts w:eastAsia="仿宋_GB2312"/>
          <w:sz w:val="32"/>
          <w:szCs w:val="32"/>
        </w:rPr>
        <w:t>核查组确认排放单位的温室气体排放核算与报告均符合方法学</w:t>
      </w:r>
      <w:r>
        <w:rPr>
          <w:rFonts w:hint="eastAsia" w:eastAsia="仿宋_GB2312"/>
          <w:sz w:val="32"/>
          <w:szCs w:val="32"/>
        </w:rPr>
        <w:t>《二氧化碳排放核算和报告要求服务业》（DB11/T 1785-2020）</w:t>
      </w:r>
      <w:r>
        <w:rPr>
          <w:rFonts w:eastAsia="仿宋_GB2312"/>
          <w:sz w:val="32"/>
          <w:szCs w:val="32"/>
        </w:rPr>
        <w:t>的要求，核查组对本排放报告出具肯定的核查结论。</w:t>
      </w:r>
    </w:p>
    <w:p>
      <w:pPr>
        <w:spacing w:after="0" w:line="560" w:lineRule="exact"/>
        <w:ind w:firstLine="640" w:firstLineChars="200"/>
        <w:jc w:val="both"/>
        <w:rPr>
          <w:rFonts w:eastAsia="仿宋_GB2312"/>
          <w:sz w:val="32"/>
          <w:szCs w:val="32"/>
        </w:rPr>
      </w:pPr>
      <w:r>
        <w:rPr>
          <w:rFonts w:hint="eastAsia" w:eastAsia="仿宋_GB2312"/>
          <w:sz w:val="32"/>
          <w:szCs w:val="32"/>
        </w:rPr>
        <w:t>2</w:t>
      </w:r>
      <w:r>
        <w:rPr>
          <w:rFonts w:eastAsia="仿宋_GB2312"/>
          <w:sz w:val="32"/>
          <w:szCs w:val="32"/>
        </w:rPr>
        <w:t>. 本年度排放量及活动水平数据的声明</w:t>
      </w:r>
    </w:p>
    <w:p>
      <w:pPr>
        <w:spacing w:after="0" w:line="560" w:lineRule="exact"/>
        <w:ind w:firstLine="640" w:firstLineChars="200"/>
        <w:jc w:val="both"/>
        <w:rPr>
          <w:rFonts w:eastAsia="仿宋_GB2312"/>
          <w:sz w:val="32"/>
          <w:szCs w:val="32"/>
        </w:rPr>
      </w:pPr>
      <w:r>
        <w:rPr>
          <w:rFonts w:eastAsia="仿宋_GB2312"/>
          <w:sz w:val="32"/>
          <w:szCs w:val="32"/>
        </w:rPr>
        <w:t>经核查的直接和间接排放量与最终排放报告中的一致。经核查的直接排放量为0吨，间接排放量为</w:t>
      </w:r>
      <w:r>
        <w:rPr>
          <w:rFonts w:eastAsia="仿宋_GB2312"/>
          <w:color w:val="000000"/>
          <w:sz w:val="32"/>
          <w:szCs w:val="32"/>
        </w:rPr>
        <w:t>15256.41</w:t>
      </w:r>
      <w:r>
        <w:rPr>
          <w:rFonts w:eastAsia="仿宋_GB2312"/>
          <w:sz w:val="32"/>
          <w:szCs w:val="32"/>
        </w:rPr>
        <w:t>吨，总排放量为</w:t>
      </w:r>
      <w:r>
        <w:rPr>
          <w:rFonts w:eastAsia="仿宋_GB2312"/>
          <w:color w:val="000000"/>
          <w:sz w:val="32"/>
          <w:szCs w:val="32"/>
        </w:rPr>
        <w:t>15256.41</w:t>
      </w:r>
      <w:r>
        <w:rPr>
          <w:rFonts w:eastAsia="仿宋_GB2312"/>
          <w:sz w:val="32"/>
          <w:szCs w:val="32"/>
        </w:rPr>
        <w:t>吨。</w:t>
      </w:r>
    </w:p>
    <w:p>
      <w:pPr>
        <w:spacing w:after="0" w:line="560" w:lineRule="exact"/>
        <w:ind w:firstLine="640" w:firstLineChars="200"/>
        <w:jc w:val="both"/>
        <w:rPr>
          <w:rFonts w:eastAsia="仿宋_GB2312"/>
          <w:sz w:val="32"/>
          <w:szCs w:val="32"/>
        </w:rPr>
      </w:pPr>
      <w:r>
        <w:rPr>
          <w:rFonts w:eastAsia="仿宋_GB2312"/>
          <w:sz w:val="32"/>
          <w:szCs w:val="32"/>
        </w:rPr>
        <w:t>经核查的非数据中心建筑面积、数据中心</w:t>
      </w:r>
      <w:r>
        <w:rPr>
          <w:rFonts w:hint="eastAsia" w:eastAsia="仿宋_GB2312"/>
          <w:sz w:val="32"/>
          <w:szCs w:val="32"/>
        </w:rPr>
        <w:t>总用电量、</w:t>
      </w:r>
      <w:r>
        <w:rPr>
          <w:rFonts w:eastAsia="仿宋_GB2312"/>
          <w:sz w:val="32"/>
          <w:szCs w:val="32"/>
        </w:rPr>
        <w:t>IT设备用电量与最终排放报告中数据一致。经核查的非数据中心建筑面积为xxx平方米</w:t>
      </w:r>
      <w:r>
        <w:rPr>
          <w:rFonts w:hint="eastAsia" w:eastAsia="仿宋_GB2312"/>
          <w:sz w:val="32"/>
          <w:szCs w:val="32"/>
        </w:rPr>
        <w:t>；xx个大型</w:t>
      </w:r>
      <w:r>
        <w:rPr>
          <w:rFonts w:eastAsia="仿宋_GB2312"/>
          <w:sz w:val="32"/>
          <w:szCs w:val="32"/>
        </w:rPr>
        <w:t>数据中心</w:t>
      </w:r>
      <w:r>
        <w:rPr>
          <w:rFonts w:hint="eastAsia" w:eastAsia="仿宋_GB2312"/>
          <w:sz w:val="32"/>
          <w:szCs w:val="32"/>
        </w:rPr>
        <w:t>总用电量为xxMWh，</w:t>
      </w:r>
      <w:r>
        <w:rPr>
          <w:rFonts w:eastAsia="仿宋_GB2312"/>
          <w:sz w:val="32"/>
          <w:szCs w:val="32"/>
        </w:rPr>
        <w:t>IT设备用电量为</w:t>
      </w:r>
      <w:r>
        <w:rPr>
          <w:rFonts w:hint="eastAsia" w:eastAsia="仿宋_GB2312"/>
          <w:sz w:val="32"/>
          <w:szCs w:val="32"/>
        </w:rPr>
        <w:t>xx</w:t>
      </w:r>
      <w:r>
        <w:rPr>
          <w:rFonts w:eastAsia="仿宋_GB2312"/>
          <w:sz w:val="32"/>
          <w:szCs w:val="32"/>
        </w:rPr>
        <w:t>MWh</w:t>
      </w:r>
      <w:r>
        <w:rPr>
          <w:rFonts w:hint="eastAsia" w:eastAsia="仿宋_GB2312"/>
          <w:sz w:val="32"/>
          <w:szCs w:val="32"/>
        </w:rPr>
        <w:t>；xx个中小型数据中心总用电量为xxMWh，IT设备用电量为xxMWh</w:t>
      </w:r>
      <w:r>
        <w:rPr>
          <w:rFonts w:eastAsia="仿宋_GB2312"/>
          <w:sz w:val="32"/>
          <w:szCs w:val="32"/>
        </w:rPr>
        <w:t>。</w:t>
      </w:r>
    </w:p>
    <w:p>
      <w:pPr>
        <w:spacing w:after="0" w:line="560" w:lineRule="exact"/>
        <w:ind w:firstLine="640" w:firstLineChars="200"/>
        <w:jc w:val="both"/>
        <w:rPr>
          <w:rFonts w:eastAsia="仿宋_GB2312"/>
          <w:sz w:val="32"/>
          <w:szCs w:val="32"/>
        </w:rPr>
      </w:pPr>
      <w:r>
        <w:rPr>
          <w:rFonts w:hint="eastAsia" w:eastAsia="仿宋_GB2312"/>
          <w:sz w:val="32"/>
          <w:szCs w:val="32"/>
        </w:rPr>
        <w:t>3</w:t>
      </w:r>
      <w:r>
        <w:rPr>
          <w:rFonts w:eastAsia="仿宋_GB2312"/>
          <w:sz w:val="32"/>
          <w:szCs w:val="32"/>
        </w:rPr>
        <w:t>. 年度排放量及活动水平波动的原因说明</w:t>
      </w:r>
    </w:p>
    <w:p>
      <w:pPr>
        <w:spacing w:after="0" w:line="560" w:lineRule="exact"/>
        <w:ind w:firstLine="640" w:firstLineChars="200"/>
        <w:jc w:val="both"/>
        <w:rPr>
          <w:rFonts w:eastAsia="仿宋_GB2312"/>
          <w:sz w:val="32"/>
          <w:szCs w:val="32"/>
        </w:rPr>
      </w:pPr>
      <w:r>
        <w:rPr>
          <w:rFonts w:hint="eastAsia" w:eastAsia="仿宋_GB2312"/>
          <w:sz w:val="32"/>
          <w:szCs w:val="32"/>
        </w:rPr>
        <w:t>本年度</w:t>
      </w:r>
      <w:r>
        <w:rPr>
          <w:rFonts w:eastAsia="仿宋_GB2312"/>
          <w:sz w:val="32"/>
          <w:szCs w:val="32"/>
        </w:rPr>
        <w:t>排放量与上一年度排放量相比</w:t>
      </w:r>
      <w:r>
        <w:rPr>
          <w:rFonts w:hint="eastAsia" w:eastAsia="仿宋_GB2312"/>
          <w:sz w:val="32"/>
          <w:szCs w:val="32"/>
        </w:rPr>
        <w:t>增加</w:t>
      </w:r>
      <w:r>
        <w:rPr>
          <w:rFonts w:eastAsia="仿宋_GB2312"/>
          <w:sz w:val="32"/>
          <w:szCs w:val="32"/>
        </w:rPr>
        <w:t>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r>
        <w:rPr>
          <w:rFonts w:hint="eastAsia" w:eastAsia="仿宋_GB2312"/>
          <w:sz w:val="32"/>
          <w:szCs w:val="32"/>
        </w:rPr>
        <w:t>，导致排放量大幅上升。</w:t>
      </w:r>
    </w:p>
    <w:p>
      <w:pPr>
        <w:spacing w:after="0" w:line="560" w:lineRule="exact"/>
        <w:ind w:firstLine="640" w:firstLineChars="200"/>
        <w:jc w:val="both"/>
        <w:rPr>
          <w:rFonts w:eastAsia="仿宋_GB2312"/>
          <w:sz w:val="32"/>
          <w:szCs w:val="32"/>
        </w:rPr>
      </w:pPr>
      <w:r>
        <w:rPr>
          <w:rFonts w:eastAsia="仿宋_GB2312"/>
          <w:sz w:val="32"/>
          <w:szCs w:val="32"/>
        </w:rPr>
        <w:t>本年度排放量与历史基准年份相比排放量增加5003.4</w:t>
      </w:r>
      <w:r>
        <w:rPr>
          <w:rFonts w:hint="eastAsia" w:eastAsia="仿宋_GB2312"/>
          <w:sz w:val="32"/>
          <w:szCs w:val="32"/>
        </w:rPr>
        <w:t>5</w:t>
      </w:r>
      <w:r>
        <w:rPr>
          <w:rFonts w:eastAsia="仿宋_GB2312"/>
          <w:sz w:val="32"/>
          <w:szCs w:val="32"/>
        </w:rPr>
        <w:t>吨/48.80%，原因为排放单位相比基准年新增</w:t>
      </w:r>
      <w:r>
        <w:rPr>
          <w:rFonts w:hint="eastAsia" w:eastAsia="仿宋_GB2312"/>
          <w:sz w:val="32"/>
          <w:szCs w:val="32"/>
        </w:rPr>
        <w:t>2</w:t>
      </w:r>
      <w:r>
        <w:rPr>
          <w:rFonts w:eastAsia="仿宋_GB2312"/>
          <w:sz w:val="32"/>
          <w:szCs w:val="32"/>
        </w:rPr>
        <w:t>个支行及1处办公区，电力消费量大幅上涨。</w:t>
      </w:r>
    </w:p>
    <w:p>
      <w:pPr>
        <w:spacing w:after="0" w:line="560" w:lineRule="exact"/>
        <w:jc w:val="center"/>
        <w:rPr>
          <w:rFonts w:eastAsia="仿宋_GB2312"/>
          <w:sz w:val="32"/>
          <w:szCs w:val="32"/>
        </w:rPr>
      </w:pPr>
      <w:r>
        <w:rPr>
          <w:rFonts w:eastAsia="仿宋_GB2312"/>
          <w:sz w:val="24"/>
        </w:rPr>
        <w:t>表XX  排放量汇总表</w:t>
      </w:r>
    </w:p>
    <w:tbl>
      <w:tblPr>
        <w:tblStyle w:val="35"/>
        <w:tblW w:w="4999" w:type="pct"/>
        <w:tblInd w:w="0" w:type="dxa"/>
        <w:tblLayout w:type="autofit"/>
        <w:tblCellMar>
          <w:top w:w="0" w:type="dxa"/>
          <w:left w:w="108" w:type="dxa"/>
          <w:bottom w:w="0" w:type="dxa"/>
          <w:right w:w="108" w:type="dxa"/>
        </w:tblCellMar>
      </w:tblPr>
      <w:tblGrid>
        <w:gridCol w:w="1832"/>
        <w:gridCol w:w="1832"/>
        <w:gridCol w:w="2331"/>
        <w:gridCol w:w="2525"/>
      </w:tblGrid>
      <w:tr>
        <w:tblPrEx>
          <w:tblCellMar>
            <w:top w:w="0" w:type="dxa"/>
            <w:left w:w="108" w:type="dxa"/>
            <w:bottom w:w="0" w:type="dxa"/>
            <w:right w:w="108" w:type="dxa"/>
          </w:tblCellMar>
        </w:tblPrEx>
        <w:trPr>
          <w:trHeight w:val="1028" w:hRule="atLeast"/>
        </w:trPr>
        <w:tc>
          <w:tcPr>
            <w:tcW w:w="1075"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年度</w:t>
            </w:r>
          </w:p>
        </w:tc>
        <w:tc>
          <w:tcPr>
            <w:tcW w:w="1075" w:type="pct"/>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直接排放量（tCO</w:t>
            </w:r>
            <w:r>
              <w:rPr>
                <w:rFonts w:eastAsia="仿宋_GB2312"/>
                <w:color w:val="000000"/>
                <w:sz w:val="24"/>
                <w:vertAlign w:val="subscript"/>
              </w:rPr>
              <w:t>2</w:t>
            </w:r>
            <w:r>
              <w:rPr>
                <w:rFonts w:eastAsia="仿宋_GB2312"/>
                <w:color w:val="000000"/>
                <w:sz w:val="24"/>
              </w:rPr>
              <w:t>）</w:t>
            </w:r>
          </w:p>
        </w:tc>
        <w:tc>
          <w:tcPr>
            <w:tcW w:w="1368" w:type="pct"/>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间接排放量（tCO</w:t>
            </w:r>
            <w:r>
              <w:rPr>
                <w:rFonts w:eastAsia="仿宋_GB2312"/>
                <w:color w:val="000000"/>
                <w:sz w:val="24"/>
                <w:vertAlign w:val="subscript"/>
              </w:rPr>
              <w:t>2</w:t>
            </w:r>
            <w:r>
              <w:rPr>
                <w:rFonts w:eastAsia="仿宋_GB2312"/>
                <w:color w:val="000000"/>
                <w:sz w:val="24"/>
              </w:rPr>
              <w:t>）</w:t>
            </w:r>
          </w:p>
        </w:tc>
        <w:tc>
          <w:tcPr>
            <w:tcW w:w="1482" w:type="pct"/>
            <w:tcBorders>
              <w:top w:val="single" w:color="auto" w:sz="4" w:space="0"/>
              <w:left w:val="nil"/>
              <w:bottom w:val="single" w:color="auto" w:sz="4" w:space="0"/>
              <w:right w:val="single" w:color="auto" w:sz="4" w:space="0"/>
            </w:tcBorders>
            <w:vAlign w:val="center"/>
          </w:tcPr>
          <w:p>
            <w:pPr>
              <w:jc w:val="center"/>
              <w:rPr>
                <w:rFonts w:eastAsia="仿宋_GB2312"/>
                <w:color w:val="000000"/>
                <w:sz w:val="24"/>
              </w:rPr>
            </w:pPr>
            <w:r>
              <w:rPr>
                <w:rFonts w:eastAsia="仿宋_GB2312"/>
                <w:color w:val="000000"/>
                <w:sz w:val="24"/>
              </w:rPr>
              <w:t>排放总量（tCO</w:t>
            </w:r>
            <w:r>
              <w:rPr>
                <w:rFonts w:eastAsia="仿宋_GB2312"/>
                <w:color w:val="000000"/>
                <w:sz w:val="24"/>
                <w:vertAlign w:val="subscript"/>
              </w:rPr>
              <w:t>2</w:t>
            </w:r>
            <w:r>
              <w:rPr>
                <w:rFonts w:eastAsia="仿宋_GB2312"/>
                <w:color w:val="000000"/>
                <w:sz w:val="24"/>
              </w:rPr>
              <w:t>）</w:t>
            </w:r>
          </w:p>
        </w:tc>
      </w:tr>
      <w:tr>
        <w:tblPrEx>
          <w:tblCellMar>
            <w:top w:w="0" w:type="dxa"/>
            <w:left w:w="108" w:type="dxa"/>
            <w:bottom w:w="0" w:type="dxa"/>
            <w:right w:w="108" w:type="dxa"/>
          </w:tblCellMar>
        </w:tblPrEx>
        <w:trPr>
          <w:trHeight w:val="547" w:hRule="atLeast"/>
        </w:trPr>
        <w:tc>
          <w:tcPr>
            <w:tcW w:w="1075" w:type="pct"/>
            <w:tcBorders>
              <w:top w:val="nil"/>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eastAsia="仿宋_GB2312"/>
                <w:color w:val="000000"/>
                <w:sz w:val="24"/>
              </w:rPr>
              <w:t>2016</w:t>
            </w:r>
          </w:p>
        </w:tc>
        <w:tc>
          <w:tcPr>
            <w:tcW w:w="1075" w:type="pct"/>
            <w:tcBorders>
              <w:top w:val="nil"/>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nil"/>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8248.15</w:t>
            </w:r>
          </w:p>
        </w:tc>
        <w:tc>
          <w:tcPr>
            <w:tcW w:w="1482" w:type="pct"/>
            <w:tcBorders>
              <w:top w:val="nil"/>
              <w:left w:val="nil"/>
              <w:bottom w:val="single" w:color="auto" w:sz="4" w:space="0"/>
              <w:right w:val="single" w:color="auto" w:sz="4" w:space="0"/>
            </w:tcBorders>
            <w:vAlign w:val="center"/>
          </w:tcPr>
          <w:p>
            <w:pPr>
              <w:jc w:val="center"/>
              <w:textAlignment w:val="center"/>
              <w:rPr>
                <w:rFonts w:eastAsia="仿宋_GB2312" w:cs="Calibri"/>
                <w:color w:val="000000"/>
                <w:sz w:val="24"/>
              </w:rPr>
            </w:pPr>
            <w:r>
              <w:rPr>
                <w:rFonts w:eastAsia="仿宋_GB2312" w:cs="Calibri"/>
                <w:color w:val="000000"/>
                <w:sz w:val="24"/>
              </w:rPr>
              <w:t>8248.15</w:t>
            </w:r>
          </w:p>
        </w:tc>
      </w:tr>
      <w:tr>
        <w:tblPrEx>
          <w:tblCellMar>
            <w:top w:w="0" w:type="dxa"/>
            <w:left w:w="108" w:type="dxa"/>
            <w:bottom w:w="0" w:type="dxa"/>
            <w:right w:w="108" w:type="dxa"/>
          </w:tblCellMar>
        </w:tblPrEx>
        <w:trPr>
          <w:trHeight w:val="347" w:hRule="atLeast"/>
        </w:trPr>
        <w:tc>
          <w:tcPr>
            <w:tcW w:w="1075" w:type="pct"/>
            <w:tcBorders>
              <w:top w:val="nil"/>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eastAsia="仿宋_GB2312"/>
                <w:color w:val="000000"/>
                <w:sz w:val="24"/>
              </w:rPr>
              <w:t>2017</w:t>
            </w:r>
          </w:p>
        </w:tc>
        <w:tc>
          <w:tcPr>
            <w:tcW w:w="1075" w:type="pct"/>
            <w:tcBorders>
              <w:top w:val="nil"/>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nil"/>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8683.15</w:t>
            </w:r>
          </w:p>
        </w:tc>
        <w:tc>
          <w:tcPr>
            <w:tcW w:w="1482" w:type="pct"/>
            <w:tcBorders>
              <w:top w:val="nil"/>
              <w:left w:val="nil"/>
              <w:bottom w:val="single" w:color="auto" w:sz="4" w:space="0"/>
              <w:right w:val="single" w:color="auto" w:sz="4" w:space="0"/>
            </w:tcBorders>
            <w:vAlign w:val="center"/>
          </w:tcPr>
          <w:p>
            <w:pPr>
              <w:jc w:val="center"/>
              <w:textAlignment w:val="center"/>
              <w:rPr>
                <w:rFonts w:eastAsia="仿宋_GB2312" w:cs="Calibri"/>
                <w:color w:val="000000"/>
                <w:sz w:val="24"/>
              </w:rPr>
            </w:pPr>
            <w:r>
              <w:rPr>
                <w:rFonts w:eastAsia="仿宋_GB2312" w:cs="Calibri"/>
                <w:color w:val="000000"/>
                <w:sz w:val="24"/>
              </w:rPr>
              <w:t>8683.15</w:t>
            </w:r>
          </w:p>
        </w:tc>
      </w:tr>
      <w:tr>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eastAsia="仿宋_GB2312"/>
                <w:color w:val="000000"/>
                <w:sz w:val="24"/>
              </w:rPr>
              <w:t>2018</w:t>
            </w:r>
          </w:p>
        </w:tc>
        <w:tc>
          <w:tcPr>
            <w:tcW w:w="1075" w:type="pct"/>
            <w:tcBorders>
              <w:top w:val="single" w:color="auto" w:sz="4" w:space="0"/>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10252.96</w:t>
            </w:r>
          </w:p>
        </w:tc>
        <w:tc>
          <w:tcPr>
            <w:tcW w:w="1482" w:type="pct"/>
            <w:tcBorders>
              <w:top w:val="single" w:color="auto" w:sz="4" w:space="0"/>
              <w:left w:val="nil"/>
              <w:bottom w:val="single" w:color="auto" w:sz="4" w:space="0"/>
              <w:right w:val="single" w:color="auto" w:sz="4" w:space="0"/>
            </w:tcBorders>
            <w:vAlign w:val="center"/>
          </w:tcPr>
          <w:p>
            <w:pPr>
              <w:jc w:val="center"/>
              <w:textAlignment w:val="center"/>
              <w:rPr>
                <w:rFonts w:eastAsia="仿宋_GB2312" w:cs="Calibri"/>
                <w:color w:val="000000"/>
                <w:sz w:val="24"/>
              </w:rPr>
            </w:pPr>
            <w:r>
              <w:rPr>
                <w:rFonts w:eastAsia="仿宋_GB2312" w:cs="Calibri"/>
                <w:color w:val="000000"/>
                <w:sz w:val="24"/>
              </w:rPr>
              <w:t>10252.96</w:t>
            </w:r>
          </w:p>
        </w:tc>
      </w:tr>
      <w:tr>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eastAsia="仿宋_GB2312"/>
                <w:color w:val="000000"/>
                <w:sz w:val="24"/>
              </w:rPr>
              <w:t>2019</w:t>
            </w:r>
          </w:p>
        </w:tc>
        <w:tc>
          <w:tcPr>
            <w:tcW w:w="1075" w:type="pct"/>
            <w:tcBorders>
              <w:top w:val="single" w:color="auto" w:sz="4" w:space="0"/>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bookmarkStart w:id="20" w:name="_Hlk34841875"/>
            <w:r>
              <w:rPr>
                <w:rFonts w:eastAsia="仿宋_GB2312" w:cs="Calibri"/>
                <w:color w:val="000000"/>
                <w:sz w:val="24"/>
              </w:rPr>
              <w:t>15256.41</w:t>
            </w:r>
            <w:bookmarkEnd w:id="20"/>
          </w:p>
        </w:tc>
        <w:tc>
          <w:tcPr>
            <w:tcW w:w="1482" w:type="pct"/>
            <w:tcBorders>
              <w:top w:val="single" w:color="auto" w:sz="4" w:space="0"/>
              <w:left w:val="nil"/>
              <w:bottom w:val="single" w:color="auto" w:sz="4" w:space="0"/>
              <w:right w:val="single" w:color="auto" w:sz="4" w:space="0"/>
            </w:tcBorders>
            <w:vAlign w:val="center"/>
          </w:tcPr>
          <w:p>
            <w:pPr>
              <w:jc w:val="center"/>
              <w:textAlignment w:val="center"/>
              <w:rPr>
                <w:rFonts w:eastAsia="仿宋_GB2312" w:cs="Calibri"/>
                <w:color w:val="000000"/>
                <w:sz w:val="24"/>
              </w:rPr>
            </w:pPr>
            <w:r>
              <w:rPr>
                <w:rFonts w:eastAsia="仿宋_GB2312" w:cs="Calibri"/>
                <w:color w:val="000000"/>
                <w:sz w:val="24"/>
              </w:rPr>
              <w:t>15256.41</w:t>
            </w:r>
          </w:p>
        </w:tc>
      </w:tr>
      <w:tr>
        <w:tblPrEx>
          <w:tblCellMar>
            <w:top w:w="0" w:type="dxa"/>
            <w:left w:w="108" w:type="dxa"/>
            <w:bottom w:w="0" w:type="dxa"/>
            <w:right w:w="108" w:type="dxa"/>
          </w:tblCellMar>
        </w:tblPrEx>
        <w:trPr>
          <w:trHeight w:val="347" w:hRule="atLeast"/>
        </w:trPr>
        <w:tc>
          <w:tcPr>
            <w:tcW w:w="1075" w:type="pct"/>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000000"/>
                <w:sz w:val="24"/>
              </w:rPr>
            </w:pPr>
            <w:r>
              <w:rPr>
                <w:rFonts w:hint="eastAsia" w:eastAsia="仿宋_GB2312"/>
                <w:color w:val="000000"/>
                <w:sz w:val="24"/>
              </w:rPr>
              <w:t>2</w:t>
            </w:r>
            <w:r>
              <w:rPr>
                <w:rFonts w:eastAsia="仿宋_GB2312"/>
                <w:color w:val="000000"/>
                <w:sz w:val="24"/>
              </w:rPr>
              <w:t>020</w:t>
            </w:r>
          </w:p>
        </w:tc>
        <w:tc>
          <w:tcPr>
            <w:tcW w:w="1075" w:type="pct"/>
            <w:tcBorders>
              <w:top w:val="single" w:color="auto" w:sz="4" w:space="0"/>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0</w:t>
            </w:r>
          </w:p>
        </w:tc>
        <w:tc>
          <w:tcPr>
            <w:tcW w:w="1368" w:type="pct"/>
            <w:tcBorders>
              <w:top w:val="single" w:color="auto" w:sz="4" w:space="0"/>
              <w:left w:val="nil"/>
              <w:bottom w:val="single" w:color="auto" w:sz="4" w:space="0"/>
              <w:right w:val="single" w:color="auto" w:sz="4" w:space="0"/>
            </w:tcBorders>
            <w:noWrap/>
            <w:vAlign w:val="center"/>
          </w:tcPr>
          <w:p>
            <w:pPr>
              <w:jc w:val="center"/>
              <w:textAlignment w:val="center"/>
              <w:rPr>
                <w:rFonts w:eastAsia="仿宋_GB2312" w:cs="Calibri"/>
                <w:color w:val="000000"/>
                <w:sz w:val="24"/>
              </w:rPr>
            </w:pPr>
            <w:r>
              <w:rPr>
                <w:rFonts w:eastAsia="仿宋_GB2312" w:cs="Calibri"/>
                <w:color w:val="000000"/>
                <w:sz w:val="24"/>
              </w:rPr>
              <w:t>15256.41</w:t>
            </w:r>
          </w:p>
        </w:tc>
        <w:tc>
          <w:tcPr>
            <w:tcW w:w="1482" w:type="pct"/>
            <w:tcBorders>
              <w:top w:val="single" w:color="auto" w:sz="4" w:space="0"/>
              <w:left w:val="nil"/>
              <w:bottom w:val="single" w:color="auto" w:sz="4" w:space="0"/>
              <w:right w:val="single" w:color="auto" w:sz="4" w:space="0"/>
            </w:tcBorders>
            <w:vAlign w:val="center"/>
          </w:tcPr>
          <w:p>
            <w:pPr>
              <w:jc w:val="center"/>
              <w:textAlignment w:val="center"/>
              <w:rPr>
                <w:rFonts w:eastAsia="仿宋_GB2312" w:cs="Calibri"/>
                <w:color w:val="000000"/>
                <w:sz w:val="24"/>
              </w:rPr>
            </w:pPr>
            <w:r>
              <w:rPr>
                <w:rFonts w:eastAsia="仿宋_GB2312" w:cs="Calibri"/>
                <w:color w:val="000000"/>
                <w:sz w:val="24"/>
              </w:rPr>
              <w:t>15256.41</w:t>
            </w:r>
          </w:p>
        </w:tc>
      </w:tr>
    </w:tbl>
    <w:p>
      <w:pPr>
        <w:jc w:val="center"/>
      </w:pPr>
      <w:r>
        <w:rPr>
          <w:lang w:val="en-US"/>
        </w:rPr>
        <w:drawing>
          <wp:inline distT="0" distB="0" distL="0" distR="0">
            <wp:extent cx="4568825" cy="2740025"/>
            <wp:effectExtent l="0" t="0" r="3175" b="317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after="0" w:line="560" w:lineRule="exact"/>
        <w:jc w:val="center"/>
        <w:rPr>
          <w:rFonts w:eastAsia="仿宋_GB2312"/>
          <w:sz w:val="32"/>
          <w:szCs w:val="32"/>
        </w:rPr>
      </w:pPr>
      <w:r>
        <w:rPr>
          <w:rFonts w:hint="eastAsia" w:eastAsia="仿宋_GB2312"/>
          <w:sz w:val="24"/>
        </w:rPr>
        <w:t>图</w:t>
      </w:r>
      <w:r>
        <w:rPr>
          <w:rFonts w:eastAsia="仿宋_GB2312"/>
          <w:sz w:val="24"/>
        </w:rPr>
        <w:t>XX  排放量</w:t>
      </w:r>
      <w:r>
        <w:rPr>
          <w:rFonts w:hint="eastAsia" w:eastAsia="仿宋_GB2312"/>
          <w:sz w:val="24"/>
        </w:rPr>
        <w:t>变化趋势图（增加2</w:t>
      </w:r>
      <w:r>
        <w:rPr>
          <w:rFonts w:eastAsia="仿宋_GB2312"/>
          <w:sz w:val="24"/>
        </w:rPr>
        <w:t>020年度）</w:t>
      </w:r>
    </w:p>
    <w:p>
      <w:pPr>
        <w:spacing w:after="0" w:line="560" w:lineRule="exact"/>
        <w:ind w:firstLine="640" w:firstLineChars="200"/>
        <w:rPr>
          <w:rFonts w:eastAsia="仿宋_GB2312"/>
          <w:sz w:val="32"/>
          <w:szCs w:val="32"/>
        </w:rPr>
      </w:pPr>
      <w:r>
        <w:rPr>
          <w:rFonts w:hint="eastAsia" w:eastAsia="仿宋_GB2312"/>
          <w:sz w:val="32"/>
          <w:szCs w:val="32"/>
        </w:rPr>
        <w:t>4. 核算和报告边界变化</w:t>
      </w:r>
      <w:r>
        <w:rPr>
          <w:rFonts w:hint="eastAsia" w:ascii="Times New Roman" w:hAnsi="Times New Roman" w:eastAsia="仿宋_GB2312"/>
          <w:sz w:val="32"/>
          <w:szCs w:val="32"/>
        </w:rPr>
        <w:t>（含设施变化）</w:t>
      </w:r>
      <w:r>
        <w:rPr>
          <w:rFonts w:hint="eastAsia" w:eastAsia="仿宋_GB2312"/>
          <w:sz w:val="32"/>
          <w:szCs w:val="32"/>
        </w:rPr>
        <w:t>情况</w:t>
      </w:r>
    </w:p>
    <w:p>
      <w:pPr>
        <w:spacing w:after="0" w:line="560" w:lineRule="exact"/>
        <w:ind w:firstLine="640" w:firstLineChars="200"/>
        <w:rPr>
          <w:rFonts w:eastAsia="仿宋_GB2312"/>
          <w:sz w:val="32"/>
          <w:szCs w:val="32"/>
        </w:rPr>
      </w:pPr>
      <w:r>
        <w:rPr>
          <w:rFonts w:hint="eastAsia" w:eastAsia="仿宋_GB2312"/>
          <w:sz w:val="32"/>
          <w:szCs w:val="32"/>
        </w:rPr>
        <w:t>4.1 本年度场所边界的变化</w:t>
      </w:r>
    </w:p>
    <w:p>
      <w:pPr>
        <w:spacing w:after="0" w:line="560" w:lineRule="exact"/>
        <w:ind w:firstLine="640" w:firstLineChars="200"/>
        <w:jc w:val="both"/>
        <w:rPr>
          <w:rFonts w:eastAsia="仿宋_GB2312"/>
          <w:sz w:val="32"/>
          <w:szCs w:val="32"/>
        </w:rPr>
      </w:pPr>
      <w:r>
        <w:rPr>
          <w:rFonts w:eastAsia="仿宋_GB2312"/>
          <w:sz w:val="32"/>
          <w:szCs w:val="32"/>
        </w:rPr>
        <w:t>排放单位核算和报告边界为北京市辖区内经营</w:t>
      </w:r>
      <w:r>
        <w:rPr>
          <w:rFonts w:hint="eastAsia" w:eastAsia="仿宋_GB2312"/>
          <w:sz w:val="32"/>
          <w:szCs w:val="32"/>
        </w:rPr>
        <w:t>的</w:t>
      </w:r>
      <w:r>
        <w:rPr>
          <w:rFonts w:eastAsia="仿宋_GB2312"/>
          <w:sz w:val="32"/>
          <w:szCs w:val="32"/>
        </w:rPr>
        <w:t>办公网点</w:t>
      </w:r>
      <w:r>
        <w:rPr>
          <w:rFonts w:hint="eastAsia" w:eastAsia="仿宋_GB2312"/>
          <w:sz w:val="32"/>
          <w:szCs w:val="32"/>
        </w:rPr>
        <w:t>，包括</w:t>
      </w:r>
      <w:r>
        <w:rPr>
          <w:rFonts w:eastAsia="仿宋_GB2312"/>
          <w:sz w:val="32"/>
          <w:szCs w:val="32"/>
        </w:rPr>
        <w:t>xxx</w:t>
      </w:r>
      <w:r>
        <w:rPr>
          <w:rFonts w:hint="eastAsia" w:eastAsia="仿宋_GB2312"/>
          <w:sz w:val="32"/>
          <w:szCs w:val="32"/>
        </w:rPr>
        <w:t>个支行及位于xx的办公大楼，建筑面积共计xxx平方米，还包括xx个大型数据中心，xx个中小型数据中心。与上年度相比，增加xx个支行及位于xxx的办公区域；与历史基准年相比，增加xx个支行及位于xxx的办公区域。</w:t>
      </w:r>
    </w:p>
    <w:p>
      <w:pPr>
        <w:spacing w:after="0" w:line="560" w:lineRule="exact"/>
        <w:ind w:left="440" w:leftChars="200"/>
        <w:jc w:val="both"/>
        <w:rPr>
          <w:rFonts w:eastAsia="仿宋_GB2312"/>
          <w:sz w:val="32"/>
          <w:szCs w:val="32"/>
        </w:rPr>
      </w:pPr>
      <w:r>
        <w:rPr>
          <w:rFonts w:hint="eastAsia" w:eastAsia="仿宋_GB2312"/>
          <w:sz w:val="32"/>
          <w:szCs w:val="32"/>
        </w:rPr>
        <w:t>4.2</w:t>
      </w:r>
      <w:r>
        <w:rPr>
          <w:rFonts w:eastAsia="仿宋_GB2312"/>
          <w:sz w:val="32"/>
          <w:szCs w:val="32"/>
        </w:rPr>
        <w:t>本年度排放设施的变化</w:t>
      </w:r>
    </w:p>
    <w:p>
      <w:pPr>
        <w:spacing w:after="0" w:line="560" w:lineRule="exact"/>
        <w:ind w:firstLine="465"/>
        <w:jc w:val="both"/>
        <w:rPr>
          <w:rFonts w:eastAsia="仿宋_GB2312"/>
          <w:sz w:val="32"/>
          <w:szCs w:val="32"/>
        </w:rPr>
      </w:pPr>
      <w:r>
        <w:rPr>
          <w:rFonts w:eastAsia="仿宋_GB2312"/>
          <w:sz w:val="32"/>
          <w:szCs w:val="32"/>
        </w:rPr>
        <w:t>排放单位2018年存在</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w:t>
      </w:r>
      <w:r>
        <w:rPr>
          <w:rFonts w:hint="eastAsia" w:eastAsia="仿宋_GB2312"/>
          <w:sz w:val="32"/>
          <w:szCs w:val="32"/>
        </w:rPr>
        <w:t>x</w:t>
      </w:r>
      <w:r>
        <w:rPr>
          <w:rFonts w:eastAsia="仿宋_GB2312"/>
          <w:sz w:val="32"/>
          <w:szCs w:val="32"/>
        </w:rPr>
        <w:t>xx支行3个支行截至2018年底运行时间均不足12个月，符合调整既有设施排放配额的申请条件，此信息供既有设施调整配额参考。</w:t>
      </w:r>
    </w:p>
    <w:p>
      <w:pPr>
        <w:spacing w:after="0" w:line="560" w:lineRule="exact"/>
        <w:ind w:firstLine="465"/>
        <w:jc w:val="both"/>
        <w:rPr>
          <w:rFonts w:eastAsia="仿宋_GB2312"/>
          <w:sz w:val="32"/>
          <w:szCs w:val="32"/>
        </w:rPr>
      </w:pPr>
      <w:r>
        <w:rPr>
          <w:rFonts w:eastAsia="仿宋_GB2312"/>
          <w:sz w:val="32"/>
          <w:szCs w:val="32"/>
        </w:rPr>
        <w:t>本年度既有设施退出数量为1个，xxxx支行于2017年4月5日停止营业。</w:t>
      </w:r>
    </w:p>
    <w:p>
      <w:pPr>
        <w:spacing w:after="0" w:line="560" w:lineRule="exact"/>
        <w:jc w:val="center"/>
        <w:rPr>
          <w:rFonts w:eastAsia="仿宋_GB2312"/>
          <w:sz w:val="24"/>
        </w:rPr>
      </w:pPr>
      <w:r>
        <w:rPr>
          <w:rFonts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73"/>
        <w:gridCol w:w="1112"/>
        <w:gridCol w:w="709"/>
        <w:gridCol w:w="943"/>
        <w:gridCol w:w="1100"/>
        <w:gridCol w:w="1143"/>
        <w:gridCol w:w="114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pPr>
              <w:jc w:val="center"/>
              <w:rPr>
                <w:rFonts w:eastAsia="仿宋_GB2312"/>
                <w:sz w:val="24"/>
              </w:rPr>
            </w:pPr>
            <w:r>
              <w:rPr>
                <w:rFonts w:eastAsia="仿宋_GB2312"/>
                <w:sz w:val="24"/>
              </w:rPr>
              <w:t>序号</w:t>
            </w:r>
          </w:p>
        </w:tc>
        <w:tc>
          <w:tcPr>
            <w:tcW w:w="773" w:type="dxa"/>
            <w:vMerge w:val="restart"/>
            <w:vAlign w:val="center"/>
          </w:tcPr>
          <w:p>
            <w:pPr>
              <w:jc w:val="center"/>
              <w:rPr>
                <w:rFonts w:eastAsia="仿宋_GB2312"/>
                <w:sz w:val="24"/>
              </w:rPr>
            </w:pPr>
            <w:r>
              <w:rPr>
                <w:rFonts w:eastAsia="仿宋_GB2312"/>
                <w:sz w:val="24"/>
              </w:rPr>
              <w:t>既有设施名称</w:t>
            </w:r>
          </w:p>
        </w:tc>
        <w:tc>
          <w:tcPr>
            <w:tcW w:w="1112" w:type="dxa"/>
            <w:vMerge w:val="restart"/>
            <w:vAlign w:val="center"/>
          </w:tcPr>
          <w:p>
            <w:pPr>
              <w:jc w:val="center"/>
              <w:rPr>
                <w:rFonts w:eastAsia="仿宋_GB2312"/>
                <w:sz w:val="24"/>
              </w:rPr>
            </w:pPr>
            <w:r>
              <w:rPr>
                <w:rFonts w:eastAsia="仿宋_GB2312"/>
                <w:sz w:val="24"/>
              </w:rPr>
              <w:t>既有设施对应其它生产信息（如适用）</w:t>
            </w:r>
          </w:p>
        </w:tc>
        <w:tc>
          <w:tcPr>
            <w:tcW w:w="709" w:type="dxa"/>
            <w:vMerge w:val="restart"/>
            <w:vAlign w:val="center"/>
          </w:tcPr>
          <w:p>
            <w:pPr>
              <w:jc w:val="center"/>
              <w:rPr>
                <w:rFonts w:eastAsia="仿宋_GB2312"/>
                <w:sz w:val="24"/>
              </w:rPr>
            </w:pPr>
            <w:r>
              <w:rPr>
                <w:rFonts w:eastAsia="仿宋_GB2312"/>
                <w:sz w:val="24"/>
              </w:rPr>
              <w:t>退出时间</w:t>
            </w:r>
          </w:p>
        </w:tc>
        <w:tc>
          <w:tcPr>
            <w:tcW w:w="943" w:type="dxa"/>
            <w:vMerge w:val="restart"/>
            <w:vAlign w:val="center"/>
          </w:tcPr>
          <w:p>
            <w:pPr>
              <w:jc w:val="center"/>
              <w:rPr>
                <w:rFonts w:eastAsia="仿宋_GB2312"/>
                <w:sz w:val="24"/>
              </w:rPr>
            </w:pPr>
            <w:r>
              <w:rPr>
                <w:rFonts w:eastAsia="仿宋_GB2312"/>
                <w:sz w:val="24"/>
              </w:rPr>
              <w:t>是否由新增设施替代</w:t>
            </w:r>
          </w:p>
        </w:tc>
        <w:tc>
          <w:tcPr>
            <w:tcW w:w="1100" w:type="dxa"/>
            <w:vMerge w:val="restart"/>
            <w:tcBorders>
              <w:right w:val="single" w:color="auto" w:sz="4" w:space="0"/>
            </w:tcBorders>
            <w:vAlign w:val="center"/>
          </w:tcPr>
          <w:p>
            <w:pPr>
              <w:jc w:val="center"/>
              <w:rPr>
                <w:rFonts w:eastAsia="仿宋_GB2312"/>
                <w:sz w:val="24"/>
              </w:rPr>
            </w:pPr>
            <w:r>
              <w:rPr>
                <w:rFonts w:eastAsia="仿宋_GB2312"/>
                <w:sz w:val="24"/>
              </w:rPr>
              <w:t>年度</w:t>
            </w:r>
          </w:p>
        </w:tc>
        <w:tc>
          <w:tcPr>
            <w:tcW w:w="3429" w:type="dxa"/>
            <w:gridSpan w:val="3"/>
            <w:tcBorders>
              <w:left w:val="single" w:color="auto" w:sz="4" w:space="0"/>
            </w:tcBorders>
            <w:vAlign w:val="center"/>
          </w:tcPr>
          <w:p>
            <w:pPr>
              <w:jc w:val="center"/>
              <w:rPr>
                <w:rFonts w:eastAsia="仿宋_GB2312"/>
                <w:sz w:val="24"/>
              </w:rPr>
            </w:pPr>
            <w:r>
              <w:rPr>
                <w:rFonts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pPr>
              <w:jc w:val="center"/>
              <w:rPr>
                <w:rFonts w:eastAsia="仿宋_GB2312"/>
                <w:sz w:val="24"/>
              </w:rPr>
            </w:pPr>
          </w:p>
        </w:tc>
        <w:tc>
          <w:tcPr>
            <w:tcW w:w="773" w:type="dxa"/>
            <w:vMerge w:val="continue"/>
            <w:vAlign w:val="center"/>
          </w:tcPr>
          <w:p>
            <w:pPr>
              <w:jc w:val="center"/>
              <w:rPr>
                <w:rFonts w:eastAsia="仿宋_GB2312"/>
                <w:sz w:val="24"/>
              </w:rPr>
            </w:pPr>
          </w:p>
        </w:tc>
        <w:tc>
          <w:tcPr>
            <w:tcW w:w="1112" w:type="dxa"/>
            <w:vMerge w:val="continue"/>
            <w:vAlign w:val="center"/>
          </w:tcPr>
          <w:p>
            <w:pPr>
              <w:jc w:val="center"/>
              <w:rPr>
                <w:rFonts w:eastAsia="仿宋_GB2312"/>
                <w:sz w:val="24"/>
              </w:rPr>
            </w:pPr>
          </w:p>
        </w:tc>
        <w:tc>
          <w:tcPr>
            <w:tcW w:w="709" w:type="dxa"/>
            <w:vMerge w:val="continue"/>
            <w:vAlign w:val="center"/>
          </w:tcPr>
          <w:p>
            <w:pPr>
              <w:jc w:val="center"/>
              <w:rPr>
                <w:rFonts w:eastAsia="仿宋_GB2312"/>
                <w:sz w:val="24"/>
              </w:rPr>
            </w:pPr>
          </w:p>
        </w:tc>
        <w:tc>
          <w:tcPr>
            <w:tcW w:w="943" w:type="dxa"/>
            <w:vMerge w:val="continue"/>
            <w:vAlign w:val="center"/>
          </w:tcPr>
          <w:p>
            <w:pPr>
              <w:jc w:val="center"/>
              <w:rPr>
                <w:rFonts w:eastAsia="仿宋_GB2312"/>
                <w:sz w:val="24"/>
              </w:rPr>
            </w:pPr>
          </w:p>
        </w:tc>
        <w:tc>
          <w:tcPr>
            <w:tcW w:w="1100" w:type="dxa"/>
            <w:vMerge w:val="continue"/>
            <w:tcBorders>
              <w:right w:val="single" w:color="auto" w:sz="4" w:space="0"/>
            </w:tcBorders>
            <w:vAlign w:val="center"/>
          </w:tcPr>
          <w:p>
            <w:pPr>
              <w:jc w:val="center"/>
              <w:rPr>
                <w:rFonts w:eastAsia="仿宋_GB2312"/>
                <w:sz w:val="24"/>
              </w:rPr>
            </w:pPr>
          </w:p>
        </w:tc>
        <w:tc>
          <w:tcPr>
            <w:tcW w:w="1143" w:type="dxa"/>
            <w:tcBorders>
              <w:left w:val="single" w:color="auto" w:sz="4" w:space="0"/>
            </w:tcBorders>
            <w:vAlign w:val="center"/>
          </w:tcPr>
          <w:p>
            <w:pPr>
              <w:jc w:val="center"/>
              <w:rPr>
                <w:rFonts w:eastAsia="仿宋_GB2312"/>
                <w:sz w:val="24"/>
              </w:rPr>
            </w:pPr>
            <w:r>
              <w:rPr>
                <w:rFonts w:eastAsia="仿宋_GB2312"/>
                <w:sz w:val="24"/>
              </w:rPr>
              <w:t>直接排放量</w:t>
            </w:r>
          </w:p>
          <w:p>
            <w:pPr>
              <w:jc w:val="center"/>
              <w:rPr>
                <w:rFonts w:eastAsia="仿宋_GB2312"/>
                <w:sz w:val="24"/>
              </w:rPr>
            </w:pPr>
            <w:r>
              <w:rPr>
                <w:rFonts w:eastAsia="仿宋_GB2312"/>
                <w:sz w:val="24"/>
              </w:rPr>
              <w:t>（tCO</w:t>
            </w:r>
            <w:r>
              <w:rPr>
                <w:rFonts w:eastAsia="仿宋_GB2312"/>
                <w:sz w:val="24"/>
                <w:vertAlign w:val="subscript"/>
              </w:rPr>
              <w:t>2</w:t>
            </w:r>
            <w:r>
              <w:rPr>
                <w:rFonts w:eastAsia="仿宋_GB2312"/>
                <w:sz w:val="24"/>
              </w:rPr>
              <w:t>）</w:t>
            </w:r>
          </w:p>
        </w:tc>
        <w:tc>
          <w:tcPr>
            <w:tcW w:w="1143" w:type="dxa"/>
            <w:vAlign w:val="center"/>
          </w:tcPr>
          <w:p>
            <w:pPr>
              <w:jc w:val="center"/>
              <w:rPr>
                <w:rFonts w:eastAsia="仿宋_GB2312"/>
                <w:sz w:val="24"/>
              </w:rPr>
            </w:pPr>
            <w:r>
              <w:rPr>
                <w:rFonts w:eastAsia="仿宋_GB2312"/>
                <w:sz w:val="24"/>
              </w:rPr>
              <w:t>间接排放量（tCO</w:t>
            </w:r>
            <w:r>
              <w:rPr>
                <w:rFonts w:eastAsia="仿宋_GB2312"/>
                <w:sz w:val="24"/>
                <w:vertAlign w:val="subscript"/>
              </w:rPr>
              <w:t>2</w:t>
            </w:r>
            <w:r>
              <w:rPr>
                <w:rFonts w:eastAsia="仿宋_GB2312"/>
                <w:sz w:val="24"/>
              </w:rPr>
              <w:t>）</w:t>
            </w:r>
          </w:p>
        </w:tc>
        <w:tc>
          <w:tcPr>
            <w:tcW w:w="1143" w:type="dxa"/>
            <w:vAlign w:val="center"/>
          </w:tcPr>
          <w:p>
            <w:pPr>
              <w:jc w:val="center"/>
              <w:rPr>
                <w:rFonts w:eastAsia="仿宋_GB2312"/>
                <w:sz w:val="24"/>
              </w:rPr>
            </w:pPr>
            <w:r>
              <w:rPr>
                <w:rFonts w:eastAsia="仿宋_GB2312"/>
                <w:sz w:val="24"/>
              </w:rPr>
              <w:t>总排放量（tCO</w:t>
            </w:r>
            <w:r>
              <w:rPr>
                <w:rFonts w:eastAsia="仿宋_GB2312"/>
                <w:sz w:val="24"/>
                <w:vertAlign w:val="subscript"/>
              </w:rPr>
              <w:t>2</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pPr>
              <w:jc w:val="center"/>
              <w:rPr>
                <w:rFonts w:eastAsia="仿宋_GB2312"/>
                <w:sz w:val="24"/>
              </w:rPr>
            </w:pPr>
            <w:r>
              <w:rPr>
                <w:rFonts w:eastAsia="仿宋_GB2312"/>
                <w:sz w:val="24"/>
              </w:rPr>
              <w:t>1</w:t>
            </w:r>
          </w:p>
        </w:tc>
        <w:tc>
          <w:tcPr>
            <w:tcW w:w="773" w:type="dxa"/>
            <w:vMerge w:val="restart"/>
            <w:vAlign w:val="center"/>
          </w:tcPr>
          <w:p>
            <w:pPr>
              <w:jc w:val="center"/>
              <w:rPr>
                <w:rFonts w:eastAsia="仿宋_GB2312"/>
                <w:sz w:val="24"/>
              </w:rPr>
            </w:pPr>
            <w:r>
              <w:rPr>
                <w:rFonts w:eastAsia="仿宋_GB2312"/>
                <w:sz w:val="24"/>
              </w:rPr>
              <w:t>xxx支行</w:t>
            </w:r>
          </w:p>
        </w:tc>
        <w:tc>
          <w:tcPr>
            <w:tcW w:w="1112" w:type="dxa"/>
            <w:vMerge w:val="restart"/>
            <w:vAlign w:val="center"/>
          </w:tcPr>
          <w:p>
            <w:pPr>
              <w:jc w:val="center"/>
              <w:rPr>
                <w:rFonts w:eastAsia="仿宋_GB2312"/>
                <w:sz w:val="24"/>
              </w:rPr>
            </w:pPr>
            <w:r>
              <w:rPr>
                <w:rFonts w:eastAsia="仿宋_GB2312"/>
                <w:sz w:val="24"/>
              </w:rPr>
              <w:t>建筑面积：xxx平方米</w:t>
            </w:r>
          </w:p>
        </w:tc>
        <w:tc>
          <w:tcPr>
            <w:tcW w:w="709" w:type="dxa"/>
            <w:vMerge w:val="restart"/>
            <w:vAlign w:val="center"/>
          </w:tcPr>
          <w:p>
            <w:pPr>
              <w:jc w:val="center"/>
              <w:rPr>
                <w:rFonts w:eastAsia="仿宋_GB2312"/>
                <w:sz w:val="24"/>
              </w:rPr>
            </w:pPr>
            <w:r>
              <w:rPr>
                <w:rFonts w:eastAsia="仿宋_GB2312"/>
                <w:sz w:val="24"/>
              </w:rPr>
              <w:t>2017</w:t>
            </w:r>
          </w:p>
        </w:tc>
        <w:tc>
          <w:tcPr>
            <w:tcW w:w="943" w:type="dxa"/>
            <w:vMerge w:val="restart"/>
            <w:vAlign w:val="center"/>
          </w:tcPr>
          <w:p>
            <w:pPr>
              <w:jc w:val="center"/>
              <w:rPr>
                <w:rFonts w:eastAsia="仿宋_GB2312"/>
                <w:sz w:val="24"/>
              </w:rPr>
            </w:pPr>
            <w:r>
              <w:rPr>
                <w:rFonts w:eastAsia="仿宋_GB2312"/>
                <w:sz w:val="24"/>
              </w:rPr>
              <w:t>否</w:t>
            </w:r>
          </w:p>
        </w:tc>
        <w:tc>
          <w:tcPr>
            <w:tcW w:w="1100" w:type="dxa"/>
            <w:tcBorders>
              <w:right w:val="single" w:color="auto" w:sz="4" w:space="0"/>
            </w:tcBorders>
          </w:tcPr>
          <w:p>
            <w:pPr>
              <w:rPr>
                <w:rFonts w:eastAsia="仿宋_GB2312"/>
                <w:sz w:val="24"/>
              </w:rPr>
            </w:pPr>
            <w:r>
              <w:rPr>
                <w:rFonts w:eastAsia="仿宋_GB2312"/>
                <w:sz w:val="24"/>
              </w:rPr>
              <w:t>2016年</w:t>
            </w:r>
          </w:p>
        </w:tc>
        <w:tc>
          <w:tcPr>
            <w:tcW w:w="1143" w:type="dxa"/>
            <w:tcBorders>
              <w:left w:val="single" w:color="auto" w:sz="4" w:space="0"/>
            </w:tcBorders>
          </w:tcPr>
          <w:p>
            <w:pPr>
              <w:jc w:val="center"/>
              <w:rPr>
                <w:rFonts w:eastAsia="仿宋_GB2312"/>
                <w:sz w:val="24"/>
              </w:rPr>
            </w:pPr>
            <w:r>
              <w:rPr>
                <w:rFonts w:eastAsia="仿宋_GB2312"/>
                <w:sz w:val="24"/>
              </w:rPr>
              <w:t>0</w:t>
            </w:r>
          </w:p>
        </w:tc>
        <w:tc>
          <w:tcPr>
            <w:tcW w:w="1143" w:type="dxa"/>
            <w:vAlign w:val="bottom"/>
          </w:tcPr>
          <w:p>
            <w:pPr>
              <w:jc w:val="center"/>
              <w:rPr>
                <w:rFonts w:eastAsia="仿宋_GB2312"/>
                <w:sz w:val="24"/>
              </w:rPr>
            </w:pPr>
            <w:r>
              <w:rPr>
                <w:rFonts w:hint="eastAsia" w:eastAsia="仿宋_GB2312"/>
                <w:sz w:val="24"/>
              </w:rPr>
              <w:t>37.5</w:t>
            </w:r>
          </w:p>
        </w:tc>
        <w:tc>
          <w:tcPr>
            <w:tcW w:w="1143" w:type="dxa"/>
            <w:vAlign w:val="bottom"/>
          </w:tcPr>
          <w:p>
            <w:pPr>
              <w:jc w:val="center"/>
              <w:rPr>
                <w:rFonts w:eastAsia="仿宋_GB2312"/>
                <w:sz w:val="24"/>
              </w:rPr>
            </w:pPr>
            <w:r>
              <w:rPr>
                <w:rFonts w:hint="eastAsia" w:eastAsia="仿宋_GB2312"/>
                <w:sz w:val="24"/>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eastAsia="仿宋_GB2312"/>
                <w:sz w:val="24"/>
              </w:rPr>
            </w:pPr>
          </w:p>
        </w:tc>
        <w:tc>
          <w:tcPr>
            <w:tcW w:w="773" w:type="dxa"/>
            <w:vMerge w:val="continue"/>
          </w:tcPr>
          <w:p>
            <w:pPr>
              <w:rPr>
                <w:rFonts w:eastAsia="仿宋_GB2312"/>
                <w:sz w:val="24"/>
              </w:rPr>
            </w:pPr>
          </w:p>
        </w:tc>
        <w:tc>
          <w:tcPr>
            <w:tcW w:w="1112" w:type="dxa"/>
            <w:vMerge w:val="continue"/>
          </w:tcPr>
          <w:p>
            <w:pPr>
              <w:rPr>
                <w:rFonts w:eastAsia="仿宋_GB2312"/>
                <w:sz w:val="24"/>
              </w:rPr>
            </w:pPr>
          </w:p>
        </w:tc>
        <w:tc>
          <w:tcPr>
            <w:tcW w:w="709" w:type="dxa"/>
            <w:vMerge w:val="continue"/>
          </w:tcPr>
          <w:p>
            <w:pPr>
              <w:rPr>
                <w:rFonts w:eastAsia="仿宋_GB2312"/>
                <w:sz w:val="24"/>
              </w:rPr>
            </w:pPr>
          </w:p>
        </w:tc>
        <w:tc>
          <w:tcPr>
            <w:tcW w:w="943" w:type="dxa"/>
            <w:vMerge w:val="continue"/>
          </w:tcPr>
          <w:p>
            <w:pPr>
              <w:rPr>
                <w:rFonts w:eastAsia="仿宋_GB2312"/>
                <w:sz w:val="24"/>
              </w:rPr>
            </w:pPr>
          </w:p>
        </w:tc>
        <w:tc>
          <w:tcPr>
            <w:tcW w:w="1100" w:type="dxa"/>
            <w:tcBorders>
              <w:right w:val="single" w:color="auto" w:sz="4" w:space="0"/>
            </w:tcBorders>
          </w:tcPr>
          <w:p>
            <w:pPr>
              <w:rPr>
                <w:rFonts w:eastAsia="仿宋_GB2312"/>
                <w:sz w:val="24"/>
              </w:rPr>
            </w:pPr>
            <w:r>
              <w:rPr>
                <w:rFonts w:eastAsia="仿宋_GB2312"/>
                <w:sz w:val="24"/>
              </w:rPr>
              <w:t>2017年</w:t>
            </w:r>
          </w:p>
        </w:tc>
        <w:tc>
          <w:tcPr>
            <w:tcW w:w="1143" w:type="dxa"/>
            <w:tcBorders>
              <w:left w:val="single" w:color="auto" w:sz="4" w:space="0"/>
            </w:tcBorders>
          </w:tcPr>
          <w:p>
            <w:pPr>
              <w:jc w:val="center"/>
              <w:rPr>
                <w:rFonts w:eastAsia="仿宋_GB2312"/>
                <w:sz w:val="24"/>
              </w:rPr>
            </w:pPr>
            <w:r>
              <w:rPr>
                <w:rFonts w:eastAsia="仿宋_GB2312"/>
                <w:sz w:val="24"/>
              </w:rPr>
              <w:t>0</w:t>
            </w:r>
          </w:p>
        </w:tc>
        <w:tc>
          <w:tcPr>
            <w:tcW w:w="1143" w:type="dxa"/>
            <w:vAlign w:val="bottom"/>
          </w:tcPr>
          <w:p>
            <w:pPr>
              <w:jc w:val="center"/>
              <w:rPr>
                <w:rFonts w:eastAsia="仿宋_GB2312"/>
                <w:sz w:val="24"/>
              </w:rPr>
            </w:pPr>
            <w:r>
              <w:rPr>
                <w:rFonts w:hint="eastAsia" w:eastAsia="仿宋_GB2312"/>
                <w:sz w:val="24"/>
              </w:rPr>
              <w:t>22.32</w:t>
            </w:r>
          </w:p>
        </w:tc>
        <w:tc>
          <w:tcPr>
            <w:tcW w:w="1143" w:type="dxa"/>
            <w:vAlign w:val="bottom"/>
          </w:tcPr>
          <w:p>
            <w:pPr>
              <w:jc w:val="center"/>
              <w:rPr>
                <w:rFonts w:eastAsia="仿宋_GB2312"/>
                <w:sz w:val="24"/>
              </w:rPr>
            </w:pPr>
            <w:r>
              <w:rPr>
                <w:rFonts w:hint="eastAsia" w:eastAsia="仿宋_GB2312"/>
                <w:sz w:val="24"/>
              </w:rPr>
              <w:t>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eastAsia="仿宋_GB2312"/>
                <w:sz w:val="24"/>
              </w:rPr>
            </w:pPr>
          </w:p>
        </w:tc>
        <w:tc>
          <w:tcPr>
            <w:tcW w:w="773" w:type="dxa"/>
            <w:vMerge w:val="continue"/>
          </w:tcPr>
          <w:p>
            <w:pPr>
              <w:rPr>
                <w:rFonts w:eastAsia="仿宋_GB2312"/>
                <w:sz w:val="24"/>
              </w:rPr>
            </w:pPr>
          </w:p>
        </w:tc>
        <w:tc>
          <w:tcPr>
            <w:tcW w:w="1112" w:type="dxa"/>
            <w:vMerge w:val="continue"/>
          </w:tcPr>
          <w:p>
            <w:pPr>
              <w:rPr>
                <w:rFonts w:eastAsia="仿宋_GB2312"/>
                <w:sz w:val="24"/>
              </w:rPr>
            </w:pPr>
          </w:p>
        </w:tc>
        <w:tc>
          <w:tcPr>
            <w:tcW w:w="709" w:type="dxa"/>
            <w:vMerge w:val="continue"/>
          </w:tcPr>
          <w:p>
            <w:pPr>
              <w:rPr>
                <w:rFonts w:eastAsia="仿宋_GB2312"/>
                <w:sz w:val="24"/>
              </w:rPr>
            </w:pPr>
          </w:p>
        </w:tc>
        <w:tc>
          <w:tcPr>
            <w:tcW w:w="943" w:type="dxa"/>
            <w:vMerge w:val="continue"/>
          </w:tcPr>
          <w:p>
            <w:pPr>
              <w:rPr>
                <w:rFonts w:eastAsia="仿宋_GB2312"/>
                <w:sz w:val="24"/>
              </w:rPr>
            </w:pPr>
          </w:p>
        </w:tc>
        <w:tc>
          <w:tcPr>
            <w:tcW w:w="1100" w:type="dxa"/>
            <w:tcBorders>
              <w:right w:val="single" w:color="auto" w:sz="4" w:space="0"/>
            </w:tcBorders>
          </w:tcPr>
          <w:p>
            <w:pPr>
              <w:rPr>
                <w:rFonts w:eastAsia="仿宋_GB2312"/>
                <w:sz w:val="24"/>
              </w:rPr>
            </w:pPr>
            <w:r>
              <w:rPr>
                <w:rFonts w:eastAsia="仿宋_GB2312"/>
                <w:sz w:val="24"/>
              </w:rPr>
              <w:t>2018年</w:t>
            </w:r>
          </w:p>
        </w:tc>
        <w:tc>
          <w:tcPr>
            <w:tcW w:w="1143" w:type="dxa"/>
            <w:tcBorders>
              <w:left w:val="single" w:color="auto" w:sz="4" w:space="0"/>
            </w:tcBorders>
            <w:vAlign w:val="center"/>
          </w:tcPr>
          <w:p>
            <w:pPr>
              <w:jc w:val="center"/>
              <w:rPr>
                <w:rFonts w:eastAsia="仿宋_GB2312"/>
                <w:sz w:val="24"/>
              </w:rPr>
            </w:pPr>
            <w:r>
              <w:rPr>
                <w:rFonts w:hint="eastAsia" w:eastAsia="仿宋_GB2312"/>
                <w:sz w:val="24"/>
              </w:rPr>
              <w:t>/</w:t>
            </w:r>
          </w:p>
        </w:tc>
        <w:tc>
          <w:tcPr>
            <w:tcW w:w="1143" w:type="dxa"/>
            <w:vAlign w:val="center"/>
          </w:tcPr>
          <w:p>
            <w:pPr>
              <w:jc w:val="center"/>
              <w:rPr>
                <w:rFonts w:eastAsia="仿宋_GB2312"/>
                <w:sz w:val="24"/>
              </w:rPr>
            </w:pPr>
            <w:r>
              <w:rPr>
                <w:rFonts w:hint="eastAsia" w:eastAsia="仿宋_GB2312"/>
                <w:sz w:val="24"/>
              </w:rPr>
              <w:t>/</w:t>
            </w:r>
          </w:p>
        </w:tc>
        <w:tc>
          <w:tcPr>
            <w:tcW w:w="1143" w:type="dxa"/>
            <w:vAlign w:val="center"/>
          </w:tcPr>
          <w:p>
            <w:pPr>
              <w:jc w:val="center"/>
              <w:rPr>
                <w:rFonts w:eastAsia="仿宋_GB2312"/>
                <w:sz w:val="24"/>
              </w:rPr>
            </w:pPr>
            <w:r>
              <w:rPr>
                <w:rFonts w:hint="eastAsia" w:eastAsia="仿宋_GB2312"/>
                <w:sz w:val="24"/>
              </w:rPr>
              <w:t>/</w:t>
            </w:r>
          </w:p>
        </w:tc>
      </w:tr>
    </w:tbl>
    <w:p>
      <w:pPr>
        <w:spacing w:after="0" w:line="560" w:lineRule="exact"/>
        <w:ind w:firstLine="465"/>
        <w:rPr>
          <w:rFonts w:eastAsia="仿宋_GB2312"/>
          <w:sz w:val="32"/>
          <w:szCs w:val="32"/>
        </w:rPr>
      </w:pPr>
      <w:r>
        <w:rPr>
          <w:rFonts w:eastAsia="仿宋_GB2312"/>
          <w:sz w:val="32"/>
          <w:szCs w:val="32"/>
        </w:rPr>
        <w:t>排放单位新增</w:t>
      </w:r>
      <w:r>
        <w:rPr>
          <w:rFonts w:hint="eastAsia" w:eastAsia="仿宋_GB2312"/>
          <w:sz w:val="32"/>
          <w:szCs w:val="32"/>
        </w:rPr>
        <w:t>2</w:t>
      </w:r>
      <w:r>
        <w:rPr>
          <w:rFonts w:eastAsia="仿宋_GB2312"/>
          <w:sz w:val="32"/>
          <w:szCs w:val="32"/>
        </w:rPr>
        <w:t>个支行及</w:t>
      </w:r>
      <w:r>
        <w:rPr>
          <w:rFonts w:hint="eastAsia" w:eastAsia="仿宋_GB2312"/>
          <w:sz w:val="32"/>
          <w:szCs w:val="32"/>
        </w:rPr>
        <w:t>1</w:t>
      </w:r>
      <w:r>
        <w:rPr>
          <w:rFonts w:eastAsia="仿宋_GB2312"/>
          <w:sz w:val="32"/>
          <w:szCs w:val="32"/>
        </w:rPr>
        <w:t>处办公区域，具体新增及其排放量见下表：</w:t>
      </w:r>
    </w:p>
    <w:p>
      <w:pPr>
        <w:spacing w:after="0" w:line="560" w:lineRule="exact"/>
        <w:jc w:val="center"/>
        <w:rPr>
          <w:rFonts w:eastAsia="仿宋_GB2312"/>
          <w:sz w:val="24"/>
        </w:rPr>
      </w:pPr>
    </w:p>
    <w:p>
      <w:pPr>
        <w:spacing w:after="0" w:line="560" w:lineRule="exact"/>
        <w:jc w:val="center"/>
        <w:rPr>
          <w:rFonts w:eastAsia="仿宋_GB2312"/>
          <w:sz w:val="32"/>
          <w:szCs w:val="32"/>
        </w:rPr>
      </w:pPr>
      <w:r>
        <w:rPr>
          <w:rFonts w:eastAsia="仿宋_GB2312"/>
          <w:sz w:val="24"/>
        </w:rPr>
        <w:t xml:space="preserve">表XX  </w:t>
      </w:r>
      <w:r>
        <w:rPr>
          <w:rFonts w:hint="eastAsia" w:eastAsia="仿宋_GB2312"/>
          <w:sz w:val="24"/>
        </w:rPr>
        <w:t>新增设施信息</w:t>
      </w:r>
      <w:r>
        <w:rPr>
          <w:rFonts w:eastAsia="仿宋_GB2312"/>
          <w:sz w:val="24"/>
        </w:rPr>
        <w:t>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09"/>
        <w:gridCol w:w="3162"/>
        <w:gridCol w:w="1285"/>
        <w:gridCol w:w="111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tabs>
                <w:tab w:val="left" w:pos="1701"/>
              </w:tabs>
              <w:jc w:val="center"/>
              <w:rPr>
                <w:rFonts w:eastAsia="仿宋_GB2312"/>
                <w:color w:val="000000"/>
                <w:sz w:val="24"/>
              </w:rPr>
            </w:pPr>
            <w:r>
              <w:rPr>
                <w:rFonts w:eastAsia="仿宋_GB2312"/>
                <w:color w:val="000000"/>
                <w:sz w:val="24"/>
              </w:rPr>
              <w:t>序号</w:t>
            </w:r>
          </w:p>
        </w:tc>
        <w:tc>
          <w:tcPr>
            <w:tcW w:w="592" w:type="pct"/>
            <w:vAlign w:val="center"/>
          </w:tcPr>
          <w:p>
            <w:pPr>
              <w:tabs>
                <w:tab w:val="left" w:pos="1701"/>
              </w:tabs>
              <w:jc w:val="center"/>
              <w:rPr>
                <w:rFonts w:eastAsia="仿宋_GB2312"/>
                <w:color w:val="000000"/>
                <w:sz w:val="24"/>
              </w:rPr>
            </w:pPr>
            <w:r>
              <w:rPr>
                <w:rFonts w:eastAsia="仿宋_GB2312"/>
                <w:color w:val="000000"/>
                <w:sz w:val="24"/>
              </w:rPr>
              <w:t>设施新增年份</w:t>
            </w:r>
          </w:p>
        </w:tc>
        <w:tc>
          <w:tcPr>
            <w:tcW w:w="1856" w:type="pct"/>
            <w:vAlign w:val="center"/>
          </w:tcPr>
          <w:p>
            <w:pPr>
              <w:tabs>
                <w:tab w:val="left" w:pos="1701"/>
              </w:tabs>
              <w:jc w:val="center"/>
              <w:rPr>
                <w:rFonts w:eastAsia="仿宋_GB2312"/>
                <w:color w:val="000000"/>
                <w:sz w:val="24"/>
              </w:rPr>
            </w:pPr>
            <w:r>
              <w:rPr>
                <w:rFonts w:eastAsia="仿宋_GB2312"/>
                <w:color w:val="000000"/>
                <w:sz w:val="24"/>
              </w:rPr>
              <w:t>新增设施类型</w:t>
            </w:r>
          </w:p>
        </w:tc>
        <w:tc>
          <w:tcPr>
            <w:tcW w:w="754" w:type="pct"/>
            <w:vAlign w:val="center"/>
          </w:tcPr>
          <w:p>
            <w:pPr>
              <w:tabs>
                <w:tab w:val="left" w:pos="1701"/>
              </w:tabs>
              <w:jc w:val="center"/>
              <w:rPr>
                <w:rFonts w:eastAsia="仿宋_GB2312"/>
                <w:color w:val="000000"/>
                <w:sz w:val="24"/>
              </w:rPr>
            </w:pPr>
            <w:r>
              <w:rPr>
                <w:rFonts w:eastAsia="仿宋_GB2312"/>
                <w:color w:val="000000"/>
                <w:sz w:val="24"/>
              </w:rPr>
              <w:t>是否替代既有设施，被替代既有设施类型</w:t>
            </w:r>
          </w:p>
        </w:tc>
        <w:tc>
          <w:tcPr>
            <w:tcW w:w="655" w:type="pct"/>
            <w:vAlign w:val="center"/>
          </w:tcPr>
          <w:p>
            <w:pPr>
              <w:tabs>
                <w:tab w:val="left" w:pos="1701"/>
              </w:tabs>
              <w:jc w:val="center"/>
              <w:rPr>
                <w:rFonts w:eastAsia="仿宋_GB2312"/>
                <w:color w:val="000000"/>
                <w:sz w:val="24"/>
              </w:rPr>
            </w:pPr>
            <w:r>
              <w:rPr>
                <w:rFonts w:eastAsia="仿宋_GB2312"/>
                <w:color w:val="000000"/>
                <w:sz w:val="24"/>
              </w:rPr>
              <w:t>新增设施排放量（吨）</w:t>
            </w:r>
          </w:p>
        </w:tc>
        <w:tc>
          <w:tcPr>
            <w:tcW w:w="757" w:type="pct"/>
            <w:vAlign w:val="center"/>
          </w:tcPr>
          <w:p>
            <w:pPr>
              <w:tabs>
                <w:tab w:val="left" w:pos="1701"/>
              </w:tabs>
              <w:jc w:val="center"/>
              <w:rPr>
                <w:rFonts w:eastAsia="仿宋_GB2312"/>
                <w:color w:val="000000"/>
                <w:sz w:val="24"/>
              </w:rPr>
            </w:pPr>
            <w:r>
              <w:rPr>
                <w:rFonts w:eastAsia="仿宋_GB2312"/>
                <w:color w:val="000000"/>
                <w:sz w:val="24"/>
              </w:rPr>
              <w:t>新增替代既有设施排放量（吨）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jc w:val="center"/>
              <w:rPr>
                <w:rFonts w:eastAsia="仿宋_GB2312"/>
                <w:color w:val="000000"/>
                <w:sz w:val="24"/>
              </w:rPr>
            </w:pPr>
            <w:r>
              <w:rPr>
                <w:rFonts w:eastAsia="仿宋_GB2312"/>
                <w:color w:val="000000"/>
                <w:sz w:val="24"/>
              </w:rPr>
              <w:t>1</w:t>
            </w:r>
          </w:p>
        </w:tc>
        <w:tc>
          <w:tcPr>
            <w:tcW w:w="592" w:type="pct"/>
            <w:vAlign w:val="center"/>
          </w:tcPr>
          <w:p>
            <w:pPr>
              <w:jc w:val="center"/>
              <w:rPr>
                <w:rFonts w:eastAsia="仿宋_GB2312"/>
                <w:sz w:val="24"/>
              </w:rPr>
            </w:pPr>
            <w:r>
              <w:rPr>
                <w:rFonts w:eastAsia="仿宋_GB2312"/>
                <w:sz w:val="24"/>
              </w:rPr>
              <w:t>2019</w:t>
            </w:r>
          </w:p>
        </w:tc>
        <w:tc>
          <w:tcPr>
            <w:tcW w:w="1856" w:type="pct"/>
            <w:vAlign w:val="center"/>
          </w:tcPr>
          <w:p>
            <w:pPr>
              <w:rPr>
                <w:rFonts w:eastAsia="仿宋_GB2312"/>
                <w:sz w:val="24"/>
              </w:rPr>
            </w:pPr>
            <w:r>
              <w:rPr>
                <w:rFonts w:eastAsia="仿宋_GB2312"/>
                <w:sz w:val="24"/>
              </w:rPr>
              <w:t>支行2个：xxx支行、xx大厦支行</w:t>
            </w:r>
          </w:p>
        </w:tc>
        <w:tc>
          <w:tcPr>
            <w:tcW w:w="754" w:type="pct"/>
            <w:vAlign w:val="center"/>
          </w:tcPr>
          <w:p>
            <w:pPr>
              <w:jc w:val="center"/>
              <w:rPr>
                <w:rFonts w:eastAsia="仿宋_GB2312"/>
                <w:sz w:val="24"/>
              </w:rPr>
            </w:pPr>
            <w:r>
              <w:rPr>
                <w:rFonts w:eastAsia="仿宋_GB2312"/>
                <w:sz w:val="24"/>
              </w:rPr>
              <w:t>否</w:t>
            </w:r>
          </w:p>
        </w:tc>
        <w:tc>
          <w:tcPr>
            <w:tcW w:w="655" w:type="pct"/>
            <w:vAlign w:val="center"/>
          </w:tcPr>
          <w:p>
            <w:pPr>
              <w:jc w:val="center"/>
              <w:rPr>
                <w:rFonts w:eastAsia="仿宋_GB2312"/>
                <w:sz w:val="24"/>
              </w:rPr>
            </w:pPr>
            <w:r>
              <w:rPr>
                <w:rFonts w:eastAsia="仿宋_GB2312"/>
                <w:sz w:val="24"/>
              </w:rPr>
              <w:t>228.41</w:t>
            </w:r>
          </w:p>
        </w:tc>
        <w:tc>
          <w:tcPr>
            <w:tcW w:w="757" w:type="pct"/>
            <w:vAlign w:val="center"/>
          </w:tcPr>
          <w:p>
            <w:pPr>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jc w:val="center"/>
              <w:rPr>
                <w:rFonts w:eastAsia="仿宋_GB2312"/>
                <w:color w:val="000000"/>
                <w:sz w:val="24"/>
              </w:rPr>
            </w:pPr>
            <w:r>
              <w:rPr>
                <w:rFonts w:eastAsia="仿宋_GB2312"/>
                <w:color w:val="000000"/>
                <w:sz w:val="24"/>
              </w:rPr>
              <w:t>2</w:t>
            </w:r>
          </w:p>
        </w:tc>
        <w:tc>
          <w:tcPr>
            <w:tcW w:w="592" w:type="pct"/>
            <w:vAlign w:val="center"/>
          </w:tcPr>
          <w:p>
            <w:pPr>
              <w:jc w:val="center"/>
              <w:rPr>
                <w:rFonts w:eastAsia="仿宋_GB2312"/>
                <w:sz w:val="24"/>
              </w:rPr>
            </w:pPr>
            <w:r>
              <w:rPr>
                <w:rFonts w:eastAsia="仿宋_GB2312"/>
                <w:sz w:val="24"/>
              </w:rPr>
              <w:t>2020</w:t>
            </w:r>
          </w:p>
        </w:tc>
        <w:tc>
          <w:tcPr>
            <w:tcW w:w="1856" w:type="pct"/>
            <w:vAlign w:val="center"/>
          </w:tcPr>
          <w:p>
            <w:pPr>
              <w:rPr>
                <w:rFonts w:eastAsia="仿宋_GB2312"/>
                <w:sz w:val="24"/>
              </w:rPr>
            </w:pPr>
            <w:r>
              <w:rPr>
                <w:rFonts w:eastAsia="仿宋_GB2312"/>
                <w:sz w:val="24"/>
              </w:rPr>
              <w:t>1处办公区域：分行月坛大厦办公区域</w:t>
            </w:r>
          </w:p>
        </w:tc>
        <w:tc>
          <w:tcPr>
            <w:tcW w:w="754" w:type="pct"/>
            <w:vAlign w:val="center"/>
          </w:tcPr>
          <w:p>
            <w:pPr>
              <w:jc w:val="center"/>
              <w:rPr>
                <w:rFonts w:eastAsia="仿宋_GB2312"/>
                <w:sz w:val="24"/>
              </w:rPr>
            </w:pPr>
            <w:r>
              <w:rPr>
                <w:rFonts w:eastAsia="仿宋_GB2312"/>
                <w:sz w:val="24"/>
              </w:rPr>
              <w:t>否</w:t>
            </w:r>
          </w:p>
        </w:tc>
        <w:tc>
          <w:tcPr>
            <w:tcW w:w="655" w:type="pct"/>
            <w:vAlign w:val="center"/>
          </w:tcPr>
          <w:p>
            <w:pPr>
              <w:jc w:val="center"/>
              <w:rPr>
                <w:rFonts w:eastAsia="仿宋_GB2312"/>
                <w:sz w:val="24"/>
              </w:rPr>
            </w:pPr>
            <w:r>
              <w:rPr>
                <w:rFonts w:eastAsia="仿宋_GB2312"/>
                <w:sz w:val="24"/>
              </w:rPr>
              <w:t>5343.50</w:t>
            </w:r>
          </w:p>
        </w:tc>
        <w:tc>
          <w:tcPr>
            <w:tcW w:w="757" w:type="pct"/>
            <w:vAlign w:val="center"/>
          </w:tcPr>
          <w:p>
            <w:pPr>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 w:type="pct"/>
            <w:vAlign w:val="center"/>
          </w:tcPr>
          <w:p>
            <w:pPr>
              <w:jc w:val="center"/>
              <w:rPr>
                <w:rFonts w:eastAsia="仿宋_GB2312"/>
                <w:sz w:val="24"/>
              </w:rPr>
            </w:pPr>
            <w:r>
              <w:rPr>
                <w:rFonts w:eastAsia="仿宋_GB2312"/>
                <w:color w:val="000000"/>
                <w:sz w:val="24"/>
              </w:rPr>
              <w:t>合计</w:t>
            </w:r>
          </w:p>
        </w:tc>
        <w:tc>
          <w:tcPr>
            <w:tcW w:w="592" w:type="pct"/>
            <w:vAlign w:val="center"/>
          </w:tcPr>
          <w:p>
            <w:pPr>
              <w:jc w:val="center"/>
              <w:rPr>
                <w:rFonts w:eastAsia="仿宋_GB2312"/>
                <w:sz w:val="24"/>
              </w:rPr>
            </w:pPr>
          </w:p>
        </w:tc>
        <w:tc>
          <w:tcPr>
            <w:tcW w:w="1856" w:type="pct"/>
            <w:vAlign w:val="center"/>
          </w:tcPr>
          <w:p>
            <w:pPr>
              <w:jc w:val="center"/>
              <w:rPr>
                <w:rFonts w:eastAsia="仿宋_GB2312"/>
                <w:sz w:val="24"/>
              </w:rPr>
            </w:pPr>
          </w:p>
        </w:tc>
        <w:tc>
          <w:tcPr>
            <w:tcW w:w="754" w:type="pct"/>
            <w:vAlign w:val="center"/>
          </w:tcPr>
          <w:p>
            <w:pPr>
              <w:jc w:val="center"/>
              <w:rPr>
                <w:rFonts w:eastAsia="仿宋_GB2312"/>
                <w:sz w:val="24"/>
              </w:rPr>
            </w:pPr>
          </w:p>
        </w:tc>
        <w:tc>
          <w:tcPr>
            <w:tcW w:w="655" w:type="pct"/>
            <w:vAlign w:val="center"/>
          </w:tcPr>
          <w:p>
            <w:pPr>
              <w:jc w:val="center"/>
              <w:rPr>
                <w:rFonts w:eastAsia="仿宋_GB2312"/>
                <w:sz w:val="24"/>
              </w:rPr>
            </w:pPr>
            <w:r>
              <w:rPr>
                <w:rFonts w:eastAsia="仿宋_GB2312"/>
                <w:sz w:val="24"/>
              </w:rPr>
              <w:t>5571.90</w:t>
            </w:r>
          </w:p>
        </w:tc>
        <w:tc>
          <w:tcPr>
            <w:tcW w:w="757" w:type="pct"/>
            <w:vAlign w:val="center"/>
          </w:tcPr>
          <w:p>
            <w:pPr>
              <w:jc w:val="center"/>
              <w:rPr>
                <w:rFonts w:eastAsia="仿宋_GB2312"/>
                <w:sz w:val="24"/>
              </w:rPr>
            </w:pPr>
            <w:r>
              <w:rPr>
                <w:rFonts w:eastAsia="仿宋_GB2312"/>
                <w:sz w:val="24"/>
              </w:rPr>
              <w:t>/</w:t>
            </w:r>
          </w:p>
        </w:tc>
      </w:tr>
    </w:tbl>
    <w:p>
      <w:pPr>
        <w:spacing w:after="0" w:line="560" w:lineRule="exact"/>
        <w:ind w:firstLine="465"/>
        <w:jc w:val="both"/>
        <w:rPr>
          <w:rFonts w:eastAsia="仿宋_GB2312"/>
          <w:sz w:val="32"/>
          <w:szCs w:val="32"/>
        </w:rPr>
      </w:pPr>
      <w:r>
        <w:rPr>
          <w:rFonts w:eastAsia="仿宋_GB2312"/>
          <w:sz w:val="32"/>
          <w:szCs w:val="32"/>
        </w:rPr>
        <w:t>2020年累计新增设施总排放量为</w:t>
      </w:r>
      <w:r>
        <w:rPr>
          <w:rFonts w:eastAsia="仿宋_GB2312"/>
          <w:color w:val="000000"/>
          <w:sz w:val="32"/>
          <w:szCs w:val="32"/>
        </w:rPr>
        <w:t>5571.90吨</w:t>
      </w:r>
      <w:r>
        <w:rPr>
          <w:rFonts w:eastAsia="仿宋_GB2312"/>
          <w:sz w:val="32"/>
          <w:szCs w:val="32"/>
        </w:rPr>
        <w:t>，占基准年排放量的</w:t>
      </w:r>
      <w:r>
        <w:rPr>
          <w:rFonts w:hint="eastAsia" w:eastAsia="仿宋_GB2312"/>
          <w:sz w:val="32"/>
          <w:szCs w:val="32"/>
        </w:rPr>
        <w:t>5</w:t>
      </w:r>
      <w:r>
        <w:rPr>
          <w:rFonts w:eastAsia="仿宋_GB2312"/>
          <w:sz w:val="32"/>
          <w:szCs w:val="32"/>
        </w:rPr>
        <w:t>4.34%，新增</w:t>
      </w:r>
      <w:r>
        <w:rPr>
          <w:rFonts w:hint="eastAsia" w:eastAsia="仿宋_GB2312"/>
          <w:sz w:val="32"/>
          <w:szCs w:val="32"/>
        </w:rPr>
        <w:t>支行及办公区</w:t>
      </w:r>
      <w:r>
        <w:rPr>
          <w:rFonts w:eastAsia="仿宋_GB2312"/>
          <w:sz w:val="32"/>
          <w:szCs w:val="32"/>
        </w:rPr>
        <w:t>建筑面积</w:t>
      </w:r>
      <w:r>
        <w:rPr>
          <w:rFonts w:hint="eastAsia" w:eastAsia="仿宋_GB2312"/>
          <w:sz w:val="32"/>
          <w:szCs w:val="32"/>
        </w:rPr>
        <w:t>xxxx平方米</w:t>
      </w:r>
      <w:r>
        <w:rPr>
          <w:rFonts w:eastAsia="仿宋_GB2312"/>
          <w:sz w:val="32"/>
          <w:szCs w:val="32"/>
        </w:rPr>
        <w:t>，</w:t>
      </w:r>
      <w:r>
        <w:rPr>
          <w:rFonts w:hint="eastAsia" w:eastAsia="仿宋_GB2312"/>
          <w:sz w:val="32"/>
          <w:szCs w:val="32"/>
        </w:rPr>
        <w:t>未新增数据中心。</w:t>
      </w:r>
      <w:r>
        <w:rPr>
          <w:rFonts w:eastAsia="仿宋_GB2312"/>
          <w:sz w:val="32"/>
          <w:szCs w:val="32"/>
        </w:rPr>
        <w:t>此信息供新增设施发放配额参考。</w:t>
      </w:r>
    </w:p>
    <w:p>
      <w:pPr>
        <w:spacing w:after="0"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 核查过程未覆盖的问题描述</w:t>
      </w:r>
    </w:p>
    <w:p>
      <w:pPr>
        <w:spacing w:after="0" w:line="560" w:lineRule="exact"/>
        <w:ind w:firstLine="640" w:firstLineChars="200"/>
        <w:rPr>
          <w:rFonts w:eastAsia="仿宋_GB2312"/>
          <w:sz w:val="32"/>
          <w:szCs w:val="32"/>
        </w:rPr>
      </w:pPr>
      <w:r>
        <w:rPr>
          <w:rFonts w:eastAsia="仿宋_GB2312"/>
          <w:sz w:val="32"/>
          <w:szCs w:val="32"/>
        </w:rPr>
        <w:t>由于电表为电力公司和物业管控，因此未能核查这些仪表的检定信息。</w:t>
      </w:r>
    </w:p>
    <w:p>
      <w:pPr>
        <w:spacing w:after="0" w:line="560" w:lineRule="exact"/>
      </w:pPr>
    </w:p>
    <w:p>
      <w:pPr>
        <w:pStyle w:val="4"/>
        <w:spacing w:before="0" w:after="0" w:line="560" w:lineRule="exact"/>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其他服务业企业（单位）</w:t>
      </w:r>
      <w:r>
        <w:rPr>
          <w:rFonts w:asciiTheme="majorEastAsia" w:hAnsiTheme="majorEastAsia" w:eastAsiaTheme="majorEastAsia"/>
          <w:sz w:val="32"/>
          <w:szCs w:val="32"/>
        </w:rPr>
        <w:t>-</w:t>
      </w:r>
      <w:r>
        <w:rPr>
          <w:rFonts w:hint="eastAsia" w:asciiTheme="majorEastAsia" w:hAnsiTheme="majorEastAsia" w:eastAsiaTheme="majorEastAsia"/>
          <w:sz w:val="32"/>
          <w:szCs w:val="32"/>
        </w:rPr>
        <w:t>物业</w:t>
      </w:r>
    </w:p>
    <w:p>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《二氧化碳排放核算和报告要求服务业》（DB11/T 1785-2020）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950.56</w:t>
      </w:r>
      <w:r>
        <w:rPr>
          <w:rFonts w:hint="eastAsia" w:ascii="Times New Roman" w:hAnsi="Times New Roman" w:eastAsia="仿宋_GB2312"/>
          <w:sz w:val="32"/>
          <w:szCs w:val="32"/>
        </w:rPr>
        <w:t>吨，间接排放量为</w:t>
      </w:r>
      <w:r>
        <w:rPr>
          <w:rFonts w:ascii="Times New Roman" w:hAnsi="Times New Roman" w:eastAsia="仿宋_GB2312"/>
          <w:sz w:val="32"/>
          <w:szCs w:val="32"/>
        </w:rPr>
        <w:t>24628.50</w:t>
      </w:r>
      <w:r>
        <w:rPr>
          <w:rFonts w:hint="eastAsia" w:ascii="Times New Roman" w:hAnsi="Times New Roman" w:eastAsia="仿宋_GB2312"/>
          <w:sz w:val="32"/>
          <w:szCs w:val="32"/>
        </w:rPr>
        <w:t>吨，总排放量为</w:t>
      </w:r>
      <w:r>
        <w:rPr>
          <w:rFonts w:ascii="Times New Roman" w:hAnsi="Times New Roman" w:eastAsia="仿宋_GB2312"/>
          <w:sz w:val="32"/>
          <w:szCs w:val="32"/>
        </w:rPr>
        <w:t>25579.06</w:t>
      </w:r>
      <w:r>
        <w:rPr>
          <w:rFonts w:hint="eastAsia" w:ascii="Times New Roman" w:hAnsi="Times New Roman" w:eastAsia="仿宋_GB2312"/>
          <w:sz w:val="32"/>
          <w:szCs w:val="32"/>
        </w:rPr>
        <w:t>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经核查的服务的商业写字楼建筑面积与最终排放报告中一致。经核查的商业写字楼建筑面积（不含地下车库）为</w:t>
      </w:r>
      <w:r>
        <w:rPr>
          <w:rFonts w:ascii="Times New Roman" w:hAnsi="Times New Roman" w:eastAsia="仿宋_GB2312"/>
          <w:sz w:val="32"/>
          <w:szCs w:val="32"/>
        </w:rPr>
        <w:t>xxxx</w:t>
      </w:r>
      <w:r>
        <w:rPr>
          <w:rFonts w:hint="eastAsia" w:ascii="Times New Roman" w:hAnsi="Times New Roman" w:eastAsia="仿宋_GB2312"/>
          <w:sz w:val="32"/>
          <w:szCs w:val="32"/>
        </w:rPr>
        <w:t>平方米，地下车库面积为</w:t>
      </w:r>
      <w:r>
        <w:rPr>
          <w:rFonts w:ascii="Times New Roman" w:hAnsi="Times New Roman" w:eastAsia="仿宋_GB2312"/>
          <w:sz w:val="32"/>
          <w:szCs w:val="32"/>
        </w:rPr>
        <w:t>xx</w:t>
      </w:r>
      <w:r>
        <w:rPr>
          <w:rFonts w:hint="eastAsia" w:ascii="Times New Roman" w:hAnsi="Times New Roman" w:eastAsia="仿宋_GB2312"/>
          <w:sz w:val="32"/>
          <w:szCs w:val="32"/>
        </w:rPr>
        <w:t>平方米，实际物业管理面积为</w:t>
      </w:r>
      <w:r>
        <w:rPr>
          <w:rFonts w:ascii="Times New Roman" w:hAnsi="Times New Roman" w:eastAsia="仿宋_GB2312"/>
          <w:sz w:val="32"/>
          <w:szCs w:val="32"/>
        </w:rPr>
        <w:t>xxx</w:t>
      </w:r>
      <w:r>
        <w:rPr>
          <w:rFonts w:hint="eastAsia" w:ascii="Times New Roman" w:hAnsi="Times New Roman" w:eastAsia="仿宋_GB2312"/>
          <w:sz w:val="32"/>
          <w:szCs w:val="32"/>
        </w:rPr>
        <w:t>平方米，产值为</w:t>
      </w:r>
      <w:r>
        <w:rPr>
          <w:rFonts w:ascii="Times New Roman" w:hAnsi="Times New Roman" w:eastAsia="仿宋_GB2312"/>
          <w:sz w:val="32"/>
          <w:szCs w:val="32"/>
        </w:rPr>
        <w:t>xxx</w:t>
      </w:r>
      <w:r>
        <w:rPr>
          <w:rFonts w:hint="eastAsia" w:ascii="Times New Roman" w:hAnsi="Times New Roman" w:eastAsia="仿宋_GB2312"/>
          <w:sz w:val="32"/>
          <w:szCs w:val="32"/>
        </w:rPr>
        <w:t>万元（其中物业管理费</w:t>
      </w:r>
      <w:r>
        <w:rPr>
          <w:rFonts w:ascii="Times New Roman" w:hAnsi="Times New Roman" w:eastAsia="仿宋_GB2312"/>
          <w:sz w:val="32"/>
          <w:szCs w:val="32"/>
        </w:rPr>
        <w:t>xx</w:t>
      </w:r>
      <w:r>
        <w:rPr>
          <w:rFonts w:hint="eastAsia" w:ascii="Times New Roman" w:hAnsi="Times New Roman" w:eastAsia="仿宋_GB2312"/>
          <w:sz w:val="32"/>
          <w:szCs w:val="32"/>
        </w:rPr>
        <w:t>万元，采暖制冷费用</w:t>
      </w:r>
      <w:r>
        <w:rPr>
          <w:rFonts w:ascii="Times New Roman" w:hAnsi="Times New Roman" w:eastAsia="仿宋_GB2312"/>
          <w:sz w:val="32"/>
          <w:szCs w:val="32"/>
        </w:rPr>
        <w:t>xx</w:t>
      </w:r>
      <w:r>
        <w:rPr>
          <w:rFonts w:hint="eastAsia" w:ascii="Times New Roman" w:hAnsi="Times New Roman" w:eastAsia="仿宋_GB2312"/>
          <w:sz w:val="32"/>
          <w:szCs w:val="32"/>
        </w:rPr>
        <w:t>万元，物业经营收入</w:t>
      </w:r>
      <w:r>
        <w:rPr>
          <w:rFonts w:ascii="Times New Roman" w:hAnsi="Times New Roman" w:eastAsia="仿宋_GB2312"/>
          <w:sz w:val="32"/>
          <w:szCs w:val="32"/>
        </w:rPr>
        <w:t>xx</w:t>
      </w:r>
      <w:r>
        <w:rPr>
          <w:rFonts w:hint="eastAsia" w:ascii="Times New Roman" w:hAnsi="Times New Roman" w:eastAsia="仿宋_GB2312"/>
          <w:sz w:val="32"/>
          <w:szCs w:val="32"/>
        </w:rPr>
        <w:t>万元，增值服务费</w:t>
      </w:r>
      <w:r>
        <w:rPr>
          <w:rFonts w:ascii="Times New Roman" w:hAnsi="Times New Roman" w:eastAsia="仿宋_GB2312"/>
          <w:sz w:val="32"/>
          <w:szCs w:val="32"/>
        </w:rPr>
        <w:t>xx</w:t>
      </w:r>
      <w:r>
        <w:rPr>
          <w:rFonts w:hint="eastAsia" w:ascii="Times New Roman" w:hAnsi="Times New Roman" w:eastAsia="仿宋_GB2312"/>
          <w:sz w:val="32"/>
          <w:szCs w:val="32"/>
        </w:rPr>
        <w:t>万元），入驻率为</w:t>
      </w:r>
      <w:r>
        <w:rPr>
          <w:rFonts w:ascii="Times New Roman" w:hAnsi="Times New Roman" w:eastAsia="仿宋_GB2312"/>
          <w:sz w:val="32"/>
          <w:szCs w:val="32"/>
        </w:rPr>
        <w:t>xx%</w:t>
      </w:r>
      <w:r>
        <w:rPr>
          <w:rFonts w:hint="eastAsia" w:ascii="Times New Roman" w:hAnsi="Times New Roman" w:eastAsia="仿宋_GB2312"/>
          <w:sz w:val="32"/>
          <w:szCs w:val="32"/>
        </w:rPr>
        <w:t>。</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排放单位本年度排放量与上一年度排放量相比增加1947.91吨/8.24%，其中直接排放量与上年度相比减少32.79吨/3.3</w:t>
      </w:r>
      <w:r>
        <w:rPr>
          <w:rFonts w:hint="eastAsia" w:ascii="Times New Roman" w:hAnsi="Times New Roman" w:eastAsia="仿宋_GB2312"/>
          <w:sz w:val="32"/>
          <w:szCs w:val="32"/>
        </w:rPr>
        <w:t>3</w:t>
      </w:r>
      <w:r>
        <w:rPr>
          <w:rFonts w:ascii="Times New Roman" w:hAnsi="Times New Roman" w:eastAsia="仿宋_GB2312"/>
          <w:sz w:val="32"/>
          <w:szCs w:val="32"/>
        </w:rPr>
        <w:t>%，间接排放量与上一年度相比增加1980.7吨/8.75%。原因为排放单位服务范围新增xx发展中心，电力消耗量大幅上升导致排放量大幅上升。</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本年度排放量与历史基准年份相比增加1947.91</w:t>
      </w:r>
      <w:r>
        <w:rPr>
          <w:rFonts w:hint="eastAsia" w:ascii="Times New Roman" w:hAnsi="Times New Roman" w:eastAsia="仿宋_GB2312"/>
          <w:sz w:val="32"/>
          <w:szCs w:val="32"/>
        </w:rPr>
        <w:t>吨</w:t>
      </w:r>
      <w:r>
        <w:rPr>
          <w:rFonts w:ascii="Times New Roman" w:hAnsi="Times New Roman" w:eastAsia="仿宋_GB2312"/>
          <w:sz w:val="32"/>
          <w:szCs w:val="32"/>
        </w:rPr>
        <w:t>/8.24%，原因为排放单位服务范围与基准年相比新增xx发展中心，电力消耗量大幅上升导致排放量大幅上升。</w:t>
      </w:r>
    </w:p>
    <w:p>
      <w:pPr>
        <w:jc w:val="center"/>
        <w:rPr>
          <w:rFonts w:ascii="Times New Roman" w:hAnsi="Times New Roman" w:eastAsia="仿宋_GB2312"/>
          <w:sz w:val="28"/>
          <w:szCs w:val="28"/>
        </w:rPr>
      </w:pPr>
      <w:r>
        <w:rPr>
          <w:rFonts w:ascii="Times New Roman" w:hAnsi="Times New Roman" w:eastAsia="仿宋_GB2312"/>
          <w:sz w:val="28"/>
          <w:szCs w:val="28"/>
        </w:rPr>
        <w:t>表xx  排放量汇总表</w:t>
      </w:r>
    </w:p>
    <w:tbl>
      <w:tblPr>
        <w:tblStyle w:val="35"/>
        <w:tblW w:w="7917" w:type="dxa"/>
        <w:jc w:val="center"/>
        <w:tblLayout w:type="autofit"/>
        <w:tblCellMar>
          <w:top w:w="0" w:type="dxa"/>
          <w:left w:w="108" w:type="dxa"/>
          <w:bottom w:w="0" w:type="dxa"/>
          <w:right w:w="108" w:type="dxa"/>
        </w:tblCellMar>
      </w:tblPr>
      <w:tblGrid>
        <w:gridCol w:w="1702"/>
        <w:gridCol w:w="1702"/>
        <w:gridCol w:w="2166"/>
        <w:gridCol w:w="2347"/>
      </w:tblGrid>
      <w:tr>
        <w:tblPrEx>
          <w:tblCellMar>
            <w:top w:w="0" w:type="dxa"/>
            <w:left w:w="108" w:type="dxa"/>
            <w:bottom w:w="0" w:type="dxa"/>
            <w:right w:w="108" w:type="dxa"/>
          </w:tblCellMar>
        </w:tblPrEx>
        <w:trPr>
          <w:trHeight w:val="102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70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1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间接排放量（tCO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c>
          <w:tcPr>
            <w:tcW w:w="234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color w:val="000000"/>
                <w:sz w:val="24"/>
              </w:rPr>
              <w:t>排放总量（tCO</w:t>
            </w:r>
            <w:r>
              <w:rPr>
                <w:rFonts w:ascii="Times New Roman" w:hAnsi="Times New Roman" w:eastAsia="仿宋_GB2312"/>
                <w:color w:val="000000"/>
                <w:sz w:val="24"/>
                <w:vertAlign w:val="subscript"/>
              </w:rPr>
              <w:t>2</w:t>
            </w:r>
            <w:r>
              <w:rPr>
                <w:rFonts w:ascii="Times New Roman" w:hAnsi="Times New Roman" w:eastAsia="仿宋_GB2312"/>
                <w:color w:val="000000"/>
                <w:sz w:val="24"/>
              </w:rPr>
              <w:t>）</w:t>
            </w:r>
          </w:p>
        </w:tc>
      </w:tr>
      <w:tr>
        <w:tblPrEx>
          <w:tblCellMar>
            <w:top w:w="0" w:type="dxa"/>
            <w:left w:w="108" w:type="dxa"/>
            <w:bottom w:w="0" w:type="dxa"/>
            <w:right w:w="108" w:type="dxa"/>
          </w:tblCellMar>
        </w:tblPrEx>
        <w:trPr>
          <w:trHeight w:val="547" w:hRule="atLeast"/>
          <w:jc w:val="center"/>
        </w:trPr>
        <w:tc>
          <w:tcPr>
            <w:tcW w:w="1702"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2016</w:t>
            </w:r>
          </w:p>
        </w:tc>
        <w:tc>
          <w:tcPr>
            <w:tcW w:w="1702"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810.00</w:t>
            </w:r>
          </w:p>
        </w:tc>
        <w:tc>
          <w:tcPr>
            <w:tcW w:w="216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22067.80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22877.80 </w:t>
            </w:r>
          </w:p>
        </w:tc>
      </w:tr>
      <w:tr>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2017</w:t>
            </w:r>
          </w:p>
        </w:tc>
        <w:tc>
          <w:tcPr>
            <w:tcW w:w="1702"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830.25</w:t>
            </w:r>
          </w:p>
        </w:tc>
        <w:tc>
          <w:tcPr>
            <w:tcW w:w="216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22357.80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23188.05 </w:t>
            </w:r>
          </w:p>
        </w:tc>
      </w:tr>
      <w:tr>
        <w:tblPrEx>
          <w:tblCellMar>
            <w:top w:w="0" w:type="dxa"/>
            <w:left w:w="108" w:type="dxa"/>
            <w:bottom w:w="0" w:type="dxa"/>
            <w:right w:w="108" w:type="dxa"/>
          </w:tblCellMar>
        </w:tblPrEx>
        <w:trPr>
          <w:trHeight w:val="347" w:hRule="atLeast"/>
          <w:jc w:val="center"/>
        </w:trPr>
        <w:tc>
          <w:tcPr>
            <w:tcW w:w="1702"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1702"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983.35</w:t>
            </w:r>
          </w:p>
        </w:tc>
        <w:tc>
          <w:tcPr>
            <w:tcW w:w="216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22647.80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23631.15 </w:t>
            </w:r>
          </w:p>
        </w:tc>
      </w:tr>
      <w:tr>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702"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bookmarkStart w:id="21" w:name="_Hlk34831329"/>
            <w:bookmarkStart w:id="22" w:name="_Hlk34830506"/>
            <w:r>
              <w:rPr>
                <w:rFonts w:ascii="Times New Roman" w:hAnsi="Times New Roman" w:eastAsia="仿宋_GB2312"/>
                <w:sz w:val="24"/>
              </w:rPr>
              <w:t>24628.50</w:t>
            </w:r>
            <w:bookmarkEnd w:id="21"/>
            <w:bookmarkEnd w:id="22"/>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25579.06 </w:t>
            </w:r>
          </w:p>
        </w:tc>
      </w:tr>
      <w:tr>
        <w:tblPrEx>
          <w:tblCellMar>
            <w:top w:w="0" w:type="dxa"/>
            <w:left w:w="108" w:type="dxa"/>
            <w:bottom w:w="0" w:type="dxa"/>
            <w:right w:w="108" w:type="dxa"/>
          </w:tblCellMar>
        </w:tblPrEx>
        <w:trPr>
          <w:trHeight w:val="347" w:hRule="atLeast"/>
          <w:jc w:val="center"/>
        </w:trPr>
        <w:tc>
          <w:tcPr>
            <w:tcW w:w="1702"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702"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950.56</w:t>
            </w:r>
          </w:p>
        </w:tc>
        <w:tc>
          <w:tcPr>
            <w:tcW w:w="216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sz w:val="24"/>
              </w:rPr>
            </w:pPr>
            <w:r>
              <w:rPr>
                <w:rFonts w:ascii="Times New Roman" w:hAnsi="Times New Roman" w:eastAsia="仿宋_GB2312"/>
                <w:sz w:val="24"/>
              </w:rPr>
              <w:t>24628.50</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 xml:space="preserve">25579.06 </w:t>
            </w:r>
          </w:p>
        </w:tc>
      </w:tr>
    </w:tbl>
    <w:p>
      <w:pPr>
        <w:jc w:val="center"/>
        <w:rPr>
          <w:rFonts w:ascii="Times New Roman" w:hAnsi="Times New Roman"/>
        </w:rPr>
      </w:pPr>
    </w:p>
    <w:p>
      <w:pPr>
        <w:jc w:val="center"/>
        <w:rPr>
          <w:rFonts w:ascii="Times New Roman" w:hAnsi="Times New Roman" w:eastAsia="仿宋_GB2312"/>
          <w:sz w:val="28"/>
          <w:szCs w:val="28"/>
        </w:rPr>
      </w:pPr>
      <w:r>
        <w:rPr>
          <w:lang w:val="en-US"/>
        </w:rPr>
        <w:drawing>
          <wp:inline distT="0" distB="0" distL="0" distR="0">
            <wp:extent cx="4568825" cy="2740025"/>
            <wp:effectExtent l="0" t="0" r="3175" b="317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0" w:line="560" w:lineRule="exact"/>
        <w:jc w:val="center"/>
        <w:rPr>
          <w:rFonts w:ascii="Times New Roman" w:hAnsi="Times New Roman" w:eastAsia="仿宋_GB2312"/>
          <w:sz w:val="28"/>
          <w:szCs w:val="28"/>
        </w:rPr>
      </w:pPr>
      <w:r>
        <w:rPr>
          <w:rFonts w:ascii="Times New Roman" w:hAnsi="Times New Roman" w:eastAsia="仿宋_GB2312"/>
          <w:sz w:val="28"/>
          <w:szCs w:val="28"/>
        </w:rPr>
        <w:t>图xx 排放量变化趋势图（增加</w:t>
      </w:r>
      <w:r>
        <w:rPr>
          <w:rFonts w:hint="eastAsia" w:ascii="Times New Roman" w:hAnsi="Times New Roman" w:eastAsia="仿宋_GB2312"/>
          <w:sz w:val="28"/>
          <w:szCs w:val="28"/>
        </w:rPr>
        <w:t>2</w:t>
      </w:r>
      <w:r>
        <w:rPr>
          <w:rFonts w:ascii="Times New Roman" w:hAnsi="Times New Roman" w:eastAsia="仿宋_GB2312"/>
          <w:sz w:val="28"/>
          <w:szCs w:val="28"/>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排放单位核算和报告边界为在北京市辖区内的物业项目地，商业写字楼包括xxx、xxx，建筑面积（不含地下车库）xxxx平方米，地下车库面积xxxx平方米，实际物业管理面积xxx平方米。</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与上一年度相比，新增商业写字楼xx发展中心，建筑面积（不含地下车库）xxxx平方米，地下车库面积xxxx平方米，实际物业管理面积xxx平方米。</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与基准年相比，新增商业写字楼xx发展中心，建筑面积（不含地下车库）xxxx平方米，地下车库面积xxxx平方米，实际物业管理面积xxx平方米。</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排放单位不涉及既有配额调整。</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排放单位无既有设施退出。</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排放单位新增设施及其排放详见下表：</w:t>
      </w:r>
    </w:p>
    <w:p>
      <w:pPr>
        <w:spacing w:after="0" w:line="560" w:lineRule="exact"/>
        <w:ind w:firstLine="465"/>
        <w:jc w:val="center"/>
        <w:rPr>
          <w:rFonts w:ascii="Times New Roman" w:hAnsi="Times New Roman" w:eastAsia="仿宋_GB2312"/>
          <w:sz w:val="28"/>
          <w:szCs w:val="28"/>
        </w:rPr>
      </w:pPr>
      <w:r>
        <w:rPr>
          <w:rFonts w:ascii="Times New Roman" w:hAnsi="Times New Roman" w:eastAsia="仿宋_GB2312"/>
          <w:sz w:val="28"/>
          <w:szCs w:val="28"/>
        </w:rPr>
        <w:t>表xx   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35"/>
        <w:gridCol w:w="2125"/>
        <w:gridCol w:w="1700"/>
        <w:gridCol w:w="144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序号</w:t>
            </w:r>
          </w:p>
        </w:tc>
        <w:tc>
          <w:tcPr>
            <w:tcW w:w="666"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设施新增年份</w:t>
            </w:r>
          </w:p>
        </w:tc>
        <w:tc>
          <w:tcPr>
            <w:tcW w:w="1247"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新增设施类型</w:t>
            </w:r>
          </w:p>
        </w:tc>
        <w:tc>
          <w:tcPr>
            <w:tcW w:w="998"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是否替代既有设施，被替代既有设施类型</w:t>
            </w:r>
          </w:p>
        </w:tc>
        <w:tc>
          <w:tcPr>
            <w:tcW w:w="850" w:type="pct"/>
            <w:vAlign w:val="center"/>
          </w:tcPr>
          <w:p>
            <w:pPr>
              <w:tabs>
                <w:tab w:val="left" w:pos="1701"/>
              </w:tabs>
              <w:jc w:val="center"/>
              <w:rPr>
                <w:rFonts w:ascii="Times New Roman" w:hAnsi="Times New Roman" w:eastAsia="仿宋_GB2312"/>
                <w:color w:val="000000"/>
                <w:sz w:val="24"/>
              </w:rPr>
            </w:pPr>
            <w:r>
              <w:rPr>
                <w:rFonts w:ascii="Times New Roman" w:hAnsi="Times New Roman" w:eastAsia="仿宋_GB2312"/>
                <w:color w:val="000000"/>
                <w:sz w:val="24"/>
              </w:rPr>
              <w:t>新增设施排放量（吨）</w:t>
            </w:r>
          </w:p>
        </w:tc>
        <w:tc>
          <w:tcPr>
            <w:tcW w:w="759" w:type="pct"/>
            <w:vAlign w:val="center"/>
          </w:tcPr>
          <w:p>
            <w:pPr>
              <w:tabs>
                <w:tab w:val="left" w:pos="1701"/>
              </w:tabs>
              <w:jc w:val="center"/>
              <w:rPr>
                <w:rFonts w:ascii="Times New Roman" w:hAnsi="Times New Roman" w:eastAsia="仿宋_GB2312"/>
                <w:color w:val="000000"/>
                <w:sz w:val="24"/>
              </w:rPr>
            </w:pPr>
            <w:r>
              <w:rPr>
                <w:rFonts w:hint="eastAsia" w:ascii="Times New Roman" w:hAnsi="Times New Roman" w:eastAsia="仿宋_GB2312"/>
                <w:color w:val="000000"/>
                <w:sz w:val="24"/>
              </w:rPr>
              <w:t>替代既有设施的新增排放量(吨)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jc w:val="center"/>
              <w:rPr>
                <w:rFonts w:ascii="Times New Roman" w:hAnsi="Times New Roman" w:eastAsia="仿宋_GB2312"/>
                <w:sz w:val="24"/>
              </w:rPr>
            </w:pPr>
            <w:r>
              <w:rPr>
                <w:rFonts w:ascii="Times New Roman" w:hAnsi="Times New Roman" w:eastAsia="仿宋_GB2312"/>
                <w:color w:val="000000"/>
                <w:sz w:val="24"/>
              </w:rPr>
              <w:t>1</w:t>
            </w:r>
          </w:p>
        </w:tc>
        <w:tc>
          <w:tcPr>
            <w:tcW w:w="666" w:type="pct"/>
            <w:vAlign w:val="center"/>
          </w:tcPr>
          <w:p>
            <w:pPr>
              <w:jc w:val="center"/>
              <w:rPr>
                <w:rFonts w:ascii="Times New Roman" w:hAnsi="Times New Roman" w:eastAsia="仿宋_GB2312"/>
                <w:sz w:val="24"/>
              </w:rPr>
            </w:pPr>
            <w:r>
              <w:rPr>
                <w:rFonts w:ascii="Times New Roman" w:hAnsi="Times New Roman" w:eastAsia="仿宋_GB2312"/>
                <w:sz w:val="24"/>
              </w:rPr>
              <w:t>2019</w:t>
            </w:r>
          </w:p>
        </w:tc>
        <w:tc>
          <w:tcPr>
            <w:tcW w:w="1247" w:type="pct"/>
            <w:vAlign w:val="center"/>
          </w:tcPr>
          <w:p>
            <w:pPr>
              <w:jc w:val="center"/>
              <w:rPr>
                <w:rFonts w:ascii="Times New Roman" w:hAnsi="Times New Roman" w:eastAsia="仿宋_GB2312"/>
                <w:sz w:val="24"/>
              </w:rPr>
            </w:pPr>
            <w:r>
              <w:rPr>
                <w:rFonts w:ascii="Times New Roman" w:hAnsi="Times New Roman" w:eastAsia="仿宋_GB2312"/>
                <w:sz w:val="24"/>
              </w:rPr>
              <w:t>xx发展中心设施</w:t>
            </w:r>
          </w:p>
        </w:tc>
        <w:tc>
          <w:tcPr>
            <w:tcW w:w="998" w:type="pc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850" w:type="pct"/>
            <w:vAlign w:val="center"/>
          </w:tcPr>
          <w:p>
            <w:pPr>
              <w:jc w:val="center"/>
              <w:rPr>
                <w:rFonts w:ascii="Times New Roman" w:hAnsi="Times New Roman" w:eastAsia="仿宋_GB2312"/>
                <w:sz w:val="24"/>
              </w:rPr>
            </w:pPr>
            <w:r>
              <w:rPr>
                <w:rFonts w:ascii="Times New Roman" w:hAnsi="Times New Roman" w:eastAsia="仿宋_GB2312"/>
                <w:sz w:val="24"/>
              </w:rPr>
              <w:t>2006.10</w:t>
            </w:r>
          </w:p>
        </w:tc>
        <w:tc>
          <w:tcPr>
            <w:tcW w:w="759" w:type="pct"/>
            <w:vAlign w:val="center"/>
          </w:tcPr>
          <w:p>
            <w:pPr>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jc w:val="center"/>
              <w:rPr>
                <w:rFonts w:ascii="Times New Roman" w:hAnsi="Times New Roman" w:eastAsia="仿宋_GB2312"/>
                <w:color w:val="000000"/>
                <w:sz w:val="24"/>
              </w:rPr>
            </w:pPr>
            <w:r>
              <w:rPr>
                <w:rFonts w:hint="eastAsia" w:ascii="Times New Roman" w:hAnsi="Times New Roman" w:eastAsia="仿宋_GB2312"/>
                <w:color w:val="000000"/>
                <w:sz w:val="24"/>
              </w:rPr>
              <w:t>2</w:t>
            </w:r>
          </w:p>
        </w:tc>
        <w:tc>
          <w:tcPr>
            <w:tcW w:w="666"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020</w:t>
            </w:r>
          </w:p>
        </w:tc>
        <w:tc>
          <w:tcPr>
            <w:tcW w:w="1247" w:type="pct"/>
          </w:tcPr>
          <w:p>
            <w:pPr>
              <w:jc w:val="center"/>
              <w:rPr>
                <w:rFonts w:ascii="Times New Roman" w:hAnsi="Times New Roman" w:eastAsia="仿宋_GB2312"/>
                <w:sz w:val="24"/>
              </w:rPr>
            </w:pPr>
            <w:r>
              <w:rPr>
                <w:rFonts w:hint="eastAsia"/>
              </w:rPr>
              <w:t>xx发展中心设施</w:t>
            </w:r>
          </w:p>
        </w:tc>
        <w:tc>
          <w:tcPr>
            <w:tcW w:w="998" w:type="pct"/>
          </w:tcPr>
          <w:p>
            <w:pPr>
              <w:jc w:val="center"/>
              <w:rPr>
                <w:rFonts w:ascii="Times New Roman" w:hAnsi="Times New Roman" w:eastAsia="仿宋_GB2312"/>
                <w:sz w:val="24"/>
              </w:rPr>
            </w:pPr>
            <w:r>
              <w:rPr>
                <w:rFonts w:hint="eastAsia"/>
              </w:rPr>
              <w:t>否</w:t>
            </w:r>
          </w:p>
        </w:tc>
        <w:tc>
          <w:tcPr>
            <w:tcW w:w="850" w:type="pct"/>
            <w:vAlign w:val="center"/>
          </w:tcPr>
          <w:p>
            <w:pPr>
              <w:jc w:val="center"/>
              <w:rPr>
                <w:rFonts w:ascii="Times New Roman" w:hAnsi="Times New Roman" w:eastAsia="仿宋_GB2312"/>
                <w:sz w:val="24"/>
              </w:rPr>
            </w:pPr>
            <w:r>
              <w:rPr>
                <w:rFonts w:hint="eastAsia" w:ascii="Times New Roman" w:hAnsi="Times New Roman" w:eastAsia="仿宋_GB2312"/>
                <w:sz w:val="24"/>
              </w:rPr>
              <w:t>X</w:t>
            </w:r>
            <w:r>
              <w:rPr>
                <w:rFonts w:ascii="Times New Roman" w:hAnsi="Times New Roman" w:eastAsia="仿宋_GB2312"/>
                <w:sz w:val="24"/>
              </w:rPr>
              <w:t>XX</w:t>
            </w:r>
          </w:p>
        </w:tc>
        <w:tc>
          <w:tcPr>
            <w:tcW w:w="759"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Align w:val="center"/>
          </w:tcPr>
          <w:p>
            <w:pPr>
              <w:jc w:val="center"/>
              <w:rPr>
                <w:rFonts w:ascii="Times New Roman" w:hAnsi="Times New Roman" w:eastAsia="仿宋_GB2312"/>
                <w:sz w:val="24"/>
              </w:rPr>
            </w:pPr>
            <w:r>
              <w:rPr>
                <w:rFonts w:ascii="Times New Roman" w:hAnsi="Times New Roman" w:eastAsia="仿宋_GB2312"/>
                <w:color w:val="000000"/>
                <w:sz w:val="24"/>
              </w:rPr>
              <w:t>合计</w:t>
            </w:r>
          </w:p>
        </w:tc>
        <w:tc>
          <w:tcPr>
            <w:tcW w:w="666" w:type="pct"/>
            <w:vAlign w:val="center"/>
          </w:tcPr>
          <w:p>
            <w:pPr>
              <w:jc w:val="center"/>
              <w:rPr>
                <w:rFonts w:ascii="Times New Roman" w:hAnsi="Times New Roman" w:eastAsia="仿宋_GB2312"/>
                <w:sz w:val="24"/>
              </w:rPr>
            </w:pPr>
          </w:p>
        </w:tc>
        <w:tc>
          <w:tcPr>
            <w:tcW w:w="1247" w:type="pct"/>
            <w:vAlign w:val="center"/>
          </w:tcPr>
          <w:p>
            <w:pPr>
              <w:jc w:val="center"/>
              <w:rPr>
                <w:rFonts w:ascii="Times New Roman" w:hAnsi="Times New Roman" w:eastAsia="仿宋_GB2312"/>
                <w:sz w:val="24"/>
              </w:rPr>
            </w:pPr>
          </w:p>
        </w:tc>
        <w:tc>
          <w:tcPr>
            <w:tcW w:w="998" w:type="pct"/>
            <w:vAlign w:val="center"/>
          </w:tcPr>
          <w:p>
            <w:pPr>
              <w:jc w:val="center"/>
              <w:rPr>
                <w:rFonts w:ascii="Times New Roman" w:hAnsi="Times New Roman" w:eastAsia="仿宋_GB2312"/>
                <w:sz w:val="24"/>
              </w:rPr>
            </w:pPr>
          </w:p>
        </w:tc>
        <w:tc>
          <w:tcPr>
            <w:tcW w:w="850" w:type="pc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759" w:type="pct"/>
            <w:vAlign w:val="center"/>
          </w:tcPr>
          <w:p>
            <w:pPr>
              <w:jc w:val="center"/>
              <w:rPr>
                <w:rFonts w:ascii="Times New Roman" w:hAnsi="Times New Roman" w:eastAsia="仿宋_GB2312"/>
                <w:sz w:val="24"/>
              </w:rPr>
            </w:pPr>
            <w:r>
              <w:rPr>
                <w:rFonts w:ascii="Times New Roman" w:hAnsi="Times New Roman" w:eastAsia="仿宋_GB2312"/>
                <w:sz w:val="24"/>
              </w:rPr>
              <w:t>/</w:t>
            </w:r>
          </w:p>
        </w:tc>
      </w:tr>
    </w:tbl>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排放单位2020年新增设施导致的总排放量为XXX吨，是基准年排放量的XXX%，新增服务范围xx发展中心建筑面积（不含地下车库）xxxx平方米，地下车库面积xxxx平方米，实际物业管理面积xxxx平方米，</w:t>
      </w:r>
      <w:r>
        <w:rPr>
          <w:rFonts w:hint="eastAsia" w:ascii="Times New Roman" w:hAnsi="Times New Roman" w:eastAsia="仿宋_GB2312"/>
          <w:sz w:val="32"/>
          <w:szCs w:val="32"/>
        </w:rPr>
        <w:t>新增服务范围对应的</w:t>
      </w:r>
      <w:r>
        <w:rPr>
          <w:rFonts w:ascii="Times New Roman" w:hAnsi="Times New Roman" w:eastAsia="仿宋_GB2312"/>
          <w:sz w:val="32"/>
          <w:szCs w:val="32"/>
        </w:rPr>
        <w:t>产值为xxx万元</w:t>
      </w:r>
      <w:r>
        <w:rPr>
          <w:rFonts w:hint="eastAsia" w:ascii="Times New Roman" w:hAnsi="Times New Roman" w:eastAsia="仿宋_GB2312"/>
          <w:sz w:val="32"/>
          <w:szCs w:val="32"/>
        </w:rPr>
        <w:t>（其中物业管理费xx万元，采暖制冷费用xx万元，物业经营收入xx万元，增值服务费xx万元），入驻率为xx%</w:t>
      </w:r>
      <w:r>
        <w:rPr>
          <w:rFonts w:ascii="Times New Roman" w:hAnsi="Times New Roman" w:eastAsia="仿宋_GB2312"/>
          <w:sz w:val="32"/>
          <w:szCs w:val="32"/>
        </w:rPr>
        <w:t>。此信息供新增设施发放配额参考。</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p>
      <w:pPr>
        <w:spacing w:after="0" w:line="560" w:lineRule="exact"/>
        <w:ind w:right="-198" w:rightChars="-90"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sz w:val="32"/>
          <w:szCs w:val="32"/>
        </w:rPr>
        <w:t>历史核查时，对于排放单位服务的</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写字楼内的租户（非重点排放单位）消耗的电力予以了扣减，因此本次核查与历史核查边界保持一致，对</w:t>
      </w:r>
      <w:r>
        <w:rPr>
          <w:rFonts w:hint="eastAsia" w:ascii="Times New Roman" w:hAnsi="Times New Roman" w:eastAsia="仿宋_GB2312"/>
          <w:sz w:val="32"/>
          <w:szCs w:val="32"/>
        </w:rPr>
        <w:t>商业</w:t>
      </w:r>
      <w:r>
        <w:rPr>
          <w:rFonts w:ascii="Times New Roman" w:hAnsi="Times New Roman" w:eastAsia="仿宋_GB2312"/>
          <w:sz w:val="32"/>
          <w:szCs w:val="32"/>
        </w:rPr>
        <w:t>写字楼内的租户也予以了扣减。</w:t>
      </w:r>
    </w:p>
    <w:p>
      <w:pPr>
        <w:pStyle w:val="4"/>
        <w:spacing w:before="0" w:after="0" w:line="560" w:lineRule="exact"/>
        <w:rPr>
          <w:rFonts w:asciiTheme="majorEastAsia" w:hAnsiTheme="majorEastAsia" w:eastAsiaTheme="majorEastAsia"/>
          <w:sz w:val="32"/>
          <w:szCs w:val="32"/>
        </w:rPr>
      </w:pPr>
      <w:r>
        <w:rPr>
          <w:rFonts w:hint="eastAsia" w:asciiTheme="majorEastAsia" w:hAnsiTheme="majorEastAsia" w:eastAsiaTheme="majorEastAsia"/>
          <w:sz w:val="32"/>
          <w:szCs w:val="32"/>
        </w:rPr>
        <w:t>其他行业企业</w:t>
      </w:r>
    </w:p>
    <w:p>
      <w:pPr>
        <w:spacing w:after="0" w:line="560" w:lineRule="exact"/>
        <w:rPr>
          <w:rFonts w:ascii="Times New Roman" w:hAnsi="Times New Roman" w:eastAsia="仿宋_GB2312"/>
          <w:sz w:val="32"/>
          <w:szCs w:val="32"/>
        </w:rPr>
      </w:pPr>
      <w:r>
        <w:rPr>
          <w:rFonts w:ascii="Times New Roman" w:hAnsi="Times New Roman" w:eastAsia="仿宋_GB2312"/>
          <w:sz w:val="32"/>
          <w:szCs w:val="32"/>
        </w:rPr>
        <w:t>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
          <w:sz w:val="32"/>
          <w:szCs w:val="32"/>
        </w:rPr>
        <w:t>xxxx公司（以下简称排放单位）委托xxx公司开展XXXX年</w:t>
      </w:r>
      <w:r>
        <w:rPr>
          <w:rFonts w:ascii="Times New Roman" w:hAnsi="Times New Roman" w:eastAsia="仿宋_GB2312"/>
          <w:sz w:val="32"/>
          <w:szCs w:val="32"/>
        </w:rPr>
        <w:t>二氧化碳排放的核查工作。核查范围包括排放单位所有在北京市辖区内的固定设施导致的二氧化碳直接排放和二氧化碳间接排放。</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通过文件评审、现场访问、核查报告编写及内部技术复核，核查组对排放单位XXXX年度二氧化碳排放报告形成如下核查结论：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 核算、报告与方法学的符合性</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核查组确认所有不符合已全部关闭，排放单位的核算与报告均符合方法学</w:t>
      </w:r>
      <w:r>
        <w:rPr>
          <w:rFonts w:hint="eastAsia" w:ascii="Times New Roman" w:hAnsi="Times New Roman" w:eastAsia="仿宋_GB2312"/>
          <w:sz w:val="32"/>
          <w:szCs w:val="32"/>
        </w:rPr>
        <w:t>《二氧化碳排放核算和报告要求其他行业》（DB11/T 1787-2020）</w:t>
      </w:r>
      <w:r>
        <w:rPr>
          <w:rFonts w:ascii="Times New Roman" w:hAnsi="Times New Roman" w:eastAsia="仿宋_GB2312"/>
          <w:sz w:val="32"/>
          <w:szCs w:val="32"/>
        </w:rPr>
        <w:t>的要求，核查组对本排放报告出具肯定的核查结论。</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 本年度排放量及活动水平数据的声明</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经核查的直接和间接排放量与最终排放报告中的一</w:t>
      </w:r>
      <w:r>
        <w:rPr>
          <w:rFonts w:hint="eastAsia" w:ascii="Times New Roman" w:hAnsi="Times New Roman" w:eastAsia="仿宋_GB2312"/>
          <w:sz w:val="32"/>
          <w:szCs w:val="32"/>
        </w:rPr>
        <w:t>致。经核查的直接排放量为</w:t>
      </w:r>
      <w:r>
        <w:rPr>
          <w:rFonts w:ascii="Times New Roman" w:hAnsi="Times New Roman" w:eastAsia="仿宋_GB2312"/>
          <w:sz w:val="32"/>
          <w:szCs w:val="32"/>
        </w:rPr>
        <w:t>4306.14</w:t>
      </w:r>
      <w:r>
        <w:rPr>
          <w:rFonts w:hint="eastAsia" w:ascii="Times New Roman" w:hAnsi="Times New Roman" w:eastAsia="仿宋_GB2312"/>
          <w:sz w:val="32"/>
          <w:szCs w:val="32"/>
        </w:rPr>
        <w:t>吨，间接排放量为</w:t>
      </w:r>
      <w:r>
        <w:rPr>
          <w:rFonts w:ascii="Times New Roman" w:hAnsi="Times New Roman" w:eastAsia="仿宋_GB2312"/>
          <w:sz w:val="32"/>
          <w:szCs w:val="32"/>
        </w:rPr>
        <w:t>5567.87</w:t>
      </w:r>
      <w:r>
        <w:rPr>
          <w:rFonts w:hint="eastAsia" w:ascii="Times New Roman" w:hAnsi="Times New Roman" w:eastAsia="仿宋_GB2312"/>
          <w:sz w:val="32"/>
          <w:szCs w:val="32"/>
        </w:rPr>
        <w:t>吨，总排放量为</w:t>
      </w:r>
      <w:r>
        <w:rPr>
          <w:rFonts w:ascii="Times New Roman" w:hAnsi="Times New Roman" w:eastAsia="仿宋_GB2312"/>
          <w:sz w:val="32"/>
          <w:szCs w:val="32"/>
        </w:rPr>
        <w:t>9874.01</w:t>
      </w:r>
      <w:r>
        <w:rPr>
          <w:rFonts w:hint="eastAsia" w:ascii="Times New Roman" w:hAnsi="Times New Roman" w:eastAsia="仿宋_GB2312"/>
          <w:sz w:val="32"/>
          <w:szCs w:val="32"/>
        </w:rPr>
        <w:t>吨。</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经核查的产品产量、产值与最终排放报告数据一致。经核查的</w:t>
      </w:r>
      <w:r>
        <w:rPr>
          <w:rFonts w:ascii="Times New Roman" w:hAnsi="Times New Roman" w:eastAsia="仿宋_GB2312"/>
          <w:sz w:val="32"/>
          <w:szCs w:val="32"/>
        </w:rPr>
        <w:t>xx</w:t>
      </w:r>
      <w:r>
        <w:rPr>
          <w:rFonts w:hint="eastAsia" w:ascii="Times New Roman" w:hAnsi="Times New Roman" w:eastAsia="仿宋_GB2312"/>
          <w:sz w:val="32"/>
          <w:szCs w:val="32"/>
        </w:rPr>
        <w:t>产品产量为</w:t>
      </w:r>
      <w:r>
        <w:rPr>
          <w:rFonts w:ascii="Times New Roman" w:hAnsi="Times New Roman" w:eastAsia="仿宋_GB2312"/>
          <w:sz w:val="32"/>
          <w:szCs w:val="32"/>
        </w:rPr>
        <w:t>xxx</w:t>
      </w:r>
      <w:r>
        <w:rPr>
          <w:rFonts w:hint="eastAsia" w:ascii="Times New Roman" w:hAnsi="Times New Roman" w:eastAsia="仿宋_GB2312"/>
          <w:sz w:val="32"/>
          <w:szCs w:val="32"/>
        </w:rPr>
        <w:t>吨，产值数据为</w:t>
      </w:r>
      <w:r>
        <w:rPr>
          <w:rFonts w:ascii="Times New Roman" w:hAnsi="Times New Roman" w:eastAsia="仿宋_GB2312"/>
          <w:sz w:val="32"/>
          <w:szCs w:val="32"/>
        </w:rPr>
        <w:t>xxxx</w:t>
      </w:r>
      <w:r>
        <w:rPr>
          <w:rFonts w:hint="eastAsia" w:ascii="Times New Roman" w:hAnsi="Times New Roman" w:eastAsia="仿宋_GB2312"/>
          <w:sz w:val="32"/>
          <w:szCs w:val="32"/>
        </w:rPr>
        <w:t>万元。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年度排放量及活动水平波动的原因说明</w:t>
      </w:r>
    </w:p>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本年度排放量与上一年度排放量相比增加了</w:t>
      </w:r>
      <w:r>
        <w:rPr>
          <w:rFonts w:ascii="Times New Roman" w:hAnsi="Times New Roman" w:eastAsia="仿宋_GB2312"/>
          <w:sz w:val="32"/>
          <w:szCs w:val="32"/>
        </w:rPr>
        <w:t>1812.43</w:t>
      </w:r>
      <w:r>
        <w:rPr>
          <w:rFonts w:hint="eastAsia" w:ascii="Times New Roman" w:hAnsi="Times New Roman" w:eastAsia="仿宋_GB2312"/>
          <w:sz w:val="32"/>
          <w:szCs w:val="32"/>
        </w:rPr>
        <w:t>吨</w:t>
      </w:r>
      <w:r>
        <w:rPr>
          <w:rFonts w:ascii="Times New Roman" w:hAnsi="Times New Roman" w:eastAsia="仿宋_GB2312"/>
          <w:sz w:val="32"/>
          <w:szCs w:val="32"/>
        </w:rPr>
        <w:t>/22.48%</w:t>
      </w:r>
      <w:r>
        <w:rPr>
          <w:rFonts w:hint="eastAsia" w:ascii="Times New Roman" w:hAnsi="Times New Roman" w:eastAsia="仿宋_GB2312"/>
          <w:sz w:val="32"/>
          <w:szCs w:val="32"/>
        </w:rPr>
        <w:t>，其中，直接排放量增加了</w:t>
      </w:r>
      <w:r>
        <w:rPr>
          <w:rFonts w:ascii="Times New Roman" w:hAnsi="Times New Roman" w:eastAsia="仿宋_GB2312"/>
          <w:sz w:val="32"/>
          <w:szCs w:val="32"/>
        </w:rPr>
        <w:t>648.81</w:t>
      </w:r>
      <w:r>
        <w:rPr>
          <w:rFonts w:hint="eastAsia" w:ascii="Times New Roman" w:hAnsi="Times New Roman" w:eastAsia="仿宋_GB2312"/>
          <w:sz w:val="32"/>
          <w:szCs w:val="32"/>
        </w:rPr>
        <w:t>吨</w:t>
      </w:r>
      <w:r>
        <w:rPr>
          <w:rFonts w:ascii="Times New Roman" w:hAnsi="Times New Roman" w:eastAsia="仿宋_GB2312"/>
          <w:sz w:val="32"/>
          <w:szCs w:val="32"/>
        </w:rPr>
        <w:t>/17.74%</w:t>
      </w:r>
      <w:r>
        <w:rPr>
          <w:rFonts w:hint="eastAsia" w:ascii="Times New Roman" w:hAnsi="Times New Roman" w:eastAsia="仿宋_GB2312"/>
          <w:sz w:val="32"/>
          <w:szCs w:val="32"/>
        </w:rPr>
        <w:t>，间接排放量增加了</w:t>
      </w:r>
      <w:r>
        <w:rPr>
          <w:rFonts w:ascii="Times New Roman" w:hAnsi="Times New Roman" w:eastAsia="仿宋_GB2312"/>
          <w:sz w:val="32"/>
          <w:szCs w:val="32"/>
        </w:rPr>
        <w:t>1163.61</w:t>
      </w:r>
      <w:r>
        <w:rPr>
          <w:rFonts w:hint="eastAsia" w:ascii="Times New Roman" w:hAnsi="Times New Roman" w:eastAsia="仿宋_GB2312"/>
          <w:sz w:val="32"/>
          <w:szCs w:val="32"/>
        </w:rPr>
        <w:t>吨</w:t>
      </w:r>
      <w:r>
        <w:rPr>
          <w:rFonts w:ascii="Times New Roman" w:hAnsi="Times New Roman" w:eastAsia="仿宋_GB2312"/>
          <w:sz w:val="32"/>
          <w:szCs w:val="32"/>
        </w:rPr>
        <w:t>/26.42%</w:t>
      </w:r>
      <w:r>
        <w:rPr>
          <w:rFonts w:hint="eastAsia" w:ascii="Times New Roman" w:hAnsi="Times New Roman" w:eastAsia="仿宋_GB2312"/>
          <w:sz w:val="32"/>
          <w:szCs w:val="32"/>
        </w:rPr>
        <w:t>。经与排放单位确认，排放单位为提高</w:t>
      </w:r>
      <w:r>
        <w:rPr>
          <w:rFonts w:ascii="Times New Roman" w:hAnsi="Times New Roman" w:eastAsia="仿宋_GB2312"/>
          <w:sz w:val="32"/>
          <w:szCs w:val="32"/>
        </w:rPr>
        <w:t>产能，</w:t>
      </w:r>
      <w:r>
        <w:rPr>
          <w:rFonts w:hint="eastAsia" w:ascii="Times New Roman" w:hAnsi="Times New Roman" w:eastAsia="仿宋_GB2312"/>
          <w:sz w:val="32"/>
          <w:szCs w:val="32"/>
        </w:rPr>
        <w:t>增加了原料处理量</w:t>
      </w:r>
      <w:r>
        <w:rPr>
          <w:rFonts w:ascii="Times New Roman" w:hAnsi="Times New Roman" w:eastAsia="仿宋_GB2312"/>
          <w:sz w:val="32"/>
          <w:szCs w:val="32"/>
        </w:rPr>
        <w:t>，导致2019年天然气消耗上升直接排放量增加；2019年新增了一</w:t>
      </w:r>
      <w:r>
        <w:rPr>
          <w:rFonts w:hint="eastAsia" w:ascii="Times New Roman" w:hAnsi="Times New Roman" w:eastAsia="仿宋_GB2312"/>
          <w:sz w:val="32"/>
          <w:szCs w:val="32"/>
        </w:rPr>
        <w:t>套xxxx</w:t>
      </w:r>
      <w:r>
        <w:rPr>
          <w:rFonts w:ascii="Times New Roman" w:hAnsi="Times New Roman" w:eastAsia="仿宋_GB2312"/>
          <w:sz w:val="32"/>
          <w:szCs w:val="32"/>
        </w:rPr>
        <w:t>生产设备，电力消耗量增加导致间接排放量增加。</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2020年度排放量与历史基准年份排放量相比增加了1812.42吨/22.48%。排放量增加的主要原因为排放单位增加</w:t>
      </w:r>
      <w:r>
        <w:rPr>
          <w:rFonts w:hint="eastAsia" w:ascii="Times New Roman" w:hAnsi="Times New Roman" w:eastAsia="仿宋_GB2312"/>
          <w:sz w:val="32"/>
          <w:szCs w:val="32"/>
        </w:rPr>
        <w:t>了原料处理量</w:t>
      </w:r>
      <w:r>
        <w:rPr>
          <w:rFonts w:ascii="Times New Roman" w:hAnsi="Times New Roman" w:eastAsia="仿宋_GB2312"/>
          <w:sz w:val="32"/>
          <w:szCs w:val="32"/>
        </w:rPr>
        <w:t>且新增加了一</w:t>
      </w:r>
      <w:r>
        <w:rPr>
          <w:rFonts w:hint="eastAsia" w:ascii="Times New Roman" w:hAnsi="Times New Roman" w:eastAsia="仿宋_GB2312"/>
          <w:sz w:val="32"/>
          <w:szCs w:val="32"/>
        </w:rPr>
        <w:t>套xxxx</w:t>
      </w:r>
      <w:r>
        <w:rPr>
          <w:rFonts w:ascii="Times New Roman" w:hAnsi="Times New Roman" w:eastAsia="仿宋_GB2312"/>
          <w:sz w:val="32"/>
          <w:szCs w:val="32"/>
        </w:rPr>
        <w:t>生产设备，导致排放量上升。</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排放量汇总表</w:t>
      </w:r>
    </w:p>
    <w:tbl>
      <w:tblPr>
        <w:tblStyle w:val="35"/>
        <w:tblW w:w="4998" w:type="pct"/>
        <w:tblInd w:w="0" w:type="dxa"/>
        <w:tblLayout w:type="autofit"/>
        <w:tblCellMar>
          <w:top w:w="0" w:type="dxa"/>
          <w:left w:w="0" w:type="dxa"/>
          <w:bottom w:w="0" w:type="dxa"/>
          <w:right w:w="0" w:type="dxa"/>
        </w:tblCellMar>
      </w:tblPr>
      <w:tblGrid>
        <w:gridCol w:w="1707"/>
        <w:gridCol w:w="1996"/>
        <w:gridCol w:w="2424"/>
        <w:gridCol w:w="2202"/>
      </w:tblGrid>
      <w:tr>
        <w:tblPrEx>
          <w:tblCellMar>
            <w:top w:w="0" w:type="dxa"/>
            <w:left w:w="0" w:type="dxa"/>
            <w:bottom w:w="0" w:type="dxa"/>
            <w:right w:w="0" w:type="dxa"/>
          </w:tblCellMar>
        </w:tblPrEx>
        <w:trPr>
          <w:trHeight w:val="737" w:hRule="atLeast"/>
        </w:trPr>
        <w:tc>
          <w:tcPr>
            <w:tcW w:w="1025" w:type="pct"/>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年度</w:t>
            </w:r>
          </w:p>
        </w:tc>
        <w:tc>
          <w:tcPr>
            <w:tcW w:w="1198"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直接排放量（tCO2）</w:t>
            </w:r>
          </w:p>
        </w:tc>
        <w:tc>
          <w:tcPr>
            <w:tcW w:w="1455"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间接排放量（tCO2）</w:t>
            </w:r>
          </w:p>
        </w:tc>
        <w:tc>
          <w:tcPr>
            <w:tcW w:w="1322" w:type="pct"/>
            <w:tcBorders>
              <w:top w:val="single" w:color="000000" w:sz="8" w:space="0"/>
              <w:left w:val="nil"/>
              <w:bottom w:val="single" w:color="000000" w:sz="8" w:space="0"/>
              <w:right w:val="single" w:color="000000" w:sz="8" w:space="0"/>
            </w:tcBorders>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排放总量（tCO2）</w:t>
            </w:r>
          </w:p>
        </w:tc>
      </w:tr>
      <w:tr>
        <w:tblPrEx>
          <w:tblCellMar>
            <w:top w:w="0" w:type="dxa"/>
            <w:left w:w="0" w:type="dxa"/>
            <w:bottom w:w="0" w:type="dxa"/>
            <w:right w:w="0" w:type="dxa"/>
          </w:tblCellMar>
        </w:tblPrEx>
        <w:trPr>
          <w:trHeight w:val="330" w:hRule="atLeast"/>
        </w:trPr>
        <w:tc>
          <w:tcPr>
            <w:tcW w:w="1025" w:type="pct"/>
            <w:tcBorders>
              <w:top w:val="nil"/>
              <w:left w:val="single" w:color="000000" w:sz="8" w:space="0"/>
              <w:bottom w:val="single" w:color="000000" w:sz="8" w:space="0"/>
              <w:right w:val="single" w:color="000000" w:sz="8" w:space="0"/>
            </w:tcBorders>
            <w:noWrap/>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2016</w:t>
            </w:r>
          </w:p>
        </w:tc>
        <w:tc>
          <w:tcPr>
            <w:tcW w:w="1198" w:type="pct"/>
            <w:tcBorders>
              <w:top w:val="nil"/>
              <w:left w:val="nil"/>
              <w:bottom w:val="single" w:color="000000" w:sz="8" w:space="0"/>
              <w:right w:val="single" w:color="000000" w:sz="8"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3442.68</w:t>
            </w:r>
          </w:p>
        </w:tc>
        <w:tc>
          <w:tcPr>
            <w:tcW w:w="1455" w:type="pct"/>
            <w:tcBorders>
              <w:top w:val="nil"/>
              <w:left w:val="nil"/>
              <w:bottom w:val="single" w:color="000000" w:sz="8" w:space="0"/>
              <w:right w:val="single" w:color="000000" w:sz="8"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3824.26</w:t>
            </w:r>
          </w:p>
        </w:tc>
        <w:tc>
          <w:tcPr>
            <w:tcW w:w="1322" w:type="pct"/>
            <w:tcBorders>
              <w:top w:val="nil"/>
              <w:left w:val="nil"/>
              <w:bottom w:val="single" w:color="000000" w:sz="8"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7266.93</w:t>
            </w:r>
          </w:p>
        </w:tc>
      </w:tr>
      <w:tr>
        <w:tblPrEx>
          <w:tblCellMar>
            <w:top w:w="0" w:type="dxa"/>
            <w:left w:w="0" w:type="dxa"/>
            <w:bottom w:w="0" w:type="dxa"/>
            <w:right w:w="0" w:type="dxa"/>
          </w:tblCellMar>
        </w:tblPrEx>
        <w:trPr>
          <w:trHeight w:val="330" w:hRule="atLeast"/>
        </w:trPr>
        <w:tc>
          <w:tcPr>
            <w:tcW w:w="1025" w:type="pct"/>
            <w:tcBorders>
              <w:top w:val="nil"/>
              <w:left w:val="single" w:color="000000" w:sz="8" w:space="0"/>
              <w:bottom w:val="single" w:color="auto" w:sz="4" w:space="0"/>
              <w:right w:val="single" w:color="000000" w:sz="8" w:space="0"/>
            </w:tcBorders>
            <w:noWrap/>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2017</w:t>
            </w:r>
          </w:p>
        </w:tc>
        <w:tc>
          <w:tcPr>
            <w:tcW w:w="1198" w:type="pct"/>
            <w:tcBorders>
              <w:top w:val="nil"/>
              <w:left w:val="nil"/>
              <w:bottom w:val="single" w:color="auto" w:sz="4" w:space="0"/>
              <w:right w:val="single" w:color="000000" w:sz="8"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3522.33</w:t>
            </w:r>
          </w:p>
        </w:tc>
        <w:tc>
          <w:tcPr>
            <w:tcW w:w="1455" w:type="pct"/>
            <w:tcBorders>
              <w:top w:val="nil"/>
              <w:left w:val="nil"/>
              <w:bottom w:val="single" w:color="auto" w:sz="4" w:space="0"/>
              <w:right w:val="single" w:color="000000" w:sz="8"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4114.26</w:t>
            </w:r>
          </w:p>
        </w:tc>
        <w:tc>
          <w:tcPr>
            <w:tcW w:w="1322" w:type="pct"/>
            <w:tcBorders>
              <w:top w:val="nil"/>
              <w:left w:val="nil"/>
              <w:bottom w:val="single" w:color="auto" w:sz="4" w:space="0"/>
              <w:right w:val="single" w:color="000000" w:sz="8" w:space="0"/>
            </w:tcBorders>
            <w:tcMar>
              <w:top w:w="10" w:type="dxa"/>
              <w:left w:w="10" w:type="dxa"/>
              <w:right w:w="10" w:type="dxa"/>
            </w:tcMar>
            <w:vAlign w:val="center"/>
          </w:tcPr>
          <w:p>
            <w:pPr>
              <w:jc w:val="center"/>
              <w:rPr>
                <w:rFonts w:ascii="Times New Roman" w:hAnsi="Times New Roman"/>
              </w:rPr>
            </w:pPr>
            <w:r>
              <w:rPr>
                <w:rFonts w:ascii="Times New Roman" w:hAnsi="Times New Roman"/>
              </w:rPr>
              <w:t>7636.58</w:t>
            </w:r>
          </w:p>
        </w:tc>
      </w:tr>
      <w:tr>
        <w:tblPrEx>
          <w:tblCellMar>
            <w:top w:w="0" w:type="dxa"/>
            <w:left w:w="0" w:type="dxa"/>
            <w:bottom w:w="0" w:type="dxa"/>
            <w:right w:w="0" w:type="dxa"/>
          </w:tblCellMar>
        </w:tblPrEx>
        <w:trPr>
          <w:trHeight w:val="330"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2018</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3657.33</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4404.26</w:t>
            </w:r>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8061.58</w:t>
            </w:r>
          </w:p>
        </w:tc>
      </w:tr>
      <w:tr>
        <w:tblPrEx>
          <w:tblCellMar>
            <w:top w:w="0" w:type="dxa"/>
            <w:left w:w="0" w:type="dxa"/>
            <w:bottom w:w="0" w:type="dxa"/>
            <w:right w:w="0" w:type="dxa"/>
          </w:tblCellMar>
        </w:tblPrEx>
        <w:trPr>
          <w:trHeight w:val="315"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ascii="Times New Roman" w:hAnsi="Times New Roman" w:eastAsia="仿宋_GB2312"/>
                <w:color w:val="000000"/>
                <w:sz w:val="24"/>
              </w:rPr>
              <w:t>2019</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4306.14</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Times New Roman" w:hAnsi="Times New Roman"/>
              </w:rPr>
            </w:pPr>
            <w:bookmarkStart w:id="23" w:name="_Hlk34833377"/>
            <w:r>
              <w:rPr>
                <w:rFonts w:ascii="Times New Roman" w:hAnsi="Times New Roman"/>
              </w:rPr>
              <w:t>5567.87</w:t>
            </w:r>
            <w:bookmarkEnd w:id="23"/>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bookmarkStart w:id="24" w:name="_Hlk34833386"/>
            <w:r>
              <w:rPr>
                <w:rFonts w:ascii="Times New Roman" w:hAnsi="Times New Roman"/>
              </w:rPr>
              <w:t>9874.01</w:t>
            </w:r>
            <w:bookmarkEnd w:id="24"/>
          </w:p>
        </w:tc>
      </w:tr>
      <w:tr>
        <w:tblPrEx>
          <w:tblCellMar>
            <w:top w:w="0" w:type="dxa"/>
            <w:left w:w="0" w:type="dxa"/>
            <w:bottom w:w="0" w:type="dxa"/>
            <w:right w:w="0" w:type="dxa"/>
          </w:tblCellMar>
        </w:tblPrEx>
        <w:trPr>
          <w:trHeight w:val="315" w:hRule="atLeast"/>
        </w:trPr>
        <w:tc>
          <w:tcPr>
            <w:tcW w:w="102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textAlignment w:val="center"/>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020</w:t>
            </w:r>
          </w:p>
        </w:tc>
        <w:tc>
          <w:tcPr>
            <w:tcW w:w="1198"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4306.14</w:t>
            </w:r>
          </w:p>
        </w:tc>
        <w:tc>
          <w:tcPr>
            <w:tcW w:w="1455" w:type="pc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jc w:val="center"/>
              <w:rPr>
                <w:rFonts w:ascii="Times New Roman" w:hAnsi="Times New Roman"/>
              </w:rPr>
            </w:pPr>
            <w:r>
              <w:rPr>
                <w:rFonts w:ascii="Times New Roman" w:hAnsi="Times New Roman"/>
              </w:rPr>
              <w:t>5567.87</w:t>
            </w:r>
          </w:p>
        </w:tc>
        <w:tc>
          <w:tcPr>
            <w:tcW w:w="1322" w:type="pct"/>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rPr>
                <w:rFonts w:ascii="Times New Roman" w:hAnsi="Times New Roman"/>
              </w:rPr>
            </w:pPr>
            <w:r>
              <w:rPr>
                <w:rFonts w:ascii="Times New Roman" w:hAnsi="Times New Roman"/>
              </w:rPr>
              <w:t>9874.01</w:t>
            </w:r>
          </w:p>
        </w:tc>
      </w:tr>
    </w:tbl>
    <w:p>
      <w:pPr>
        <w:jc w:val="center"/>
        <w:rPr>
          <w:rFonts w:ascii="Times New Roman" w:hAnsi="Times New Roman"/>
        </w:rPr>
      </w:pPr>
      <w:r>
        <w:rPr>
          <w:lang w:val="en-US"/>
        </w:rPr>
        <w:drawing>
          <wp:inline distT="0" distB="0" distL="0" distR="0">
            <wp:extent cx="4568825" cy="2740025"/>
            <wp:effectExtent l="0" t="0" r="3175" b="317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0" w:line="560" w:lineRule="exact"/>
        <w:jc w:val="center"/>
        <w:rPr>
          <w:rFonts w:ascii="Times New Roman" w:hAnsi="Times New Roman" w:eastAsia="仿宋_GB2312"/>
          <w:sz w:val="32"/>
          <w:szCs w:val="32"/>
        </w:rPr>
      </w:pPr>
      <w:r>
        <w:rPr>
          <w:rFonts w:ascii="Times New Roman" w:hAnsi="Times New Roman" w:eastAsia="仿宋_GB2312"/>
          <w:sz w:val="24"/>
        </w:rPr>
        <w:t>图XX  排放量变化趋势图（增加</w:t>
      </w:r>
      <w:r>
        <w:rPr>
          <w:rFonts w:hint="eastAsia" w:ascii="Times New Roman" w:hAnsi="Times New Roman" w:eastAsia="仿宋_GB2312"/>
          <w:sz w:val="24"/>
        </w:rPr>
        <w:t>2</w:t>
      </w:r>
      <w:r>
        <w:rPr>
          <w:rFonts w:ascii="Times New Roman" w:hAnsi="Times New Roman" w:eastAsia="仿宋_GB2312"/>
          <w:sz w:val="24"/>
        </w:rPr>
        <w:t>020年度）</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核算和报告边界变化</w:t>
      </w:r>
      <w:r>
        <w:rPr>
          <w:rFonts w:hint="eastAsia" w:ascii="Times New Roman" w:hAnsi="Times New Roman" w:eastAsia="仿宋_GB2312"/>
          <w:sz w:val="32"/>
          <w:szCs w:val="32"/>
        </w:rPr>
        <w:t>（含设施变化）</w:t>
      </w:r>
      <w:r>
        <w:rPr>
          <w:rFonts w:ascii="Times New Roman" w:hAnsi="Times New Roman" w:eastAsia="仿宋_GB2312"/>
          <w:sz w:val="32"/>
          <w:szCs w:val="32"/>
        </w:rPr>
        <w:t>情况</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 本年度场所边界的变化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排放单位核算和报告边界为在位于xxx的生产厂区，产品为xxx。与上一年度相比，场所边界无变化；与基准年相比，场所边界无变化。</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4.2 本年度排放设施的变化</w:t>
      </w:r>
    </w:p>
    <w:p>
      <w:pPr>
        <w:spacing w:after="0" w:line="560" w:lineRule="exact"/>
        <w:ind w:firstLine="465"/>
        <w:jc w:val="both"/>
        <w:rPr>
          <w:rFonts w:ascii="Times New Roman" w:hAnsi="Times New Roman" w:eastAsia="仿宋_GB2312"/>
          <w:sz w:val="32"/>
          <w:szCs w:val="32"/>
        </w:rPr>
      </w:pPr>
      <w:r>
        <w:rPr>
          <w:rFonts w:ascii="Times New Roman" w:hAnsi="Times New Roman" w:eastAsia="仿宋_GB2312"/>
          <w:sz w:val="32"/>
          <w:szCs w:val="32"/>
        </w:rPr>
        <w:t>排放单位2018年新建生产车间和厂房（x号楼、x号楼）。新建生产车间设施在2018年调试运行近2个月，投产运行2个月，截止2018年12月底运行时间不足12个月，符合既有设施排放配额调整的申请条件。此信息供既有设施调整配额参考。</w:t>
      </w:r>
    </w:p>
    <w:p>
      <w:pPr>
        <w:spacing w:after="0" w:line="560" w:lineRule="exact"/>
        <w:ind w:firstLine="465"/>
        <w:rPr>
          <w:rFonts w:ascii="Times New Roman" w:hAnsi="Times New Roman" w:eastAsia="仿宋_GB2312"/>
          <w:sz w:val="32"/>
          <w:szCs w:val="32"/>
        </w:rPr>
      </w:pPr>
      <w:r>
        <w:rPr>
          <w:rFonts w:ascii="Times New Roman" w:hAnsi="Times New Roman" w:eastAsia="仿宋_GB2312"/>
          <w:sz w:val="32"/>
          <w:szCs w:val="32"/>
        </w:rPr>
        <w:t>排放单位既有设施xxx退出，未被新增设施替代。</w:t>
      </w:r>
    </w:p>
    <w:p>
      <w:pPr>
        <w:spacing w:after="0" w:line="560" w:lineRule="exact"/>
        <w:jc w:val="center"/>
        <w:rPr>
          <w:rFonts w:ascii="Times New Roman" w:hAnsi="Times New Roman" w:eastAsia="仿宋_GB2312"/>
          <w:sz w:val="24"/>
        </w:rPr>
      </w:pPr>
      <w:r>
        <w:rPr>
          <w:rFonts w:ascii="Times New Roman" w:hAnsi="Times New Roman" w:eastAsia="仿宋_GB2312"/>
          <w:sz w:val="24"/>
        </w:rPr>
        <w:t>表XX  既有设施退出信息表</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3"/>
        <w:gridCol w:w="1086"/>
        <w:gridCol w:w="708"/>
        <w:gridCol w:w="912"/>
        <w:gridCol w:w="1075"/>
        <w:gridCol w:w="1174"/>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既有设施名称</w:t>
            </w:r>
          </w:p>
        </w:tc>
        <w:tc>
          <w:tcPr>
            <w:tcW w:w="1134"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既有设施对应其它生产信息（如适用）</w:t>
            </w: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退出时间</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是否由新增设施替代</w:t>
            </w:r>
          </w:p>
        </w:tc>
        <w:tc>
          <w:tcPr>
            <w:tcW w:w="1121" w:type="dxa"/>
            <w:vMerge w:val="restart"/>
            <w:tcBorders>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年度</w:t>
            </w:r>
          </w:p>
        </w:tc>
        <w:tc>
          <w:tcPr>
            <w:tcW w:w="3348" w:type="dxa"/>
            <w:gridSpan w:val="3"/>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历史年度排放量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56" w:type="dxa"/>
            <w:vMerge w:val="continue"/>
            <w:vAlign w:val="center"/>
          </w:tcPr>
          <w:p>
            <w:pPr>
              <w:jc w:val="center"/>
              <w:rPr>
                <w:rFonts w:ascii="Times New Roman" w:hAnsi="Times New Roman" w:eastAsia="仿宋_GB2312"/>
                <w:sz w:val="24"/>
              </w:rPr>
            </w:pPr>
          </w:p>
        </w:tc>
        <w:tc>
          <w:tcPr>
            <w:tcW w:w="786" w:type="dxa"/>
            <w:vMerge w:val="continue"/>
            <w:vAlign w:val="center"/>
          </w:tcPr>
          <w:p>
            <w:pPr>
              <w:jc w:val="center"/>
              <w:rPr>
                <w:rFonts w:ascii="Times New Roman" w:hAnsi="Times New Roman" w:eastAsia="仿宋_GB2312"/>
                <w:sz w:val="24"/>
              </w:rPr>
            </w:pPr>
          </w:p>
        </w:tc>
        <w:tc>
          <w:tcPr>
            <w:tcW w:w="1134" w:type="dxa"/>
            <w:vMerge w:val="continue"/>
            <w:vAlign w:val="center"/>
          </w:tcPr>
          <w:p>
            <w:pPr>
              <w:jc w:val="center"/>
              <w:rPr>
                <w:rFonts w:ascii="Times New Roman" w:hAnsi="Times New Roman" w:eastAsia="仿宋_GB2312"/>
                <w:sz w:val="24"/>
              </w:rPr>
            </w:pPr>
          </w:p>
        </w:tc>
        <w:tc>
          <w:tcPr>
            <w:tcW w:w="709" w:type="dxa"/>
            <w:vMerge w:val="continue"/>
            <w:vAlign w:val="center"/>
          </w:tcPr>
          <w:p>
            <w:pPr>
              <w:jc w:val="center"/>
              <w:rPr>
                <w:rFonts w:ascii="Times New Roman" w:hAnsi="Times New Roman" w:eastAsia="仿宋_GB2312"/>
                <w:sz w:val="24"/>
              </w:rPr>
            </w:pPr>
          </w:p>
        </w:tc>
        <w:tc>
          <w:tcPr>
            <w:tcW w:w="968" w:type="dxa"/>
            <w:vMerge w:val="continue"/>
            <w:vAlign w:val="center"/>
          </w:tcPr>
          <w:p>
            <w:pPr>
              <w:jc w:val="center"/>
              <w:rPr>
                <w:rFonts w:ascii="Times New Roman" w:hAnsi="Times New Roman" w:eastAsia="仿宋_GB2312"/>
                <w:sz w:val="24"/>
              </w:rPr>
            </w:pPr>
          </w:p>
        </w:tc>
        <w:tc>
          <w:tcPr>
            <w:tcW w:w="1121" w:type="dxa"/>
            <w:vMerge w:val="continue"/>
            <w:tcBorders>
              <w:right w:val="single" w:color="auto" w:sz="4" w:space="0"/>
            </w:tcBorders>
            <w:vAlign w:val="center"/>
          </w:tcPr>
          <w:p>
            <w:pPr>
              <w:jc w:val="center"/>
              <w:rPr>
                <w:rFonts w:ascii="Times New Roman" w:hAnsi="Times New Roman" w:eastAsia="仿宋_GB2312"/>
                <w:sz w:val="24"/>
              </w:rPr>
            </w:pPr>
          </w:p>
        </w:tc>
        <w:tc>
          <w:tcPr>
            <w:tcW w:w="1116" w:type="dxa"/>
            <w:tcBorders>
              <w:lef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间接排放量（tCO</w:t>
            </w:r>
            <w:r>
              <w:rPr>
                <w:rFonts w:ascii="Times New Roman" w:hAnsi="Times New Roman" w:eastAsia="仿宋_GB2312"/>
                <w:sz w:val="24"/>
                <w:vertAlign w:val="subscript"/>
              </w:rPr>
              <w:t>2</w:t>
            </w:r>
            <w:r>
              <w:rPr>
                <w:rFonts w:ascii="Times New Roman" w:hAnsi="Times New Roman" w:eastAsia="仿宋_GB2312"/>
                <w:sz w:val="24"/>
              </w:rPr>
              <w:t>）</w:t>
            </w:r>
          </w:p>
        </w:tc>
        <w:tc>
          <w:tcPr>
            <w:tcW w:w="1116" w:type="dxa"/>
            <w:vAlign w:val="center"/>
          </w:tcPr>
          <w:p>
            <w:pPr>
              <w:jc w:val="center"/>
              <w:rPr>
                <w:rFonts w:ascii="Times New Roman" w:hAnsi="Times New Roman" w:eastAsia="仿宋_GB2312"/>
                <w:sz w:val="24"/>
              </w:rPr>
            </w:pPr>
            <w:r>
              <w:rPr>
                <w:rFonts w:ascii="Times New Roman" w:hAnsi="Times New Roman" w:eastAsia="仿宋_GB2312"/>
                <w:sz w:val="24"/>
              </w:rPr>
              <w:t>总排放量（tCO</w:t>
            </w:r>
            <w:r>
              <w:rPr>
                <w:rFonts w:ascii="Times New Roman" w:hAnsi="Times New Roman" w:eastAsia="仿宋_GB2312"/>
                <w:sz w:val="24"/>
                <w:vertAlign w:val="subscript"/>
              </w:rPr>
              <w:t>2</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5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786"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xxx</w:t>
            </w:r>
          </w:p>
        </w:tc>
        <w:tc>
          <w:tcPr>
            <w:tcW w:w="1134" w:type="dxa"/>
            <w:vMerge w:val="restart"/>
            <w:vAlign w:val="center"/>
          </w:tcPr>
          <w:p>
            <w:pPr>
              <w:jc w:val="center"/>
              <w:rPr>
                <w:rFonts w:ascii="Times New Roman" w:hAnsi="Times New Roman" w:eastAsia="仿宋_GB2312"/>
                <w:sz w:val="24"/>
              </w:rPr>
            </w:pPr>
          </w:p>
        </w:tc>
        <w:tc>
          <w:tcPr>
            <w:tcW w:w="709"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2018</w:t>
            </w:r>
          </w:p>
        </w:tc>
        <w:tc>
          <w:tcPr>
            <w:tcW w:w="968"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否</w:t>
            </w: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2016年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800.00</w:t>
            </w:r>
          </w:p>
        </w:tc>
        <w:tc>
          <w:tcPr>
            <w:tcW w:w="1116" w:type="dxa"/>
          </w:tcPr>
          <w:p>
            <w:pPr>
              <w:rPr>
                <w:rFonts w:ascii="Times New Roman" w:hAnsi="Times New Roman" w:eastAsia="仿宋_GB2312"/>
                <w:sz w:val="24"/>
              </w:rPr>
            </w:pPr>
            <w:r>
              <w:rPr>
                <w:rFonts w:ascii="Times New Roman" w:hAnsi="Times New Roman" w:eastAsia="仿宋_GB2312"/>
                <w:sz w:val="24"/>
              </w:rPr>
              <w:t>100.00</w:t>
            </w:r>
          </w:p>
        </w:tc>
        <w:tc>
          <w:tcPr>
            <w:tcW w:w="1116" w:type="dxa"/>
          </w:tcPr>
          <w:p>
            <w:pPr>
              <w:rPr>
                <w:rFonts w:ascii="Times New Roman" w:hAnsi="Times New Roman" w:eastAsia="仿宋_GB2312"/>
                <w:sz w:val="24"/>
              </w:rPr>
            </w:pPr>
            <w:r>
              <w:rPr>
                <w:rFonts w:ascii="Times New Roman" w:hAnsi="Times New Roman" w:eastAsia="仿宋_GB2312"/>
                <w:sz w:val="24"/>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2017年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810.00</w:t>
            </w:r>
          </w:p>
        </w:tc>
        <w:tc>
          <w:tcPr>
            <w:tcW w:w="1116" w:type="dxa"/>
          </w:tcPr>
          <w:p>
            <w:pPr>
              <w:rPr>
                <w:rFonts w:ascii="Times New Roman" w:hAnsi="Times New Roman" w:eastAsia="仿宋_GB2312"/>
                <w:sz w:val="24"/>
              </w:rPr>
            </w:pPr>
            <w:r>
              <w:rPr>
                <w:rFonts w:ascii="Times New Roman" w:hAnsi="Times New Roman" w:eastAsia="仿宋_GB2312"/>
                <w:sz w:val="24"/>
              </w:rPr>
              <w:t>102.00</w:t>
            </w:r>
          </w:p>
        </w:tc>
        <w:tc>
          <w:tcPr>
            <w:tcW w:w="1116" w:type="dxa"/>
          </w:tcPr>
          <w:p>
            <w:pPr>
              <w:rPr>
                <w:rFonts w:ascii="Times New Roman" w:hAnsi="Times New Roman" w:eastAsia="仿宋_GB2312"/>
                <w:sz w:val="24"/>
              </w:rPr>
            </w:pPr>
            <w:r>
              <w:rPr>
                <w:rFonts w:ascii="Times New Roman" w:hAnsi="Times New Roman" w:eastAsia="仿宋_GB2312"/>
                <w:sz w:val="24"/>
              </w:rPr>
              <w:t>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56" w:type="dxa"/>
            <w:vMerge w:val="continue"/>
          </w:tcPr>
          <w:p>
            <w:pPr>
              <w:rPr>
                <w:rFonts w:ascii="Times New Roman" w:hAnsi="Times New Roman" w:eastAsia="仿宋_GB2312"/>
                <w:sz w:val="24"/>
              </w:rPr>
            </w:pPr>
          </w:p>
        </w:tc>
        <w:tc>
          <w:tcPr>
            <w:tcW w:w="786" w:type="dxa"/>
            <w:vMerge w:val="continue"/>
          </w:tcPr>
          <w:p>
            <w:pPr>
              <w:rPr>
                <w:rFonts w:ascii="Times New Roman" w:hAnsi="Times New Roman" w:eastAsia="仿宋_GB2312"/>
                <w:sz w:val="24"/>
              </w:rPr>
            </w:pPr>
          </w:p>
        </w:tc>
        <w:tc>
          <w:tcPr>
            <w:tcW w:w="1134" w:type="dxa"/>
            <w:vMerge w:val="continue"/>
          </w:tcPr>
          <w:p>
            <w:pPr>
              <w:rPr>
                <w:rFonts w:ascii="Times New Roman" w:hAnsi="Times New Roman" w:eastAsia="仿宋_GB2312"/>
                <w:sz w:val="24"/>
              </w:rPr>
            </w:pPr>
          </w:p>
        </w:tc>
        <w:tc>
          <w:tcPr>
            <w:tcW w:w="709" w:type="dxa"/>
            <w:vMerge w:val="continue"/>
          </w:tcPr>
          <w:p>
            <w:pPr>
              <w:rPr>
                <w:rFonts w:ascii="Times New Roman" w:hAnsi="Times New Roman" w:eastAsia="仿宋_GB2312"/>
                <w:sz w:val="24"/>
              </w:rPr>
            </w:pPr>
          </w:p>
        </w:tc>
        <w:tc>
          <w:tcPr>
            <w:tcW w:w="968" w:type="dxa"/>
            <w:vMerge w:val="continue"/>
          </w:tcPr>
          <w:p>
            <w:pPr>
              <w:rPr>
                <w:rFonts w:ascii="Times New Roman" w:hAnsi="Times New Roman" w:eastAsia="仿宋_GB2312"/>
                <w:sz w:val="24"/>
              </w:rPr>
            </w:pPr>
          </w:p>
        </w:tc>
        <w:tc>
          <w:tcPr>
            <w:tcW w:w="1121" w:type="dxa"/>
            <w:tcBorders>
              <w:right w:val="single" w:color="auto" w:sz="4" w:space="0"/>
            </w:tcBorders>
          </w:tcPr>
          <w:p>
            <w:pPr>
              <w:rPr>
                <w:rFonts w:ascii="Times New Roman" w:hAnsi="Times New Roman" w:eastAsia="仿宋_GB2312"/>
                <w:sz w:val="24"/>
              </w:rPr>
            </w:pPr>
            <w:r>
              <w:rPr>
                <w:rFonts w:ascii="Times New Roman" w:hAnsi="Times New Roman" w:eastAsia="仿宋_GB2312"/>
                <w:sz w:val="24"/>
              </w:rPr>
              <w:t>2018年</w:t>
            </w:r>
          </w:p>
        </w:tc>
        <w:tc>
          <w:tcPr>
            <w:tcW w:w="1116" w:type="dxa"/>
            <w:tcBorders>
              <w:left w:val="single" w:color="auto" w:sz="4" w:space="0"/>
            </w:tcBorders>
          </w:tcPr>
          <w:p>
            <w:pPr>
              <w:rPr>
                <w:rFonts w:ascii="Times New Roman" w:hAnsi="Times New Roman" w:eastAsia="仿宋_GB2312"/>
                <w:sz w:val="24"/>
              </w:rPr>
            </w:pPr>
            <w:r>
              <w:rPr>
                <w:rFonts w:ascii="Times New Roman" w:hAnsi="Times New Roman" w:eastAsia="仿宋_GB2312"/>
                <w:sz w:val="24"/>
              </w:rPr>
              <w:t>130.00</w:t>
            </w:r>
          </w:p>
        </w:tc>
        <w:tc>
          <w:tcPr>
            <w:tcW w:w="1116" w:type="dxa"/>
          </w:tcPr>
          <w:p>
            <w:pPr>
              <w:rPr>
                <w:rFonts w:ascii="Times New Roman" w:hAnsi="Times New Roman" w:eastAsia="仿宋_GB2312"/>
                <w:sz w:val="24"/>
              </w:rPr>
            </w:pPr>
            <w:r>
              <w:rPr>
                <w:rFonts w:ascii="Times New Roman" w:hAnsi="Times New Roman" w:eastAsia="仿宋_GB2312"/>
                <w:sz w:val="24"/>
              </w:rPr>
              <w:t>10.00</w:t>
            </w:r>
          </w:p>
        </w:tc>
        <w:tc>
          <w:tcPr>
            <w:tcW w:w="1116" w:type="dxa"/>
          </w:tcPr>
          <w:p>
            <w:pPr>
              <w:rPr>
                <w:rFonts w:ascii="Times New Roman" w:hAnsi="Times New Roman" w:eastAsia="仿宋_GB2312"/>
                <w:sz w:val="24"/>
              </w:rPr>
            </w:pPr>
            <w:r>
              <w:rPr>
                <w:rFonts w:ascii="Times New Roman" w:hAnsi="Times New Roman" w:eastAsia="仿宋_GB2312"/>
                <w:sz w:val="24"/>
              </w:rPr>
              <w:t>140.00</w:t>
            </w:r>
          </w:p>
        </w:tc>
      </w:tr>
    </w:tbl>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排放单位新增设施主要包括xxx发生器及生产用电设备，其排放量信息见下表：</w:t>
      </w:r>
    </w:p>
    <w:p>
      <w:pPr>
        <w:spacing w:after="0" w:line="560" w:lineRule="exact"/>
        <w:jc w:val="center"/>
        <w:rPr>
          <w:rFonts w:ascii="Times New Roman" w:hAnsi="Times New Roman" w:eastAsia="仿宋_GB2312"/>
          <w:sz w:val="32"/>
          <w:szCs w:val="32"/>
        </w:rPr>
      </w:pPr>
      <w:r>
        <w:rPr>
          <w:rFonts w:hint="eastAsia" w:ascii="Times New Roman" w:hAnsi="Times New Roman" w:eastAsia="仿宋_GB2312"/>
          <w:sz w:val="24"/>
        </w:rPr>
        <w:t>表</w:t>
      </w:r>
      <w:r>
        <w:rPr>
          <w:rFonts w:ascii="Times New Roman" w:hAnsi="Times New Roman" w:eastAsia="仿宋_GB2312"/>
          <w:sz w:val="24"/>
        </w:rPr>
        <w:t xml:space="preserve">XX  </w:t>
      </w:r>
      <w:r>
        <w:rPr>
          <w:rFonts w:hint="eastAsia" w:ascii="Times New Roman" w:hAnsi="Times New Roman" w:eastAsia="仿宋_GB2312"/>
          <w:sz w:val="24"/>
        </w:rPr>
        <w:t>新增设施信息表</w:t>
      </w:r>
    </w:p>
    <w:tbl>
      <w:tblPr>
        <w:tblStyle w:val="3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17"/>
        <w:gridCol w:w="2196"/>
        <w:gridCol w:w="1553"/>
        <w:gridCol w:w="1194"/>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tabs>
                <w:tab w:val="left" w:pos="1701"/>
              </w:tabs>
              <w:jc w:val="center"/>
              <w:rPr>
                <w:rFonts w:ascii="Times New Roman" w:hAnsi="Times New Roman" w:eastAsia="仿宋_GB2312"/>
                <w:sz w:val="24"/>
              </w:rPr>
            </w:pPr>
            <w:r>
              <w:rPr>
                <w:rFonts w:hint="eastAsia" w:ascii="Times New Roman" w:hAnsi="Times New Roman" w:eastAsia="仿宋_GB2312"/>
                <w:sz w:val="24"/>
              </w:rPr>
              <w:t>序号</w:t>
            </w:r>
          </w:p>
        </w:tc>
        <w:tc>
          <w:tcPr>
            <w:tcW w:w="714" w:type="pct"/>
            <w:vAlign w:val="center"/>
          </w:tcPr>
          <w:p>
            <w:pPr>
              <w:tabs>
                <w:tab w:val="left" w:pos="1701"/>
              </w:tabs>
              <w:jc w:val="center"/>
              <w:rPr>
                <w:rFonts w:ascii="Times New Roman" w:hAnsi="Times New Roman" w:eastAsia="仿宋_GB2312"/>
                <w:sz w:val="24"/>
              </w:rPr>
            </w:pPr>
            <w:r>
              <w:rPr>
                <w:rFonts w:hint="eastAsia" w:ascii="Times New Roman" w:hAnsi="Times New Roman" w:eastAsia="仿宋_GB2312"/>
                <w:sz w:val="24"/>
              </w:rPr>
              <w:t>设施新增年份</w:t>
            </w:r>
          </w:p>
        </w:tc>
        <w:tc>
          <w:tcPr>
            <w:tcW w:w="1288" w:type="pct"/>
            <w:vAlign w:val="center"/>
          </w:tcPr>
          <w:p>
            <w:pPr>
              <w:tabs>
                <w:tab w:val="left" w:pos="1701"/>
              </w:tabs>
              <w:jc w:val="center"/>
              <w:rPr>
                <w:rFonts w:ascii="Times New Roman" w:hAnsi="Times New Roman" w:eastAsia="仿宋_GB2312"/>
                <w:sz w:val="24"/>
              </w:rPr>
            </w:pPr>
            <w:r>
              <w:rPr>
                <w:rFonts w:hint="eastAsia" w:ascii="Times New Roman" w:hAnsi="Times New Roman" w:eastAsia="仿宋_GB2312"/>
                <w:sz w:val="24"/>
              </w:rPr>
              <w:t>新增设施类型</w:t>
            </w:r>
          </w:p>
        </w:tc>
        <w:tc>
          <w:tcPr>
            <w:tcW w:w="911" w:type="pct"/>
            <w:vAlign w:val="center"/>
          </w:tcPr>
          <w:p>
            <w:pPr>
              <w:tabs>
                <w:tab w:val="left" w:pos="1701"/>
              </w:tabs>
              <w:jc w:val="center"/>
              <w:rPr>
                <w:rFonts w:ascii="Times New Roman" w:hAnsi="Times New Roman" w:eastAsia="仿宋_GB2312"/>
                <w:sz w:val="24"/>
              </w:rPr>
            </w:pPr>
            <w:r>
              <w:rPr>
                <w:rFonts w:hint="eastAsia" w:ascii="Times New Roman" w:hAnsi="Times New Roman" w:eastAsia="仿宋_GB2312"/>
                <w:sz w:val="24"/>
              </w:rPr>
              <w:t>是否替代既有设施，被替代既有设施类型</w:t>
            </w:r>
          </w:p>
        </w:tc>
        <w:tc>
          <w:tcPr>
            <w:tcW w:w="700" w:type="pct"/>
            <w:vAlign w:val="center"/>
          </w:tcPr>
          <w:p>
            <w:pPr>
              <w:tabs>
                <w:tab w:val="left" w:pos="1701"/>
              </w:tabs>
              <w:jc w:val="center"/>
              <w:rPr>
                <w:rFonts w:ascii="Times New Roman" w:hAnsi="Times New Roman" w:eastAsia="仿宋_GB2312"/>
                <w:sz w:val="24"/>
              </w:rPr>
            </w:pPr>
            <w:r>
              <w:rPr>
                <w:rFonts w:hint="eastAsia" w:ascii="Times New Roman" w:hAnsi="Times New Roman" w:eastAsia="仿宋_GB2312"/>
                <w:sz w:val="24"/>
              </w:rPr>
              <w:t>新增设施排放量（吨）</w:t>
            </w:r>
          </w:p>
        </w:tc>
        <w:tc>
          <w:tcPr>
            <w:tcW w:w="836" w:type="pct"/>
            <w:vAlign w:val="center"/>
          </w:tcPr>
          <w:p>
            <w:pPr>
              <w:tabs>
                <w:tab w:val="left" w:pos="1701"/>
              </w:tabs>
              <w:jc w:val="center"/>
              <w:rPr>
                <w:rFonts w:ascii="Times New Roman" w:hAnsi="Times New Roman" w:eastAsia="仿宋_GB2312"/>
                <w:sz w:val="24"/>
              </w:rPr>
            </w:pPr>
            <w:r>
              <w:rPr>
                <w:rFonts w:hint="eastAsia" w:ascii="Times New Roman" w:hAnsi="Times New Roman" w:eastAsia="仿宋_GB2312"/>
                <w:sz w:val="24"/>
              </w:rPr>
              <w:t>替代既有设施的新增排放量</w:t>
            </w:r>
            <w:r>
              <w:rPr>
                <w:rFonts w:ascii="Times New Roman" w:hAnsi="Times New Roman" w:eastAsia="仿宋_GB2312"/>
                <w:sz w:val="24"/>
              </w:rPr>
              <w:t>(</w:t>
            </w:r>
            <w:r>
              <w:rPr>
                <w:rFonts w:hint="eastAsia" w:ascii="Times New Roman" w:hAnsi="Times New Roman" w:eastAsia="仿宋_GB2312"/>
                <w:sz w:val="24"/>
              </w:rPr>
              <w:t>吨</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tabs>
                <w:tab w:val="left" w:pos="1701"/>
              </w:tabs>
              <w:jc w:val="center"/>
              <w:rPr>
                <w:rFonts w:ascii="Times New Roman" w:hAnsi="Times New Roman" w:eastAsia="仿宋_GB2312"/>
                <w:sz w:val="24"/>
              </w:rPr>
            </w:pPr>
            <w:r>
              <w:rPr>
                <w:rFonts w:ascii="Times New Roman" w:hAnsi="Times New Roman" w:eastAsia="仿宋_GB2312"/>
                <w:sz w:val="24"/>
              </w:rPr>
              <w:t>1</w:t>
            </w:r>
          </w:p>
        </w:tc>
        <w:tc>
          <w:tcPr>
            <w:tcW w:w="714" w:type="pct"/>
            <w:vAlign w:val="center"/>
          </w:tcPr>
          <w:p>
            <w:pPr>
              <w:tabs>
                <w:tab w:val="left" w:pos="1701"/>
              </w:tabs>
              <w:jc w:val="center"/>
              <w:rPr>
                <w:rFonts w:ascii="Times New Roman" w:hAnsi="Times New Roman" w:eastAsia="仿宋_GB2312"/>
                <w:sz w:val="24"/>
              </w:rPr>
            </w:pPr>
            <w:r>
              <w:rPr>
                <w:rFonts w:ascii="Times New Roman" w:hAnsi="Times New Roman" w:eastAsia="仿宋_GB2312"/>
                <w:sz w:val="24"/>
              </w:rPr>
              <w:t>2019</w:t>
            </w:r>
          </w:p>
        </w:tc>
        <w:tc>
          <w:tcPr>
            <w:tcW w:w="1288" w:type="pct"/>
            <w:vAlign w:val="center"/>
          </w:tcPr>
          <w:p>
            <w:pPr>
              <w:tabs>
                <w:tab w:val="left" w:pos="1701"/>
              </w:tabs>
              <w:jc w:val="center"/>
              <w:rPr>
                <w:rFonts w:ascii="Times New Roman" w:hAnsi="Times New Roman" w:eastAsia="仿宋_GB2312"/>
                <w:sz w:val="24"/>
              </w:rPr>
            </w:pPr>
            <w:r>
              <w:rPr>
                <w:rFonts w:ascii="Times New Roman" w:hAnsi="Times New Roman" w:eastAsia="仿宋_GB2312"/>
                <w:sz w:val="24"/>
              </w:rPr>
              <w:t>xxx</w:t>
            </w:r>
            <w:r>
              <w:rPr>
                <w:rFonts w:hint="eastAsia" w:ascii="Times New Roman" w:hAnsi="Times New Roman" w:eastAsia="仿宋_GB2312"/>
                <w:sz w:val="24"/>
              </w:rPr>
              <w:t>发生器</w:t>
            </w:r>
          </w:p>
        </w:tc>
        <w:tc>
          <w:tcPr>
            <w:tcW w:w="911" w:type="pct"/>
            <w:vAlign w:val="center"/>
          </w:tcPr>
          <w:p>
            <w:pPr>
              <w:tabs>
                <w:tab w:val="left" w:pos="1701"/>
              </w:tabs>
              <w:jc w:val="center"/>
              <w:rPr>
                <w:rFonts w:ascii="Times New Roman" w:hAnsi="Times New Roman" w:eastAsia="仿宋_GB2312"/>
                <w:sz w:val="24"/>
              </w:rPr>
            </w:pPr>
            <w:r>
              <w:rPr>
                <w:rFonts w:hint="eastAsia" w:ascii="Times New Roman" w:hAnsi="Times New Roman" w:eastAsia="仿宋_GB2312"/>
                <w:sz w:val="24"/>
              </w:rPr>
              <w:t>否</w:t>
            </w:r>
          </w:p>
        </w:tc>
        <w:tc>
          <w:tcPr>
            <w:tcW w:w="700" w:type="pct"/>
            <w:vAlign w:val="center"/>
          </w:tcPr>
          <w:p>
            <w:pPr>
              <w:tabs>
                <w:tab w:val="left" w:pos="1701"/>
              </w:tabs>
              <w:jc w:val="center"/>
              <w:rPr>
                <w:rFonts w:ascii="Times New Roman" w:hAnsi="Times New Roman" w:eastAsia="仿宋_GB2312"/>
                <w:sz w:val="24"/>
              </w:rPr>
            </w:pPr>
            <w:bookmarkStart w:id="25" w:name="_Hlk34834187"/>
            <w:r>
              <w:rPr>
                <w:rFonts w:ascii="Times New Roman" w:hAnsi="Times New Roman" w:eastAsia="仿宋_GB2312"/>
                <w:sz w:val="24"/>
              </w:rPr>
              <w:t>1590.36</w:t>
            </w:r>
            <w:bookmarkEnd w:id="25"/>
          </w:p>
        </w:tc>
        <w:tc>
          <w:tcPr>
            <w:tcW w:w="836" w:type="pct"/>
            <w:vAlign w:val="center"/>
          </w:tcPr>
          <w:p>
            <w:pPr>
              <w:tabs>
                <w:tab w:val="left" w:pos="1701"/>
              </w:tabs>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vAlign w:val="center"/>
          </w:tcPr>
          <w:p>
            <w:pPr>
              <w:jc w:val="center"/>
              <w:rPr>
                <w:rFonts w:ascii="Times New Roman" w:hAnsi="Times New Roman" w:eastAsia="仿宋_GB2312"/>
                <w:sz w:val="24"/>
              </w:rPr>
            </w:pPr>
            <w:r>
              <w:rPr>
                <w:rFonts w:ascii="Times New Roman" w:hAnsi="Times New Roman" w:eastAsia="仿宋_GB2312"/>
                <w:sz w:val="24"/>
              </w:rPr>
              <w:t>2</w:t>
            </w:r>
          </w:p>
        </w:tc>
        <w:tc>
          <w:tcPr>
            <w:tcW w:w="714" w:type="pct"/>
            <w:vAlign w:val="center"/>
          </w:tcPr>
          <w:p>
            <w:pPr>
              <w:jc w:val="center"/>
              <w:rPr>
                <w:rFonts w:ascii="Times New Roman" w:hAnsi="Times New Roman" w:eastAsia="仿宋_GB2312"/>
                <w:sz w:val="24"/>
              </w:rPr>
            </w:pPr>
            <w:r>
              <w:rPr>
                <w:rFonts w:ascii="Times New Roman" w:hAnsi="Times New Roman" w:eastAsia="仿宋_GB2312"/>
                <w:sz w:val="24"/>
              </w:rPr>
              <w:t>2020</w:t>
            </w:r>
          </w:p>
        </w:tc>
        <w:tc>
          <w:tcPr>
            <w:tcW w:w="1288" w:type="pct"/>
            <w:vAlign w:val="center"/>
          </w:tcPr>
          <w:p>
            <w:pPr>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套</w:t>
            </w:r>
            <w:r>
              <w:rPr>
                <w:rFonts w:ascii="Times New Roman" w:hAnsi="Times New Roman" w:eastAsia="仿宋_GB2312"/>
                <w:sz w:val="24"/>
              </w:rPr>
              <w:t>1#</w:t>
            </w:r>
            <w:r>
              <w:rPr>
                <w:rFonts w:hint="eastAsia" w:ascii="Times New Roman" w:hAnsi="Times New Roman" w:eastAsia="仿宋_GB2312"/>
                <w:sz w:val="24"/>
              </w:rPr>
              <w:t>楼</w:t>
            </w:r>
            <w:r>
              <w:rPr>
                <w:rFonts w:ascii="Times New Roman" w:hAnsi="Times New Roman" w:eastAsia="仿宋_GB2312"/>
                <w:sz w:val="24"/>
              </w:rPr>
              <w:t>1</w:t>
            </w:r>
            <w:r>
              <w:rPr>
                <w:rFonts w:hint="eastAsia" w:ascii="Times New Roman" w:hAnsi="Times New Roman" w:eastAsia="仿宋_GB2312"/>
                <w:sz w:val="24"/>
              </w:rPr>
              <w:t>层空调机房新增冷冻机组、</w:t>
            </w:r>
            <w:r>
              <w:rPr>
                <w:rFonts w:ascii="Times New Roman" w:hAnsi="Times New Roman" w:eastAsia="仿宋_GB2312"/>
                <w:sz w:val="24"/>
              </w:rPr>
              <w:t>2</w:t>
            </w:r>
            <w:r>
              <w:rPr>
                <w:rFonts w:hint="eastAsia" w:ascii="Times New Roman" w:hAnsi="Times New Roman" w:eastAsia="仿宋_GB2312"/>
                <w:sz w:val="24"/>
              </w:rPr>
              <w:t>套液体发酵系统等生产用电设备</w:t>
            </w:r>
          </w:p>
        </w:tc>
        <w:tc>
          <w:tcPr>
            <w:tcW w:w="911" w:type="pct"/>
            <w:vAlign w:val="center"/>
          </w:tcPr>
          <w:p>
            <w:pPr>
              <w:jc w:val="center"/>
              <w:rPr>
                <w:rFonts w:ascii="Times New Roman" w:hAnsi="Times New Roman" w:eastAsia="仿宋_GB2312"/>
                <w:sz w:val="24"/>
              </w:rPr>
            </w:pPr>
            <w:r>
              <w:rPr>
                <w:rFonts w:hint="eastAsia" w:ascii="Times New Roman" w:hAnsi="Times New Roman" w:eastAsia="仿宋_GB2312"/>
                <w:sz w:val="24"/>
              </w:rPr>
              <w:t>否</w:t>
            </w:r>
          </w:p>
        </w:tc>
        <w:tc>
          <w:tcPr>
            <w:tcW w:w="700" w:type="pct"/>
            <w:vAlign w:val="center"/>
          </w:tcPr>
          <w:p>
            <w:pPr>
              <w:tabs>
                <w:tab w:val="left" w:pos="1701"/>
              </w:tabs>
              <w:jc w:val="center"/>
              <w:rPr>
                <w:rFonts w:ascii="Times New Roman" w:hAnsi="Times New Roman" w:eastAsia="仿宋_GB2312"/>
                <w:sz w:val="24"/>
              </w:rPr>
            </w:pPr>
            <w:r>
              <w:rPr>
                <w:rFonts w:ascii="Times New Roman" w:hAnsi="Times New Roman" w:eastAsia="仿宋_GB2312"/>
                <w:sz w:val="24"/>
              </w:rPr>
              <w:t>1917.90</w:t>
            </w:r>
          </w:p>
        </w:tc>
        <w:tc>
          <w:tcPr>
            <w:tcW w:w="836" w:type="pct"/>
            <w:vAlign w:val="center"/>
          </w:tcPr>
          <w:p>
            <w:pPr>
              <w:tabs>
                <w:tab w:val="left" w:pos="1701"/>
              </w:tabs>
              <w:jc w:val="center"/>
              <w:rPr>
                <w:rFonts w:ascii="Times New Roman" w:hAnsi="Times New Roman" w:eastAsia="仿宋_GB2312"/>
                <w:sz w:val="24"/>
              </w:rPr>
            </w:pP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1" w:type="pct"/>
          </w:tcPr>
          <w:p>
            <w:pPr>
              <w:jc w:val="center"/>
              <w:rPr>
                <w:rFonts w:ascii="Times New Roman" w:hAnsi="Times New Roman" w:eastAsia="仿宋_GB2312"/>
                <w:sz w:val="24"/>
              </w:rPr>
            </w:pPr>
            <w:r>
              <w:rPr>
                <w:rFonts w:hint="eastAsia" w:ascii="Times New Roman" w:hAnsi="Times New Roman" w:eastAsia="仿宋_GB2312"/>
                <w:sz w:val="24"/>
              </w:rPr>
              <w:t>合计</w:t>
            </w:r>
          </w:p>
        </w:tc>
        <w:tc>
          <w:tcPr>
            <w:tcW w:w="714" w:type="pct"/>
          </w:tcPr>
          <w:p>
            <w:pPr>
              <w:rPr>
                <w:rFonts w:ascii="Times New Roman" w:hAnsi="Times New Roman" w:eastAsia="仿宋_GB2312"/>
                <w:sz w:val="24"/>
              </w:rPr>
            </w:pPr>
          </w:p>
        </w:tc>
        <w:tc>
          <w:tcPr>
            <w:tcW w:w="1288" w:type="pct"/>
          </w:tcPr>
          <w:p>
            <w:pPr>
              <w:rPr>
                <w:rFonts w:ascii="Times New Roman" w:hAnsi="Times New Roman" w:eastAsia="仿宋_GB2312"/>
                <w:sz w:val="24"/>
              </w:rPr>
            </w:pPr>
          </w:p>
        </w:tc>
        <w:tc>
          <w:tcPr>
            <w:tcW w:w="911" w:type="pct"/>
          </w:tcPr>
          <w:p>
            <w:pPr>
              <w:rPr>
                <w:rFonts w:ascii="Times New Roman" w:hAnsi="Times New Roman" w:eastAsia="仿宋_GB2312"/>
                <w:sz w:val="24"/>
              </w:rPr>
            </w:pPr>
          </w:p>
        </w:tc>
        <w:tc>
          <w:tcPr>
            <w:tcW w:w="700" w:type="pct"/>
            <w:vAlign w:val="center"/>
          </w:tcPr>
          <w:p>
            <w:pPr>
              <w:tabs>
                <w:tab w:val="left" w:pos="1701"/>
              </w:tabs>
              <w:jc w:val="center"/>
              <w:rPr>
                <w:rFonts w:ascii="Times New Roman" w:hAnsi="Times New Roman" w:eastAsia="仿宋_GB2312"/>
                <w:sz w:val="24"/>
              </w:rPr>
            </w:pPr>
            <w:bookmarkStart w:id="26" w:name="_Hlk34834123"/>
            <w:r>
              <w:rPr>
                <w:rFonts w:ascii="Times New Roman" w:hAnsi="Times New Roman" w:eastAsia="仿宋_GB2312"/>
                <w:sz w:val="24"/>
              </w:rPr>
              <w:t>3508.26</w:t>
            </w:r>
            <w:bookmarkEnd w:id="26"/>
          </w:p>
        </w:tc>
        <w:tc>
          <w:tcPr>
            <w:tcW w:w="836" w:type="pct"/>
            <w:vAlign w:val="center"/>
          </w:tcPr>
          <w:p>
            <w:pPr>
              <w:tabs>
                <w:tab w:val="left" w:pos="1701"/>
              </w:tabs>
              <w:jc w:val="center"/>
              <w:rPr>
                <w:rFonts w:ascii="Times New Roman" w:hAnsi="Times New Roman" w:eastAsia="仿宋_GB2312"/>
                <w:sz w:val="24"/>
              </w:rPr>
            </w:pPr>
          </w:p>
        </w:tc>
      </w:tr>
    </w:tbl>
    <w:p>
      <w:pPr>
        <w:spacing w:after="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排放单位新增设施导致的总排放量为</w:t>
      </w:r>
      <w:r>
        <w:rPr>
          <w:rFonts w:ascii="Times New Roman" w:hAnsi="Times New Roman" w:eastAsia="仿宋_GB2312"/>
          <w:sz w:val="32"/>
          <w:szCs w:val="32"/>
        </w:rPr>
        <w:t>3508.26</w:t>
      </w:r>
      <w:r>
        <w:rPr>
          <w:rFonts w:hint="eastAsia" w:ascii="Times New Roman" w:hAnsi="Times New Roman" w:eastAsia="仿宋_GB2312"/>
          <w:sz w:val="32"/>
          <w:szCs w:val="32"/>
        </w:rPr>
        <w:t>吨，是基准年年排放量的</w:t>
      </w:r>
      <w:r>
        <w:rPr>
          <w:rFonts w:ascii="Times New Roman" w:hAnsi="Times New Roman" w:eastAsia="仿宋_GB2312"/>
          <w:sz w:val="32"/>
          <w:szCs w:val="32"/>
        </w:rPr>
        <w:t>43.52%</w:t>
      </w:r>
      <w:r>
        <w:rPr>
          <w:rFonts w:hint="eastAsia" w:ascii="Times New Roman" w:hAnsi="Times New Roman" w:eastAsia="仿宋_GB2312"/>
          <w:sz w:val="32"/>
          <w:szCs w:val="32"/>
        </w:rPr>
        <w:t>，新增设施对应的产值为</w:t>
      </w:r>
      <w:r>
        <w:rPr>
          <w:rFonts w:ascii="Times New Roman" w:hAnsi="Times New Roman" w:eastAsia="仿宋_GB2312"/>
          <w:sz w:val="32"/>
          <w:szCs w:val="32"/>
        </w:rPr>
        <w:t>xx</w:t>
      </w:r>
      <w:r>
        <w:rPr>
          <w:rFonts w:hint="eastAsia" w:ascii="Times New Roman" w:hAnsi="Times New Roman" w:eastAsia="仿宋_GB2312"/>
          <w:sz w:val="32"/>
          <w:szCs w:val="32"/>
        </w:rPr>
        <w:t>万元。此信息供新增设施发放配额参考。</w:t>
      </w:r>
    </w:p>
    <w:p>
      <w:pPr>
        <w:spacing w:after="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 核查过程未覆盖的问题描述</w:t>
      </w:r>
    </w:p>
    <w:p>
      <w:pPr>
        <w:spacing w:after="0" w:line="560" w:lineRule="exact"/>
        <w:ind w:firstLine="640" w:firstLineChars="200"/>
        <w:jc w:val="both"/>
        <w:rPr>
          <w:rFonts w:ascii="仿宋_GB2312" w:hAnsi="仿宋" w:eastAsia="仿宋_GB2312"/>
          <w:sz w:val="32"/>
          <w:szCs w:val="32"/>
        </w:rPr>
      </w:pPr>
      <w:r>
        <w:rPr>
          <w:rFonts w:ascii="Times New Roman" w:hAnsi="Times New Roman" w:eastAsia="仿宋_GB2312"/>
          <w:sz w:val="32"/>
          <w:szCs w:val="32"/>
        </w:rPr>
        <w:t>由于天然气表和电表分别为燃气公司及电力公司管控，因此未能核查这些仪表的检定信息。</w:t>
      </w:r>
    </w:p>
    <w:sectPr>
      <w:footerReference r:id="rId5" w:type="default"/>
      <w:footerReference r:id="rId6" w:type="even"/>
      <w:pgSz w:w="11906" w:h="16838"/>
      <w:pgMar w:top="1440" w:right="1797" w:bottom="1440"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Wide Latin">
    <w:altName w:val="Kozuka Mincho Pro H"/>
    <w:panose1 w:val="020A0A07050505020404"/>
    <w:charset w:val="00"/>
    <w:family w:val="roman"/>
    <w:pitch w:val="default"/>
    <w:sig w:usb0="00000000" w:usb1="00000000" w:usb2="00000000" w:usb3="00000000" w:csb0="00000001" w:csb1="00000000"/>
  </w:font>
  <w:font w:name="Kozuka Mincho Pro H">
    <w:panose1 w:val="02020A00000000000000"/>
    <w:charset w:val="80"/>
    <w:family w:val="auto"/>
    <w:pitch w:val="default"/>
    <w:sig w:usb0="00000083" w:usb1="2AC71C11" w:usb2="00000012" w:usb3="00000000" w:csb0="20020005" w:csb1="00000000"/>
  </w:font>
  <w:font w:name="Segoe UI Symbol">
    <w:panose1 w:val="020B0502040204020203"/>
    <w:charset w:val="00"/>
    <w:family w:val="swiss"/>
    <w:pitch w:val="default"/>
    <w:sig w:usb0="8000006F" w:usb1="1200FBEF" w:usb2="0064C000" w:usb3="00000002" w:csb0="00000001" w:csb1="4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92</w:t>
    </w:r>
    <w:r>
      <w:rPr>
        <w:rStyle w:val="38"/>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27"/>
      </w:pPr>
      <w:r>
        <w:rPr>
          <w:rStyle w:val="40"/>
        </w:rPr>
        <w:footnoteRef/>
      </w:r>
      <w:r>
        <w:rPr>
          <w:rFonts w:hint="eastAsia"/>
        </w:rPr>
        <w:t>投入规模中已统计了退出的设备，即新增规模为净新增规模。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512CD"/>
    <w:multiLevelType w:val="multilevel"/>
    <w:tmpl w:val="052512CD"/>
    <w:lvl w:ilvl="0" w:tentative="0">
      <w:start w:val="1"/>
      <w:numFmt w:val="lowerLetter"/>
      <w:lvlText w:val="%1)"/>
      <w:lvlJc w:val="left"/>
      <w:pPr>
        <w:ind w:left="980" w:hanging="420"/>
      </w:pPr>
      <w:rPr>
        <w:rFonts w:hint="default"/>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58D22A4"/>
    <w:multiLevelType w:val="multilevel"/>
    <w:tmpl w:val="058D22A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26B3718"/>
    <w:multiLevelType w:val="multilevel"/>
    <w:tmpl w:val="126B3718"/>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138055A0"/>
    <w:multiLevelType w:val="multilevel"/>
    <w:tmpl w:val="138055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89B3A93"/>
    <w:multiLevelType w:val="multilevel"/>
    <w:tmpl w:val="189B3A93"/>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5">
    <w:nsid w:val="198A09AC"/>
    <w:multiLevelType w:val="multilevel"/>
    <w:tmpl w:val="198A09A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9B44F7B"/>
    <w:multiLevelType w:val="multilevel"/>
    <w:tmpl w:val="19B44F7B"/>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18D521B"/>
    <w:multiLevelType w:val="multilevel"/>
    <w:tmpl w:val="218D521B"/>
    <w:lvl w:ilvl="0" w:tentative="0">
      <w:start w:val="1"/>
      <w:numFmt w:val="bullet"/>
      <w:lvlText w:val="-"/>
      <w:lvlJc w:val="left"/>
      <w:pPr>
        <w:ind w:left="1260" w:hanging="420"/>
      </w:pPr>
      <w:rPr>
        <w:rFonts w:hint="default" w:ascii="Wide Latin" w:hAnsi="Wide Lati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22F953BD"/>
    <w:multiLevelType w:val="multilevel"/>
    <w:tmpl w:val="22F953BD"/>
    <w:lvl w:ilvl="0" w:tentative="0">
      <w:start w:val="1"/>
      <w:numFmt w:val="bullet"/>
      <w:lvlText w:val="-"/>
      <w:lvlJc w:val="left"/>
      <w:pPr>
        <w:ind w:left="984" w:hanging="420"/>
      </w:pPr>
      <w:rPr>
        <w:rFonts w:hint="default" w:ascii="Wide Latin" w:hAnsi="Wide Latin"/>
      </w:rPr>
    </w:lvl>
    <w:lvl w:ilvl="1" w:tentative="0">
      <w:start w:val="1"/>
      <w:numFmt w:val="bullet"/>
      <w:lvlText w:val=""/>
      <w:lvlJc w:val="left"/>
      <w:pPr>
        <w:ind w:left="1404" w:hanging="420"/>
      </w:pPr>
      <w:rPr>
        <w:rFonts w:hint="default" w:ascii="Wingdings" w:hAnsi="Wingdings"/>
      </w:rPr>
    </w:lvl>
    <w:lvl w:ilvl="2" w:tentative="0">
      <w:start w:val="1"/>
      <w:numFmt w:val="bullet"/>
      <w:lvlText w:val=""/>
      <w:lvlJc w:val="left"/>
      <w:pPr>
        <w:ind w:left="1824" w:hanging="420"/>
      </w:pPr>
      <w:rPr>
        <w:rFonts w:hint="default" w:ascii="Wingdings" w:hAnsi="Wingdings"/>
      </w:rPr>
    </w:lvl>
    <w:lvl w:ilvl="3" w:tentative="0">
      <w:start w:val="1"/>
      <w:numFmt w:val="bullet"/>
      <w:lvlText w:val=""/>
      <w:lvlJc w:val="left"/>
      <w:pPr>
        <w:ind w:left="2244" w:hanging="420"/>
      </w:pPr>
      <w:rPr>
        <w:rFonts w:hint="default" w:ascii="Wingdings" w:hAnsi="Wingdings"/>
      </w:rPr>
    </w:lvl>
    <w:lvl w:ilvl="4" w:tentative="0">
      <w:start w:val="1"/>
      <w:numFmt w:val="bullet"/>
      <w:lvlText w:val=""/>
      <w:lvlJc w:val="left"/>
      <w:pPr>
        <w:ind w:left="2664" w:hanging="420"/>
      </w:pPr>
      <w:rPr>
        <w:rFonts w:hint="default" w:ascii="Wingdings" w:hAnsi="Wingdings"/>
      </w:rPr>
    </w:lvl>
    <w:lvl w:ilvl="5" w:tentative="0">
      <w:start w:val="1"/>
      <w:numFmt w:val="bullet"/>
      <w:lvlText w:val=""/>
      <w:lvlJc w:val="left"/>
      <w:pPr>
        <w:ind w:left="3084" w:hanging="420"/>
      </w:pPr>
      <w:rPr>
        <w:rFonts w:hint="default" w:ascii="Wingdings" w:hAnsi="Wingdings"/>
      </w:rPr>
    </w:lvl>
    <w:lvl w:ilvl="6" w:tentative="0">
      <w:start w:val="1"/>
      <w:numFmt w:val="bullet"/>
      <w:lvlText w:val=""/>
      <w:lvlJc w:val="left"/>
      <w:pPr>
        <w:ind w:left="3504" w:hanging="420"/>
      </w:pPr>
      <w:rPr>
        <w:rFonts w:hint="default" w:ascii="Wingdings" w:hAnsi="Wingdings"/>
      </w:rPr>
    </w:lvl>
    <w:lvl w:ilvl="7" w:tentative="0">
      <w:start w:val="1"/>
      <w:numFmt w:val="bullet"/>
      <w:lvlText w:val=""/>
      <w:lvlJc w:val="left"/>
      <w:pPr>
        <w:ind w:left="3924" w:hanging="420"/>
      </w:pPr>
      <w:rPr>
        <w:rFonts w:hint="default" w:ascii="Wingdings" w:hAnsi="Wingdings"/>
      </w:rPr>
    </w:lvl>
    <w:lvl w:ilvl="8" w:tentative="0">
      <w:start w:val="1"/>
      <w:numFmt w:val="bullet"/>
      <w:lvlText w:val=""/>
      <w:lvlJc w:val="left"/>
      <w:pPr>
        <w:ind w:left="4344" w:hanging="420"/>
      </w:pPr>
      <w:rPr>
        <w:rFonts w:hint="default" w:ascii="Wingdings" w:hAnsi="Wingdings"/>
      </w:rPr>
    </w:lvl>
  </w:abstractNum>
  <w:abstractNum w:abstractNumId="9">
    <w:nsid w:val="2A3851F0"/>
    <w:multiLevelType w:val="multilevel"/>
    <w:tmpl w:val="2A3851F0"/>
    <w:lvl w:ilvl="0" w:tentative="0">
      <w:start w:val="1"/>
      <w:numFmt w:val="bullet"/>
      <w:lvlText w:val="-"/>
      <w:lvlJc w:val="left"/>
      <w:pPr>
        <w:ind w:left="982" w:hanging="420"/>
      </w:pPr>
      <w:rPr>
        <w:rFonts w:hint="default" w:ascii="Wide Latin" w:hAnsi="Wide Latin"/>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0">
    <w:nsid w:val="2D9C7E16"/>
    <w:multiLevelType w:val="multilevel"/>
    <w:tmpl w:val="2D9C7E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1110727"/>
    <w:multiLevelType w:val="multilevel"/>
    <w:tmpl w:val="31110727"/>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2552D3B"/>
    <w:multiLevelType w:val="multilevel"/>
    <w:tmpl w:val="32552D3B"/>
    <w:lvl w:ilvl="0" w:tentative="0">
      <w:start w:val="1"/>
      <w:numFmt w:val="low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32AF19ED"/>
    <w:multiLevelType w:val="multilevel"/>
    <w:tmpl w:val="32AF19ED"/>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3114887"/>
    <w:multiLevelType w:val="multilevel"/>
    <w:tmpl w:val="3311488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12A29EC"/>
    <w:multiLevelType w:val="multilevel"/>
    <w:tmpl w:val="412A29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32223E3"/>
    <w:multiLevelType w:val="multilevel"/>
    <w:tmpl w:val="432223E3"/>
    <w:lvl w:ilvl="0" w:tentative="0">
      <w:start w:val="1"/>
      <w:numFmt w:val="bullet"/>
      <w:lvlText w:val="-"/>
      <w:lvlJc w:val="left"/>
      <w:pPr>
        <w:ind w:left="1260" w:hanging="420"/>
      </w:pPr>
      <w:rPr>
        <w:rFonts w:hint="default" w:ascii="Wide Latin" w:hAnsi="Wide Latin"/>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45D957EB"/>
    <w:multiLevelType w:val="multilevel"/>
    <w:tmpl w:val="45D957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85234A7"/>
    <w:multiLevelType w:val="multilevel"/>
    <w:tmpl w:val="485234A7"/>
    <w:lvl w:ilvl="0" w:tentative="0">
      <w:start w:val="1"/>
      <w:numFmt w:val="bullet"/>
      <w:lvlText w:val="-"/>
      <w:lvlJc w:val="left"/>
      <w:pPr>
        <w:ind w:left="900" w:hanging="420"/>
      </w:pPr>
      <w:rPr>
        <w:rFonts w:hint="default" w:ascii="Wide Latin" w:hAnsi="Wide Lati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4C150647"/>
    <w:multiLevelType w:val="multilevel"/>
    <w:tmpl w:val="4C15064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4F635FB4"/>
    <w:multiLevelType w:val="multilevel"/>
    <w:tmpl w:val="4F635FB4"/>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5B8A176C"/>
    <w:multiLevelType w:val="multilevel"/>
    <w:tmpl w:val="5B8A176C"/>
    <w:lvl w:ilvl="0" w:tentative="0">
      <w:start w:val="3"/>
      <w:numFmt w:val="decimal"/>
      <w:lvlText w:val="%1"/>
      <w:lvlJc w:val="left"/>
      <w:pPr>
        <w:ind w:left="456" w:hanging="45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2">
    <w:nsid w:val="61123ECD"/>
    <w:multiLevelType w:val="multilevel"/>
    <w:tmpl w:val="61123ECD"/>
    <w:lvl w:ilvl="0" w:tentative="0">
      <w:start w:val="1"/>
      <w:numFmt w:val="bullet"/>
      <w:lvlText w:val="-"/>
      <w:lvlJc w:val="left"/>
      <w:pPr>
        <w:ind w:left="980" w:hanging="420"/>
      </w:pPr>
      <w:rPr>
        <w:rFonts w:hint="default" w:ascii="Wide Latin" w:hAnsi="Wide Lati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3">
    <w:nsid w:val="63230C11"/>
    <w:multiLevelType w:val="multilevel"/>
    <w:tmpl w:val="63230C11"/>
    <w:lvl w:ilvl="0" w:tentative="0">
      <w:start w:val="1"/>
      <w:numFmt w:val="bullet"/>
      <w:lvlText w:val="-"/>
      <w:lvlJc w:val="left"/>
      <w:pPr>
        <w:ind w:left="987" w:hanging="420"/>
      </w:pPr>
      <w:rPr>
        <w:rFonts w:hint="default" w:ascii="Wide Latin" w:hAnsi="Wide Lati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4">
    <w:nsid w:val="64A131F4"/>
    <w:multiLevelType w:val="multilevel"/>
    <w:tmpl w:val="64A131F4"/>
    <w:lvl w:ilvl="0" w:tentative="0">
      <w:start w:val="1"/>
      <w:numFmt w:val="bullet"/>
      <w:lvlText w:val="-"/>
      <w:lvlJc w:val="left"/>
      <w:pPr>
        <w:ind w:left="972" w:hanging="420"/>
      </w:pPr>
      <w:rPr>
        <w:rFonts w:hint="default" w:ascii="Wide Latin" w:hAnsi="Wide Latin"/>
      </w:rPr>
    </w:lvl>
    <w:lvl w:ilvl="1" w:tentative="0">
      <w:start w:val="1"/>
      <w:numFmt w:val="bullet"/>
      <w:lvlText w:val=""/>
      <w:lvlJc w:val="left"/>
      <w:pPr>
        <w:ind w:left="1392" w:hanging="420"/>
      </w:pPr>
      <w:rPr>
        <w:rFonts w:hint="default" w:ascii="Wingdings" w:hAnsi="Wingdings"/>
      </w:rPr>
    </w:lvl>
    <w:lvl w:ilvl="2" w:tentative="0">
      <w:start w:val="1"/>
      <w:numFmt w:val="bullet"/>
      <w:lvlText w:val=""/>
      <w:lvlJc w:val="left"/>
      <w:pPr>
        <w:ind w:left="1812" w:hanging="420"/>
      </w:pPr>
      <w:rPr>
        <w:rFonts w:hint="default" w:ascii="Wingdings" w:hAnsi="Wingdings"/>
      </w:rPr>
    </w:lvl>
    <w:lvl w:ilvl="3" w:tentative="0">
      <w:start w:val="1"/>
      <w:numFmt w:val="bullet"/>
      <w:lvlText w:val=""/>
      <w:lvlJc w:val="left"/>
      <w:pPr>
        <w:ind w:left="2232" w:hanging="420"/>
      </w:pPr>
      <w:rPr>
        <w:rFonts w:hint="default" w:ascii="Wingdings" w:hAnsi="Wingdings"/>
      </w:rPr>
    </w:lvl>
    <w:lvl w:ilvl="4" w:tentative="0">
      <w:start w:val="1"/>
      <w:numFmt w:val="bullet"/>
      <w:lvlText w:val=""/>
      <w:lvlJc w:val="left"/>
      <w:pPr>
        <w:ind w:left="2652" w:hanging="420"/>
      </w:pPr>
      <w:rPr>
        <w:rFonts w:hint="default" w:ascii="Wingdings" w:hAnsi="Wingdings"/>
      </w:rPr>
    </w:lvl>
    <w:lvl w:ilvl="5" w:tentative="0">
      <w:start w:val="1"/>
      <w:numFmt w:val="bullet"/>
      <w:lvlText w:val=""/>
      <w:lvlJc w:val="left"/>
      <w:pPr>
        <w:ind w:left="3072" w:hanging="420"/>
      </w:pPr>
      <w:rPr>
        <w:rFonts w:hint="default" w:ascii="Wingdings" w:hAnsi="Wingdings"/>
      </w:rPr>
    </w:lvl>
    <w:lvl w:ilvl="6" w:tentative="0">
      <w:start w:val="1"/>
      <w:numFmt w:val="bullet"/>
      <w:lvlText w:val=""/>
      <w:lvlJc w:val="left"/>
      <w:pPr>
        <w:ind w:left="3492" w:hanging="420"/>
      </w:pPr>
      <w:rPr>
        <w:rFonts w:hint="default" w:ascii="Wingdings" w:hAnsi="Wingdings"/>
      </w:rPr>
    </w:lvl>
    <w:lvl w:ilvl="7" w:tentative="0">
      <w:start w:val="1"/>
      <w:numFmt w:val="bullet"/>
      <w:lvlText w:val=""/>
      <w:lvlJc w:val="left"/>
      <w:pPr>
        <w:ind w:left="3912" w:hanging="420"/>
      </w:pPr>
      <w:rPr>
        <w:rFonts w:hint="default" w:ascii="Wingdings" w:hAnsi="Wingdings"/>
      </w:rPr>
    </w:lvl>
    <w:lvl w:ilvl="8" w:tentative="0">
      <w:start w:val="1"/>
      <w:numFmt w:val="bullet"/>
      <w:lvlText w:val=""/>
      <w:lvlJc w:val="left"/>
      <w:pPr>
        <w:ind w:left="4332" w:hanging="420"/>
      </w:pPr>
      <w:rPr>
        <w:rFonts w:hint="default" w:ascii="Wingdings" w:hAnsi="Wingdings"/>
      </w:rPr>
    </w:lvl>
  </w:abstractNum>
  <w:abstractNum w:abstractNumId="25">
    <w:nsid w:val="657D285C"/>
    <w:multiLevelType w:val="multilevel"/>
    <w:tmpl w:val="657D285C"/>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F4B5286"/>
    <w:multiLevelType w:val="multilevel"/>
    <w:tmpl w:val="6F4B5286"/>
    <w:lvl w:ilvl="0" w:tentative="0">
      <w:start w:val="1"/>
      <w:numFmt w:val="decimal"/>
      <w:lvlText w:val="（%1）"/>
      <w:lvlJc w:val="left"/>
      <w:pPr>
        <w:ind w:left="2705" w:hanging="72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27">
    <w:nsid w:val="7B8617B2"/>
    <w:multiLevelType w:val="multilevel"/>
    <w:tmpl w:val="7B8617B2"/>
    <w:lvl w:ilvl="0" w:tentative="0">
      <w:start w:val="1"/>
      <w:numFmt w:val="bullet"/>
      <w:lvlText w:val="-"/>
      <w:lvlJc w:val="left"/>
      <w:pPr>
        <w:ind w:left="840" w:hanging="420"/>
      </w:pPr>
      <w:rPr>
        <w:rFonts w:hint="default" w:ascii="Wide Latin" w:hAnsi="Wide Lati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7E474D71"/>
    <w:multiLevelType w:val="multilevel"/>
    <w:tmpl w:val="7E474D71"/>
    <w:lvl w:ilvl="0" w:tentative="0">
      <w:start w:val="1"/>
      <w:numFmt w:val="bullet"/>
      <w:lvlText w:val="-"/>
      <w:lvlJc w:val="left"/>
      <w:pPr>
        <w:ind w:left="1400" w:hanging="420"/>
      </w:pPr>
      <w:rPr>
        <w:rFonts w:hint="default" w:ascii="Wide Latin" w:hAnsi="Wide Latin"/>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29">
    <w:nsid w:val="7E8C17C4"/>
    <w:multiLevelType w:val="multilevel"/>
    <w:tmpl w:val="7E8C17C4"/>
    <w:lvl w:ilvl="0" w:tentative="0">
      <w:start w:val="1"/>
      <w:numFmt w:val="bullet"/>
      <w:lvlText w:val="-"/>
      <w:lvlJc w:val="left"/>
      <w:pPr>
        <w:ind w:left="704" w:hanging="420"/>
      </w:pPr>
      <w:rPr>
        <w:rFonts w:hint="default" w:ascii="Wide Latin" w:hAnsi="Wide Lati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de Latin" w:hAnsi="Wide Latin"/>
      </w:rPr>
    </w:lvl>
    <w:lvl w:ilvl="3" w:tentative="0">
      <w:start w:val="1"/>
      <w:numFmt w:val="bullet"/>
      <w:lvlText w:val="-"/>
      <w:lvlJc w:val="left"/>
      <w:pPr>
        <w:ind w:left="1964" w:hanging="420"/>
      </w:pPr>
      <w:rPr>
        <w:rFonts w:hint="default" w:ascii="Wide Latin" w:hAnsi="Wide Latin"/>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10"/>
  </w:num>
  <w:num w:numId="2">
    <w:abstractNumId w:val="14"/>
  </w:num>
  <w:num w:numId="3">
    <w:abstractNumId w:val="18"/>
  </w:num>
  <w:num w:numId="4">
    <w:abstractNumId w:val="3"/>
  </w:num>
  <w:num w:numId="5">
    <w:abstractNumId w:val="15"/>
  </w:num>
  <w:num w:numId="6">
    <w:abstractNumId w:val="13"/>
  </w:num>
  <w:num w:numId="7">
    <w:abstractNumId w:val="26"/>
  </w:num>
  <w:num w:numId="8">
    <w:abstractNumId w:val="0"/>
  </w:num>
  <w:num w:numId="9">
    <w:abstractNumId w:val="28"/>
  </w:num>
  <w:num w:numId="10">
    <w:abstractNumId w:val="24"/>
  </w:num>
  <w:num w:numId="11">
    <w:abstractNumId w:val="21"/>
  </w:num>
  <w:num w:numId="12">
    <w:abstractNumId w:val="16"/>
  </w:num>
  <w:num w:numId="13">
    <w:abstractNumId w:val="7"/>
  </w:num>
  <w:num w:numId="14">
    <w:abstractNumId w:val="27"/>
  </w:num>
  <w:num w:numId="15">
    <w:abstractNumId w:val="9"/>
  </w:num>
  <w:num w:numId="16">
    <w:abstractNumId w:val="11"/>
  </w:num>
  <w:num w:numId="17">
    <w:abstractNumId w:val="12"/>
  </w:num>
  <w:num w:numId="18">
    <w:abstractNumId w:val="17"/>
  </w:num>
  <w:num w:numId="19">
    <w:abstractNumId w:val="5"/>
  </w:num>
  <w:num w:numId="20">
    <w:abstractNumId w:val="8"/>
  </w:num>
  <w:num w:numId="21">
    <w:abstractNumId w:val="2"/>
  </w:num>
  <w:num w:numId="22">
    <w:abstractNumId w:val="6"/>
  </w:num>
  <w:num w:numId="23">
    <w:abstractNumId w:val="22"/>
  </w:num>
  <w:num w:numId="24">
    <w:abstractNumId w:val="20"/>
  </w:num>
  <w:num w:numId="25">
    <w:abstractNumId w:val="4"/>
  </w:num>
  <w:num w:numId="26">
    <w:abstractNumId w:val="23"/>
  </w:num>
  <w:num w:numId="27">
    <w:abstractNumId w:val="25"/>
  </w:num>
  <w:num w:numId="28">
    <w:abstractNumId w:val="1"/>
  </w:num>
  <w:num w:numId="29">
    <w:abstractNumId w:val="2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720"/>
  <w:drawingGridHorizontalSpacing w:val="110"/>
  <w:displayHorizontalDrawingGridEvery w:val="2"/>
  <w:characterSpacingControl w:val="doNotCompress"/>
  <w:footnotePr>
    <w:footnote w:id="2"/>
    <w:footnote w:id="3"/>
  </w:footnotePr>
  <w:endnotePr>
    <w:endnote w:id="0"/>
    <w:endnote w:id="1"/>
  </w:endnotePr>
  <w:compat>
    <w:useFELayout/>
    <w:compatSetting w:name="compatibilityMode" w:uri="http://schemas.microsoft.com/office/word" w:val="12"/>
  </w:compat>
  <w:docVars>
    <w:docVar w:name="commondata" w:val="eyJoZGlkIjoiMWMzNDZkZGZiY2Q1NTlhZGU1YmU1Zjg5YmEyNTBlOGMifQ=="/>
    <w:docVar w:name="KSO_WPS_MARK_KEY" w:val="e044c9f5-f0df-4646-8a68-528d70cffb70"/>
  </w:docVars>
  <w:rsids>
    <w:rsidRoot w:val="00841FE8"/>
    <w:rsid w:val="000008B2"/>
    <w:rsid w:val="00002506"/>
    <w:rsid w:val="00003113"/>
    <w:rsid w:val="00003C80"/>
    <w:rsid w:val="0000475F"/>
    <w:rsid w:val="00005605"/>
    <w:rsid w:val="000066CF"/>
    <w:rsid w:val="000070C4"/>
    <w:rsid w:val="000109EA"/>
    <w:rsid w:val="00010B21"/>
    <w:rsid w:val="00010F86"/>
    <w:rsid w:val="00011218"/>
    <w:rsid w:val="000122DF"/>
    <w:rsid w:val="00012C63"/>
    <w:rsid w:val="00012E4F"/>
    <w:rsid w:val="00015580"/>
    <w:rsid w:val="00015DBD"/>
    <w:rsid w:val="0001652C"/>
    <w:rsid w:val="00016FD5"/>
    <w:rsid w:val="0002041B"/>
    <w:rsid w:val="000209BF"/>
    <w:rsid w:val="00021653"/>
    <w:rsid w:val="0002263C"/>
    <w:rsid w:val="000247F3"/>
    <w:rsid w:val="000249E3"/>
    <w:rsid w:val="00024D94"/>
    <w:rsid w:val="00024F4D"/>
    <w:rsid w:val="00026837"/>
    <w:rsid w:val="00030E6B"/>
    <w:rsid w:val="000332CA"/>
    <w:rsid w:val="0003432B"/>
    <w:rsid w:val="00035836"/>
    <w:rsid w:val="00037A17"/>
    <w:rsid w:val="00037CC7"/>
    <w:rsid w:val="00037E7B"/>
    <w:rsid w:val="000419F6"/>
    <w:rsid w:val="00043319"/>
    <w:rsid w:val="00043C46"/>
    <w:rsid w:val="0004491D"/>
    <w:rsid w:val="00045DA9"/>
    <w:rsid w:val="00045F59"/>
    <w:rsid w:val="0005029B"/>
    <w:rsid w:val="0005045B"/>
    <w:rsid w:val="0005299B"/>
    <w:rsid w:val="00053E2E"/>
    <w:rsid w:val="00053FC2"/>
    <w:rsid w:val="00054322"/>
    <w:rsid w:val="00054586"/>
    <w:rsid w:val="00054BF7"/>
    <w:rsid w:val="00056189"/>
    <w:rsid w:val="0005786B"/>
    <w:rsid w:val="00060615"/>
    <w:rsid w:val="00064C13"/>
    <w:rsid w:val="0006712A"/>
    <w:rsid w:val="000674B5"/>
    <w:rsid w:val="00067D6A"/>
    <w:rsid w:val="00071B9C"/>
    <w:rsid w:val="00072146"/>
    <w:rsid w:val="00072E43"/>
    <w:rsid w:val="00073F92"/>
    <w:rsid w:val="00074D48"/>
    <w:rsid w:val="00076593"/>
    <w:rsid w:val="00076957"/>
    <w:rsid w:val="00077E77"/>
    <w:rsid w:val="00080D11"/>
    <w:rsid w:val="00081644"/>
    <w:rsid w:val="00082E24"/>
    <w:rsid w:val="00083140"/>
    <w:rsid w:val="00084A48"/>
    <w:rsid w:val="00087C2F"/>
    <w:rsid w:val="00087FD9"/>
    <w:rsid w:val="000904D0"/>
    <w:rsid w:val="00092DE8"/>
    <w:rsid w:val="00095874"/>
    <w:rsid w:val="000969F8"/>
    <w:rsid w:val="00096A9D"/>
    <w:rsid w:val="0009794C"/>
    <w:rsid w:val="000A0447"/>
    <w:rsid w:val="000A0645"/>
    <w:rsid w:val="000A1BAC"/>
    <w:rsid w:val="000A2019"/>
    <w:rsid w:val="000A204A"/>
    <w:rsid w:val="000A231D"/>
    <w:rsid w:val="000A27E5"/>
    <w:rsid w:val="000A2923"/>
    <w:rsid w:val="000A31DB"/>
    <w:rsid w:val="000B0330"/>
    <w:rsid w:val="000B0CD6"/>
    <w:rsid w:val="000B0D79"/>
    <w:rsid w:val="000B1642"/>
    <w:rsid w:val="000B1737"/>
    <w:rsid w:val="000B182C"/>
    <w:rsid w:val="000B2422"/>
    <w:rsid w:val="000B3620"/>
    <w:rsid w:val="000B4714"/>
    <w:rsid w:val="000B4BD1"/>
    <w:rsid w:val="000B4E97"/>
    <w:rsid w:val="000B509A"/>
    <w:rsid w:val="000B5DA9"/>
    <w:rsid w:val="000B7683"/>
    <w:rsid w:val="000B7A05"/>
    <w:rsid w:val="000C0953"/>
    <w:rsid w:val="000C26C8"/>
    <w:rsid w:val="000C316C"/>
    <w:rsid w:val="000C438E"/>
    <w:rsid w:val="000C4690"/>
    <w:rsid w:val="000C4D0B"/>
    <w:rsid w:val="000C4E10"/>
    <w:rsid w:val="000C661E"/>
    <w:rsid w:val="000D24C4"/>
    <w:rsid w:val="000D25BA"/>
    <w:rsid w:val="000D2CDE"/>
    <w:rsid w:val="000D3753"/>
    <w:rsid w:val="000D4BE6"/>
    <w:rsid w:val="000D5705"/>
    <w:rsid w:val="000D6E4A"/>
    <w:rsid w:val="000D72DA"/>
    <w:rsid w:val="000E19B9"/>
    <w:rsid w:val="000E21BA"/>
    <w:rsid w:val="000E2BDF"/>
    <w:rsid w:val="000E64F0"/>
    <w:rsid w:val="000E7410"/>
    <w:rsid w:val="000F00F6"/>
    <w:rsid w:val="000F0D8D"/>
    <w:rsid w:val="000F0E0C"/>
    <w:rsid w:val="000F1785"/>
    <w:rsid w:val="000F20D0"/>
    <w:rsid w:val="000F2659"/>
    <w:rsid w:val="000F3408"/>
    <w:rsid w:val="000F39B9"/>
    <w:rsid w:val="000F4FCC"/>
    <w:rsid w:val="000F6DC8"/>
    <w:rsid w:val="000F6F8B"/>
    <w:rsid w:val="00100FEE"/>
    <w:rsid w:val="0010198F"/>
    <w:rsid w:val="00101D73"/>
    <w:rsid w:val="00102831"/>
    <w:rsid w:val="001032D0"/>
    <w:rsid w:val="00104933"/>
    <w:rsid w:val="00105C91"/>
    <w:rsid w:val="00106FD3"/>
    <w:rsid w:val="00107A66"/>
    <w:rsid w:val="00107DA6"/>
    <w:rsid w:val="00110DD3"/>
    <w:rsid w:val="00111618"/>
    <w:rsid w:val="00111C9A"/>
    <w:rsid w:val="00112605"/>
    <w:rsid w:val="00113142"/>
    <w:rsid w:val="0011497D"/>
    <w:rsid w:val="00114F0A"/>
    <w:rsid w:val="00115B75"/>
    <w:rsid w:val="001177EF"/>
    <w:rsid w:val="00117F60"/>
    <w:rsid w:val="0012442E"/>
    <w:rsid w:val="00124882"/>
    <w:rsid w:val="00125E3A"/>
    <w:rsid w:val="0012612B"/>
    <w:rsid w:val="001263CC"/>
    <w:rsid w:val="001266FA"/>
    <w:rsid w:val="00127D41"/>
    <w:rsid w:val="00127E7C"/>
    <w:rsid w:val="001313D5"/>
    <w:rsid w:val="00131DAA"/>
    <w:rsid w:val="0013264C"/>
    <w:rsid w:val="00132977"/>
    <w:rsid w:val="00132FF6"/>
    <w:rsid w:val="0013404A"/>
    <w:rsid w:val="00137051"/>
    <w:rsid w:val="0013791D"/>
    <w:rsid w:val="00140348"/>
    <w:rsid w:val="0014135D"/>
    <w:rsid w:val="001413D0"/>
    <w:rsid w:val="00142001"/>
    <w:rsid w:val="001422DC"/>
    <w:rsid w:val="00142749"/>
    <w:rsid w:val="0014315B"/>
    <w:rsid w:val="00143434"/>
    <w:rsid w:val="001447DA"/>
    <w:rsid w:val="0014579F"/>
    <w:rsid w:val="00145DA5"/>
    <w:rsid w:val="00145E92"/>
    <w:rsid w:val="001460D1"/>
    <w:rsid w:val="001473DC"/>
    <w:rsid w:val="001476A5"/>
    <w:rsid w:val="00150992"/>
    <w:rsid w:val="00150AD0"/>
    <w:rsid w:val="00150B9D"/>
    <w:rsid w:val="0015132A"/>
    <w:rsid w:val="00152FE6"/>
    <w:rsid w:val="00154367"/>
    <w:rsid w:val="001553BD"/>
    <w:rsid w:val="00155B21"/>
    <w:rsid w:val="00155BD9"/>
    <w:rsid w:val="001567D6"/>
    <w:rsid w:val="00161223"/>
    <w:rsid w:val="001614BA"/>
    <w:rsid w:val="00161CAC"/>
    <w:rsid w:val="00162259"/>
    <w:rsid w:val="00162555"/>
    <w:rsid w:val="00162A37"/>
    <w:rsid w:val="00164B59"/>
    <w:rsid w:val="00165A80"/>
    <w:rsid w:val="00165CAB"/>
    <w:rsid w:val="00170589"/>
    <w:rsid w:val="00173F07"/>
    <w:rsid w:val="001772A1"/>
    <w:rsid w:val="00180897"/>
    <w:rsid w:val="00181953"/>
    <w:rsid w:val="00181E09"/>
    <w:rsid w:val="00181F00"/>
    <w:rsid w:val="001831C7"/>
    <w:rsid w:val="00183668"/>
    <w:rsid w:val="00183B98"/>
    <w:rsid w:val="00183FF3"/>
    <w:rsid w:val="00184C34"/>
    <w:rsid w:val="00185DA3"/>
    <w:rsid w:val="00186BC3"/>
    <w:rsid w:val="001873F3"/>
    <w:rsid w:val="00193062"/>
    <w:rsid w:val="00194435"/>
    <w:rsid w:val="0019677B"/>
    <w:rsid w:val="00196A72"/>
    <w:rsid w:val="00196BE4"/>
    <w:rsid w:val="001976FF"/>
    <w:rsid w:val="001A072A"/>
    <w:rsid w:val="001A074E"/>
    <w:rsid w:val="001A2735"/>
    <w:rsid w:val="001A2813"/>
    <w:rsid w:val="001A4C3D"/>
    <w:rsid w:val="001A52E1"/>
    <w:rsid w:val="001A5976"/>
    <w:rsid w:val="001A751F"/>
    <w:rsid w:val="001B3E13"/>
    <w:rsid w:val="001B7AC0"/>
    <w:rsid w:val="001C04F9"/>
    <w:rsid w:val="001C2147"/>
    <w:rsid w:val="001C4566"/>
    <w:rsid w:val="001C4A44"/>
    <w:rsid w:val="001D0219"/>
    <w:rsid w:val="001D1BCA"/>
    <w:rsid w:val="001D293B"/>
    <w:rsid w:val="001D2C0C"/>
    <w:rsid w:val="001D4DD2"/>
    <w:rsid w:val="001D5ABA"/>
    <w:rsid w:val="001D5BE8"/>
    <w:rsid w:val="001D6C35"/>
    <w:rsid w:val="001D704D"/>
    <w:rsid w:val="001D70B6"/>
    <w:rsid w:val="001D7632"/>
    <w:rsid w:val="001E01E0"/>
    <w:rsid w:val="001E0B9D"/>
    <w:rsid w:val="001E2A67"/>
    <w:rsid w:val="001E33A9"/>
    <w:rsid w:val="001E3688"/>
    <w:rsid w:val="001E4C4F"/>
    <w:rsid w:val="001E4E51"/>
    <w:rsid w:val="001E53BB"/>
    <w:rsid w:val="001E5798"/>
    <w:rsid w:val="001E638E"/>
    <w:rsid w:val="001F18B4"/>
    <w:rsid w:val="001F2334"/>
    <w:rsid w:val="001F5895"/>
    <w:rsid w:val="001F6024"/>
    <w:rsid w:val="001F6A37"/>
    <w:rsid w:val="001F6D21"/>
    <w:rsid w:val="001F7635"/>
    <w:rsid w:val="001F7A55"/>
    <w:rsid w:val="001F7C96"/>
    <w:rsid w:val="001F7F96"/>
    <w:rsid w:val="002017D0"/>
    <w:rsid w:val="00202B33"/>
    <w:rsid w:val="0020461B"/>
    <w:rsid w:val="00205EA5"/>
    <w:rsid w:val="00206394"/>
    <w:rsid w:val="002079F5"/>
    <w:rsid w:val="00210FBF"/>
    <w:rsid w:val="00211C5B"/>
    <w:rsid w:val="00212223"/>
    <w:rsid w:val="00212D20"/>
    <w:rsid w:val="00213327"/>
    <w:rsid w:val="00213340"/>
    <w:rsid w:val="00213D78"/>
    <w:rsid w:val="00216D92"/>
    <w:rsid w:val="00217C5B"/>
    <w:rsid w:val="00220A6E"/>
    <w:rsid w:val="00223360"/>
    <w:rsid w:val="00224191"/>
    <w:rsid w:val="00226A4B"/>
    <w:rsid w:val="00226FFF"/>
    <w:rsid w:val="0022745F"/>
    <w:rsid w:val="002304B7"/>
    <w:rsid w:val="00230666"/>
    <w:rsid w:val="00230FC4"/>
    <w:rsid w:val="0023252B"/>
    <w:rsid w:val="0023290F"/>
    <w:rsid w:val="00233829"/>
    <w:rsid w:val="00235AFC"/>
    <w:rsid w:val="00236A7B"/>
    <w:rsid w:val="0024038C"/>
    <w:rsid w:val="002403F5"/>
    <w:rsid w:val="00241BAF"/>
    <w:rsid w:val="00245DC5"/>
    <w:rsid w:val="00247A46"/>
    <w:rsid w:val="00251800"/>
    <w:rsid w:val="00251F5E"/>
    <w:rsid w:val="00252363"/>
    <w:rsid w:val="00252BA3"/>
    <w:rsid w:val="00252D3C"/>
    <w:rsid w:val="00254945"/>
    <w:rsid w:val="00255AB6"/>
    <w:rsid w:val="00257948"/>
    <w:rsid w:val="00257F40"/>
    <w:rsid w:val="002605D5"/>
    <w:rsid w:val="00260727"/>
    <w:rsid w:val="00261ABF"/>
    <w:rsid w:val="0026202D"/>
    <w:rsid w:val="002632FF"/>
    <w:rsid w:val="00263A80"/>
    <w:rsid w:val="00264173"/>
    <w:rsid w:val="00264ACA"/>
    <w:rsid w:val="00265D02"/>
    <w:rsid w:val="002666FE"/>
    <w:rsid w:val="002672B1"/>
    <w:rsid w:val="002672E0"/>
    <w:rsid w:val="0027110F"/>
    <w:rsid w:val="00272BAC"/>
    <w:rsid w:val="00273288"/>
    <w:rsid w:val="00275C6C"/>
    <w:rsid w:val="002827BE"/>
    <w:rsid w:val="002833D3"/>
    <w:rsid w:val="00283495"/>
    <w:rsid w:val="002835B1"/>
    <w:rsid w:val="002837A4"/>
    <w:rsid w:val="00286795"/>
    <w:rsid w:val="0029165D"/>
    <w:rsid w:val="00292DD3"/>
    <w:rsid w:val="00293B3A"/>
    <w:rsid w:val="00294BB3"/>
    <w:rsid w:val="0029567F"/>
    <w:rsid w:val="00295E43"/>
    <w:rsid w:val="00295E5D"/>
    <w:rsid w:val="002965B5"/>
    <w:rsid w:val="002969AA"/>
    <w:rsid w:val="00297E5A"/>
    <w:rsid w:val="002A3655"/>
    <w:rsid w:val="002A38AE"/>
    <w:rsid w:val="002A59F0"/>
    <w:rsid w:val="002A5CDC"/>
    <w:rsid w:val="002A7F60"/>
    <w:rsid w:val="002B00C3"/>
    <w:rsid w:val="002B3877"/>
    <w:rsid w:val="002B4595"/>
    <w:rsid w:val="002B5B3B"/>
    <w:rsid w:val="002B704E"/>
    <w:rsid w:val="002B725C"/>
    <w:rsid w:val="002B74D7"/>
    <w:rsid w:val="002B78E0"/>
    <w:rsid w:val="002B79D3"/>
    <w:rsid w:val="002B7B4B"/>
    <w:rsid w:val="002B7D89"/>
    <w:rsid w:val="002C050A"/>
    <w:rsid w:val="002C064A"/>
    <w:rsid w:val="002C26A4"/>
    <w:rsid w:val="002C39C9"/>
    <w:rsid w:val="002C401D"/>
    <w:rsid w:val="002C403E"/>
    <w:rsid w:val="002C4CAB"/>
    <w:rsid w:val="002C50AD"/>
    <w:rsid w:val="002C5E26"/>
    <w:rsid w:val="002C61CE"/>
    <w:rsid w:val="002C6535"/>
    <w:rsid w:val="002C6B58"/>
    <w:rsid w:val="002C7BBA"/>
    <w:rsid w:val="002D008B"/>
    <w:rsid w:val="002D00A7"/>
    <w:rsid w:val="002D3551"/>
    <w:rsid w:val="002D3667"/>
    <w:rsid w:val="002D4010"/>
    <w:rsid w:val="002D4CA9"/>
    <w:rsid w:val="002D7099"/>
    <w:rsid w:val="002E12B1"/>
    <w:rsid w:val="002E489D"/>
    <w:rsid w:val="002E48CE"/>
    <w:rsid w:val="002E4ADF"/>
    <w:rsid w:val="002E6F74"/>
    <w:rsid w:val="002E6F7E"/>
    <w:rsid w:val="002E7EA7"/>
    <w:rsid w:val="002F1455"/>
    <w:rsid w:val="002F312A"/>
    <w:rsid w:val="002F6EB9"/>
    <w:rsid w:val="002F7060"/>
    <w:rsid w:val="00300A2F"/>
    <w:rsid w:val="00302A98"/>
    <w:rsid w:val="00303EBD"/>
    <w:rsid w:val="00303FE1"/>
    <w:rsid w:val="00304EB0"/>
    <w:rsid w:val="00305E9F"/>
    <w:rsid w:val="003063F7"/>
    <w:rsid w:val="00306550"/>
    <w:rsid w:val="00306AF1"/>
    <w:rsid w:val="00306B87"/>
    <w:rsid w:val="0031053B"/>
    <w:rsid w:val="00315095"/>
    <w:rsid w:val="00315695"/>
    <w:rsid w:val="00315736"/>
    <w:rsid w:val="00316CA4"/>
    <w:rsid w:val="00317612"/>
    <w:rsid w:val="00317AE9"/>
    <w:rsid w:val="00320FDF"/>
    <w:rsid w:val="003217BF"/>
    <w:rsid w:val="0032183F"/>
    <w:rsid w:val="003226E1"/>
    <w:rsid w:val="00324421"/>
    <w:rsid w:val="0032570D"/>
    <w:rsid w:val="00326595"/>
    <w:rsid w:val="00333002"/>
    <w:rsid w:val="003330AD"/>
    <w:rsid w:val="00334275"/>
    <w:rsid w:val="003364B4"/>
    <w:rsid w:val="00337A4F"/>
    <w:rsid w:val="003403CA"/>
    <w:rsid w:val="0034188A"/>
    <w:rsid w:val="003419B8"/>
    <w:rsid w:val="003431B7"/>
    <w:rsid w:val="003433DB"/>
    <w:rsid w:val="00343BBC"/>
    <w:rsid w:val="00344E27"/>
    <w:rsid w:val="00345657"/>
    <w:rsid w:val="0034621D"/>
    <w:rsid w:val="003463B7"/>
    <w:rsid w:val="00347C50"/>
    <w:rsid w:val="003510FE"/>
    <w:rsid w:val="0035183D"/>
    <w:rsid w:val="0035378F"/>
    <w:rsid w:val="00355E9C"/>
    <w:rsid w:val="00356004"/>
    <w:rsid w:val="00356CC6"/>
    <w:rsid w:val="0036004F"/>
    <w:rsid w:val="00361FF8"/>
    <w:rsid w:val="00362013"/>
    <w:rsid w:val="0036617D"/>
    <w:rsid w:val="00366ACD"/>
    <w:rsid w:val="0036757B"/>
    <w:rsid w:val="00370198"/>
    <w:rsid w:val="003716AC"/>
    <w:rsid w:val="003730D5"/>
    <w:rsid w:val="0037376C"/>
    <w:rsid w:val="0037648A"/>
    <w:rsid w:val="0037754D"/>
    <w:rsid w:val="00377D45"/>
    <w:rsid w:val="00377E92"/>
    <w:rsid w:val="00377EFE"/>
    <w:rsid w:val="00380447"/>
    <w:rsid w:val="003813EE"/>
    <w:rsid w:val="00382825"/>
    <w:rsid w:val="00382D4D"/>
    <w:rsid w:val="003843CC"/>
    <w:rsid w:val="00384C56"/>
    <w:rsid w:val="00386FDB"/>
    <w:rsid w:val="00387C79"/>
    <w:rsid w:val="00390FDD"/>
    <w:rsid w:val="0039342D"/>
    <w:rsid w:val="00394C73"/>
    <w:rsid w:val="00394D2D"/>
    <w:rsid w:val="00395B25"/>
    <w:rsid w:val="003971C3"/>
    <w:rsid w:val="00397371"/>
    <w:rsid w:val="003A0382"/>
    <w:rsid w:val="003A11CD"/>
    <w:rsid w:val="003A1897"/>
    <w:rsid w:val="003A1F81"/>
    <w:rsid w:val="003A2494"/>
    <w:rsid w:val="003A2768"/>
    <w:rsid w:val="003A2C08"/>
    <w:rsid w:val="003A3D09"/>
    <w:rsid w:val="003A4164"/>
    <w:rsid w:val="003A43B2"/>
    <w:rsid w:val="003A4419"/>
    <w:rsid w:val="003A5145"/>
    <w:rsid w:val="003A5247"/>
    <w:rsid w:val="003A5BDF"/>
    <w:rsid w:val="003A5D62"/>
    <w:rsid w:val="003A7300"/>
    <w:rsid w:val="003A75D3"/>
    <w:rsid w:val="003B3415"/>
    <w:rsid w:val="003B35AC"/>
    <w:rsid w:val="003B4105"/>
    <w:rsid w:val="003B4BF9"/>
    <w:rsid w:val="003B4DEE"/>
    <w:rsid w:val="003B6C5E"/>
    <w:rsid w:val="003B6E0A"/>
    <w:rsid w:val="003B6FF4"/>
    <w:rsid w:val="003B77AB"/>
    <w:rsid w:val="003C0B03"/>
    <w:rsid w:val="003C38BA"/>
    <w:rsid w:val="003C395B"/>
    <w:rsid w:val="003C3F20"/>
    <w:rsid w:val="003C4903"/>
    <w:rsid w:val="003C49A0"/>
    <w:rsid w:val="003C6D84"/>
    <w:rsid w:val="003C6DA0"/>
    <w:rsid w:val="003C7402"/>
    <w:rsid w:val="003D0DEA"/>
    <w:rsid w:val="003D187E"/>
    <w:rsid w:val="003D2F63"/>
    <w:rsid w:val="003D5AE9"/>
    <w:rsid w:val="003D5B27"/>
    <w:rsid w:val="003E0BAB"/>
    <w:rsid w:val="003E2392"/>
    <w:rsid w:val="003E2C28"/>
    <w:rsid w:val="003E2E76"/>
    <w:rsid w:val="003E2F3C"/>
    <w:rsid w:val="003E3DC9"/>
    <w:rsid w:val="003E4D50"/>
    <w:rsid w:val="003E5B25"/>
    <w:rsid w:val="003E5C1D"/>
    <w:rsid w:val="003E7866"/>
    <w:rsid w:val="003F2BE0"/>
    <w:rsid w:val="003F5524"/>
    <w:rsid w:val="003F7CA6"/>
    <w:rsid w:val="0040032E"/>
    <w:rsid w:val="004005E4"/>
    <w:rsid w:val="00400689"/>
    <w:rsid w:val="00401596"/>
    <w:rsid w:val="004026A3"/>
    <w:rsid w:val="00402C4A"/>
    <w:rsid w:val="0040393B"/>
    <w:rsid w:val="0040406D"/>
    <w:rsid w:val="00405006"/>
    <w:rsid w:val="0040566E"/>
    <w:rsid w:val="00407AD9"/>
    <w:rsid w:val="00410B53"/>
    <w:rsid w:val="00411A0E"/>
    <w:rsid w:val="00411F44"/>
    <w:rsid w:val="00412BB0"/>
    <w:rsid w:val="0041351C"/>
    <w:rsid w:val="00413739"/>
    <w:rsid w:val="004147E1"/>
    <w:rsid w:val="00414FBA"/>
    <w:rsid w:val="004163E1"/>
    <w:rsid w:val="004206C5"/>
    <w:rsid w:val="004222DF"/>
    <w:rsid w:val="00422AB8"/>
    <w:rsid w:val="00423DF7"/>
    <w:rsid w:val="00423DFB"/>
    <w:rsid w:val="00424173"/>
    <w:rsid w:val="0042567F"/>
    <w:rsid w:val="00427CCD"/>
    <w:rsid w:val="00430054"/>
    <w:rsid w:val="004302AD"/>
    <w:rsid w:val="00431344"/>
    <w:rsid w:val="004313EE"/>
    <w:rsid w:val="00432009"/>
    <w:rsid w:val="00432214"/>
    <w:rsid w:val="004332B4"/>
    <w:rsid w:val="0043435B"/>
    <w:rsid w:val="004347E7"/>
    <w:rsid w:val="00435B8E"/>
    <w:rsid w:val="00435D9B"/>
    <w:rsid w:val="00435E47"/>
    <w:rsid w:val="0043683D"/>
    <w:rsid w:val="004374A5"/>
    <w:rsid w:val="00440F86"/>
    <w:rsid w:val="00441734"/>
    <w:rsid w:val="00442EB0"/>
    <w:rsid w:val="004466A2"/>
    <w:rsid w:val="00446C9A"/>
    <w:rsid w:val="00446CDD"/>
    <w:rsid w:val="0045014B"/>
    <w:rsid w:val="00450862"/>
    <w:rsid w:val="00451BD4"/>
    <w:rsid w:val="0045228B"/>
    <w:rsid w:val="00452416"/>
    <w:rsid w:val="00452567"/>
    <w:rsid w:val="004529F3"/>
    <w:rsid w:val="004563D9"/>
    <w:rsid w:val="0045660C"/>
    <w:rsid w:val="00456895"/>
    <w:rsid w:val="0045739B"/>
    <w:rsid w:val="00457DFF"/>
    <w:rsid w:val="00460331"/>
    <w:rsid w:val="00461931"/>
    <w:rsid w:val="004640CD"/>
    <w:rsid w:val="00464F0C"/>
    <w:rsid w:val="00465D30"/>
    <w:rsid w:val="0046739A"/>
    <w:rsid w:val="004673BE"/>
    <w:rsid w:val="004674CE"/>
    <w:rsid w:val="004708BA"/>
    <w:rsid w:val="004719DA"/>
    <w:rsid w:val="004737E7"/>
    <w:rsid w:val="00473913"/>
    <w:rsid w:val="00474842"/>
    <w:rsid w:val="00477A02"/>
    <w:rsid w:val="004819A0"/>
    <w:rsid w:val="00481DA8"/>
    <w:rsid w:val="00481EEE"/>
    <w:rsid w:val="0048262E"/>
    <w:rsid w:val="00482CBF"/>
    <w:rsid w:val="004843B1"/>
    <w:rsid w:val="00484F57"/>
    <w:rsid w:val="0048636A"/>
    <w:rsid w:val="00486624"/>
    <w:rsid w:val="00486A4B"/>
    <w:rsid w:val="00487E50"/>
    <w:rsid w:val="00490938"/>
    <w:rsid w:val="00492AB0"/>
    <w:rsid w:val="00493A88"/>
    <w:rsid w:val="00494299"/>
    <w:rsid w:val="00494922"/>
    <w:rsid w:val="0049560D"/>
    <w:rsid w:val="00495A9C"/>
    <w:rsid w:val="00496401"/>
    <w:rsid w:val="00496809"/>
    <w:rsid w:val="004A080F"/>
    <w:rsid w:val="004A1CDB"/>
    <w:rsid w:val="004A2216"/>
    <w:rsid w:val="004A3BC4"/>
    <w:rsid w:val="004A3D7F"/>
    <w:rsid w:val="004A4C1F"/>
    <w:rsid w:val="004A5126"/>
    <w:rsid w:val="004A61BD"/>
    <w:rsid w:val="004B029A"/>
    <w:rsid w:val="004B0AC9"/>
    <w:rsid w:val="004B5014"/>
    <w:rsid w:val="004B519A"/>
    <w:rsid w:val="004B5854"/>
    <w:rsid w:val="004B6412"/>
    <w:rsid w:val="004B64A9"/>
    <w:rsid w:val="004B690E"/>
    <w:rsid w:val="004B6F6F"/>
    <w:rsid w:val="004C13C1"/>
    <w:rsid w:val="004C513D"/>
    <w:rsid w:val="004C56F5"/>
    <w:rsid w:val="004C5AEC"/>
    <w:rsid w:val="004C6401"/>
    <w:rsid w:val="004C7EA5"/>
    <w:rsid w:val="004D05F5"/>
    <w:rsid w:val="004D24AF"/>
    <w:rsid w:val="004D25CF"/>
    <w:rsid w:val="004D2B26"/>
    <w:rsid w:val="004D2DEF"/>
    <w:rsid w:val="004D3135"/>
    <w:rsid w:val="004D396D"/>
    <w:rsid w:val="004D570C"/>
    <w:rsid w:val="004D77A1"/>
    <w:rsid w:val="004D7DCC"/>
    <w:rsid w:val="004E1CD4"/>
    <w:rsid w:val="004E2A09"/>
    <w:rsid w:val="004E2BD7"/>
    <w:rsid w:val="004E2BDE"/>
    <w:rsid w:val="004E2F1C"/>
    <w:rsid w:val="004E3049"/>
    <w:rsid w:val="004E3DAD"/>
    <w:rsid w:val="004E4524"/>
    <w:rsid w:val="004E4AC0"/>
    <w:rsid w:val="004E56CC"/>
    <w:rsid w:val="004E5F41"/>
    <w:rsid w:val="004E602E"/>
    <w:rsid w:val="004E796B"/>
    <w:rsid w:val="004F141B"/>
    <w:rsid w:val="004F272F"/>
    <w:rsid w:val="004F3979"/>
    <w:rsid w:val="004F3C4C"/>
    <w:rsid w:val="004F3F4C"/>
    <w:rsid w:val="004F5B2E"/>
    <w:rsid w:val="004F63FD"/>
    <w:rsid w:val="00500516"/>
    <w:rsid w:val="0050422B"/>
    <w:rsid w:val="00504264"/>
    <w:rsid w:val="00504961"/>
    <w:rsid w:val="005068F8"/>
    <w:rsid w:val="00510607"/>
    <w:rsid w:val="00512055"/>
    <w:rsid w:val="005120C0"/>
    <w:rsid w:val="005122A1"/>
    <w:rsid w:val="00513D28"/>
    <w:rsid w:val="00514536"/>
    <w:rsid w:val="005145DF"/>
    <w:rsid w:val="00516B98"/>
    <w:rsid w:val="005202DE"/>
    <w:rsid w:val="0052150B"/>
    <w:rsid w:val="00522AAE"/>
    <w:rsid w:val="00524069"/>
    <w:rsid w:val="00524A4A"/>
    <w:rsid w:val="00525083"/>
    <w:rsid w:val="005252FC"/>
    <w:rsid w:val="00526D2B"/>
    <w:rsid w:val="00530062"/>
    <w:rsid w:val="0053012B"/>
    <w:rsid w:val="00530B90"/>
    <w:rsid w:val="005311DD"/>
    <w:rsid w:val="005321A4"/>
    <w:rsid w:val="00533360"/>
    <w:rsid w:val="00533743"/>
    <w:rsid w:val="00536CEF"/>
    <w:rsid w:val="00536F60"/>
    <w:rsid w:val="00537B4E"/>
    <w:rsid w:val="00537CF4"/>
    <w:rsid w:val="005408B1"/>
    <w:rsid w:val="005421A7"/>
    <w:rsid w:val="005429B8"/>
    <w:rsid w:val="005432F0"/>
    <w:rsid w:val="00544D5B"/>
    <w:rsid w:val="00545B64"/>
    <w:rsid w:val="00547C2A"/>
    <w:rsid w:val="00550C15"/>
    <w:rsid w:val="005513FB"/>
    <w:rsid w:val="005521A8"/>
    <w:rsid w:val="005528F3"/>
    <w:rsid w:val="00552E26"/>
    <w:rsid w:val="00560543"/>
    <w:rsid w:val="0056159F"/>
    <w:rsid w:val="005637C0"/>
    <w:rsid w:val="0056473B"/>
    <w:rsid w:val="00564D9D"/>
    <w:rsid w:val="00565156"/>
    <w:rsid w:val="005651CC"/>
    <w:rsid w:val="005652C2"/>
    <w:rsid w:val="00565856"/>
    <w:rsid w:val="005665B2"/>
    <w:rsid w:val="00566948"/>
    <w:rsid w:val="00570868"/>
    <w:rsid w:val="00570B9C"/>
    <w:rsid w:val="00571354"/>
    <w:rsid w:val="00571878"/>
    <w:rsid w:val="00571C98"/>
    <w:rsid w:val="00571E4E"/>
    <w:rsid w:val="00573921"/>
    <w:rsid w:val="00575C84"/>
    <w:rsid w:val="00576552"/>
    <w:rsid w:val="00576B92"/>
    <w:rsid w:val="00581788"/>
    <w:rsid w:val="00581D49"/>
    <w:rsid w:val="00582E5F"/>
    <w:rsid w:val="00583B4E"/>
    <w:rsid w:val="00583FE9"/>
    <w:rsid w:val="005840B8"/>
    <w:rsid w:val="0058540C"/>
    <w:rsid w:val="00585C86"/>
    <w:rsid w:val="00586A4A"/>
    <w:rsid w:val="00586E87"/>
    <w:rsid w:val="005876A2"/>
    <w:rsid w:val="00587A83"/>
    <w:rsid w:val="00587AC1"/>
    <w:rsid w:val="005924DC"/>
    <w:rsid w:val="00592B4D"/>
    <w:rsid w:val="00593B47"/>
    <w:rsid w:val="00593DAD"/>
    <w:rsid w:val="00594DC6"/>
    <w:rsid w:val="00595270"/>
    <w:rsid w:val="005953D1"/>
    <w:rsid w:val="00596937"/>
    <w:rsid w:val="00596CB7"/>
    <w:rsid w:val="005A005D"/>
    <w:rsid w:val="005A0E11"/>
    <w:rsid w:val="005A1013"/>
    <w:rsid w:val="005A362B"/>
    <w:rsid w:val="005A4084"/>
    <w:rsid w:val="005A4943"/>
    <w:rsid w:val="005A4B36"/>
    <w:rsid w:val="005A537C"/>
    <w:rsid w:val="005A5BB5"/>
    <w:rsid w:val="005A5EAE"/>
    <w:rsid w:val="005B16FF"/>
    <w:rsid w:val="005B1741"/>
    <w:rsid w:val="005B1A3C"/>
    <w:rsid w:val="005B3F4C"/>
    <w:rsid w:val="005B4BA1"/>
    <w:rsid w:val="005B5783"/>
    <w:rsid w:val="005B5D3C"/>
    <w:rsid w:val="005B6935"/>
    <w:rsid w:val="005B6C32"/>
    <w:rsid w:val="005B7AC2"/>
    <w:rsid w:val="005B7E4F"/>
    <w:rsid w:val="005C10C7"/>
    <w:rsid w:val="005C1737"/>
    <w:rsid w:val="005C1A4D"/>
    <w:rsid w:val="005C2D17"/>
    <w:rsid w:val="005C50A7"/>
    <w:rsid w:val="005C54F2"/>
    <w:rsid w:val="005C7CB7"/>
    <w:rsid w:val="005C7E76"/>
    <w:rsid w:val="005D0E61"/>
    <w:rsid w:val="005D2932"/>
    <w:rsid w:val="005D33E2"/>
    <w:rsid w:val="005D3821"/>
    <w:rsid w:val="005D4160"/>
    <w:rsid w:val="005D4682"/>
    <w:rsid w:val="005D49FF"/>
    <w:rsid w:val="005D5868"/>
    <w:rsid w:val="005D6152"/>
    <w:rsid w:val="005D683B"/>
    <w:rsid w:val="005D72CD"/>
    <w:rsid w:val="005E2637"/>
    <w:rsid w:val="005E2B75"/>
    <w:rsid w:val="005E33EF"/>
    <w:rsid w:val="005E36B0"/>
    <w:rsid w:val="005E4F67"/>
    <w:rsid w:val="005E56AD"/>
    <w:rsid w:val="005E678C"/>
    <w:rsid w:val="005F0CF5"/>
    <w:rsid w:val="005F0FF5"/>
    <w:rsid w:val="005F2365"/>
    <w:rsid w:val="005F238C"/>
    <w:rsid w:val="005F355D"/>
    <w:rsid w:val="005F632A"/>
    <w:rsid w:val="005F7424"/>
    <w:rsid w:val="006009B5"/>
    <w:rsid w:val="00600DED"/>
    <w:rsid w:val="006022A4"/>
    <w:rsid w:val="00603098"/>
    <w:rsid w:val="00603531"/>
    <w:rsid w:val="006039F1"/>
    <w:rsid w:val="0060560A"/>
    <w:rsid w:val="00606BC6"/>
    <w:rsid w:val="00606DEF"/>
    <w:rsid w:val="0061097E"/>
    <w:rsid w:val="006113E3"/>
    <w:rsid w:val="00615BB3"/>
    <w:rsid w:val="00615E17"/>
    <w:rsid w:val="006174CC"/>
    <w:rsid w:val="00617636"/>
    <w:rsid w:val="00620808"/>
    <w:rsid w:val="006228E5"/>
    <w:rsid w:val="00623238"/>
    <w:rsid w:val="00623BD7"/>
    <w:rsid w:val="00624ED2"/>
    <w:rsid w:val="00626A5A"/>
    <w:rsid w:val="00627ED1"/>
    <w:rsid w:val="00630C99"/>
    <w:rsid w:val="00631541"/>
    <w:rsid w:val="006316C9"/>
    <w:rsid w:val="00633168"/>
    <w:rsid w:val="00633E5A"/>
    <w:rsid w:val="006350B6"/>
    <w:rsid w:val="0063557D"/>
    <w:rsid w:val="00636469"/>
    <w:rsid w:val="0064100D"/>
    <w:rsid w:val="0064181F"/>
    <w:rsid w:val="00644A2F"/>
    <w:rsid w:val="00644CEB"/>
    <w:rsid w:val="00647082"/>
    <w:rsid w:val="00647918"/>
    <w:rsid w:val="00647CFD"/>
    <w:rsid w:val="0065192B"/>
    <w:rsid w:val="00651A9F"/>
    <w:rsid w:val="00651BB1"/>
    <w:rsid w:val="00652702"/>
    <w:rsid w:val="00652928"/>
    <w:rsid w:val="00652F11"/>
    <w:rsid w:val="006533D1"/>
    <w:rsid w:val="00653F87"/>
    <w:rsid w:val="00655217"/>
    <w:rsid w:val="0065659D"/>
    <w:rsid w:val="00656B8A"/>
    <w:rsid w:val="00656D45"/>
    <w:rsid w:val="006607E5"/>
    <w:rsid w:val="006621A1"/>
    <w:rsid w:val="0066261B"/>
    <w:rsid w:val="00662FEF"/>
    <w:rsid w:val="006630D7"/>
    <w:rsid w:val="006643CA"/>
    <w:rsid w:val="00664A6F"/>
    <w:rsid w:val="00664B82"/>
    <w:rsid w:val="006661E9"/>
    <w:rsid w:val="00666730"/>
    <w:rsid w:val="00667377"/>
    <w:rsid w:val="006704CE"/>
    <w:rsid w:val="00671911"/>
    <w:rsid w:val="00672766"/>
    <w:rsid w:val="00674BB7"/>
    <w:rsid w:val="00676000"/>
    <w:rsid w:val="006762AF"/>
    <w:rsid w:val="00676794"/>
    <w:rsid w:val="00676CD9"/>
    <w:rsid w:val="00677700"/>
    <w:rsid w:val="0067775F"/>
    <w:rsid w:val="00677EFE"/>
    <w:rsid w:val="00680238"/>
    <w:rsid w:val="00680FD2"/>
    <w:rsid w:val="00681D73"/>
    <w:rsid w:val="00684515"/>
    <w:rsid w:val="00684AB6"/>
    <w:rsid w:val="00686065"/>
    <w:rsid w:val="006864A6"/>
    <w:rsid w:val="00686AF5"/>
    <w:rsid w:val="00690C44"/>
    <w:rsid w:val="0069133B"/>
    <w:rsid w:val="006916A3"/>
    <w:rsid w:val="00692128"/>
    <w:rsid w:val="0069261C"/>
    <w:rsid w:val="006A0772"/>
    <w:rsid w:val="006A1403"/>
    <w:rsid w:val="006A1E35"/>
    <w:rsid w:val="006A26D3"/>
    <w:rsid w:val="006A2739"/>
    <w:rsid w:val="006A2909"/>
    <w:rsid w:val="006A3EEB"/>
    <w:rsid w:val="006A4983"/>
    <w:rsid w:val="006A5E94"/>
    <w:rsid w:val="006A6E34"/>
    <w:rsid w:val="006A72AE"/>
    <w:rsid w:val="006A7953"/>
    <w:rsid w:val="006B2474"/>
    <w:rsid w:val="006B52A1"/>
    <w:rsid w:val="006B5C0C"/>
    <w:rsid w:val="006B7803"/>
    <w:rsid w:val="006C01CC"/>
    <w:rsid w:val="006C19FB"/>
    <w:rsid w:val="006C2AAA"/>
    <w:rsid w:val="006C33B2"/>
    <w:rsid w:val="006C4DAF"/>
    <w:rsid w:val="006C4E17"/>
    <w:rsid w:val="006C5814"/>
    <w:rsid w:val="006C67D7"/>
    <w:rsid w:val="006C6E87"/>
    <w:rsid w:val="006D16C7"/>
    <w:rsid w:val="006D3C07"/>
    <w:rsid w:val="006D40C6"/>
    <w:rsid w:val="006D4103"/>
    <w:rsid w:val="006D430C"/>
    <w:rsid w:val="006D4B17"/>
    <w:rsid w:val="006D629A"/>
    <w:rsid w:val="006D6703"/>
    <w:rsid w:val="006D6A1F"/>
    <w:rsid w:val="006D6BD8"/>
    <w:rsid w:val="006D6CB9"/>
    <w:rsid w:val="006E07DD"/>
    <w:rsid w:val="006E1847"/>
    <w:rsid w:val="006E1B87"/>
    <w:rsid w:val="006E29DB"/>
    <w:rsid w:val="006E315F"/>
    <w:rsid w:val="006E39DC"/>
    <w:rsid w:val="006E3D37"/>
    <w:rsid w:val="006E59BB"/>
    <w:rsid w:val="006E6168"/>
    <w:rsid w:val="006F19DF"/>
    <w:rsid w:val="006F1D38"/>
    <w:rsid w:val="006F5521"/>
    <w:rsid w:val="006F5666"/>
    <w:rsid w:val="006F62E8"/>
    <w:rsid w:val="006F641B"/>
    <w:rsid w:val="006F6DC8"/>
    <w:rsid w:val="006F77D5"/>
    <w:rsid w:val="006F7A12"/>
    <w:rsid w:val="006F7AF2"/>
    <w:rsid w:val="0070059A"/>
    <w:rsid w:val="00700F6B"/>
    <w:rsid w:val="007012A0"/>
    <w:rsid w:val="00701716"/>
    <w:rsid w:val="00701F3B"/>
    <w:rsid w:val="00702750"/>
    <w:rsid w:val="007041D2"/>
    <w:rsid w:val="007043AF"/>
    <w:rsid w:val="007045CD"/>
    <w:rsid w:val="00705010"/>
    <w:rsid w:val="00705FE4"/>
    <w:rsid w:val="007062DD"/>
    <w:rsid w:val="00707213"/>
    <w:rsid w:val="00707BD5"/>
    <w:rsid w:val="0071031C"/>
    <w:rsid w:val="00711014"/>
    <w:rsid w:val="0071391E"/>
    <w:rsid w:val="00713EFB"/>
    <w:rsid w:val="00714D5A"/>
    <w:rsid w:val="00716FDE"/>
    <w:rsid w:val="00722F45"/>
    <w:rsid w:val="007239EB"/>
    <w:rsid w:val="00723BD1"/>
    <w:rsid w:val="007279E1"/>
    <w:rsid w:val="00731DD5"/>
    <w:rsid w:val="00732891"/>
    <w:rsid w:val="00732CC3"/>
    <w:rsid w:val="007350B5"/>
    <w:rsid w:val="00736578"/>
    <w:rsid w:val="00736855"/>
    <w:rsid w:val="00736E7B"/>
    <w:rsid w:val="007414FE"/>
    <w:rsid w:val="00741CD1"/>
    <w:rsid w:val="00742A90"/>
    <w:rsid w:val="00743B25"/>
    <w:rsid w:val="00743ECC"/>
    <w:rsid w:val="00745773"/>
    <w:rsid w:val="007458FD"/>
    <w:rsid w:val="007463CE"/>
    <w:rsid w:val="007466D7"/>
    <w:rsid w:val="00747DB3"/>
    <w:rsid w:val="00751ECF"/>
    <w:rsid w:val="00752B20"/>
    <w:rsid w:val="00752E0A"/>
    <w:rsid w:val="0075524B"/>
    <w:rsid w:val="00755FDB"/>
    <w:rsid w:val="0075665E"/>
    <w:rsid w:val="0075687F"/>
    <w:rsid w:val="007578E2"/>
    <w:rsid w:val="00760476"/>
    <w:rsid w:val="00760EBB"/>
    <w:rsid w:val="007626BD"/>
    <w:rsid w:val="00762A7C"/>
    <w:rsid w:val="00762CF4"/>
    <w:rsid w:val="00763516"/>
    <w:rsid w:val="007645ED"/>
    <w:rsid w:val="00764AFC"/>
    <w:rsid w:val="0076565E"/>
    <w:rsid w:val="00765995"/>
    <w:rsid w:val="00767C56"/>
    <w:rsid w:val="00767EA0"/>
    <w:rsid w:val="0077067C"/>
    <w:rsid w:val="00770928"/>
    <w:rsid w:val="00771025"/>
    <w:rsid w:val="007715ED"/>
    <w:rsid w:val="00771D70"/>
    <w:rsid w:val="00771F3A"/>
    <w:rsid w:val="00775E15"/>
    <w:rsid w:val="0077738F"/>
    <w:rsid w:val="007773C5"/>
    <w:rsid w:val="007777CB"/>
    <w:rsid w:val="00777859"/>
    <w:rsid w:val="007825E8"/>
    <w:rsid w:val="00783C1E"/>
    <w:rsid w:val="00790ACD"/>
    <w:rsid w:val="007941AF"/>
    <w:rsid w:val="00794868"/>
    <w:rsid w:val="00795027"/>
    <w:rsid w:val="00796691"/>
    <w:rsid w:val="007A19F2"/>
    <w:rsid w:val="007A1A4A"/>
    <w:rsid w:val="007A30F1"/>
    <w:rsid w:val="007A3C7A"/>
    <w:rsid w:val="007A426D"/>
    <w:rsid w:val="007A442E"/>
    <w:rsid w:val="007A453E"/>
    <w:rsid w:val="007A498E"/>
    <w:rsid w:val="007A4AE2"/>
    <w:rsid w:val="007A4C03"/>
    <w:rsid w:val="007A4C40"/>
    <w:rsid w:val="007A604C"/>
    <w:rsid w:val="007A7430"/>
    <w:rsid w:val="007A7C60"/>
    <w:rsid w:val="007B38AE"/>
    <w:rsid w:val="007B4922"/>
    <w:rsid w:val="007B4A56"/>
    <w:rsid w:val="007B5658"/>
    <w:rsid w:val="007B6DAD"/>
    <w:rsid w:val="007B71FA"/>
    <w:rsid w:val="007B7461"/>
    <w:rsid w:val="007B79A0"/>
    <w:rsid w:val="007C0040"/>
    <w:rsid w:val="007C074D"/>
    <w:rsid w:val="007C0948"/>
    <w:rsid w:val="007C0AF9"/>
    <w:rsid w:val="007C2521"/>
    <w:rsid w:val="007C3DF1"/>
    <w:rsid w:val="007C6AD5"/>
    <w:rsid w:val="007C79B5"/>
    <w:rsid w:val="007D2016"/>
    <w:rsid w:val="007D2417"/>
    <w:rsid w:val="007D35A3"/>
    <w:rsid w:val="007D5AF4"/>
    <w:rsid w:val="007E165E"/>
    <w:rsid w:val="007E2DAF"/>
    <w:rsid w:val="007E3B88"/>
    <w:rsid w:val="007E4428"/>
    <w:rsid w:val="007E4431"/>
    <w:rsid w:val="007E4AA1"/>
    <w:rsid w:val="007E534C"/>
    <w:rsid w:val="007E5953"/>
    <w:rsid w:val="007E5A1C"/>
    <w:rsid w:val="007E6C1D"/>
    <w:rsid w:val="007E6C3E"/>
    <w:rsid w:val="007E7056"/>
    <w:rsid w:val="007E7ED2"/>
    <w:rsid w:val="007F0195"/>
    <w:rsid w:val="007F216D"/>
    <w:rsid w:val="007F2DD2"/>
    <w:rsid w:val="007F2FD9"/>
    <w:rsid w:val="007F33BB"/>
    <w:rsid w:val="007F451B"/>
    <w:rsid w:val="007F5525"/>
    <w:rsid w:val="00800D7B"/>
    <w:rsid w:val="008010AD"/>
    <w:rsid w:val="00802849"/>
    <w:rsid w:val="0080324F"/>
    <w:rsid w:val="00803AF7"/>
    <w:rsid w:val="0080549D"/>
    <w:rsid w:val="00805C33"/>
    <w:rsid w:val="008061D4"/>
    <w:rsid w:val="00807A43"/>
    <w:rsid w:val="00807BDE"/>
    <w:rsid w:val="008112CE"/>
    <w:rsid w:val="008117D9"/>
    <w:rsid w:val="00812592"/>
    <w:rsid w:val="00813F46"/>
    <w:rsid w:val="00815844"/>
    <w:rsid w:val="0081716C"/>
    <w:rsid w:val="008177BE"/>
    <w:rsid w:val="00817E7A"/>
    <w:rsid w:val="0082065B"/>
    <w:rsid w:val="00820D81"/>
    <w:rsid w:val="00820EA2"/>
    <w:rsid w:val="00821124"/>
    <w:rsid w:val="008212E4"/>
    <w:rsid w:val="00822D1D"/>
    <w:rsid w:val="00823B03"/>
    <w:rsid w:val="008246E2"/>
    <w:rsid w:val="008264E6"/>
    <w:rsid w:val="00826705"/>
    <w:rsid w:val="008278BA"/>
    <w:rsid w:val="00832A69"/>
    <w:rsid w:val="00832A80"/>
    <w:rsid w:val="00834557"/>
    <w:rsid w:val="00834A08"/>
    <w:rsid w:val="0083532B"/>
    <w:rsid w:val="008355B9"/>
    <w:rsid w:val="008362D8"/>
    <w:rsid w:val="0083739D"/>
    <w:rsid w:val="00837534"/>
    <w:rsid w:val="008404D5"/>
    <w:rsid w:val="00840BCF"/>
    <w:rsid w:val="00840C55"/>
    <w:rsid w:val="00840F0E"/>
    <w:rsid w:val="00841FE8"/>
    <w:rsid w:val="0084245F"/>
    <w:rsid w:val="00842605"/>
    <w:rsid w:val="00842B60"/>
    <w:rsid w:val="008433FD"/>
    <w:rsid w:val="008439C8"/>
    <w:rsid w:val="008440F7"/>
    <w:rsid w:val="00844C83"/>
    <w:rsid w:val="00845E69"/>
    <w:rsid w:val="00846FCB"/>
    <w:rsid w:val="008470D8"/>
    <w:rsid w:val="0085190A"/>
    <w:rsid w:val="00851B81"/>
    <w:rsid w:val="008536CA"/>
    <w:rsid w:val="008571EC"/>
    <w:rsid w:val="00860A8E"/>
    <w:rsid w:val="00862816"/>
    <w:rsid w:val="00862D5E"/>
    <w:rsid w:val="00863463"/>
    <w:rsid w:val="00863C14"/>
    <w:rsid w:val="008652A1"/>
    <w:rsid w:val="00865F5B"/>
    <w:rsid w:val="00866119"/>
    <w:rsid w:val="008673C8"/>
    <w:rsid w:val="00867915"/>
    <w:rsid w:val="0087163F"/>
    <w:rsid w:val="0087211F"/>
    <w:rsid w:val="00872AC5"/>
    <w:rsid w:val="008738F8"/>
    <w:rsid w:val="00873ED3"/>
    <w:rsid w:val="0087443E"/>
    <w:rsid w:val="00874E1C"/>
    <w:rsid w:val="00877510"/>
    <w:rsid w:val="0088237F"/>
    <w:rsid w:val="008828D5"/>
    <w:rsid w:val="008836C1"/>
    <w:rsid w:val="00883C43"/>
    <w:rsid w:val="00883D87"/>
    <w:rsid w:val="008848DC"/>
    <w:rsid w:val="00885555"/>
    <w:rsid w:val="00885A5B"/>
    <w:rsid w:val="00885E00"/>
    <w:rsid w:val="008867F3"/>
    <w:rsid w:val="00887B8C"/>
    <w:rsid w:val="00887F46"/>
    <w:rsid w:val="00887F69"/>
    <w:rsid w:val="008931F8"/>
    <w:rsid w:val="00893AF3"/>
    <w:rsid w:val="0089419E"/>
    <w:rsid w:val="0089462E"/>
    <w:rsid w:val="0089497C"/>
    <w:rsid w:val="00894A97"/>
    <w:rsid w:val="00895346"/>
    <w:rsid w:val="008A0903"/>
    <w:rsid w:val="008A184C"/>
    <w:rsid w:val="008A2D2A"/>
    <w:rsid w:val="008A3E04"/>
    <w:rsid w:val="008A452E"/>
    <w:rsid w:val="008A507F"/>
    <w:rsid w:val="008A55C1"/>
    <w:rsid w:val="008B06ED"/>
    <w:rsid w:val="008B1853"/>
    <w:rsid w:val="008B1A26"/>
    <w:rsid w:val="008B279D"/>
    <w:rsid w:val="008B3339"/>
    <w:rsid w:val="008B5ADC"/>
    <w:rsid w:val="008B647D"/>
    <w:rsid w:val="008B78C1"/>
    <w:rsid w:val="008B7D2B"/>
    <w:rsid w:val="008C1ADD"/>
    <w:rsid w:val="008C2C58"/>
    <w:rsid w:val="008C3150"/>
    <w:rsid w:val="008C31AA"/>
    <w:rsid w:val="008D0F40"/>
    <w:rsid w:val="008D1885"/>
    <w:rsid w:val="008D1FAD"/>
    <w:rsid w:val="008D30B9"/>
    <w:rsid w:val="008D3D90"/>
    <w:rsid w:val="008D63A7"/>
    <w:rsid w:val="008D6447"/>
    <w:rsid w:val="008D68F3"/>
    <w:rsid w:val="008D6C61"/>
    <w:rsid w:val="008D76DF"/>
    <w:rsid w:val="008E007D"/>
    <w:rsid w:val="008E00BB"/>
    <w:rsid w:val="008E0DC2"/>
    <w:rsid w:val="008E173E"/>
    <w:rsid w:val="008E1B75"/>
    <w:rsid w:val="008E1FC1"/>
    <w:rsid w:val="008E2BBE"/>
    <w:rsid w:val="008E2EBF"/>
    <w:rsid w:val="008E3216"/>
    <w:rsid w:val="008E3930"/>
    <w:rsid w:val="008E3CE3"/>
    <w:rsid w:val="008E3D49"/>
    <w:rsid w:val="008E63E5"/>
    <w:rsid w:val="008E640C"/>
    <w:rsid w:val="008E7FF1"/>
    <w:rsid w:val="008F041B"/>
    <w:rsid w:val="008F1472"/>
    <w:rsid w:val="008F233D"/>
    <w:rsid w:val="008F27A1"/>
    <w:rsid w:val="008F2FD0"/>
    <w:rsid w:val="008F46B0"/>
    <w:rsid w:val="008F4BBB"/>
    <w:rsid w:val="008F68C0"/>
    <w:rsid w:val="00901C7A"/>
    <w:rsid w:val="00901CFB"/>
    <w:rsid w:val="00902432"/>
    <w:rsid w:val="009025F0"/>
    <w:rsid w:val="009028B2"/>
    <w:rsid w:val="00903F13"/>
    <w:rsid w:val="0090419F"/>
    <w:rsid w:val="0090475C"/>
    <w:rsid w:val="00904D9A"/>
    <w:rsid w:val="009058BB"/>
    <w:rsid w:val="00905C45"/>
    <w:rsid w:val="0090699B"/>
    <w:rsid w:val="00906A0B"/>
    <w:rsid w:val="00906DA4"/>
    <w:rsid w:val="009077BB"/>
    <w:rsid w:val="00907DAE"/>
    <w:rsid w:val="00912400"/>
    <w:rsid w:val="00912BBD"/>
    <w:rsid w:val="009133FB"/>
    <w:rsid w:val="0091397E"/>
    <w:rsid w:val="009159EB"/>
    <w:rsid w:val="0091669A"/>
    <w:rsid w:val="00916F5B"/>
    <w:rsid w:val="0091744C"/>
    <w:rsid w:val="00920499"/>
    <w:rsid w:val="00920E9C"/>
    <w:rsid w:val="00925107"/>
    <w:rsid w:val="00925333"/>
    <w:rsid w:val="0092626F"/>
    <w:rsid w:val="009279D0"/>
    <w:rsid w:val="0093010C"/>
    <w:rsid w:val="0093174A"/>
    <w:rsid w:val="0093266F"/>
    <w:rsid w:val="00933550"/>
    <w:rsid w:val="00934343"/>
    <w:rsid w:val="0093490D"/>
    <w:rsid w:val="00935027"/>
    <w:rsid w:val="00936B13"/>
    <w:rsid w:val="009371B1"/>
    <w:rsid w:val="0093795E"/>
    <w:rsid w:val="0094066A"/>
    <w:rsid w:val="0094097B"/>
    <w:rsid w:val="00940C24"/>
    <w:rsid w:val="00941CFC"/>
    <w:rsid w:val="0094253E"/>
    <w:rsid w:val="0094342E"/>
    <w:rsid w:val="0094434A"/>
    <w:rsid w:val="009463C7"/>
    <w:rsid w:val="0094786E"/>
    <w:rsid w:val="0095119C"/>
    <w:rsid w:val="00952F01"/>
    <w:rsid w:val="00955192"/>
    <w:rsid w:val="009551A6"/>
    <w:rsid w:val="00955FC6"/>
    <w:rsid w:val="00955FDD"/>
    <w:rsid w:val="00960023"/>
    <w:rsid w:val="0096061C"/>
    <w:rsid w:val="00960BF3"/>
    <w:rsid w:val="00961830"/>
    <w:rsid w:val="00962E35"/>
    <w:rsid w:val="00965266"/>
    <w:rsid w:val="00965A03"/>
    <w:rsid w:val="00965E58"/>
    <w:rsid w:val="00966BA2"/>
    <w:rsid w:val="00967063"/>
    <w:rsid w:val="009701F0"/>
    <w:rsid w:val="0097023D"/>
    <w:rsid w:val="00970901"/>
    <w:rsid w:val="009722F6"/>
    <w:rsid w:val="00972CD2"/>
    <w:rsid w:val="009735E5"/>
    <w:rsid w:val="009759B6"/>
    <w:rsid w:val="009759ED"/>
    <w:rsid w:val="0097738E"/>
    <w:rsid w:val="00980C13"/>
    <w:rsid w:val="00980FB7"/>
    <w:rsid w:val="009812B1"/>
    <w:rsid w:val="00981FE0"/>
    <w:rsid w:val="009837D7"/>
    <w:rsid w:val="00984554"/>
    <w:rsid w:val="00986D4D"/>
    <w:rsid w:val="00986D92"/>
    <w:rsid w:val="00986E4F"/>
    <w:rsid w:val="00990108"/>
    <w:rsid w:val="00991E14"/>
    <w:rsid w:val="009936E9"/>
    <w:rsid w:val="0099415D"/>
    <w:rsid w:val="0099426B"/>
    <w:rsid w:val="00995A14"/>
    <w:rsid w:val="00995D94"/>
    <w:rsid w:val="00995E31"/>
    <w:rsid w:val="009963F7"/>
    <w:rsid w:val="009970B3"/>
    <w:rsid w:val="009975A9"/>
    <w:rsid w:val="00997D30"/>
    <w:rsid w:val="009A1618"/>
    <w:rsid w:val="009A1AE4"/>
    <w:rsid w:val="009A2DBB"/>
    <w:rsid w:val="009A3F0E"/>
    <w:rsid w:val="009A4999"/>
    <w:rsid w:val="009A6F32"/>
    <w:rsid w:val="009A71F2"/>
    <w:rsid w:val="009B021F"/>
    <w:rsid w:val="009B1832"/>
    <w:rsid w:val="009B3CB6"/>
    <w:rsid w:val="009B47BB"/>
    <w:rsid w:val="009B48A7"/>
    <w:rsid w:val="009B5E65"/>
    <w:rsid w:val="009B60D8"/>
    <w:rsid w:val="009B6744"/>
    <w:rsid w:val="009B6E30"/>
    <w:rsid w:val="009B7C26"/>
    <w:rsid w:val="009C08ED"/>
    <w:rsid w:val="009C2948"/>
    <w:rsid w:val="009C2F3E"/>
    <w:rsid w:val="009C2FB5"/>
    <w:rsid w:val="009C5FDC"/>
    <w:rsid w:val="009C66FC"/>
    <w:rsid w:val="009D0AD4"/>
    <w:rsid w:val="009D0F47"/>
    <w:rsid w:val="009D27E2"/>
    <w:rsid w:val="009D281E"/>
    <w:rsid w:val="009D400C"/>
    <w:rsid w:val="009D49E1"/>
    <w:rsid w:val="009D5DC8"/>
    <w:rsid w:val="009E08C7"/>
    <w:rsid w:val="009E10F3"/>
    <w:rsid w:val="009E253D"/>
    <w:rsid w:val="009E2C84"/>
    <w:rsid w:val="009E3969"/>
    <w:rsid w:val="009E436A"/>
    <w:rsid w:val="009E4C07"/>
    <w:rsid w:val="009E5F4A"/>
    <w:rsid w:val="009E619D"/>
    <w:rsid w:val="009E66CD"/>
    <w:rsid w:val="009E76FB"/>
    <w:rsid w:val="009E7905"/>
    <w:rsid w:val="009F0636"/>
    <w:rsid w:val="009F1FE3"/>
    <w:rsid w:val="009F308E"/>
    <w:rsid w:val="009F36AD"/>
    <w:rsid w:val="009F4681"/>
    <w:rsid w:val="009F5D63"/>
    <w:rsid w:val="009F678A"/>
    <w:rsid w:val="00A03262"/>
    <w:rsid w:val="00A04259"/>
    <w:rsid w:val="00A045DE"/>
    <w:rsid w:val="00A05C44"/>
    <w:rsid w:val="00A06AB7"/>
    <w:rsid w:val="00A07C7A"/>
    <w:rsid w:val="00A07CDA"/>
    <w:rsid w:val="00A100BD"/>
    <w:rsid w:val="00A12249"/>
    <w:rsid w:val="00A1233F"/>
    <w:rsid w:val="00A1464C"/>
    <w:rsid w:val="00A14D63"/>
    <w:rsid w:val="00A15448"/>
    <w:rsid w:val="00A161A1"/>
    <w:rsid w:val="00A16E93"/>
    <w:rsid w:val="00A17878"/>
    <w:rsid w:val="00A2177F"/>
    <w:rsid w:val="00A21FE3"/>
    <w:rsid w:val="00A2287F"/>
    <w:rsid w:val="00A22BAD"/>
    <w:rsid w:val="00A23529"/>
    <w:rsid w:val="00A23E6C"/>
    <w:rsid w:val="00A2577E"/>
    <w:rsid w:val="00A2784C"/>
    <w:rsid w:val="00A27F1B"/>
    <w:rsid w:val="00A3052E"/>
    <w:rsid w:val="00A30BFA"/>
    <w:rsid w:val="00A30CA5"/>
    <w:rsid w:val="00A30CFE"/>
    <w:rsid w:val="00A3334D"/>
    <w:rsid w:val="00A35DAC"/>
    <w:rsid w:val="00A36060"/>
    <w:rsid w:val="00A3798A"/>
    <w:rsid w:val="00A4022C"/>
    <w:rsid w:val="00A43265"/>
    <w:rsid w:val="00A435A7"/>
    <w:rsid w:val="00A43D1A"/>
    <w:rsid w:val="00A44789"/>
    <w:rsid w:val="00A44D62"/>
    <w:rsid w:val="00A45A74"/>
    <w:rsid w:val="00A514C5"/>
    <w:rsid w:val="00A51D45"/>
    <w:rsid w:val="00A52460"/>
    <w:rsid w:val="00A52FAC"/>
    <w:rsid w:val="00A52FF7"/>
    <w:rsid w:val="00A533A5"/>
    <w:rsid w:val="00A53E4A"/>
    <w:rsid w:val="00A54B2F"/>
    <w:rsid w:val="00A5519D"/>
    <w:rsid w:val="00A55D45"/>
    <w:rsid w:val="00A5716C"/>
    <w:rsid w:val="00A572F1"/>
    <w:rsid w:val="00A574EB"/>
    <w:rsid w:val="00A57FDE"/>
    <w:rsid w:val="00A60749"/>
    <w:rsid w:val="00A6084A"/>
    <w:rsid w:val="00A60D48"/>
    <w:rsid w:val="00A6242F"/>
    <w:rsid w:val="00A63881"/>
    <w:rsid w:val="00A648D0"/>
    <w:rsid w:val="00A64AEE"/>
    <w:rsid w:val="00A64E0F"/>
    <w:rsid w:val="00A65812"/>
    <w:rsid w:val="00A669AC"/>
    <w:rsid w:val="00A66AAA"/>
    <w:rsid w:val="00A66D79"/>
    <w:rsid w:val="00A67709"/>
    <w:rsid w:val="00A70039"/>
    <w:rsid w:val="00A71CD3"/>
    <w:rsid w:val="00A73485"/>
    <w:rsid w:val="00A742F3"/>
    <w:rsid w:val="00A75E6A"/>
    <w:rsid w:val="00A76942"/>
    <w:rsid w:val="00A76C37"/>
    <w:rsid w:val="00A76D14"/>
    <w:rsid w:val="00A76D56"/>
    <w:rsid w:val="00A77785"/>
    <w:rsid w:val="00A80296"/>
    <w:rsid w:val="00A80782"/>
    <w:rsid w:val="00A81547"/>
    <w:rsid w:val="00A82630"/>
    <w:rsid w:val="00A85805"/>
    <w:rsid w:val="00A85EE7"/>
    <w:rsid w:val="00A86C71"/>
    <w:rsid w:val="00A90F9D"/>
    <w:rsid w:val="00A9127C"/>
    <w:rsid w:val="00A91B9D"/>
    <w:rsid w:val="00A92106"/>
    <w:rsid w:val="00A94E6C"/>
    <w:rsid w:val="00A95E6C"/>
    <w:rsid w:val="00A964D4"/>
    <w:rsid w:val="00A96D47"/>
    <w:rsid w:val="00A96EB6"/>
    <w:rsid w:val="00A97F40"/>
    <w:rsid w:val="00AA09A7"/>
    <w:rsid w:val="00AA2274"/>
    <w:rsid w:val="00AA23CE"/>
    <w:rsid w:val="00AA2DE5"/>
    <w:rsid w:val="00AA3BE2"/>
    <w:rsid w:val="00AA4060"/>
    <w:rsid w:val="00AA4C6D"/>
    <w:rsid w:val="00AA6F6B"/>
    <w:rsid w:val="00AA78C5"/>
    <w:rsid w:val="00AA7CF9"/>
    <w:rsid w:val="00AB2297"/>
    <w:rsid w:val="00AB35A1"/>
    <w:rsid w:val="00AB56B9"/>
    <w:rsid w:val="00AB5DCD"/>
    <w:rsid w:val="00AB7228"/>
    <w:rsid w:val="00AB7BAE"/>
    <w:rsid w:val="00AC0B6C"/>
    <w:rsid w:val="00AC0FAC"/>
    <w:rsid w:val="00AC14E4"/>
    <w:rsid w:val="00AC17F8"/>
    <w:rsid w:val="00AC1BD5"/>
    <w:rsid w:val="00AC214F"/>
    <w:rsid w:val="00AC228B"/>
    <w:rsid w:val="00AC29DA"/>
    <w:rsid w:val="00AC31DD"/>
    <w:rsid w:val="00AC53D8"/>
    <w:rsid w:val="00AC5A9B"/>
    <w:rsid w:val="00AC7542"/>
    <w:rsid w:val="00AD0A9A"/>
    <w:rsid w:val="00AD0C46"/>
    <w:rsid w:val="00AD13B5"/>
    <w:rsid w:val="00AD1A9D"/>
    <w:rsid w:val="00AD1AD8"/>
    <w:rsid w:val="00AD1CF1"/>
    <w:rsid w:val="00AD3B4F"/>
    <w:rsid w:val="00AD3FFE"/>
    <w:rsid w:val="00AD4E42"/>
    <w:rsid w:val="00AD6E97"/>
    <w:rsid w:val="00AD7B9C"/>
    <w:rsid w:val="00AE15B6"/>
    <w:rsid w:val="00AE1BF2"/>
    <w:rsid w:val="00AE24FD"/>
    <w:rsid w:val="00AE3A08"/>
    <w:rsid w:val="00AE4B05"/>
    <w:rsid w:val="00AE546F"/>
    <w:rsid w:val="00AE58AB"/>
    <w:rsid w:val="00AE6CFC"/>
    <w:rsid w:val="00AE6D90"/>
    <w:rsid w:val="00AE6F09"/>
    <w:rsid w:val="00AE7809"/>
    <w:rsid w:val="00AF0252"/>
    <w:rsid w:val="00AF08D2"/>
    <w:rsid w:val="00AF1947"/>
    <w:rsid w:val="00AF1DEF"/>
    <w:rsid w:val="00AF2286"/>
    <w:rsid w:val="00AF2C43"/>
    <w:rsid w:val="00AF51CE"/>
    <w:rsid w:val="00AF60D8"/>
    <w:rsid w:val="00AF60DC"/>
    <w:rsid w:val="00AF6228"/>
    <w:rsid w:val="00AF66DF"/>
    <w:rsid w:val="00B00523"/>
    <w:rsid w:val="00B00630"/>
    <w:rsid w:val="00B0094F"/>
    <w:rsid w:val="00B0442E"/>
    <w:rsid w:val="00B06C5B"/>
    <w:rsid w:val="00B06D97"/>
    <w:rsid w:val="00B12916"/>
    <w:rsid w:val="00B1357E"/>
    <w:rsid w:val="00B13B73"/>
    <w:rsid w:val="00B141CB"/>
    <w:rsid w:val="00B149BB"/>
    <w:rsid w:val="00B155CC"/>
    <w:rsid w:val="00B17764"/>
    <w:rsid w:val="00B2142C"/>
    <w:rsid w:val="00B22C7B"/>
    <w:rsid w:val="00B258B4"/>
    <w:rsid w:val="00B25DE9"/>
    <w:rsid w:val="00B2766A"/>
    <w:rsid w:val="00B30A9F"/>
    <w:rsid w:val="00B30C1A"/>
    <w:rsid w:val="00B31D90"/>
    <w:rsid w:val="00B33AA6"/>
    <w:rsid w:val="00B340E9"/>
    <w:rsid w:val="00B358BE"/>
    <w:rsid w:val="00B3729C"/>
    <w:rsid w:val="00B3768B"/>
    <w:rsid w:val="00B413BB"/>
    <w:rsid w:val="00B4268D"/>
    <w:rsid w:val="00B42782"/>
    <w:rsid w:val="00B44DCD"/>
    <w:rsid w:val="00B4594C"/>
    <w:rsid w:val="00B46CEF"/>
    <w:rsid w:val="00B52394"/>
    <w:rsid w:val="00B53671"/>
    <w:rsid w:val="00B53861"/>
    <w:rsid w:val="00B54B6A"/>
    <w:rsid w:val="00B54E5F"/>
    <w:rsid w:val="00B552B3"/>
    <w:rsid w:val="00B55563"/>
    <w:rsid w:val="00B5622D"/>
    <w:rsid w:val="00B604DB"/>
    <w:rsid w:val="00B60FD0"/>
    <w:rsid w:val="00B6210A"/>
    <w:rsid w:val="00B63B6E"/>
    <w:rsid w:val="00B63C8A"/>
    <w:rsid w:val="00B641A8"/>
    <w:rsid w:val="00B64ECF"/>
    <w:rsid w:val="00B6524B"/>
    <w:rsid w:val="00B653EB"/>
    <w:rsid w:val="00B6587E"/>
    <w:rsid w:val="00B67944"/>
    <w:rsid w:val="00B67DBE"/>
    <w:rsid w:val="00B72E15"/>
    <w:rsid w:val="00B72F98"/>
    <w:rsid w:val="00B73878"/>
    <w:rsid w:val="00B73B71"/>
    <w:rsid w:val="00B73D14"/>
    <w:rsid w:val="00B746FB"/>
    <w:rsid w:val="00B74723"/>
    <w:rsid w:val="00B74DBB"/>
    <w:rsid w:val="00B764BE"/>
    <w:rsid w:val="00B7666E"/>
    <w:rsid w:val="00B7747B"/>
    <w:rsid w:val="00B8168D"/>
    <w:rsid w:val="00B822A4"/>
    <w:rsid w:val="00B83525"/>
    <w:rsid w:val="00B8452A"/>
    <w:rsid w:val="00B84FA6"/>
    <w:rsid w:val="00B851EC"/>
    <w:rsid w:val="00B86B1D"/>
    <w:rsid w:val="00B874E9"/>
    <w:rsid w:val="00B879A0"/>
    <w:rsid w:val="00B87DD9"/>
    <w:rsid w:val="00B910A4"/>
    <w:rsid w:val="00B92D22"/>
    <w:rsid w:val="00B92DC1"/>
    <w:rsid w:val="00B92E26"/>
    <w:rsid w:val="00B93045"/>
    <w:rsid w:val="00B951AC"/>
    <w:rsid w:val="00B965C7"/>
    <w:rsid w:val="00B977C3"/>
    <w:rsid w:val="00B97DDF"/>
    <w:rsid w:val="00BA0581"/>
    <w:rsid w:val="00BA1C8B"/>
    <w:rsid w:val="00BA28B6"/>
    <w:rsid w:val="00BA28D4"/>
    <w:rsid w:val="00BA2B4E"/>
    <w:rsid w:val="00BA2D9B"/>
    <w:rsid w:val="00BA3E09"/>
    <w:rsid w:val="00BA5A40"/>
    <w:rsid w:val="00BA63DF"/>
    <w:rsid w:val="00BA70C3"/>
    <w:rsid w:val="00BA7214"/>
    <w:rsid w:val="00BA7577"/>
    <w:rsid w:val="00BB00D3"/>
    <w:rsid w:val="00BB019F"/>
    <w:rsid w:val="00BB0FFD"/>
    <w:rsid w:val="00BB23E3"/>
    <w:rsid w:val="00BB2D67"/>
    <w:rsid w:val="00BB4612"/>
    <w:rsid w:val="00BB49AE"/>
    <w:rsid w:val="00BB6C00"/>
    <w:rsid w:val="00BB72F8"/>
    <w:rsid w:val="00BB7673"/>
    <w:rsid w:val="00BC0024"/>
    <w:rsid w:val="00BC0FAD"/>
    <w:rsid w:val="00BC1B02"/>
    <w:rsid w:val="00BC235C"/>
    <w:rsid w:val="00BC3597"/>
    <w:rsid w:val="00BC3A41"/>
    <w:rsid w:val="00BC3CF1"/>
    <w:rsid w:val="00BC4E3C"/>
    <w:rsid w:val="00BC4FB9"/>
    <w:rsid w:val="00BC68B9"/>
    <w:rsid w:val="00BC6AC9"/>
    <w:rsid w:val="00BC7855"/>
    <w:rsid w:val="00BD191C"/>
    <w:rsid w:val="00BD2E12"/>
    <w:rsid w:val="00BD2E6B"/>
    <w:rsid w:val="00BD3D52"/>
    <w:rsid w:val="00BD4C10"/>
    <w:rsid w:val="00BD4F3C"/>
    <w:rsid w:val="00BD5188"/>
    <w:rsid w:val="00BD56E1"/>
    <w:rsid w:val="00BD785C"/>
    <w:rsid w:val="00BE021F"/>
    <w:rsid w:val="00BE2169"/>
    <w:rsid w:val="00BE2CB4"/>
    <w:rsid w:val="00BE35D2"/>
    <w:rsid w:val="00BE4271"/>
    <w:rsid w:val="00BE7466"/>
    <w:rsid w:val="00BE76F9"/>
    <w:rsid w:val="00BE7C9A"/>
    <w:rsid w:val="00BF04C6"/>
    <w:rsid w:val="00BF11B8"/>
    <w:rsid w:val="00BF13FB"/>
    <w:rsid w:val="00BF22EE"/>
    <w:rsid w:val="00BF2819"/>
    <w:rsid w:val="00BF380E"/>
    <w:rsid w:val="00BF497B"/>
    <w:rsid w:val="00BF4A3A"/>
    <w:rsid w:val="00BF4C98"/>
    <w:rsid w:val="00BF578A"/>
    <w:rsid w:val="00BF6124"/>
    <w:rsid w:val="00BF77E2"/>
    <w:rsid w:val="00C013AA"/>
    <w:rsid w:val="00C03E5C"/>
    <w:rsid w:val="00C04B86"/>
    <w:rsid w:val="00C04C5A"/>
    <w:rsid w:val="00C06E4A"/>
    <w:rsid w:val="00C1268B"/>
    <w:rsid w:val="00C12BAA"/>
    <w:rsid w:val="00C1432F"/>
    <w:rsid w:val="00C15571"/>
    <w:rsid w:val="00C1758C"/>
    <w:rsid w:val="00C17DBD"/>
    <w:rsid w:val="00C20D73"/>
    <w:rsid w:val="00C224BB"/>
    <w:rsid w:val="00C246DD"/>
    <w:rsid w:val="00C24A02"/>
    <w:rsid w:val="00C26E47"/>
    <w:rsid w:val="00C27518"/>
    <w:rsid w:val="00C3029B"/>
    <w:rsid w:val="00C30321"/>
    <w:rsid w:val="00C32021"/>
    <w:rsid w:val="00C332D1"/>
    <w:rsid w:val="00C33AD4"/>
    <w:rsid w:val="00C34661"/>
    <w:rsid w:val="00C348B2"/>
    <w:rsid w:val="00C34BD6"/>
    <w:rsid w:val="00C34F4F"/>
    <w:rsid w:val="00C35D16"/>
    <w:rsid w:val="00C40003"/>
    <w:rsid w:val="00C40553"/>
    <w:rsid w:val="00C41323"/>
    <w:rsid w:val="00C416FE"/>
    <w:rsid w:val="00C422CC"/>
    <w:rsid w:val="00C42C0C"/>
    <w:rsid w:val="00C43772"/>
    <w:rsid w:val="00C4564D"/>
    <w:rsid w:val="00C45941"/>
    <w:rsid w:val="00C46E8D"/>
    <w:rsid w:val="00C47120"/>
    <w:rsid w:val="00C4774F"/>
    <w:rsid w:val="00C47E6A"/>
    <w:rsid w:val="00C50223"/>
    <w:rsid w:val="00C502A7"/>
    <w:rsid w:val="00C50F49"/>
    <w:rsid w:val="00C54E4F"/>
    <w:rsid w:val="00C5600C"/>
    <w:rsid w:val="00C5650F"/>
    <w:rsid w:val="00C56E88"/>
    <w:rsid w:val="00C61617"/>
    <w:rsid w:val="00C63047"/>
    <w:rsid w:val="00C63B99"/>
    <w:rsid w:val="00C64EC8"/>
    <w:rsid w:val="00C654F5"/>
    <w:rsid w:val="00C65C67"/>
    <w:rsid w:val="00C66409"/>
    <w:rsid w:val="00C678AA"/>
    <w:rsid w:val="00C703FB"/>
    <w:rsid w:val="00C71E29"/>
    <w:rsid w:val="00C73E4D"/>
    <w:rsid w:val="00C74E44"/>
    <w:rsid w:val="00C74E62"/>
    <w:rsid w:val="00C757DB"/>
    <w:rsid w:val="00C75A99"/>
    <w:rsid w:val="00C7655E"/>
    <w:rsid w:val="00C773ED"/>
    <w:rsid w:val="00C80E93"/>
    <w:rsid w:val="00C8147C"/>
    <w:rsid w:val="00C827BE"/>
    <w:rsid w:val="00C827F9"/>
    <w:rsid w:val="00C85F31"/>
    <w:rsid w:val="00C86E82"/>
    <w:rsid w:val="00C87494"/>
    <w:rsid w:val="00C92610"/>
    <w:rsid w:val="00C93FC6"/>
    <w:rsid w:val="00C94C12"/>
    <w:rsid w:val="00C95930"/>
    <w:rsid w:val="00C95A1D"/>
    <w:rsid w:val="00C972D7"/>
    <w:rsid w:val="00C975D8"/>
    <w:rsid w:val="00CA00A0"/>
    <w:rsid w:val="00CA0243"/>
    <w:rsid w:val="00CA030D"/>
    <w:rsid w:val="00CA1BDF"/>
    <w:rsid w:val="00CA2BFC"/>
    <w:rsid w:val="00CA41CE"/>
    <w:rsid w:val="00CA4C12"/>
    <w:rsid w:val="00CA555C"/>
    <w:rsid w:val="00CA5CE8"/>
    <w:rsid w:val="00CA5D2C"/>
    <w:rsid w:val="00CA65F4"/>
    <w:rsid w:val="00CA695D"/>
    <w:rsid w:val="00CB0BA8"/>
    <w:rsid w:val="00CB0FB2"/>
    <w:rsid w:val="00CB2B74"/>
    <w:rsid w:val="00CB39F6"/>
    <w:rsid w:val="00CB3CCC"/>
    <w:rsid w:val="00CB494F"/>
    <w:rsid w:val="00CB4BCA"/>
    <w:rsid w:val="00CC0615"/>
    <w:rsid w:val="00CC0FAE"/>
    <w:rsid w:val="00CC2F66"/>
    <w:rsid w:val="00CC447E"/>
    <w:rsid w:val="00CC4DE1"/>
    <w:rsid w:val="00CC5820"/>
    <w:rsid w:val="00CC696A"/>
    <w:rsid w:val="00CC797C"/>
    <w:rsid w:val="00CD37A8"/>
    <w:rsid w:val="00CD37BC"/>
    <w:rsid w:val="00CD5016"/>
    <w:rsid w:val="00CE092E"/>
    <w:rsid w:val="00CE428D"/>
    <w:rsid w:val="00CE6800"/>
    <w:rsid w:val="00CE685A"/>
    <w:rsid w:val="00CE6FF7"/>
    <w:rsid w:val="00CE76E8"/>
    <w:rsid w:val="00CF0458"/>
    <w:rsid w:val="00CF16CB"/>
    <w:rsid w:val="00CF1ABE"/>
    <w:rsid w:val="00CF2497"/>
    <w:rsid w:val="00CF3100"/>
    <w:rsid w:val="00CF32BF"/>
    <w:rsid w:val="00CF352B"/>
    <w:rsid w:val="00CF3878"/>
    <w:rsid w:val="00CF4BFC"/>
    <w:rsid w:val="00CF4D0E"/>
    <w:rsid w:val="00CF4D4F"/>
    <w:rsid w:val="00CF5FBE"/>
    <w:rsid w:val="00CF6A1A"/>
    <w:rsid w:val="00CF7EF7"/>
    <w:rsid w:val="00D00FFE"/>
    <w:rsid w:val="00D01847"/>
    <w:rsid w:val="00D02798"/>
    <w:rsid w:val="00D030BD"/>
    <w:rsid w:val="00D03344"/>
    <w:rsid w:val="00D037D5"/>
    <w:rsid w:val="00D053B9"/>
    <w:rsid w:val="00D059FA"/>
    <w:rsid w:val="00D05A7A"/>
    <w:rsid w:val="00D06370"/>
    <w:rsid w:val="00D06385"/>
    <w:rsid w:val="00D10429"/>
    <w:rsid w:val="00D10E8C"/>
    <w:rsid w:val="00D1199C"/>
    <w:rsid w:val="00D11CC7"/>
    <w:rsid w:val="00D139BE"/>
    <w:rsid w:val="00D147A5"/>
    <w:rsid w:val="00D159FA"/>
    <w:rsid w:val="00D2133B"/>
    <w:rsid w:val="00D21B86"/>
    <w:rsid w:val="00D21D5C"/>
    <w:rsid w:val="00D22102"/>
    <w:rsid w:val="00D2247B"/>
    <w:rsid w:val="00D22973"/>
    <w:rsid w:val="00D24B10"/>
    <w:rsid w:val="00D251CD"/>
    <w:rsid w:val="00D26538"/>
    <w:rsid w:val="00D26ADA"/>
    <w:rsid w:val="00D26CB2"/>
    <w:rsid w:val="00D26E53"/>
    <w:rsid w:val="00D26E81"/>
    <w:rsid w:val="00D27F5B"/>
    <w:rsid w:val="00D32E59"/>
    <w:rsid w:val="00D330D2"/>
    <w:rsid w:val="00D33F3F"/>
    <w:rsid w:val="00D34ACC"/>
    <w:rsid w:val="00D3525A"/>
    <w:rsid w:val="00D35A13"/>
    <w:rsid w:val="00D36A17"/>
    <w:rsid w:val="00D36D41"/>
    <w:rsid w:val="00D372A7"/>
    <w:rsid w:val="00D41D3A"/>
    <w:rsid w:val="00D421EE"/>
    <w:rsid w:val="00D42A8E"/>
    <w:rsid w:val="00D4387F"/>
    <w:rsid w:val="00D43C9B"/>
    <w:rsid w:val="00D5056D"/>
    <w:rsid w:val="00D534F9"/>
    <w:rsid w:val="00D53AE5"/>
    <w:rsid w:val="00D53D07"/>
    <w:rsid w:val="00D541C0"/>
    <w:rsid w:val="00D550A0"/>
    <w:rsid w:val="00D550A8"/>
    <w:rsid w:val="00D55A0F"/>
    <w:rsid w:val="00D57BB6"/>
    <w:rsid w:val="00D57D27"/>
    <w:rsid w:val="00D6108C"/>
    <w:rsid w:val="00D61F93"/>
    <w:rsid w:val="00D623C1"/>
    <w:rsid w:val="00D625D0"/>
    <w:rsid w:val="00D62C5F"/>
    <w:rsid w:val="00D62CFD"/>
    <w:rsid w:val="00D66389"/>
    <w:rsid w:val="00D66672"/>
    <w:rsid w:val="00D66E6E"/>
    <w:rsid w:val="00D70CFE"/>
    <w:rsid w:val="00D73D99"/>
    <w:rsid w:val="00D74A03"/>
    <w:rsid w:val="00D75346"/>
    <w:rsid w:val="00D753BC"/>
    <w:rsid w:val="00D80B68"/>
    <w:rsid w:val="00D814BB"/>
    <w:rsid w:val="00D81773"/>
    <w:rsid w:val="00D8292F"/>
    <w:rsid w:val="00D851A1"/>
    <w:rsid w:val="00D85C6F"/>
    <w:rsid w:val="00D900F2"/>
    <w:rsid w:val="00D90658"/>
    <w:rsid w:val="00D94BD8"/>
    <w:rsid w:val="00D96D52"/>
    <w:rsid w:val="00D975B9"/>
    <w:rsid w:val="00DA015B"/>
    <w:rsid w:val="00DA0AF7"/>
    <w:rsid w:val="00DA35E3"/>
    <w:rsid w:val="00DA5C46"/>
    <w:rsid w:val="00DA7372"/>
    <w:rsid w:val="00DB07B6"/>
    <w:rsid w:val="00DB0B74"/>
    <w:rsid w:val="00DB147F"/>
    <w:rsid w:val="00DB214E"/>
    <w:rsid w:val="00DB32FE"/>
    <w:rsid w:val="00DB40FA"/>
    <w:rsid w:val="00DB4FCB"/>
    <w:rsid w:val="00DB5B6E"/>
    <w:rsid w:val="00DB6E2B"/>
    <w:rsid w:val="00DB7137"/>
    <w:rsid w:val="00DB783C"/>
    <w:rsid w:val="00DB7859"/>
    <w:rsid w:val="00DC03F3"/>
    <w:rsid w:val="00DC237E"/>
    <w:rsid w:val="00DC2A2F"/>
    <w:rsid w:val="00DC2AA2"/>
    <w:rsid w:val="00DC2DB8"/>
    <w:rsid w:val="00DC38D9"/>
    <w:rsid w:val="00DC3C8E"/>
    <w:rsid w:val="00DC423C"/>
    <w:rsid w:val="00DC5D69"/>
    <w:rsid w:val="00DC7EE9"/>
    <w:rsid w:val="00DD0295"/>
    <w:rsid w:val="00DD0739"/>
    <w:rsid w:val="00DD0B41"/>
    <w:rsid w:val="00DD1AC0"/>
    <w:rsid w:val="00DD26F4"/>
    <w:rsid w:val="00DD3C8E"/>
    <w:rsid w:val="00DD4D0A"/>
    <w:rsid w:val="00DD503A"/>
    <w:rsid w:val="00DD5834"/>
    <w:rsid w:val="00DE005C"/>
    <w:rsid w:val="00DE00B7"/>
    <w:rsid w:val="00DE0758"/>
    <w:rsid w:val="00DE1338"/>
    <w:rsid w:val="00DE2491"/>
    <w:rsid w:val="00DE25E6"/>
    <w:rsid w:val="00DE2CD1"/>
    <w:rsid w:val="00DE2F0F"/>
    <w:rsid w:val="00DE3928"/>
    <w:rsid w:val="00DE3ED3"/>
    <w:rsid w:val="00DE4592"/>
    <w:rsid w:val="00DE4991"/>
    <w:rsid w:val="00DE4BCF"/>
    <w:rsid w:val="00DE66FA"/>
    <w:rsid w:val="00DE7E3F"/>
    <w:rsid w:val="00DF060C"/>
    <w:rsid w:val="00DF0A40"/>
    <w:rsid w:val="00DF0B52"/>
    <w:rsid w:val="00DF1F32"/>
    <w:rsid w:val="00DF46A4"/>
    <w:rsid w:val="00DF63A7"/>
    <w:rsid w:val="00E003BB"/>
    <w:rsid w:val="00E01C06"/>
    <w:rsid w:val="00E02D18"/>
    <w:rsid w:val="00E037DC"/>
    <w:rsid w:val="00E04DBC"/>
    <w:rsid w:val="00E10984"/>
    <w:rsid w:val="00E11CB3"/>
    <w:rsid w:val="00E129E4"/>
    <w:rsid w:val="00E12B66"/>
    <w:rsid w:val="00E1604D"/>
    <w:rsid w:val="00E16749"/>
    <w:rsid w:val="00E169FF"/>
    <w:rsid w:val="00E17384"/>
    <w:rsid w:val="00E17E04"/>
    <w:rsid w:val="00E17F9F"/>
    <w:rsid w:val="00E21C3B"/>
    <w:rsid w:val="00E24839"/>
    <w:rsid w:val="00E24FB9"/>
    <w:rsid w:val="00E24FFB"/>
    <w:rsid w:val="00E2552F"/>
    <w:rsid w:val="00E26B77"/>
    <w:rsid w:val="00E26E41"/>
    <w:rsid w:val="00E27E3C"/>
    <w:rsid w:val="00E30567"/>
    <w:rsid w:val="00E306E6"/>
    <w:rsid w:val="00E30DF4"/>
    <w:rsid w:val="00E32983"/>
    <w:rsid w:val="00E33EAA"/>
    <w:rsid w:val="00E353C5"/>
    <w:rsid w:val="00E357C1"/>
    <w:rsid w:val="00E405EB"/>
    <w:rsid w:val="00E428B8"/>
    <w:rsid w:val="00E43C1F"/>
    <w:rsid w:val="00E44294"/>
    <w:rsid w:val="00E4457B"/>
    <w:rsid w:val="00E44787"/>
    <w:rsid w:val="00E45632"/>
    <w:rsid w:val="00E51672"/>
    <w:rsid w:val="00E53242"/>
    <w:rsid w:val="00E539C0"/>
    <w:rsid w:val="00E53C44"/>
    <w:rsid w:val="00E5403D"/>
    <w:rsid w:val="00E540FD"/>
    <w:rsid w:val="00E5433A"/>
    <w:rsid w:val="00E550D5"/>
    <w:rsid w:val="00E5591D"/>
    <w:rsid w:val="00E564C9"/>
    <w:rsid w:val="00E56A18"/>
    <w:rsid w:val="00E56E86"/>
    <w:rsid w:val="00E5768A"/>
    <w:rsid w:val="00E579DB"/>
    <w:rsid w:val="00E57BE5"/>
    <w:rsid w:val="00E61762"/>
    <w:rsid w:val="00E61E30"/>
    <w:rsid w:val="00E626F5"/>
    <w:rsid w:val="00E62C03"/>
    <w:rsid w:val="00E62F81"/>
    <w:rsid w:val="00E63234"/>
    <w:rsid w:val="00E64A32"/>
    <w:rsid w:val="00E6610E"/>
    <w:rsid w:val="00E700A8"/>
    <w:rsid w:val="00E70F1A"/>
    <w:rsid w:val="00E71273"/>
    <w:rsid w:val="00E71364"/>
    <w:rsid w:val="00E724B2"/>
    <w:rsid w:val="00E72561"/>
    <w:rsid w:val="00E72D8B"/>
    <w:rsid w:val="00E731A7"/>
    <w:rsid w:val="00E74C0C"/>
    <w:rsid w:val="00E80BE7"/>
    <w:rsid w:val="00E812BB"/>
    <w:rsid w:val="00E82653"/>
    <w:rsid w:val="00E82F41"/>
    <w:rsid w:val="00E83339"/>
    <w:rsid w:val="00E8339D"/>
    <w:rsid w:val="00E8583D"/>
    <w:rsid w:val="00E860C6"/>
    <w:rsid w:val="00E87967"/>
    <w:rsid w:val="00E90015"/>
    <w:rsid w:val="00E90408"/>
    <w:rsid w:val="00E90BEE"/>
    <w:rsid w:val="00E91C77"/>
    <w:rsid w:val="00E92273"/>
    <w:rsid w:val="00E928FD"/>
    <w:rsid w:val="00E9354B"/>
    <w:rsid w:val="00E9416B"/>
    <w:rsid w:val="00E946F5"/>
    <w:rsid w:val="00E95AF9"/>
    <w:rsid w:val="00E95C39"/>
    <w:rsid w:val="00E961AD"/>
    <w:rsid w:val="00E965F5"/>
    <w:rsid w:val="00E96AC4"/>
    <w:rsid w:val="00E96BB5"/>
    <w:rsid w:val="00E96EBF"/>
    <w:rsid w:val="00E96F84"/>
    <w:rsid w:val="00E973EA"/>
    <w:rsid w:val="00EA132F"/>
    <w:rsid w:val="00EA2682"/>
    <w:rsid w:val="00EB01C7"/>
    <w:rsid w:val="00EB05AD"/>
    <w:rsid w:val="00EB0B9B"/>
    <w:rsid w:val="00EB2A59"/>
    <w:rsid w:val="00EB343A"/>
    <w:rsid w:val="00EB4260"/>
    <w:rsid w:val="00EB5A4D"/>
    <w:rsid w:val="00EC0360"/>
    <w:rsid w:val="00EC079D"/>
    <w:rsid w:val="00EC0DF5"/>
    <w:rsid w:val="00EC5EAB"/>
    <w:rsid w:val="00EC62B6"/>
    <w:rsid w:val="00EC7394"/>
    <w:rsid w:val="00EC7F08"/>
    <w:rsid w:val="00ED01C5"/>
    <w:rsid w:val="00ED113F"/>
    <w:rsid w:val="00ED2AFC"/>
    <w:rsid w:val="00ED45F2"/>
    <w:rsid w:val="00ED4715"/>
    <w:rsid w:val="00ED4926"/>
    <w:rsid w:val="00ED4E99"/>
    <w:rsid w:val="00EE1197"/>
    <w:rsid w:val="00EE30D4"/>
    <w:rsid w:val="00EE4002"/>
    <w:rsid w:val="00EE5DAD"/>
    <w:rsid w:val="00EE61EF"/>
    <w:rsid w:val="00EE6A86"/>
    <w:rsid w:val="00EF1618"/>
    <w:rsid w:val="00EF2AAB"/>
    <w:rsid w:val="00EF33E1"/>
    <w:rsid w:val="00EF46C7"/>
    <w:rsid w:val="00EF495C"/>
    <w:rsid w:val="00EF66B5"/>
    <w:rsid w:val="00EF718C"/>
    <w:rsid w:val="00F00083"/>
    <w:rsid w:val="00F00F9B"/>
    <w:rsid w:val="00F014F0"/>
    <w:rsid w:val="00F015C4"/>
    <w:rsid w:val="00F0177F"/>
    <w:rsid w:val="00F021B1"/>
    <w:rsid w:val="00F0383E"/>
    <w:rsid w:val="00F042AC"/>
    <w:rsid w:val="00F056A4"/>
    <w:rsid w:val="00F056DA"/>
    <w:rsid w:val="00F067C7"/>
    <w:rsid w:val="00F068AA"/>
    <w:rsid w:val="00F10312"/>
    <w:rsid w:val="00F10988"/>
    <w:rsid w:val="00F11218"/>
    <w:rsid w:val="00F11BAC"/>
    <w:rsid w:val="00F12346"/>
    <w:rsid w:val="00F1322D"/>
    <w:rsid w:val="00F15D61"/>
    <w:rsid w:val="00F166D6"/>
    <w:rsid w:val="00F17FF4"/>
    <w:rsid w:val="00F20647"/>
    <w:rsid w:val="00F207A0"/>
    <w:rsid w:val="00F215CE"/>
    <w:rsid w:val="00F22AE0"/>
    <w:rsid w:val="00F234B8"/>
    <w:rsid w:val="00F2352F"/>
    <w:rsid w:val="00F23663"/>
    <w:rsid w:val="00F2369C"/>
    <w:rsid w:val="00F2505F"/>
    <w:rsid w:val="00F27E2D"/>
    <w:rsid w:val="00F27F5E"/>
    <w:rsid w:val="00F33965"/>
    <w:rsid w:val="00F33F72"/>
    <w:rsid w:val="00F34086"/>
    <w:rsid w:val="00F34990"/>
    <w:rsid w:val="00F34FD5"/>
    <w:rsid w:val="00F355E1"/>
    <w:rsid w:val="00F35851"/>
    <w:rsid w:val="00F36832"/>
    <w:rsid w:val="00F36AAB"/>
    <w:rsid w:val="00F4010C"/>
    <w:rsid w:val="00F412E0"/>
    <w:rsid w:val="00F414BE"/>
    <w:rsid w:val="00F421A9"/>
    <w:rsid w:val="00F441A6"/>
    <w:rsid w:val="00F447A1"/>
    <w:rsid w:val="00F45023"/>
    <w:rsid w:val="00F458ED"/>
    <w:rsid w:val="00F502B1"/>
    <w:rsid w:val="00F50D23"/>
    <w:rsid w:val="00F52C70"/>
    <w:rsid w:val="00F537EC"/>
    <w:rsid w:val="00F53FA4"/>
    <w:rsid w:val="00F54B1E"/>
    <w:rsid w:val="00F562DF"/>
    <w:rsid w:val="00F5697E"/>
    <w:rsid w:val="00F61E4C"/>
    <w:rsid w:val="00F66E48"/>
    <w:rsid w:val="00F67DC1"/>
    <w:rsid w:val="00F7002E"/>
    <w:rsid w:val="00F70E09"/>
    <w:rsid w:val="00F71425"/>
    <w:rsid w:val="00F73CBC"/>
    <w:rsid w:val="00F7497A"/>
    <w:rsid w:val="00F77D18"/>
    <w:rsid w:val="00F81941"/>
    <w:rsid w:val="00F82024"/>
    <w:rsid w:val="00F82337"/>
    <w:rsid w:val="00F829AE"/>
    <w:rsid w:val="00F838CC"/>
    <w:rsid w:val="00F84FA0"/>
    <w:rsid w:val="00F9046D"/>
    <w:rsid w:val="00F925B9"/>
    <w:rsid w:val="00F929EC"/>
    <w:rsid w:val="00F92A76"/>
    <w:rsid w:val="00F95816"/>
    <w:rsid w:val="00F97BE2"/>
    <w:rsid w:val="00FA0BB5"/>
    <w:rsid w:val="00FA117C"/>
    <w:rsid w:val="00FA156F"/>
    <w:rsid w:val="00FA223B"/>
    <w:rsid w:val="00FA3076"/>
    <w:rsid w:val="00FA3CCA"/>
    <w:rsid w:val="00FA3DE5"/>
    <w:rsid w:val="00FA426B"/>
    <w:rsid w:val="00FA4A96"/>
    <w:rsid w:val="00FA6670"/>
    <w:rsid w:val="00FA6AC8"/>
    <w:rsid w:val="00FB0818"/>
    <w:rsid w:val="00FB1123"/>
    <w:rsid w:val="00FB1563"/>
    <w:rsid w:val="00FB16DF"/>
    <w:rsid w:val="00FB1CAF"/>
    <w:rsid w:val="00FB1ED7"/>
    <w:rsid w:val="00FB1F63"/>
    <w:rsid w:val="00FB47C8"/>
    <w:rsid w:val="00FB4ADE"/>
    <w:rsid w:val="00FB5345"/>
    <w:rsid w:val="00FB6254"/>
    <w:rsid w:val="00FB667A"/>
    <w:rsid w:val="00FB6704"/>
    <w:rsid w:val="00FB6C47"/>
    <w:rsid w:val="00FB74AE"/>
    <w:rsid w:val="00FC01CF"/>
    <w:rsid w:val="00FC0956"/>
    <w:rsid w:val="00FC0C29"/>
    <w:rsid w:val="00FC2F52"/>
    <w:rsid w:val="00FC4620"/>
    <w:rsid w:val="00FC4A36"/>
    <w:rsid w:val="00FC4CB4"/>
    <w:rsid w:val="00FC70F1"/>
    <w:rsid w:val="00FC73D7"/>
    <w:rsid w:val="00FC79FC"/>
    <w:rsid w:val="00FD1E9B"/>
    <w:rsid w:val="00FD39DC"/>
    <w:rsid w:val="00FD4C84"/>
    <w:rsid w:val="00FD4CD1"/>
    <w:rsid w:val="00FD691A"/>
    <w:rsid w:val="00FD6F11"/>
    <w:rsid w:val="00FD72FD"/>
    <w:rsid w:val="00FD7E85"/>
    <w:rsid w:val="00FE0F7C"/>
    <w:rsid w:val="00FE18B9"/>
    <w:rsid w:val="00FE1B4E"/>
    <w:rsid w:val="00FE1BE0"/>
    <w:rsid w:val="00FE26B3"/>
    <w:rsid w:val="00FE313E"/>
    <w:rsid w:val="00FE3276"/>
    <w:rsid w:val="00FE5782"/>
    <w:rsid w:val="00FE5818"/>
    <w:rsid w:val="00FE5FD1"/>
    <w:rsid w:val="00FF0005"/>
    <w:rsid w:val="00FF05A0"/>
    <w:rsid w:val="00FF3BEC"/>
    <w:rsid w:val="00FF4429"/>
    <w:rsid w:val="00FF5A70"/>
    <w:rsid w:val="00FF6387"/>
    <w:rsid w:val="00FF6ADA"/>
    <w:rsid w:val="00FF6E81"/>
    <w:rsid w:val="00FF7499"/>
    <w:rsid w:val="434B7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iPriority="0" w:semiHidden="0" w:name="footnote text"/>
    <w:lsdException w:uiPriority="99" w:semiHidden="0" w:name="annotation text"/>
    <w:lsdException w:qFormat="1"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name="Message Header"/>
    <w:lsdException w:qFormat="1" w:unhideWhenUsed="0" w:uiPriority="0"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IE" w:eastAsia="zh-CN" w:bidi="ar-SA"/>
    </w:rPr>
  </w:style>
  <w:style w:type="paragraph" w:styleId="2">
    <w:name w:val="heading 1"/>
    <w:basedOn w:val="1"/>
    <w:next w:val="1"/>
    <w:link w:val="41"/>
    <w:qFormat/>
    <w:uiPriority w:val="0"/>
    <w:pPr>
      <w:keepNext/>
      <w:keepLines/>
      <w:widowControl w:val="0"/>
      <w:spacing w:before="340" w:after="330" w:line="576" w:lineRule="auto"/>
      <w:jc w:val="both"/>
      <w:outlineLvl w:val="0"/>
    </w:pPr>
    <w:rPr>
      <w:rFonts w:ascii="Times New Roman" w:hAnsi="Times New Roman"/>
      <w:b/>
      <w:bCs/>
      <w:kern w:val="44"/>
      <w:sz w:val="44"/>
      <w:szCs w:val="44"/>
    </w:rPr>
  </w:style>
  <w:style w:type="paragraph" w:styleId="3">
    <w:name w:val="heading 2"/>
    <w:basedOn w:val="1"/>
    <w:next w:val="1"/>
    <w:link w:val="42"/>
    <w:qFormat/>
    <w:uiPriority w:val="0"/>
    <w:pPr>
      <w:keepNext/>
      <w:keepLines/>
      <w:widowControl w:val="0"/>
      <w:spacing w:before="260" w:after="260" w:line="412" w:lineRule="auto"/>
      <w:jc w:val="both"/>
      <w:outlineLvl w:val="1"/>
    </w:pPr>
    <w:rPr>
      <w:rFonts w:ascii="Arial" w:hAnsi="Arial" w:eastAsia="黑体"/>
      <w:b/>
      <w:bCs/>
      <w:kern w:val="2"/>
      <w:sz w:val="32"/>
      <w:szCs w:val="32"/>
    </w:rPr>
  </w:style>
  <w:style w:type="paragraph" w:styleId="4">
    <w:name w:val="heading 3"/>
    <w:basedOn w:val="1"/>
    <w:next w:val="1"/>
    <w:link w:val="43"/>
    <w:qFormat/>
    <w:uiPriority w:val="0"/>
    <w:pPr>
      <w:keepNext/>
      <w:spacing w:before="240" w:after="60"/>
      <w:outlineLvl w:val="2"/>
    </w:pPr>
    <w:rPr>
      <w:rFonts w:ascii="Cambria" w:hAnsi="Cambria"/>
      <w:b/>
      <w:bCs/>
      <w:sz w:val="26"/>
      <w:szCs w:val="26"/>
    </w:rPr>
  </w:style>
  <w:style w:type="paragraph" w:styleId="5">
    <w:name w:val="heading 4"/>
    <w:basedOn w:val="1"/>
    <w:next w:val="1"/>
    <w:link w:val="44"/>
    <w:qFormat/>
    <w:uiPriority w:val="0"/>
    <w:pPr>
      <w:keepNext/>
      <w:spacing w:before="240" w:after="60"/>
      <w:outlineLvl w:val="3"/>
    </w:pPr>
    <w:rPr>
      <w:b/>
      <w:bCs/>
      <w:sz w:val="28"/>
      <w:szCs w:val="28"/>
    </w:rPr>
  </w:style>
  <w:style w:type="paragraph" w:styleId="6">
    <w:name w:val="heading 5"/>
    <w:basedOn w:val="1"/>
    <w:next w:val="1"/>
    <w:link w:val="45"/>
    <w:qFormat/>
    <w:uiPriority w:val="0"/>
    <w:pPr>
      <w:keepNext/>
      <w:keepLines/>
      <w:spacing w:before="200" w:after="0"/>
      <w:outlineLvl w:val="4"/>
    </w:pPr>
    <w:rPr>
      <w:rFonts w:ascii="Cambria" w:hAnsi="Cambria"/>
      <w:color w:val="243F60"/>
      <w:sz w:val="20"/>
      <w:szCs w:val="20"/>
    </w:rPr>
  </w:style>
  <w:style w:type="paragraph" w:styleId="7">
    <w:name w:val="heading 6"/>
    <w:basedOn w:val="1"/>
    <w:next w:val="1"/>
    <w:link w:val="46"/>
    <w:qFormat/>
    <w:uiPriority w:val="0"/>
    <w:pPr>
      <w:keepNext/>
      <w:keepLines/>
      <w:spacing w:before="200" w:after="0"/>
      <w:outlineLvl w:val="5"/>
    </w:pPr>
    <w:rPr>
      <w:rFonts w:ascii="Cambria" w:hAnsi="Cambria"/>
      <w:i/>
      <w:iCs/>
      <w:color w:val="243F60"/>
      <w:sz w:val="20"/>
      <w:szCs w:val="20"/>
    </w:rPr>
  </w:style>
  <w:style w:type="paragraph" w:styleId="8">
    <w:name w:val="heading 7"/>
    <w:basedOn w:val="1"/>
    <w:next w:val="1"/>
    <w:link w:val="47"/>
    <w:qFormat/>
    <w:uiPriority w:val="0"/>
    <w:pPr>
      <w:keepNext/>
      <w:keepLines/>
      <w:spacing w:before="200" w:after="0"/>
      <w:outlineLvl w:val="6"/>
    </w:pPr>
    <w:rPr>
      <w:rFonts w:ascii="Cambria" w:hAnsi="Cambria"/>
      <w:i/>
      <w:iCs/>
      <w:color w:val="404040"/>
      <w:sz w:val="20"/>
      <w:szCs w:val="20"/>
    </w:rPr>
  </w:style>
  <w:style w:type="paragraph" w:styleId="9">
    <w:name w:val="heading 8"/>
    <w:basedOn w:val="1"/>
    <w:next w:val="1"/>
    <w:link w:val="48"/>
    <w:qFormat/>
    <w:uiPriority w:val="0"/>
    <w:pPr>
      <w:keepNext/>
      <w:keepLines/>
      <w:spacing w:before="200" w:after="0"/>
      <w:outlineLvl w:val="7"/>
    </w:pPr>
    <w:rPr>
      <w:rFonts w:ascii="Cambria" w:hAnsi="Cambria"/>
      <w:color w:val="4F81BD"/>
      <w:sz w:val="20"/>
      <w:szCs w:val="20"/>
    </w:rPr>
  </w:style>
  <w:style w:type="paragraph" w:styleId="10">
    <w:name w:val="heading 9"/>
    <w:basedOn w:val="1"/>
    <w:next w:val="1"/>
    <w:link w:val="49"/>
    <w:qFormat/>
    <w:uiPriority w:val="0"/>
    <w:pPr>
      <w:keepNext/>
      <w:keepLines/>
      <w:spacing w:before="200" w:after="0"/>
      <w:outlineLvl w:val="8"/>
    </w:pPr>
    <w:rPr>
      <w:rFonts w:ascii="Cambria" w:hAnsi="Cambria"/>
      <w:i/>
      <w:iCs/>
      <w:color w:val="404040"/>
      <w:sz w:val="20"/>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line="240" w:lineRule="auto"/>
    </w:pPr>
    <w:rPr>
      <w:b/>
      <w:bCs/>
      <w:color w:val="4F81BD"/>
      <w:sz w:val="18"/>
      <w:szCs w:val="18"/>
      <w:lang w:val="en-US" w:eastAsia="en-US" w:bidi="en-US"/>
    </w:rPr>
  </w:style>
  <w:style w:type="paragraph" w:styleId="12">
    <w:name w:val="Document Map"/>
    <w:basedOn w:val="1"/>
    <w:link w:val="57"/>
    <w:semiHidden/>
    <w:qFormat/>
    <w:uiPriority w:val="0"/>
    <w:pPr>
      <w:shd w:val="clear" w:color="auto" w:fill="000080"/>
    </w:pPr>
  </w:style>
  <w:style w:type="paragraph" w:styleId="13">
    <w:name w:val="annotation text"/>
    <w:basedOn w:val="1"/>
    <w:link w:val="53"/>
    <w:unhideWhenUsed/>
    <w:uiPriority w:val="99"/>
    <w:rPr>
      <w:sz w:val="20"/>
      <w:szCs w:val="20"/>
    </w:rPr>
  </w:style>
  <w:style w:type="paragraph" w:styleId="14">
    <w:name w:val="Body Text 3"/>
    <w:basedOn w:val="1"/>
    <w:link w:val="71"/>
    <w:semiHidden/>
    <w:unhideWhenUsed/>
    <w:qFormat/>
    <w:uiPriority w:val="0"/>
    <w:pPr>
      <w:widowControl w:val="0"/>
      <w:spacing w:after="0" w:line="360" w:lineRule="auto"/>
      <w:jc w:val="both"/>
    </w:pPr>
    <w:rPr>
      <w:rFonts w:ascii="Times New Roman" w:hAnsi="Times New Roman"/>
      <w:kern w:val="2"/>
      <w:sz w:val="18"/>
      <w:szCs w:val="24"/>
    </w:rPr>
  </w:style>
  <w:style w:type="paragraph" w:styleId="15">
    <w:name w:val="Body Text"/>
    <w:basedOn w:val="1"/>
    <w:link w:val="61"/>
    <w:unhideWhenUsed/>
    <w:qFormat/>
    <w:uiPriority w:val="0"/>
    <w:pPr>
      <w:widowControl w:val="0"/>
      <w:tabs>
        <w:tab w:val="left" w:pos="2415"/>
      </w:tabs>
      <w:spacing w:after="0" w:line="600" w:lineRule="exact"/>
      <w:jc w:val="both"/>
    </w:pPr>
    <w:rPr>
      <w:rFonts w:ascii="宋体" w:hAnsi="宋体"/>
      <w:sz w:val="28"/>
      <w:szCs w:val="28"/>
    </w:rPr>
  </w:style>
  <w:style w:type="paragraph" w:styleId="16">
    <w:name w:val="Body Text Indent"/>
    <w:basedOn w:val="1"/>
    <w:link w:val="63"/>
    <w:semiHidden/>
    <w:unhideWhenUsed/>
    <w:qFormat/>
    <w:uiPriority w:val="0"/>
    <w:pPr>
      <w:widowControl w:val="0"/>
      <w:spacing w:after="120" w:line="240" w:lineRule="auto"/>
      <w:ind w:left="420" w:leftChars="200"/>
      <w:jc w:val="both"/>
    </w:pPr>
    <w:rPr>
      <w:sz w:val="20"/>
      <w:szCs w:val="24"/>
    </w:rPr>
  </w:style>
  <w:style w:type="paragraph" w:styleId="17">
    <w:name w:val="toc 3"/>
    <w:basedOn w:val="1"/>
    <w:next w:val="1"/>
    <w:unhideWhenUsed/>
    <w:qFormat/>
    <w:uiPriority w:val="0"/>
    <w:pPr>
      <w:spacing w:after="100"/>
      <w:ind w:left="720" w:hanging="578"/>
    </w:pPr>
  </w:style>
  <w:style w:type="paragraph" w:styleId="18">
    <w:name w:val="Plain Text"/>
    <w:basedOn w:val="1"/>
    <w:link w:val="74"/>
    <w:unhideWhenUsed/>
    <w:qFormat/>
    <w:uiPriority w:val="0"/>
    <w:pPr>
      <w:widowControl w:val="0"/>
      <w:spacing w:after="0" w:line="240" w:lineRule="auto"/>
      <w:jc w:val="both"/>
    </w:pPr>
    <w:rPr>
      <w:rFonts w:ascii="宋体" w:hAnsi="Courier New"/>
      <w:sz w:val="20"/>
      <w:szCs w:val="21"/>
    </w:rPr>
  </w:style>
  <w:style w:type="paragraph" w:styleId="19">
    <w:name w:val="Date"/>
    <w:basedOn w:val="1"/>
    <w:next w:val="1"/>
    <w:link w:val="67"/>
    <w:semiHidden/>
    <w:unhideWhenUsed/>
    <w:qFormat/>
    <w:uiPriority w:val="0"/>
    <w:pPr>
      <w:widowControl w:val="0"/>
      <w:spacing w:after="0" w:line="240" w:lineRule="auto"/>
      <w:jc w:val="both"/>
    </w:pPr>
    <w:rPr>
      <w:rFonts w:ascii="Times New Roman" w:hAnsi="Times New Roman"/>
      <w:kern w:val="2"/>
      <w:sz w:val="21"/>
      <w:szCs w:val="20"/>
    </w:rPr>
  </w:style>
  <w:style w:type="paragraph" w:styleId="20">
    <w:name w:val="Body Text Indent 2"/>
    <w:basedOn w:val="1"/>
    <w:link w:val="72"/>
    <w:semiHidden/>
    <w:unhideWhenUsed/>
    <w:qFormat/>
    <w:uiPriority w:val="0"/>
    <w:pPr>
      <w:widowControl w:val="0"/>
      <w:spacing w:after="120" w:line="480" w:lineRule="auto"/>
      <w:ind w:left="420" w:leftChars="200"/>
      <w:jc w:val="both"/>
    </w:pPr>
    <w:rPr>
      <w:rFonts w:ascii="Times New Roman" w:hAnsi="Times New Roman"/>
      <w:kern w:val="2"/>
      <w:sz w:val="21"/>
      <w:szCs w:val="20"/>
    </w:rPr>
  </w:style>
  <w:style w:type="paragraph" w:styleId="21">
    <w:name w:val="Balloon Text"/>
    <w:basedOn w:val="1"/>
    <w:link w:val="54"/>
    <w:unhideWhenUsed/>
    <w:uiPriority w:val="0"/>
    <w:pPr>
      <w:spacing w:after="0" w:line="240" w:lineRule="auto"/>
    </w:pPr>
    <w:rPr>
      <w:rFonts w:ascii="宋体"/>
      <w:sz w:val="18"/>
      <w:szCs w:val="18"/>
    </w:rPr>
  </w:style>
  <w:style w:type="paragraph" w:styleId="22">
    <w:name w:val="footer"/>
    <w:basedOn w:val="1"/>
    <w:link w:val="52"/>
    <w:unhideWhenUsed/>
    <w:uiPriority w:val="0"/>
    <w:pPr>
      <w:tabs>
        <w:tab w:val="center" w:pos="4153"/>
        <w:tab w:val="right" w:pos="8306"/>
      </w:tabs>
      <w:spacing w:after="0" w:line="240" w:lineRule="auto"/>
    </w:pPr>
    <w:rPr>
      <w:sz w:val="20"/>
      <w:szCs w:val="20"/>
    </w:rPr>
  </w:style>
  <w:style w:type="paragraph" w:styleId="23">
    <w:name w:val="header"/>
    <w:basedOn w:val="1"/>
    <w:link w:val="51"/>
    <w:unhideWhenUsed/>
    <w:qFormat/>
    <w:uiPriority w:val="0"/>
    <w:pPr>
      <w:tabs>
        <w:tab w:val="center" w:pos="4153"/>
        <w:tab w:val="right" w:pos="8306"/>
      </w:tabs>
      <w:spacing w:after="0" w:line="240" w:lineRule="auto"/>
    </w:pPr>
    <w:rPr>
      <w:sz w:val="20"/>
      <w:szCs w:val="20"/>
    </w:rPr>
  </w:style>
  <w:style w:type="paragraph" w:styleId="24">
    <w:name w:val="toc 1"/>
    <w:basedOn w:val="1"/>
    <w:next w:val="25"/>
    <w:qFormat/>
    <w:uiPriority w:val="0"/>
    <w:pPr>
      <w:tabs>
        <w:tab w:val="right" w:leader="dot" w:pos="9072"/>
        <w:tab w:val="right" w:pos="9355"/>
      </w:tabs>
      <w:spacing w:before="240" w:after="0" w:line="240" w:lineRule="auto"/>
      <w:ind w:left="851" w:right="850" w:hanging="851"/>
      <w:jc w:val="both"/>
    </w:pPr>
    <w:rPr>
      <w:rFonts w:ascii="Arial" w:hAnsi="Arial"/>
      <w:caps/>
      <w:lang w:val="en-US"/>
    </w:rPr>
  </w:style>
  <w:style w:type="paragraph" w:styleId="25">
    <w:name w:val="toc 2"/>
    <w:basedOn w:val="24"/>
    <w:next w:val="17"/>
    <w:qFormat/>
    <w:uiPriority w:val="0"/>
    <w:pPr>
      <w:tabs>
        <w:tab w:val="right" w:pos="9072"/>
      </w:tabs>
      <w:spacing w:before="60"/>
      <w:ind w:right="851"/>
    </w:pPr>
    <w:rPr>
      <w:caps w:val="0"/>
    </w:rPr>
  </w:style>
  <w:style w:type="paragraph" w:styleId="26">
    <w:name w:val="Subtitle"/>
    <w:basedOn w:val="1"/>
    <w:next w:val="1"/>
    <w:link w:val="66"/>
    <w:qFormat/>
    <w:uiPriority w:val="0"/>
    <w:rPr>
      <w:rFonts w:ascii="Cambria" w:hAnsi="Cambria"/>
      <w:i/>
      <w:iCs/>
      <w:color w:val="4F81BD"/>
      <w:spacing w:val="15"/>
      <w:sz w:val="24"/>
      <w:szCs w:val="24"/>
    </w:rPr>
  </w:style>
  <w:style w:type="paragraph" w:styleId="27">
    <w:name w:val="footnote text"/>
    <w:basedOn w:val="1"/>
    <w:link w:val="151"/>
    <w:unhideWhenUsed/>
    <w:qFormat/>
    <w:uiPriority w:val="0"/>
    <w:pPr>
      <w:widowControl w:val="0"/>
      <w:spacing w:after="0" w:line="240" w:lineRule="auto"/>
      <w:jc w:val="both"/>
    </w:pPr>
    <w:rPr>
      <w:kern w:val="2"/>
      <w:sz w:val="20"/>
      <w:szCs w:val="20"/>
      <w:lang w:val="en-US"/>
    </w:rPr>
  </w:style>
  <w:style w:type="paragraph" w:styleId="28">
    <w:name w:val="Body Text Indent 3"/>
    <w:basedOn w:val="1"/>
    <w:link w:val="73"/>
    <w:semiHidden/>
    <w:unhideWhenUsed/>
    <w:qFormat/>
    <w:uiPriority w:val="0"/>
    <w:pPr>
      <w:widowControl w:val="0"/>
      <w:spacing w:after="120" w:line="240" w:lineRule="auto"/>
      <w:ind w:left="420" w:leftChars="200"/>
      <w:jc w:val="both"/>
    </w:pPr>
    <w:rPr>
      <w:rFonts w:ascii="Times New Roman" w:hAnsi="Times New Roman"/>
      <w:kern w:val="2"/>
      <w:sz w:val="16"/>
      <w:szCs w:val="16"/>
    </w:rPr>
  </w:style>
  <w:style w:type="paragraph" w:styleId="29">
    <w:name w:val="Body Text 2"/>
    <w:basedOn w:val="1"/>
    <w:link w:val="70"/>
    <w:semiHidden/>
    <w:unhideWhenUsed/>
    <w:qFormat/>
    <w:uiPriority w:val="0"/>
    <w:pPr>
      <w:widowControl w:val="0"/>
      <w:spacing w:before="120" w:after="120" w:line="240" w:lineRule="auto"/>
      <w:jc w:val="center"/>
    </w:pPr>
    <w:rPr>
      <w:rFonts w:ascii="Times New Roman" w:hAnsi="Times New Roman"/>
      <w:sz w:val="18"/>
      <w:szCs w:val="18"/>
    </w:rPr>
  </w:style>
  <w:style w:type="paragraph" w:styleId="30">
    <w:name w:val="Message Header"/>
    <w:basedOn w:val="1"/>
    <w:link w:val="65"/>
    <w:semiHidden/>
    <w:unhideWhenUsed/>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0" w:line="360" w:lineRule="auto"/>
      <w:ind w:left="1080" w:leftChars="500" w:hanging="1080" w:hangingChars="500"/>
      <w:jc w:val="both"/>
    </w:pPr>
    <w:rPr>
      <w:rFonts w:ascii="Arial" w:hAnsi="Arial"/>
      <w:kern w:val="2"/>
      <w:sz w:val="24"/>
      <w:szCs w:val="24"/>
    </w:rPr>
  </w:style>
  <w:style w:type="paragraph" w:styleId="31">
    <w:name w:val="Title"/>
    <w:basedOn w:val="1"/>
    <w:next w:val="1"/>
    <w:link w:val="60"/>
    <w:qFormat/>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2">
    <w:name w:val="annotation subject"/>
    <w:basedOn w:val="13"/>
    <w:next w:val="13"/>
    <w:link w:val="55"/>
    <w:unhideWhenUsed/>
    <w:uiPriority w:val="0"/>
    <w:rPr>
      <w:b/>
      <w:bCs/>
      <w:sz w:val="22"/>
      <w:szCs w:val="22"/>
    </w:rPr>
  </w:style>
  <w:style w:type="paragraph" w:styleId="33">
    <w:name w:val="Body Text First Indent"/>
    <w:basedOn w:val="15"/>
    <w:link w:val="68"/>
    <w:semiHidden/>
    <w:unhideWhenUsed/>
    <w:qFormat/>
    <w:uiPriority w:val="0"/>
    <w:pPr>
      <w:widowControl/>
      <w:tabs>
        <w:tab w:val="clear" w:pos="2415"/>
      </w:tabs>
      <w:spacing w:after="120" w:line="360" w:lineRule="auto"/>
      <w:ind w:firstLine="420" w:firstLineChars="100"/>
    </w:pPr>
    <w:rPr>
      <w:rFonts w:ascii="Times New Roman" w:hAnsi="Times New Roman"/>
      <w:sz w:val="24"/>
      <w:szCs w:val="24"/>
    </w:rPr>
  </w:style>
  <w:style w:type="paragraph" w:styleId="34">
    <w:name w:val="Body Text First Indent 2"/>
    <w:basedOn w:val="16"/>
    <w:link w:val="69"/>
    <w:semiHidden/>
    <w:unhideWhenUsed/>
    <w:qFormat/>
    <w:uiPriority w:val="0"/>
    <w:pPr>
      <w:widowControl/>
      <w:spacing w:line="360" w:lineRule="auto"/>
      <w:ind w:firstLine="420" w:firstLineChars="200"/>
    </w:pPr>
    <w:rPr>
      <w:rFonts w:ascii="仿宋_GB2312" w:eastAsia="仿宋_GB2312"/>
      <w:sz w:val="24"/>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annotation reference"/>
    <w:unhideWhenUsed/>
    <w:qFormat/>
    <w:uiPriority w:val="99"/>
    <w:rPr>
      <w:sz w:val="16"/>
      <w:szCs w:val="16"/>
    </w:rPr>
  </w:style>
  <w:style w:type="character" w:styleId="40">
    <w:name w:val="footnote reference"/>
    <w:unhideWhenUsed/>
    <w:qFormat/>
    <w:uiPriority w:val="99"/>
    <w:rPr>
      <w:vertAlign w:val="superscript"/>
    </w:rPr>
  </w:style>
  <w:style w:type="character" w:customStyle="1" w:styleId="41">
    <w:name w:val="标题 1 Char"/>
    <w:link w:val="2"/>
    <w:uiPriority w:val="0"/>
    <w:rPr>
      <w:rFonts w:ascii="Times New Roman" w:hAnsi="Times New Roman"/>
      <w:b/>
      <w:bCs/>
      <w:kern w:val="44"/>
      <w:sz w:val="44"/>
      <w:szCs w:val="44"/>
    </w:rPr>
  </w:style>
  <w:style w:type="character" w:customStyle="1" w:styleId="42">
    <w:name w:val="标题 2 Char"/>
    <w:link w:val="3"/>
    <w:qFormat/>
    <w:uiPriority w:val="0"/>
    <w:rPr>
      <w:rFonts w:ascii="Arial" w:hAnsi="Arial" w:eastAsia="黑体"/>
      <w:b/>
      <w:bCs/>
      <w:kern w:val="2"/>
      <w:sz w:val="32"/>
      <w:szCs w:val="32"/>
    </w:rPr>
  </w:style>
  <w:style w:type="character" w:customStyle="1" w:styleId="43">
    <w:name w:val="标题 3 Char"/>
    <w:link w:val="4"/>
    <w:qFormat/>
    <w:uiPriority w:val="0"/>
    <w:rPr>
      <w:rFonts w:ascii="Cambria" w:hAnsi="Cambria" w:eastAsia="宋体" w:cs="Times New Roman"/>
      <w:b/>
      <w:bCs/>
      <w:sz w:val="26"/>
      <w:szCs w:val="26"/>
      <w:lang w:val="en-IE"/>
    </w:rPr>
  </w:style>
  <w:style w:type="character" w:customStyle="1" w:styleId="44">
    <w:name w:val="标题 4 Char"/>
    <w:link w:val="5"/>
    <w:uiPriority w:val="0"/>
    <w:rPr>
      <w:rFonts w:ascii="Calibri" w:hAnsi="Calibri" w:eastAsia="宋体" w:cs="Times New Roman"/>
      <w:b/>
      <w:bCs/>
      <w:sz w:val="28"/>
      <w:szCs w:val="28"/>
      <w:lang w:val="en-IE"/>
    </w:rPr>
  </w:style>
  <w:style w:type="character" w:customStyle="1" w:styleId="45">
    <w:name w:val="标题 5 Char"/>
    <w:link w:val="6"/>
    <w:uiPriority w:val="0"/>
    <w:rPr>
      <w:rFonts w:ascii="Cambria" w:hAnsi="Cambria"/>
      <w:color w:val="243F60"/>
    </w:rPr>
  </w:style>
  <w:style w:type="character" w:customStyle="1" w:styleId="46">
    <w:name w:val="标题 6 Char"/>
    <w:link w:val="7"/>
    <w:qFormat/>
    <w:uiPriority w:val="0"/>
    <w:rPr>
      <w:rFonts w:ascii="Cambria" w:hAnsi="Cambria"/>
      <w:i/>
      <w:iCs/>
      <w:color w:val="243F60"/>
    </w:rPr>
  </w:style>
  <w:style w:type="character" w:customStyle="1" w:styleId="47">
    <w:name w:val="标题 7 Char"/>
    <w:link w:val="8"/>
    <w:uiPriority w:val="0"/>
    <w:rPr>
      <w:rFonts w:ascii="Cambria" w:hAnsi="Cambria"/>
      <w:i/>
      <w:iCs/>
      <w:color w:val="404040"/>
    </w:rPr>
  </w:style>
  <w:style w:type="character" w:customStyle="1" w:styleId="48">
    <w:name w:val="标题 8 Char"/>
    <w:link w:val="9"/>
    <w:qFormat/>
    <w:uiPriority w:val="0"/>
    <w:rPr>
      <w:rFonts w:ascii="Cambria" w:hAnsi="Cambria"/>
      <w:color w:val="4F81BD"/>
    </w:rPr>
  </w:style>
  <w:style w:type="character" w:customStyle="1" w:styleId="49">
    <w:name w:val="标题 9 Char"/>
    <w:link w:val="10"/>
    <w:uiPriority w:val="0"/>
    <w:rPr>
      <w:rFonts w:ascii="Cambria" w:hAnsi="Cambria"/>
      <w:i/>
      <w:iCs/>
      <w:color w:val="404040"/>
    </w:rPr>
  </w:style>
  <w:style w:type="paragraph" w:styleId="50">
    <w:name w:val="List Paragraph"/>
    <w:basedOn w:val="1"/>
    <w:qFormat/>
    <w:uiPriority w:val="34"/>
    <w:pPr>
      <w:ind w:left="720"/>
      <w:contextualSpacing/>
    </w:pPr>
  </w:style>
  <w:style w:type="character" w:customStyle="1" w:styleId="51">
    <w:name w:val="页眉 Char"/>
    <w:link w:val="23"/>
    <w:uiPriority w:val="0"/>
    <w:rPr>
      <w:rFonts w:ascii="Calibri" w:hAnsi="Calibri" w:eastAsia="宋体" w:cs="Times New Roman"/>
      <w:lang w:val="en-IE"/>
    </w:rPr>
  </w:style>
  <w:style w:type="character" w:customStyle="1" w:styleId="52">
    <w:name w:val="页脚 Char"/>
    <w:link w:val="22"/>
    <w:qFormat/>
    <w:uiPriority w:val="0"/>
    <w:rPr>
      <w:rFonts w:ascii="Calibri" w:hAnsi="Calibri" w:eastAsia="宋体" w:cs="Times New Roman"/>
      <w:lang w:val="en-IE"/>
    </w:rPr>
  </w:style>
  <w:style w:type="character" w:customStyle="1" w:styleId="53">
    <w:name w:val="批注文字 Char"/>
    <w:link w:val="13"/>
    <w:qFormat/>
    <w:uiPriority w:val="99"/>
    <w:rPr>
      <w:rFonts w:ascii="Calibri" w:hAnsi="Calibri" w:eastAsia="宋体" w:cs="Times New Roman"/>
      <w:sz w:val="20"/>
      <w:szCs w:val="20"/>
      <w:lang w:val="en-IE"/>
    </w:rPr>
  </w:style>
  <w:style w:type="character" w:customStyle="1" w:styleId="54">
    <w:name w:val="批注框文本 Char"/>
    <w:link w:val="21"/>
    <w:qFormat/>
    <w:uiPriority w:val="0"/>
    <w:rPr>
      <w:rFonts w:ascii="宋体" w:hAnsi="Calibri" w:eastAsia="宋体" w:cs="Times New Roman"/>
      <w:sz w:val="18"/>
      <w:szCs w:val="18"/>
      <w:lang w:val="en-IE"/>
    </w:rPr>
  </w:style>
  <w:style w:type="character" w:customStyle="1" w:styleId="55">
    <w:name w:val="批注主题 Char"/>
    <w:link w:val="32"/>
    <w:uiPriority w:val="0"/>
    <w:rPr>
      <w:rFonts w:ascii="Calibri" w:hAnsi="Calibri" w:eastAsia="宋体" w:cs="Times New Roman"/>
      <w:b/>
      <w:bCs/>
      <w:sz w:val="22"/>
      <w:szCs w:val="22"/>
      <w:lang w:val="en-IE"/>
    </w:rPr>
  </w:style>
  <w:style w:type="paragraph" w:customStyle="1" w:styleId="56">
    <w:name w:val="Revision"/>
    <w:hidden/>
    <w:uiPriority w:val="99"/>
    <w:rPr>
      <w:rFonts w:ascii="Calibri" w:hAnsi="Calibri" w:eastAsia="宋体" w:cs="Times New Roman"/>
      <w:sz w:val="22"/>
      <w:szCs w:val="22"/>
      <w:lang w:val="en-IE" w:eastAsia="zh-CN" w:bidi="ar-SA"/>
    </w:rPr>
  </w:style>
  <w:style w:type="character" w:customStyle="1" w:styleId="57">
    <w:name w:val="文档结构图 Char"/>
    <w:link w:val="12"/>
    <w:semiHidden/>
    <w:qFormat/>
    <w:uiPriority w:val="0"/>
    <w:rPr>
      <w:sz w:val="22"/>
      <w:szCs w:val="22"/>
      <w:shd w:val="clear" w:color="auto" w:fill="000080"/>
      <w:lang w:val="en-IE"/>
    </w:rPr>
  </w:style>
  <w:style w:type="paragraph" w:customStyle="1" w:styleId="58">
    <w:name w:val="p0"/>
    <w:basedOn w:val="1"/>
    <w:qFormat/>
    <w:uiPriority w:val="0"/>
    <w:pPr>
      <w:spacing w:after="0" w:line="240" w:lineRule="auto"/>
      <w:jc w:val="both"/>
    </w:pPr>
    <w:rPr>
      <w:rFonts w:ascii="Times New Roman" w:hAnsi="Times New Roman"/>
      <w:sz w:val="21"/>
      <w:szCs w:val="21"/>
      <w:lang w:val="en-US"/>
    </w:rPr>
  </w:style>
  <w:style w:type="character" w:customStyle="1" w:styleId="59">
    <w:name w:val="标题 1 Char1"/>
    <w:qFormat/>
    <w:uiPriority w:val="0"/>
    <w:rPr>
      <w:b/>
      <w:bCs/>
      <w:kern w:val="44"/>
      <w:sz w:val="44"/>
      <w:szCs w:val="44"/>
    </w:rPr>
  </w:style>
  <w:style w:type="character" w:customStyle="1" w:styleId="60">
    <w:name w:val="标题 Char"/>
    <w:link w:val="31"/>
    <w:qFormat/>
    <w:uiPriority w:val="0"/>
    <w:rPr>
      <w:rFonts w:ascii="Cambria" w:hAnsi="Cambria"/>
      <w:color w:val="17365D"/>
      <w:spacing w:val="5"/>
      <w:kern w:val="28"/>
      <w:sz w:val="52"/>
      <w:szCs w:val="52"/>
    </w:rPr>
  </w:style>
  <w:style w:type="character" w:customStyle="1" w:styleId="61">
    <w:name w:val="正文文本 Char"/>
    <w:link w:val="15"/>
    <w:qFormat/>
    <w:locked/>
    <w:uiPriority w:val="0"/>
    <w:rPr>
      <w:rFonts w:ascii="宋体" w:hAnsi="宋体"/>
      <w:sz w:val="28"/>
      <w:szCs w:val="28"/>
    </w:rPr>
  </w:style>
  <w:style w:type="character" w:customStyle="1" w:styleId="62">
    <w:name w:val="正文文本 Char1"/>
    <w:semiHidden/>
    <w:qFormat/>
    <w:uiPriority w:val="0"/>
    <w:rPr>
      <w:sz w:val="22"/>
      <w:szCs w:val="22"/>
      <w:lang w:val="en-IE"/>
    </w:rPr>
  </w:style>
  <w:style w:type="character" w:customStyle="1" w:styleId="63">
    <w:name w:val="正文文本缩进 Char"/>
    <w:link w:val="16"/>
    <w:semiHidden/>
    <w:qFormat/>
    <w:locked/>
    <w:uiPriority w:val="0"/>
    <w:rPr>
      <w:szCs w:val="24"/>
    </w:rPr>
  </w:style>
  <w:style w:type="character" w:customStyle="1" w:styleId="64">
    <w:name w:val="正文文本缩进 Char1"/>
    <w:semiHidden/>
    <w:qFormat/>
    <w:uiPriority w:val="99"/>
    <w:rPr>
      <w:sz w:val="22"/>
      <w:szCs w:val="22"/>
      <w:lang w:val="en-IE"/>
    </w:rPr>
  </w:style>
  <w:style w:type="character" w:customStyle="1" w:styleId="65">
    <w:name w:val="信息标题 Char"/>
    <w:link w:val="30"/>
    <w:semiHidden/>
    <w:qFormat/>
    <w:uiPriority w:val="0"/>
    <w:rPr>
      <w:rFonts w:ascii="Arial" w:hAnsi="Arial"/>
      <w:kern w:val="2"/>
      <w:sz w:val="24"/>
      <w:szCs w:val="24"/>
      <w:shd w:val="pct20" w:color="auto" w:fill="auto"/>
    </w:rPr>
  </w:style>
  <w:style w:type="character" w:customStyle="1" w:styleId="66">
    <w:name w:val="副标题 Char"/>
    <w:link w:val="26"/>
    <w:qFormat/>
    <w:uiPriority w:val="0"/>
    <w:rPr>
      <w:rFonts w:ascii="Cambria" w:hAnsi="Cambria"/>
      <w:i/>
      <w:iCs/>
      <w:color w:val="4F81BD"/>
      <w:spacing w:val="15"/>
      <w:sz w:val="24"/>
      <w:szCs w:val="24"/>
    </w:rPr>
  </w:style>
  <w:style w:type="character" w:customStyle="1" w:styleId="67">
    <w:name w:val="日期 Char"/>
    <w:link w:val="19"/>
    <w:semiHidden/>
    <w:qFormat/>
    <w:uiPriority w:val="0"/>
    <w:rPr>
      <w:rFonts w:ascii="Times New Roman" w:hAnsi="Times New Roman"/>
      <w:kern w:val="2"/>
      <w:sz w:val="21"/>
    </w:rPr>
  </w:style>
  <w:style w:type="character" w:customStyle="1" w:styleId="68">
    <w:name w:val="正文首行缩进 Char"/>
    <w:link w:val="33"/>
    <w:semiHidden/>
    <w:qFormat/>
    <w:uiPriority w:val="0"/>
    <w:rPr>
      <w:rFonts w:ascii="Times New Roman" w:hAnsi="Times New Roman"/>
      <w:sz w:val="24"/>
      <w:szCs w:val="24"/>
      <w:lang w:val="en-IE"/>
    </w:rPr>
  </w:style>
  <w:style w:type="character" w:customStyle="1" w:styleId="69">
    <w:name w:val="正文首行缩进 2 Char"/>
    <w:link w:val="34"/>
    <w:semiHidden/>
    <w:qFormat/>
    <w:uiPriority w:val="0"/>
    <w:rPr>
      <w:rFonts w:ascii="仿宋_GB2312" w:eastAsia="仿宋_GB2312"/>
      <w:sz w:val="24"/>
      <w:szCs w:val="24"/>
      <w:lang w:val="en-IE"/>
    </w:rPr>
  </w:style>
  <w:style w:type="character" w:customStyle="1" w:styleId="70">
    <w:name w:val="正文文本 2 Char"/>
    <w:link w:val="29"/>
    <w:semiHidden/>
    <w:qFormat/>
    <w:uiPriority w:val="0"/>
    <w:rPr>
      <w:rFonts w:ascii="Times New Roman" w:hAnsi="Times New Roman"/>
      <w:sz w:val="18"/>
      <w:szCs w:val="18"/>
    </w:rPr>
  </w:style>
  <w:style w:type="character" w:customStyle="1" w:styleId="71">
    <w:name w:val="正文文本 3 Char"/>
    <w:link w:val="14"/>
    <w:semiHidden/>
    <w:qFormat/>
    <w:uiPriority w:val="0"/>
    <w:rPr>
      <w:rFonts w:ascii="Times New Roman" w:hAnsi="Times New Roman"/>
      <w:kern w:val="2"/>
      <w:sz w:val="18"/>
      <w:szCs w:val="24"/>
    </w:rPr>
  </w:style>
  <w:style w:type="character" w:customStyle="1" w:styleId="72">
    <w:name w:val="正文文本缩进 2 Char"/>
    <w:link w:val="20"/>
    <w:semiHidden/>
    <w:qFormat/>
    <w:uiPriority w:val="0"/>
    <w:rPr>
      <w:rFonts w:ascii="Times New Roman" w:hAnsi="Times New Roman"/>
      <w:kern w:val="2"/>
      <w:sz w:val="21"/>
    </w:rPr>
  </w:style>
  <w:style w:type="character" w:customStyle="1" w:styleId="73">
    <w:name w:val="正文文本缩进 3 Char"/>
    <w:link w:val="28"/>
    <w:semiHidden/>
    <w:qFormat/>
    <w:uiPriority w:val="0"/>
    <w:rPr>
      <w:rFonts w:ascii="Times New Roman" w:hAnsi="Times New Roman"/>
      <w:kern w:val="2"/>
      <w:sz w:val="16"/>
      <w:szCs w:val="16"/>
    </w:rPr>
  </w:style>
  <w:style w:type="character" w:customStyle="1" w:styleId="74">
    <w:name w:val="纯文本 Char"/>
    <w:link w:val="18"/>
    <w:qFormat/>
    <w:locked/>
    <w:uiPriority w:val="0"/>
    <w:rPr>
      <w:rFonts w:ascii="宋体" w:hAnsi="Courier New"/>
      <w:szCs w:val="21"/>
    </w:rPr>
  </w:style>
  <w:style w:type="character" w:customStyle="1" w:styleId="75">
    <w:name w:val="纯文本 Char1"/>
    <w:semiHidden/>
    <w:qFormat/>
    <w:uiPriority w:val="0"/>
    <w:rPr>
      <w:rFonts w:ascii="宋体" w:hAnsi="Courier New" w:cs="Courier New"/>
      <w:sz w:val="21"/>
      <w:szCs w:val="21"/>
      <w:lang w:val="en-IE"/>
    </w:rPr>
  </w:style>
  <w:style w:type="paragraph" w:styleId="76">
    <w:name w:val="No Spacing"/>
    <w:qFormat/>
    <w:uiPriority w:val="0"/>
    <w:rPr>
      <w:rFonts w:ascii="Calibri" w:hAnsi="Calibri" w:eastAsia="宋体" w:cs="Times New Roman"/>
      <w:sz w:val="22"/>
      <w:szCs w:val="22"/>
      <w:lang w:val="en-US" w:eastAsia="en-US" w:bidi="en-US"/>
    </w:rPr>
  </w:style>
  <w:style w:type="paragraph" w:styleId="77">
    <w:name w:val="Quote"/>
    <w:basedOn w:val="1"/>
    <w:next w:val="1"/>
    <w:link w:val="78"/>
    <w:qFormat/>
    <w:uiPriority w:val="0"/>
    <w:rPr>
      <w:i/>
      <w:iCs/>
      <w:color w:val="000000"/>
      <w:sz w:val="20"/>
      <w:szCs w:val="20"/>
    </w:rPr>
  </w:style>
  <w:style w:type="character" w:customStyle="1" w:styleId="78">
    <w:name w:val="引用 Char"/>
    <w:link w:val="77"/>
    <w:qFormat/>
    <w:uiPriority w:val="0"/>
    <w:rPr>
      <w:i/>
      <w:iCs/>
      <w:color w:val="000000"/>
    </w:rPr>
  </w:style>
  <w:style w:type="paragraph" w:styleId="79">
    <w:name w:val="Intense Quote"/>
    <w:basedOn w:val="1"/>
    <w:next w:val="1"/>
    <w:link w:val="80"/>
    <w:qFormat/>
    <w:uiPriority w:val="0"/>
    <w:pPr>
      <w:pBdr>
        <w:bottom w:val="single" w:color="4F81BD" w:sz="4" w:space="4"/>
      </w:pBdr>
      <w:spacing w:before="200" w:after="280"/>
      <w:ind w:left="936" w:right="936"/>
    </w:pPr>
    <w:rPr>
      <w:b/>
      <w:bCs/>
      <w:i/>
      <w:iCs/>
      <w:color w:val="4F81BD"/>
      <w:sz w:val="20"/>
      <w:szCs w:val="20"/>
    </w:rPr>
  </w:style>
  <w:style w:type="character" w:customStyle="1" w:styleId="80">
    <w:name w:val="明显引用 Char"/>
    <w:link w:val="79"/>
    <w:qFormat/>
    <w:uiPriority w:val="0"/>
    <w:rPr>
      <w:b/>
      <w:bCs/>
      <w:i/>
      <w:iCs/>
      <w:color w:val="4F81BD"/>
    </w:rPr>
  </w:style>
  <w:style w:type="paragraph" w:customStyle="1" w:styleId="81">
    <w:name w:val="TOC Heading"/>
    <w:basedOn w:val="2"/>
    <w:next w:val="1"/>
    <w:qFormat/>
    <w:uiPriority w:val="0"/>
    <w:pPr>
      <w:widowControl/>
      <w:spacing w:before="240" w:after="240" w:line="276" w:lineRule="auto"/>
      <w:jc w:val="left"/>
      <w:outlineLvl w:val="9"/>
    </w:pPr>
    <w:rPr>
      <w:kern w:val="0"/>
      <w:sz w:val="28"/>
      <w:szCs w:val="28"/>
    </w:rPr>
  </w:style>
  <w:style w:type="paragraph" w:customStyle="1" w:styleId="82">
    <w:name w:val="Char3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3">
    <w:name w:val="Char Char Char Char Char Char Char Char Char"/>
    <w:basedOn w:val="1"/>
    <w:qFormat/>
    <w:uiPriority w:val="0"/>
    <w:pPr>
      <w:widowControl w:val="0"/>
      <w:spacing w:after="0" w:line="240" w:lineRule="auto"/>
      <w:jc w:val="both"/>
    </w:pPr>
    <w:rPr>
      <w:rFonts w:ascii="宋体" w:hAnsi="宋体" w:cs="Courier New"/>
      <w:kern w:val="2"/>
      <w:sz w:val="32"/>
      <w:szCs w:val="32"/>
      <w:lang w:val="en-US"/>
    </w:rPr>
  </w:style>
  <w:style w:type="paragraph" w:customStyle="1" w:styleId="84">
    <w:name w:val="默认段落字体 Para Char Char Char Char"/>
    <w:basedOn w:val="1"/>
    <w:qFormat/>
    <w:uiPriority w:val="0"/>
    <w:pPr>
      <w:widowControl w:val="0"/>
      <w:spacing w:after="0" w:line="240" w:lineRule="auto"/>
      <w:jc w:val="both"/>
    </w:pPr>
    <w:rPr>
      <w:rFonts w:ascii="Times New Roman" w:hAnsi="Times New Roman"/>
      <w:kern w:val="2"/>
      <w:sz w:val="32"/>
      <w:szCs w:val="32"/>
      <w:lang w:val="en-US"/>
    </w:rPr>
  </w:style>
  <w:style w:type="paragraph" w:customStyle="1" w:styleId="85">
    <w:name w:val="Char"/>
    <w:basedOn w:val="1"/>
    <w:qFormat/>
    <w:uiPriority w:val="0"/>
    <w:pPr>
      <w:spacing w:after="160" w:line="240" w:lineRule="exact"/>
    </w:pPr>
    <w:rPr>
      <w:rFonts w:ascii="Verdana" w:hAnsi="Verdana"/>
      <w:sz w:val="20"/>
      <w:szCs w:val="20"/>
      <w:lang w:val="en-US" w:eastAsia="en-US"/>
    </w:rPr>
  </w:style>
  <w:style w:type="paragraph" w:customStyle="1" w:styleId="86">
    <w:name w:val="Char Char16 Char Char Char Char Char Char Char Char Char Char Char Char1"/>
    <w:basedOn w:val="1"/>
    <w:qFormat/>
    <w:uiPriority w:val="0"/>
    <w:pPr>
      <w:widowControl w:val="0"/>
      <w:spacing w:after="0" w:line="240" w:lineRule="auto"/>
      <w:jc w:val="both"/>
    </w:pPr>
    <w:rPr>
      <w:rFonts w:ascii="Tahoma" w:hAnsi="Tahoma" w:cs="Tahoma"/>
      <w:kern w:val="2"/>
      <w:sz w:val="24"/>
      <w:szCs w:val="24"/>
      <w:lang w:val="en-US"/>
    </w:rPr>
  </w:style>
  <w:style w:type="paragraph" w:customStyle="1" w:styleId="87">
    <w:name w:val="font5"/>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88">
    <w:name w:val="font6"/>
    <w:basedOn w:val="1"/>
    <w:qFormat/>
    <w:uiPriority w:val="0"/>
    <w:pPr>
      <w:spacing w:before="100" w:beforeAutospacing="1" w:after="100" w:afterAutospacing="1" w:line="240" w:lineRule="auto"/>
    </w:pPr>
    <w:rPr>
      <w:rFonts w:ascii="仿宋_GB2312" w:hAnsi="宋体" w:eastAsia="仿宋_GB2312" w:cs="宋体"/>
      <w:sz w:val="20"/>
      <w:szCs w:val="20"/>
      <w:lang w:val="en-US"/>
    </w:rPr>
  </w:style>
  <w:style w:type="paragraph" w:customStyle="1" w:styleId="89">
    <w:name w:val="font7"/>
    <w:basedOn w:val="1"/>
    <w:qFormat/>
    <w:uiPriority w:val="0"/>
    <w:pPr>
      <w:spacing w:before="100" w:beforeAutospacing="1" w:after="100" w:afterAutospacing="1" w:line="240" w:lineRule="auto"/>
    </w:pPr>
    <w:rPr>
      <w:rFonts w:ascii="仿宋_GB2312" w:hAnsi="宋体" w:eastAsia="仿宋_GB2312" w:cs="宋体"/>
      <w:b/>
      <w:bCs/>
      <w:sz w:val="28"/>
      <w:szCs w:val="28"/>
      <w:lang w:val="en-US"/>
    </w:rPr>
  </w:style>
  <w:style w:type="paragraph" w:customStyle="1" w:styleId="90">
    <w:name w:val="font8"/>
    <w:basedOn w:val="1"/>
    <w:qFormat/>
    <w:uiPriority w:val="0"/>
    <w:pPr>
      <w:spacing w:before="100" w:beforeAutospacing="1" w:after="100" w:afterAutospacing="1" w:line="240" w:lineRule="auto"/>
    </w:pPr>
    <w:rPr>
      <w:rFonts w:ascii="Times New Roman" w:hAnsi="Times New Roman"/>
      <w:sz w:val="20"/>
      <w:szCs w:val="20"/>
      <w:lang w:val="en-US"/>
    </w:rPr>
  </w:style>
  <w:style w:type="paragraph" w:customStyle="1" w:styleId="91">
    <w:name w:val="font9"/>
    <w:basedOn w:val="1"/>
    <w:qFormat/>
    <w:uiPriority w:val="0"/>
    <w:pPr>
      <w:spacing w:before="100" w:beforeAutospacing="1" w:after="100" w:afterAutospacing="1" w:line="240" w:lineRule="auto"/>
    </w:pPr>
    <w:rPr>
      <w:rFonts w:ascii="仿宋_GB2312" w:hAnsi="宋体" w:eastAsia="仿宋_GB2312" w:cs="宋体"/>
      <w:color w:val="000000"/>
      <w:sz w:val="20"/>
      <w:szCs w:val="20"/>
      <w:lang w:val="en-US"/>
    </w:rPr>
  </w:style>
  <w:style w:type="paragraph" w:customStyle="1" w:styleId="92">
    <w:name w:val="font10"/>
    <w:basedOn w:val="1"/>
    <w:qFormat/>
    <w:uiPriority w:val="0"/>
    <w:pPr>
      <w:spacing w:before="100" w:beforeAutospacing="1" w:after="100" w:afterAutospacing="1" w:line="240" w:lineRule="auto"/>
    </w:pPr>
    <w:rPr>
      <w:rFonts w:ascii="Times New Roman" w:hAnsi="Times New Roman"/>
      <w:b/>
      <w:bCs/>
      <w:sz w:val="28"/>
      <w:szCs w:val="28"/>
      <w:lang w:val="en-US"/>
    </w:rPr>
  </w:style>
  <w:style w:type="paragraph" w:customStyle="1" w:styleId="93">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4">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95">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7">
    <w:name w:val="xl71"/>
    <w:basedOn w:val="1"/>
    <w:qFormat/>
    <w:uiPriority w:val="0"/>
    <w:pPr>
      <w:spacing w:before="100" w:beforeAutospacing="1" w:after="100" w:afterAutospacing="1" w:line="240" w:lineRule="auto"/>
    </w:pPr>
    <w:rPr>
      <w:rFonts w:ascii="仿宋_GB2312" w:hAnsi="宋体" w:eastAsia="仿宋_GB2312" w:cs="宋体"/>
      <w:sz w:val="24"/>
      <w:szCs w:val="24"/>
      <w:lang w:val="en-US"/>
    </w:rPr>
  </w:style>
  <w:style w:type="paragraph" w:customStyle="1" w:styleId="9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9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0">
    <w:name w:val="font11"/>
    <w:basedOn w:val="1"/>
    <w:qFormat/>
    <w:uiPriority w:val="0"/>
    <w:pPr>
      <w:spacing w:before="100" w:beforeAutospacing="1" w:after="100" w:afterAutospacing="1" w:line="240" w:lineRule="auto"/>
    </w:pPr>
    <w:rPr>
      <w:rFonts w:ascii="Times New Roman" w:hAnsi="Times New Roman"/>
      <w:b/>
      <w:bCs/>
      <w:color w:val="000000"/>
      <w:sz w:val="24"/>
      <w:szCs w:val="24"/>
      <w:lang w:val="en-US"/>
    </w:rPr>
  </w:style>
  <w:style w:type="paragraph" w:customStyle="1" w:styleId="101">
    <w:name w:val="font12"/>
    <w:basedOn w:val="1"/>
    <w:qFormat/>
    <w:uiPriority w:val="0"/>
    <w:pPr>
      <w:spacing w:before="100" w:beforeAutospacing="1" w:after="100" w:afterAutospacing="1" w:line="240" w:lineRule="auto"/>
    </w:pPr>
    <w:rPr>
      <w:rFonts w:ascii="宋体" w:hAnsi="宋体" w:cs="宋体"/>
      <w:sz w:val="18"/>
      <w:szCs w:val="18"/>
      <w:lang w:val="en-US"/>
    </w:rPr>
  </w:style>
  <w:style w:type="paragraph" w:customStyle="1" w:styleId="10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olor w:val="000000"/>
      <w:sz w:val="20"/>
      <w:szCs w:val="20"/>
      <w:lang w:val="en-US"/>
    </w:rPr>
  </w:style>
  <w:style w:type="paragraph" w:customStyle="1" w:styleId="10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5">
    <w:name w:val="xl70"/>
    <w:basedOn w:val="1"/>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b/>
      <w:bCs/>
      <w:sz w:val="28"/>
      <w:szCs w:val="28"/>
      <w:lang w:val="en-US"/>
    </w:rPr>
  </w:style>
  <w:style w:type="paragraph" w:customStyle="1" w:styleId="106">
    <w:name w:val="xl74"/>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7">
    <w:name w:val="xl7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0"/>
      <w:szCs w:val="20"/>
      <w:lang w:val="en-US"/>
    </w:rPr>
  </w:style>
  <w:style w:type="paragraph" w:customStyle="1" w:styleId="108">
    <w:name w:val="xl76"/>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仿宋_GB2312" w:hAnsi="宋体" w:eastAsia="仿宋_GB2312" w:cs="宋体"/>
      <w:color w:val="000000"/>
      <w:sz w:val="20"/>
      <w:szCs w:val="20"/>
      <w:lang w:val="en-US"/>
    </w:rPr>
  </w:style>
  <w:style w:type="character" w:customStyle="1" w:styleId="109">
    <w:name w:val="标书正文格式 Char Char Char"/>
    <w:link w:val="110"/>
    <w:qFormat/>
    <w:locked/>
    <w:uiPriority w:val="0"/>
    <w:rPr>
      <w:rFonts w:ascii="楷体_GB2312" w:eastAsia="楷体_GB2312"/>
      <w:kern w:val="2"/>
      <w:sz w:val="24"/>
      <w:szCs w:val="22"/>
      <w:lang w:val="en-US" w:eastAsia="zh-CN" w:bidi="ar-SA"/>
    </w:rPr>
  </w:style>
  <w:style w:type="paragraph" w:customStyle="1" w:styleId="110">
    <w:name w:val="标书正文格式 Char Char"/>
    <w:link w:val="109"/>
    <w:qFormat/>
    <w:uiPriority w:val="0"/>
    <w:pPr>
      <w:spacing w:line="360" w:lineRule="auto"/>
      <w:ind w:firstLine="200" w:firstLineChars="200"/>
    </w:pPr>
    <w:rPr>
      <w:rFonts w:ascii="楷体_GB2312" w:hAnsi="Calibri" w:eastAsia="楷体_GB2312" w:cs="Times New Roman"/>
      <w:kern w:val="2"/>
      <w:sz w:val="24"/>
      <w:szCs w:val="22"/>
      <w:lang w:val="en-US" w:eastAsia="zh-CN" w:bidi="ar-SA"/>
    </w:rPr>
  </w:style>
  <w:style w:type="character" w:customStyle="1" w:styleId="111">
    <w:name w:val="段 Char"/>
    <w:link w:val="112"/>
    <w:qFormat/>
    <w:locked/>
    <w:uiPriority w:val="0"/>
    <w:rPr>
      <w:rFonts w:ascii="Arial" w:hAnsi="Arial" w:cs="Arial"/>
      <w:spacing w:val="20"/>
      <w:sz w:val="24"/>
    </w:rPr>
  </w:style>
  <w:style w:type="paragraph" w:customStyle="1" w:styleId="112">
    <w:name w:val="段"/>
    <w:basedOn w:val="1"/>
    <w:link w:val="111"/>
    <w:qFormat/>
    <w:uiPriority w:val="0"/>
    <w:pPr>
      <w:widowControl w:val="0"/>
      <w:spacing w:after="120" w:line="360" w:lineRule="auto"/>
      <w:ind w:firstLine="480" w:firstLineChars="200"/>
      <w:jc w:val="both"/>
    </w:pPr>
    <w:rPr>
      <w:rFonts w:ascii="Arial" w:hAnsi="Arial"/>
      <w:spacing w:val="20"/>
      <w:sz w:val="24"/>
      <w:szCs w:val="20"/>
    </w:rPr>
  </w:style>
  <w:style w:type="character" w:customStyle="1" w:styleId="113">
    <w:name w:val="样式 段 + 黑色 Char"/>
    <w:link w:val="114"/>
    <w:qFormat/>
    <w:locked/>
    <w:uiPriority w:val="0"/>
    <w:rPr>
      <w:rFonts w:ascii="Arial" w:hAnsi="Arial" w:cs="Arial"/>
      <w:color w:val="000000"/>
      <w:spacing w:val="20"/>
      <w:sz w:val="24"/>
    </w:rPr>
  </w:style>
  <w:style w:type="paragraph" w:customStyle="1" w:styleId="114">
    <w:name w:val="样式 段 + 黑色"/>
    <w:basedOn w:val="112"/>
    <w:link w:val="113"/>
    <w:qFormat/>
    <w:uiPriority w:val="0"/>
    <w:pPr>
      <w:spacing w:after="0"/>
      <w:ind w:firstLine="200"/>
    </w:pPr>
    <w:rPr>
      <w:color w:val="000000"/>
    </w:rPr>
  </w:style>
  <w:style w:type="paragraph" w:customStyle="1" w:styleId="115">
    <w:name w:val="样式 段 + 首行缩进:  2 字符"/>
    <w:basedOn w:val="112"/>
    <w:qFormat/>
    <w:uiPriority w:val="0"/>
    <w:pPr>
      <w:spacing w:after="0"/>
      <w:ind w:firstLine="560"/>
    </w:pPr>
    <w:rPr>
      <w:rFonts w:cs="宋体"/>
    </w:rPr>
  </w:style>
  <w:style w:type="character" w:customStyle="1" w:styleId="116">
    <w:name w:val="科东_正文 Char"/>
    <w:link w:val="117"/>
    <w:qFormat/>
    <w:locked/>
    <w:uiPriority w:val="0"/>
    <w:rPr>
      <w:sz w:val="24"/>
      <w:szCs w:val="24"/>
    </w:rPr>
  </w:style>
  <w:style w:type="paragraph" w:customStyle="1" w:styleId="117">
    <w:name w:val="科东_正文"/>
    <w:basedOn w:val="1"/>
    <w:link w:val="116"/>
    <w:qFormat/>
    <w:uiPriority w:val="0"/>
    <w:pPr>
      <w:widowControl w:val="0"/>
      <w:spacing w:after="0" w:line="360" w:lineRule="auto"/>
      <w:ind w:firstLine="200" w:firstLineChars="200"/>
      <w:jc w:val="both"/>
    </w:pPr>
    <w:rPr>
      <w:sz w:val="24"/>
      <w:szCs w:val="24"/>
    </w:rPr>
  </w:style>
  <w:style w:type="character" w:customStyle="1" w:styleId="118">
    <w:name w:val="文字 Char"/>
    <w:link w:val="119"/>
    <w:qFormat/>
    <w:locked/>
    <w:uiPriority w:val="0"/>
    <w:rPr>
      <w:rFonts w:ascii="宋体" w:hAnsi="宋体"/>
      <w:sz w:val="28"/>
    </w:rPr>
  </w:style>
  <w:style w:type="paragraph" w:customStyle="1" w:styleId="119">
    <w:name w:val="文字"/>
    <w:basedOn w:val="1"/>
    <w:link w:val="118"/>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0">
    <w:name w:val="bb Char"/>
    <w:link w:val="121"/>
    <w:qFormat/>
    <w:locked/>
    <w:uiPriority w:val="0"/>
    <w:rPr>
      <w:rFonts w:ascii="宋体" w:hAnsi="宋体"/>
      <w:b/>
      <w:color w:val="000000"/>
      <w:szCs w:val="21"/>
    </w:rPr>
  </w:style>
  <w:style w:type="paragraph" w:customStyle="1" w:styleId="121">
    <w:name w:val="bb"/>
    <w:basedOn w:val="4"/>
    <w:link w:val="120"/>
    <w:qFormat/>
    <w:uiPriority w:val="0"/>
    <w:pPr>
      <w:keepLines/>
      <w:widowControl w:val="0"/>
      <w:spacing w:before="260" w:after="260" w:line="240" w:lineRule="auto"/>
      <w:jc w:val="both"/>
    </w:pPr>
    <w:rPr>
      <w:rFonts w:ascii="宋体" w:hAnsi="宋体"/>
      <w:bCs w:val="0"/>
      <w:color w:val="000000"/>
      <w:sz w:val="20"/>
      <w:szCs w:val="21"/>
    </w:rPr>
  </w:style>
  <w:style w:type="character" w:customStyle="1" w:styleId="122">
    <w:name w:val="文字 Char Char Char Char"/>
    <w:link w:val="123"/>
    <w:qFormat/>
    <w:locked/>
    <w:uiPriority w:val="0"/>
    <w:rPr>
      <w:rFonts w:ascii="宋体" w:hAnsi="宋体"/>
      <w:sz w:val="28"/>
    </w:rPr>
  </w:style>
  <w:style w:type="paragraph" w:customStyle="1" w:styleId="123">
    <w:name w:val="文字 Char Char Char"/>
    <w:basedOn w:val="1"/>
    <w:link w:val="122"/>
    <w:qFormat/>
    <w:uiPriority w:val="0"/>
    <w:pPr>
      <w:widowControl w:val="0"/>
      <w:tabs>
        <w:tab w:val="left" w:pos="8520"/>
      </w:tabs>
      <w:spacing w:after="0" w:line="312" w:lineRule="auto"/>
      <w:ind w:right="-210" w:firstLine="556"/>
      <w:jc w:val="both"/>
    </w:pPr>
    <w:rPr>
      <w:rFonts w:ascii="宋体" w:hAnsi="宋体"/>
      <w:sz w:val="28"/>
      <w:szCs w:val="20"/>
    </w:rPr>
  </w:style>
  <w:style w:type="character" w:customStyle="1" w:styleId="124">
    <w:name w:val="aaa Char"/>
    <w:link w:val="125"/>
    <w:qFormat/>
    <w:locked/>
    <w:uiPriority w:val="0"/>
    <w:rPr>
      <w:sz w:val="28"/>
      <w:szCs w:val="84"/>
    </w:rPr>
  </w:style>
  <w:style w:type="paragraph" w:customStyle="1" w:styleId="125">
    <w:name w:val="aaa"/>
    <w:basedOn w:val="1"/>
    <w:link w:val="124"/>
    <w:qFormat/>
    <w:uiPriority w:val="0"/>
    <w:pPr>
      <w:widowControl w:val="0"/>
      <w:spacing w:after="0" w:line="360" w:lineRule="auto"/>
      <w:jc w:val="both"/>
    </w:pPr>
    <w:rPr>
      <w:sz w:val="28"/>
      <w:szCs w:val="84"/>
    </w:rPr>
  </w:style>
  <w:style w:type="paragraph" w:customStyle="1" w:styleId="126">
    <w:name w:val="样式 行距: 1.5 倍行距"/>
    <w:basedOn w:val="1"/>
    <w:qFormat/>
    <w:uiPriority w:val="0"/>
    <w:pPr>
      <w:widowControl w:val="0"/>
      <w:spacing w:after="0" w:line="360" w:lineRule="auto"/>
      <w:ind w:firstLine="480" w:firstLineChars="200"/>
    </w:pPr>
    <w:rPr>
      <w:rFonts w:ascii="宋体" w:hAnsi="宋体" w:cs="宋体"/>
      <w:sz w:val="24"/>
      <w:szCs w:val="20"/>
      <w:lang w:val="en-US"/>
    </w:rPr>
  </w:style>
  <w:style w:type="paragraph" w:customStyle="1" w:styleId="127">
    <w:name w:val="Char1 Char Char Char Char Char1 Char Char Char Char"/>
    <w:basedOn w:val="1"/>
    <w:qFormat/>
    <w:uiPriority w:val="0"/>
    <w:pPr>
      <w:widowControl w:val="0"/>
      <w:spacing w:after="0" w:line="240" w:lineRule="auto"/>
      <w:jc w:val="both"/>
    </w:pPr>
    <w:rPr>
      <w:rFonts w:ascii="Times New Roman" w:hAnsi="Times New Roman"/>
      <w:kern w:val="2"/>
      <w:sz w:val="21"/>
      <w:szCs w:val="24"/>
      <w:lang w:val="en-US"/>
    </w:rPr>
  </w:style>
  <w:style w:type="paragraph" w:customStyle="1" w:styleId="128">
    <w:name w:val="样式1"/>
    <w:basedOn w:val="5"/>
    <w:next w:val="1"/>
    <w:qFormat/>
    <w:uiPriority w:val="0"/>
    <w:pPr>
      <w:keepLines/>
      <w:widowControl w:val="0"/>
      <w:spacing w:beforeLines="50" w:afterLines="50" w:line="360" w:lineRule="auto"/>
      <w:jc w:val="both"/>
    </w:pPr>
    <w:rPr>
      <w:rFonts w:ascii="Arial" w:hAnsi="Arial" w:eastAsia="黑体"/>
      <w:b w:val="0"/>
      <w:bCs w:val="0"/>
      <w:kern w:val="2"/>
      <w:sz w:val="24"/>
      <w:lang w:val="en-US"/>
    </w:rPr>
  </w:style>
  <w:style w:type="paragraph" w:customStyle="1" w:styleId="129">
    <w:name w:val="样式5"/>
    <w:basedOn w:val="1"/>
    <w:qFormat/>
    <w:uiPriority w:val="0"/>
    <w:pPr>
      <w:autoSpaceDE w:val="0"/>
      <w:autoSpaceDN w:val="0"/>
      <w:adjustRightInd w:val="0"/>
      <w:spacing w:before="120" w:after="120" w:line="240" w:lineRule="atLeast"/>
    </w:pPr>
    <w:rPr>
      <w:rFonts w:ascii="宋体" w:hAnsi="Times New Roman"/>
      <w:spacing w:val="14"/>
      <w:sz w:val="20"/>
      <w:szCs w:val="20"/>
      <w:lang w:val="en-US"/>
    </w:rPr>
  </w:style>
  <w:style w:type="paragraph" w:customStyle="1" w:styleId="130">
    <w:name w:val="Char Char Char"/>
    <w:basedOn w:val="1"/>
    <w:qFormat/>
    <w:uiPriority w:val="0"/>
    <w:pPr>
      <w:widowControl w:val="0"/>
      <w:spacing w:after="0" w:line="240" w:lineRule="auto"/>
      <w:jc w:val="both"/>
    </w:pPr>
    <w:rPr>
      <w:rFonts w:ascii="Times New Roman" w:hAnsi="Times New Roman"/>
      <w:kern w:val="2"/>
      <w:sz w:val="24"/>
      <w:szCs w:val="24"/>
      <w:lang w:val="en-US"/>
    </w:rPr>
  </w:style>
  <w:style w:type="paragraph" w:customStyle="1" w:styleId="131">
    <w:name w:val="样式3"/>
    <w:basedOn w:val="1"/>
    <w:qFormat/>
    <w:uiPriority w:val="0"/>
    <w:pPr>
      <w:autoSpaceDE w:val="0"/>
      <w:autoSpaceDN w:val="0"/>
      <w:adjustRightInd w:val="0"/>
      <w:spacing w:before="120" w:after="120" w:line="260" w:lineRule="exact"/>
    </w:pPr>
    <w:rPr>
      <w:rFonts w:ascii="宋体" w:hAnsi="Times New Roman"/>
      <w:spacing w:val="12"/>
      <w:sz w:val="20"/>
      <w:szCs w:val="20"/>
      <w:lang w:val="en-US"/>
    </w:rPr>
  </w:style>
  <w:style w:type="paragraph" w:customStyle="1" w:styleId="132">
    <w:name w:val="标准"/>
    <w:basedOn w:val="1"/>
    <w:qFormat/>
    <w:uiPriority w:val="0"/>
    <w:pPr>
      <w:widowControl w:val="0"/>
      <w:adjustRightInd w:val="0"/>
      <w:spacing w:after="0" w:line="312" w:lineRule="atLeast"/>
      <w:jc w:val="center"/>
    </w:pPr>
    <w:rPr>
      <w:rFonts w:ascii="Times New Roman" w:hAnsi="Times New Roman"/>
      <w:sz w:val="21"/>
      <w:szCs w:val="21"/>
      <w:lang w:val="en-US"/>
    </w:rPr>
  </w:style>
  <w:style w:type="character" w:customStyle="1" w:styleId="133">
    <w:name w:val="Subtle Emphasis"/>
    <w:qFormat/>
    <w:uiPriority w:val="0"/>
    <w:rPr>
      <w:i/>
      <w:iCs/>
      <w:color w:val="808080"/>
    </w:rPr>
  </w:style>
  <w:style w:type="character" w:customStyle="1" w:styleId="134">
    <w:name w:val="Intense Emphasis"/>
    <w:qFormat/>
    <w:uiPriority w:val="0"/>
    <w:rPr>
      <w:b/>
      <w:bCs/>
      <w:i/>
      <w:iCs/>
      <w:color w:val="4F81BD"/>
    </w:rPr>
  </w:style>
  <w:style w:type="character" w:customStyle="1" w:styleId="135">
    <w:name w:val="Subtle Reference"/>
    <w:qFormat/>
    <w:uiPriority w:val="0"/>
    <w:rPr>
      <w:smallCaps/>
      <w:color w:val="C0504D"/>
      <w:u w:val="single"/>
    </w:rPr>
  </w:style>
  <w:style w:type="character" w:customStyle="1" w:styleId="136">
    <w:name w:val="Intense Reference"/>
    <w:qFormat/>
    <w:uiPriority w:val="0"/>
    <w:rPr>
      <w:b/>
      <w:bCs/>
      <w:smallCaps/>
      <w:color w:val="C0504D"/>
      <w:spacing w:val="5"/>
      <w:u w:val="single"/>
    </w:rPr>
  </w:style>
  <w:style w:type="character" w:customStyle="1" w:styleId="137">
    <w:name w:val="Book Title"/>
    <w:qFormat/>
    <w:uiPriority w:val="0"/>
    <w:rPr>
      <w:b/>
      <w:bCs/>
      <w:smallCaps/>
      <w:spacing w:val="5"/>
    </w:rPr>
  </w:style>
  <w:style w:type="character" w:customStyle="1" w:styleId="138">
    <w:name w:val="Char Char17"/>
    <w:qFormat/>
    <w:uiPriority w:val="0"/>
    <w:rPr>
      <w:rFonts w:hint="default" w:ascii="Times New Roman" w:hAnsi="Times New Roman" w:eastAsia="宋体" w:cs="Times New Roman"/>
      <w:b/>
      <w:bCs/>
      <w:sz w:val="24"/>
      <w:szCs w:val="26"/>
    </w:rPr>
  </w:style>
  <w:style w:type="character" w:customStyle="1" w:styleId="139">
    <w:name w:val="Char Char16"/>
    <w:qFormat/>
    <w:uiPriority w:val="0"/>
    <w:rPr>
      <w:rFonts w:hint="default" w:ascii="Cambria" w:hAnsi="Cambria" w:eastAsia="宋体" w:cs="Times New Roman"/>
      <w:b/>
      <w:bCs/>
      <w:color w:val="000000"/>
    </w:rPr>
  </w:style>
  <w:style w:type="character" w:customStyle="1" w:styleId="140">
    <w:name w:val="Char Char15"/>
    <w:qFormat/>
    <w:uiPriority w:val="0"/>
    <w:rPr>
      <w:rFonts w:hint="default" w:ascii="Cambria" w:hAnsi="Cambria" w:eastAsia="宋体" w:cs="Times New Roman"/>
      <w:b/>
      <w:bCs/>
      <w:i/>
      <w:iCs/>
      <w:color w:val="4F81BD"/>
    </w:rPr>
  </w:style>
  <w:style w:type="character" w:customStyle="1" w:styleId="141">
    <w:name w:val="red12"/>
    <w:basedOn w:val="37"/>
    <w:qFormat/>
    <w:uiPriority w:val="0"/>
  </w:style>
  <w:style w:type="character" w:customStyle="1" w:styleId="142">
    <w:name w:val="z-窗体顶端 Char"/>
    <w:link w:val="143"/>
    <w:semiHidden/>
    <w:qFormat/>
    <w:uiPriority w:val="0"/>
    <w:rPr>
      <w:rFonts w:ascii="Arial" w:hAnsi="Arial" w:cs="Arial"/>
      <w:vanish/>
      <w:kern w:val="2"/>
      <w:sz w:val="16"/>
      <w:szCs w:val="16"/>
    </w:rPr>
  </w:style>
  <w:style w:type="paragraph" w:customStyle="1" w:styleId="143">
    <w:name w:val="HTML Top of Form"/>
    <w:basedOn w:val="1"/>
    <w:next w:val="1"/>
    <w:link w:val="142"/>
    <w:semiHidden/>
    <w:unhideWhenUsed/>
    <w:qFormat/>
    <w:uiPriority w:val="0"/>
    <w:pPr>
      <w:widowControl w:val="0"/>
      <w:pBdr>
        <w:bottom w:val="single" w:color="auto" w:sz="6" w:space="1"/>
      </w:pBdr>
      <w:spacing w:after="0" w:line="240" w:lineRule="auto"/>
      <w:jc w:val="center"/>
    </w:pPr>
    <w:rPr>
      <w:rFonts w:ascii="Arial" w:hAnsi="Arial"/>
      <w:vanish/>
      <w:kern w:val="2"/>
      <w:sz w:val="16"/>
      <w:szCs w:val="16"/>
    </w:rPr>
  </w:style>
  <w:style w:type="character" w:customStyle="1" w:styleId="144">
    <w:name w:val="z-窗体底端 Char"/>
    <w:link w:val="145"/>
    <w:semiHidden/>
    <w:qFormat/>
    <w:uiPriority w:val="0"/>
    <w:rPr>
      <w:rFonts w:ascii="Arial" w:hAnsi="Arial" w:cs="Arial"/>
      <w:vanish/>
      <w:kern w:val="2"/>
      <w:sz w:val="16"/>
      <w:szCs w:val="16"/>
    </w:rPr>
  </w:style>
  <w:style w:type="paragraph" w:customStyle="1" w:styleId="145">
    <w:name w:val="HTML Bottom of Form"/>
    <w:basedOn w:val="1"/>
    <w:next w:val="1"/>
    <w:link w:val="144"/>
    <w:semiHidden/>
    <w:unhideWhenUsed/>
    <w:qFormat/>
    <w:uiPriority w:val="0"/>
    <w:pPr>
      <w:widowControl w:val="0"/>
      <w:pBdr>
        <w:top w:val="single" w:color="auto" w:sz="6" w:space="1"/>
      </w:pBdr>
      <w:spacing w:after="0" w:line="240" w:lineRule="auto"/>
      <w:jc w:val="center"/>
    </w:pPr>
    <w:rPr>
      <w:rFonts w:ascii="Arial" w:hAnsi="Arial"/>
      <w:vanish/>
      <w:kern w:val="2"/>
      <w:sz w:val="16"/>
      <w:szCs w:val="16"/>
    </w:rPr>
  </w:style>
  <w:style w:type="paragraph" w:customStyle="1" w:styleId="146">
    <w:name w:val="列表 a）"/>
    <w:basedOn w:val="112"/>
    <w:qFormat/>
    <w:uiPriority w:val="0"/>
    <w:pPr>
      <w:tabs>
        <w:tab w:val="left" w:pos="360"/>
        <w:tab w:val="left" w:pos="420"/>
      </w:tabs>
      <w:spacing w:line="240" w:lineRule="auto"/>
      <w:ind w:left="420" w:hanging="420" w:firstLineChars="0"/>
    </w:pPr>
    <w:rPr>
      <w:rFonts w:ascii="Times New Roman" w:hAnsi="Times New Roman"/>
      <w:sz w:val="18"/>
    </w:rPr>
  </w:style>
  <w:style w:type="paragraph" w:customStyle="1" w:styleId="1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8">
    <w:name w:val="p16"/>
    <w:basedOn w:val="1"/>
    <w:qFormat/>
    <w:uiPriority w:val="0"/>
    <w:pPr>
      <w:spacing w:before="156" w:after="0" w:line="240" w:lineRule="auto"/>
      <w:jc w:val="both"/>
    </w:pPr>
    <w:rPr>
      <w:rFonts w:cs="宋体"/>
      <w:sz w:val="21"/>
      <w:szCs w:val="21"/>
      <w:lang w:val="en-US"/>
    </w:rPr>
  </w:style>
  <w:style w:type="paragraph" w:customStyle="1" w:styleId="149">
    <w:name w:val="p17"/>
    <w:basedOn w:val="1"/>
    <w:qFormat/>
    <w:uiPriority w:val="0"/>
    <w:pPr>
      <w:spacing w:before="240" w:after="0" w:line="240" w:lineRule="auto"/>
      <w:ind w:left="851" w:right="850" w:hanging="851"/>
      <w:jc w:val="both"/>
    </w:pPr>
    <w:rPr>
      <w:rFonts w:ascii="Arial" w:hAnsi="Arial" w:cs="Arial"/>
      <w:caps/>
      <w:lang w:val="en-US"/>
    </w:rPr>
  </w:style>
  <w:style w:type="paragraph" w:customStyle="1" w:styleId="150">
    <w:name w:val="p20"/>
    <w:basedOn w:val="1"/>
    <w:qFormat/>
    <w:uiPriority w:val="0"/>
    <w:pPr>
      <w:spacing w:line="273" w:lineRule="auto"/>
      <w:ind w:left="720"/>
    </w:pPr>
    <w:rPr>
      <w:rFonts w:cs="宋体"/>
      <w:lang w:val="en-US"/>
    </w:rPr>
  </w:style>
  <w:style w:type="character" w:customStyle="1" w:styleId="151">
    <w:name w:val="脚注文本 Char"/>
    <w:basedOn w:val="37"/>
    <w:link w:val="27"/>
    <w:qFormat/>
    <w:uiPriority w:val="0"/>
    <w:rPr>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13600</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14797</c:v>
                </c:pt>
                <c:pt idx="1">
                  <c:v>16643</c:v>
                </c:pt>
                <c:pt idx="2">
                  <c:v>17000</c:v>
                </c:pt>
                <c:pt idx="3">
                  <c:v>18100</c:v>
                </c:pt>
              </c:numCache>
            </c:numRef>
          </c:val>
          <c:smooth val="0"/>
        </c:ser>
        <c:dLbls>
          <c:showLegendKey val="0"/>
          <c:showVal val="0"/>
          <c:showCatName val="0"/>
          <c:showSerName val="0"/>
          <c:showPercent val="0"/>
          <c:showBubbleSize val="0"/>
        </c:dLbls>
        <c:marker val="0"/>
        <c:smooth val="0"/>
        <c:axId val="50078464"/>
        <c:axId val="50080000"/>
      </c:lineChart>
      <c:catAx>
        <c:axId val="5007846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0080000"/>
        <c:crosses val="autoZero"/>
        <c:auto val="1"/>
        <c:lblAlgn val="ctr"/>
        <c:lblOffset val="100"/>
        <c:noMultiLvlLbl val="0"/>
      </c:catAx>
      <c:valAx>
        <c:axId val="500800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00784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3442.68</c:v>
                </c:pt>
                <c:pt idx="1">
                  <c:v>3522.33</c:v>
                </c:pt>
                <c:pt idx="2">
                  <c:v>3657.33</c:v>
                </c:pt>
                <c:pt idx="3">
                  <c:v>4306.14</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3824.26</c:v>
                </c:pt>
                <c:pt idx="1">
                  <c:v>4114.26</c:v>
                </c:pt>
                <c:pt idx="2">
                  <c:v>4404.26</c:v>
                </c:pt>
                <c:pt idx="3">
                  <c:v>5567.87</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7266.93</c:v>
                </c:pt>
                <c:pt idx="1">
                  <c:v>7636.58</c:v>
                </c:pt>
                <c:pt idx="2">
                  <c:v>8061.58</c:v>
                </c:pt>
                <c:pt idx="3">
                  <c:v>9874.01</c:v>
                </c:pt>
              </c:numCache>
            </c:numRef>
          </c:val>
          <c:smooth val="0"/>
        </c:ser>
        <c:dLbls>
          <c:showLegendKey val="0"/>
          <c:showVal val="0"/>
          <c:showCatName val="0"/>
          <c:showSerName val="0"/>
          <c:showPercent val="0"/>
          <c:showBubbleSize val="0"/>
        </c:dLbls>
        <c:marker val="0"/>
        <c:smooth val="0"/>
        <c:axId val="97340032"/>
        <c:axId val="97354112"/>
      </c:lineChart>
      <c:catAx>
        <c:axId val="9734003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354112"/>
        <c:crosses val="autoZero"/>
        <c:auto val="1"/>
        <c:lblAlgn val="ctr"/>
        <c:lblOffset val="100"/>
        <c:noMultiLvlLbl val="0"/>
      </c:catAx>
      <c:valAx>
        <c:axId val="9735411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3400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229417.49</c:v>
                </c:pt>
                <c:pt idx="1">
                  <c:v>234417.49</c:v>
                </c:pt>
                <c:pt idx="2">
                  <c:v>244417.49</c:v>
                </c:pt>
                <c:pt idx="3">
                  <c:v>310424.18</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29003.31</c:v>
                </c:pt>
                <c:pt idx="1">
                  <c:v>30203.31</c:v>
                </c:pt>
                <c:pt idx="2">
                  <c:v>31003.31</c:v>
                </c:pt>
                <c:pt idx="3">
                  <c:v>36779.13</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0.00_ </c:formatCode>
                <c:ptCount val="4"/>
                <c:pt idx="0">
                  <c:v>258420.8</c:v>
                </c:pt>
                <c:pt idx="1">
                  <c:v>264620.8</c:v>
                </c:pt>
                <c:pt idx="2">
                  <c:v>275420.8</c:v>
                </c:pt>
                <c:pt idx="3" c:formatCode="General">
                  <c:v>347203.31</c:v>
                </c:pt>
              </c:numCache>
            </c:numRef>
          </c:val>
          <c:smooth val="0"/>
        </c:ser>
        <c:dLbls>
          <c:showLegendKey val="0"/>
          <c:showVal val="0"/>
          <c:showCatName val="0"/>
          <c:showSerName val="0"/>
          <c:showPercent val="0"/>
          <c:showBubbleSize val="0"/>
        </c:dLbls>
        <c:marker val="0"/>
        <c:smooth val="0"/>
        <c:axId val="95355648"/>
        <c:axId val="95357184"/>
      </c:lineChart>
      <c:catAx>
        <c:axId val="9535564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357184"/>
        <c:crosses val="autoZero"/>
        <c:auto val="1"/>
        <c:lblAlgn val="ctr"/>
        <c:lblOffset val="100"/>
        <c:noMultiLvlLbl val="0"/>
      </c:catAx>
      <c:valAx>
        <c:axId val="9535718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355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1571714.26</c:v>
                </c:pt>
                <c:pt idx="1">
                  <c:v>1619714.26</c:v>
                </c:pt>
                <c:pt idx="2">
                  <c:v>2557554.58</c:v>
                </c:pt>
                <c:pt idx="3">
                  <c:v>2799714.26</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2688.38</c:v>
                </c:pt>
                <c:pt idx="1">
                  <c:v>2988.38</c:v>
                </c:pt>
                <c:pt idx="2">
                  <c:v>3388.38</c:v>
                </c:pt>
                <c:pt idx="3">
                  <c:v>3888.38</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1574402.64</c:v>
                </c:pt>
                <c:pt idx="1">
                  <c:v>1622702.64</c:v>
                </c:pt>
                <c:pt idx="2">
                  <c:v>2560942.96</c:v>
                </c:pt>
                <c:pt idx="3">
                  <c:v>2803602.64</c:v>
                </c:pt>
              </c:numCache>
            </c:numRef>
          </c:val>
          <c:smooth val="0"/>
        </c:ser>
        <c:dLbls>
          <c:showLegendKey val="0"/>
          <c:showVal val="0"/>
          <c:showCatName val="0"/>
          <c:showSerName val="0"/>
          <c:showPercent val="0"/>
          <c:showBubbleSize val="0"/>
        </c:dLbls>
        <c:marker val="0"/>
        <c:smooth val="0"/>
        <c:axId val="95404416"/>
        <c:axId val="95405952"/>
      </c:lineChart>
      <c:catAx>
        <c:axId val="9540441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405952"/>
        <c:crosses val="autoZero"/>
        <c:auto val="1"/>
        <c:lblAlgn val="ctr"/>
        <c:lblOffset val="100"/>
        <c:noMultiLvlLbl val="0"/>
      </c:catAx>
      <c:valAx>
        <c:axId val="9540595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40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1000</c:v>
                </c:pt>
                <c:pt idx="1">
                  <c:v>3000</c:v>
                </c:pt>
                <c:pt idx="2">
                  <c:v>3500</c:v>
                </c:pt>
                <c:pt idx="3">
                  <c:v>4500</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14000</c:v>
                </c:pt>
                <c:pt idx="1">
                  <c:v>13000</c:v>
                </c:pt>
                <c:pt idx="2">
                  <c:v>13500</c:v>
                </c:pt>
                <c:pt idx="3">
                  <c:v>13600</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15000</c:v>
                </c:pt>
                <c:pt idx="1">
                  <c:v>16000</c:v>
                </c:pt>
                <c:pt idx="2">
                  <c:v>17000</c:v>
                </c:pt>
                <c:pt idx="3">
                  <c:v>18100</c:v>
                </c:pt>
              </c:numCache>
            </c:numRef>
          </c:val>
          <c:smooth val="0"/>
        </c:ser>
        <c:dLbls>
          <c:showLegendKey val="0"/>
          <c:showVal val="0"/>
          <c:showCatName val="0"/>
          <c:showSerName val="0"/>
          <c:showPercent val="0"/>
          <c:showBubbleSize val="0"/>
        </c:dLbls>
        <c:marker val="0"/>
        <c:smooth val="0"/>
        <c:axId val="95629312"/>
        <c:axId val="95630848"/>
      </c:lineChart>
      <c:catAx>
        <c:axId val="9562931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30848"/>
        <c:crosses val="autoZero"/>
        <c:auto val="1"/>
        <c:lblAlgn val="ctr"/>
        <c:lblOffset val="100"/>
        <c:noMultiLvlLbl val="0"/>
      </c:catAx>
      <c:valAx>
        <c:axId val="9563084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29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a:solidFill>
                <a:srgbClr val="4F81B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5000</c:v>
                </c:pt>
                <c:pt idx="1">
                  <c:v>3000</c:v>
                </c:pt>
                <c:pt idx="2">
                  <c:v>3500</c:v>
                </c:pt>
                <c:pt idx="3">
                  <c:v>2000</c:v>
                </c:pt>
              </c:numCache>
            </c:numRef>
          </c:val>
          <c:smooth val="0"/>
        </c:ser>
        <c:ser>
          <c:idx val="1"/>
          <c:order val="1"/>
          <c:tx>
            <c:strRef>
              <c:f>'[新建 XLS 工作表.xls]Sheet1'!$E$53</c:f>
              <c:strCache>
                <c:ptCount val="1"/>
                <c:pt idx="0">
                  <c:v>间接排放量（tCO2）</c:v>
                </c:pt>
              </c:strCache>
            </c:strRef>
          </c:tx>
          <c:spPr>
            <a:ln w="28575" cap="rnd">
              <a:solidFill>
                <a:srgbClr val="C0504D"/>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14297</c:v>
                </c:pt>
                <c:pt idx="1">
                  <c:v>13643</c:v>
                </c:pt>
                <c:pt idx="2">
                  <c:v>13500</c:v>
                </c:pt>
                <c:pt idx="3">
                  <c:v>12000</c:v>
                </c:pt>
              </c:numCache>
            </c:numRef>
          </c:val>
          <c:smooth val="0"/>
        </c:ser>
        <c:ser>
          <c:idx val="2"/>
          <c:order val="2"/>
          <c:tx>
            <c:strRef>
              <c:f>'[新建 XLS 工作表.xls]Sheet1'!$F$53</c:f>
              <c:strCache>
                <c:ptCount val="1"/>
                <c:pt idx="0">
                  <c:v>排放总量（tCO2）</c:v>
                </c:pt>
              </c:strCache>
            </c:strRef>
          </c:tx>
          <c:spPr>
            <a:ln w="28575" cap="rnd">
              <a:solidFill>
                <a:srgbClr val="9BBB59"/>
              </a:solidFill>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19297</c:v>
                </c:pt>
                <c:pt idx="1">
                  <c:v>16643</c:v>
                </c:pt>
                <c:pt idx="2">
                  <c:v>17000</c:v>
                </c:pt>
                <c:pt idx="3">
                  <c:v>14000</c:v>
                </c:pt>
              </c:numCache>
            </c:numRef>
          </c:val>
          <c:smooth val="0"/>
        </c:ser>
        <c:dLbls>
          <c:showLegendKey val="0"/>
          <c:showVal val="0"/>
          <c:showCatName val="0"/>
          <c:showSerName val="0"/>
          <c:showPercent val="0"/>
          <c:showBubbleSize val="0"/>
        </c:dLbls>
        <c:marker val="0"/>
        <c:smooth val="0"/>
        <c:axId val="95640960"/>
        <c:axId val="95650944"/>
      </c:lineChart>
      <c:catAx>
        <c:axId val="9564096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50944"/>
        <c:crosses val="autoZero"/>
        <c:auto val="1"/>
        <c:lblAlgn val="ctr"/>
        <c:lblOffset val="100"/>
        <c:noMultiLvlLbl val="0"/>
      </c:catAx>
      <c:valAx>
        <c:axId val="9565094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40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工作表.xls]Sheet1'!$C$25</c:f>
              <c:strCache>
                <c:ptCount val="1"/>
                <c:pt idx="0">
                  <c:v>化石燃料燃烧排放量（tCO2）</c:v>
                </c:pt>
              </c:strCache>
            </c:strRef>
          </c:tx>
          <c:spPr>
            <a:ln w="28575" cap="rnd" cmpd="sng" algn="ctr">
              <a:solidFill>
                <a:srgbClr val="4F81B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工作表.xls]Sheet1'!$C$26:$C$29</c:f>
              <c:numCache>
                <c:formatCode>0.00_ </c:formatCode>
                <c:ptCount val="4"/>
                <c:pt idx="0">
                  <c:v>29000</c:v>
                </c:pt>
                <c:pt idx="1">
                  <c:v>29800</c:v>
                </c:pt>
                <c:pt idx="2">
                  <c:v>30200</c:v>
                </c:pt>
                <c:pt idx="3">
                  <c:v>34000</c:v>
                </c:pt>
              </c:numCache>
            </c:numRef>
          </c:val>
          <c:smooth val="0"/>
        </c:ser>
        <c:ser>
          <c:idx val="1"/>
          <c:order val="1"/>
          <c:tx>
            <c:strRef>
              <c:f>'[新建 XLS 工作表.xls]Sheet1'!$F$25</c:f>
              <c:strCache>
                <c:ptCount val="1"/>
                <c:pt idx="0">
                  <c:v> 过程排放量（tCO2）</c:v>
                </c:pt>
              </c:strCache>
            </c:strRef>
          </c:tx>
          <c:spPr>
            <a:ln w="28575" cap="rnd" cmpd="sng" algn="ctr">
              <a:solidFill>
                <a:srgbClr val="7030A0"/>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工作表.xls]Sheet1'!$F$26:$F$29</c:f>
              <c:numCache>
                <c:formatCode>0.00_ </c:formatCode>
                <c:ptCount val="4"/>
                <c:pt idx="0">
                  <c:v>4</c:v>
                </c:pt>
                <c:pt idx="1">
                  <c:v>5</c:v>
                </c:pt>
                <c:pt idx="2">
                  <c:v>12</c:v>
                </c:pt>
                <c:pt idx="3">
                  <c:v>20</c:v>
                </c:pt>
              </c:numCache>
            </c:numRef>
          </c:val>
          <c:smooth val="0"/>
        </c:ser>
        <c:ser>
          <c:idx val="2"/>
          <c:order val="2"/>
          <c:tx>
            <c:strRef>
              <c:f>'[新建 XLS 工作表.xls]Sheet1'!$D$25</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工作表.xls]Sheet1'!$D$26:$D$29</c:f>
              <c:numCache>
                <c:formatCode>General</c:formatCode>
                <c:ptCount val="4"/>
                <c:pt idx="0">
                  <c:v>900</c:v>
                </c:pt>
                <c:pt idx="1">
                  <c:v>1000</c:v>
                </c:pt>
                <c:pt idx="2">
                  <c:v>1100</c:v>
                </c:pt>
                <c:pt idx="3">
                  <c:v>1300</c:v>
                </c:pt>
              </c:numCache>
            </c:numRef>
          </c:val>
          <c:smooth val="0"/>
        </c:ser>
        <c:ser>
          <c:idx val="3"/>
          <c:order val="3"/>
          <c:tx>
            <c:strRef>
              <c:f>'[新建 XLS 工作表.xls]Sheet1'!$E$25</c:f>
              <c:strCache>
                <c:ptCount val="1"/>
                <c:pt idx="0">
                  <c:v> 排放总量（tCO2）</c:v>
                </c:pt>
              </c:strCache>
            </c:strRef>
          </c:tx>
          <c:spPr>
            <a:ln w="28575" cap="rnd" cmpd="sng" algn="ctr">
              <a:solidFill>
                <a:srgbClr val="9BBB59"/>
              </a:solidFill>
              <a:prstDash val="solid"/>
              <a:round/>
            </a:ln>
            <a:effectLst/>
          </c:spPr>
          <c:marker>
            <c:symbol val="none"/>
          </c:marker>
          <c:dLbls>
            <c:delete val="1"/>
          </c:dLbls>
          <c:cat>
            <c:numRef>
              <c:f>'[新建 XLS 工作表.xls]Sheet1'!$B$26:$B$29</c:f>
              <c:numCache>
                <c:formatCode>General</c:formatCode>
                <c:ptCount val="4"/>
                <c:pt idx="0">
                  <c:v>2016</c:v>
                </c:pt>
                <c:pt idx="1">
                  <c:v>2017</c:v>
                </c:pt>
                <c:pt idx="2">
                  <c:v>2018</c:v>
                </c:pt>
                <c:pt idx="3">
                  <c:v>2019</c:v>
                </c:pt>
              </c:numCache>
            </c:numRef>
          </c:cat>
          <c:val>
            <c:numRef>
              <c:f>'[新建 XLS 工作表.xls]Sheet1'!$E$26:$E$29</c:f>
              <c:numCache>
                <c:formatCode>0.00_ </c:formatCode>
                <c:ptCount val="4"/>
                <c:pt idx="0">
                  <c:v>29904</c:v>
                </c:pt>
                <c:pt idx="1">
                  <c:v>30805</c:v>
                </c:pt>
                <c:pt idx="2">
                  <c:v>31312</c:v>
                </c:pt>
                <c:pt idx="3">
                  <c:v>35320</c:v>
                </c:pt>
              </c:numCache>
            </c:numRef>
          </c:val>
          <c:smooth val="0"/>
        </c:ser>
        <c:dLbls>
          <c:showLegendKey val="0"/>
          <c:showVal val="0"/>
          <c:showCatName val="0"/>
          <c:showSerName val="0"/>
          <c:showPercent val="0"/>
          <c:showBubbleSize val="0"/>
        </c:dLbls>
        <c:marker val="0"/>
        <c:smooth val="0"/>
        <c:axId val="96211712"/>
        <c:axId val="96213248"/>
      </c:lineChart>
      <c:catAx>
        <c:axId val="96211712"/>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13248"/>
        <c:crosses val="autoZero"/>
        <c:auto val="1"/>
        <c:lblAlgn val="ctr"/>
        <c:lblOffset val="100"/>
        <c:noMultiLvlLbl val="0"/>
      </c:catAx>
      <c:valAx>
        <c:axId val="9621324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11712"/>
        <c:crosses val="autoZero"/>
        <c:crossBetween val="between"/>
      </c:valAx>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8100</c:v>
                </c:pt>
                <c:pt idx="1">
                  <c:v>10125</c:v>
                </c:pt>
                <c:pt idx="2">
                  <c:v>10952.42</c:v>
                </c:pt>
                <c:pt idx="3">
                  <c:v>10616.72</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1145500</c:v>
                </c:pt>
                <c:pt idx="1">
                  <c:v>1152750</c:v>
                </c:pt>
                <c:pt idx="2">
                  <c:v>1163737.64</c:v>
                </c:pt>
                <c:pt idx="3">
                  <c:v>1192094.66</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1153600</c:v>
                </c:pt>
                <c:pt idx="1">
                  <c:v>1162875</c:v>
                </c:pt>
                <c:pt idx="2">
                  <c:v>1174690.05</c:v>
                </c:pt>
                <c:pt idx="3">
                  <c:v>1202711.39</c:v>
                </c:pt>
              </c:numCache>
            </c:numRef>
          </c:val>
          <c:smooth val="0"/>
        </c:ser>
        <c:dLbls>
          <c:showLegendKey val="0"/>
          <c:showVal val="0"/>
          <c:showCatName val="0"/>
          <c:showSerName val="0"/>
          <c:showPercent val="0"/>
          <c:showBubbleSize val="0"/>
        </c:dLbls>
        <c:marker val="0"/>
        <c:smooth val="0"/>
        <c:axId val="96256000"/>
        <c:axId val="96257536"/>
      </c:lineChart>
      <c:catAx>
        <c:axId val="96256000"/>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57536"/>
        <c:crosses val="autoZero"/>
        <c:auto val="1"/>
        <c:lblAlgn val="ctr"/>
        <c:lblOffset val="100"/>
        <c:noMultiLvlLbl val="0"/>
      </c:catAx>
      <c:valAx>
        <c:axId val="96257536"/>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62560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0</c:v>
                </c:pt>
                <c:pt idx="1">
                  <c:v>0</c:v>
                </c:pt>
                <c:pt idx="2">
                  <c:v>0</c:v>
                </c:pt>
                <c:pt idx="3">
                  <c:v>0</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8248.15</c:v>
                </c:pt>
                <c:pt idx="1">
                  <c:v>8683.15</c:v>
                </c:pt>
                <c:pt idx="2">
                  <c:v>10252.96</c:v>
                </c:pt>
                <c:pt idx="3">
                  <c:v>15256.41</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8248.15</c:v>
                </c:pt>
                <c:pt idx="1">
                  <c:v>8683.15</c:v>
                </c:pt>
                <c:pt idx="2">
                  <c:v>10252.96</c:v>
                </c:pt>
                <c:pt idx="3">
                  <c:v>15256.41</c:v>
                </c:pt>
              </c:numCache>
            </c:numRef>
          </c:val>
          <c:smooth val="0"/>
        </c:ser>
        <c:dLbls>
          <c:showLegendKey val="0"/>
          <c:showVal val="0"/>
          <c:showCatName val="0"/>
          <c:showSerName val="0"/>
          <c:showPercent val="0"/>
          <c:showBubbleSize val="0"/>
        </c:dLbls>
        <c:marker val="0"/>
        <c:smooth val="0"/>
        <c:axId val="97193344"/>
        <c:axId val="97232000"/>
      </c:lineChart>
      <c:catAx>
        <c:axId val="97193344"/>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32000"/>
        <c:crosses val="autoZero"/>
        <c:auto val="1"/>
        <c:lblAlgn val="ctr"/>
        <c:lblOffset val="100"/>
        <c:noMultiLvlLbl val="0"/>
      </c:catAx>
      <c:valAx>
        <c:axId val="9723200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193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'[新建 XLS 工作表.xls]Sheet1'!$D$53</c:f>
              <c:strCache>
                <c:ptCount val="1"/>
                <c:pt idx="0">
                  <c:v>直接排放量（tCO2）</c:v>
                </c:pt>
              </c:strCache>
            </c:strRef>
          </c:tx>
          <c:spPr>
            <a:ln w="28575" cap="rnd" cmpd="sng" algn="ctr">
              <a:solidFill>
                <a:srgbClr val="4F81B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工作表.xls]Sheet1'!$D$54:$D$57</c:f>
              <c:numCache>
                <c:formatCode>General</c:formatCode>
                <c:ptCount val="4"/>
                <c:pt idx="0">
                  <c:v>810</c:v>
                </c:pt>
                <c:pt idx="1">
                  <c:v>830.25</c:v>
                </c:pt>
                <c:pt idx="2">
                  <c:v>983.349999999999</c:v>
                </c:pt>
                <c:pt idx="3">
                  <c:v>950.56</c:v>
                </c:pt>
              </c:numCache>
            </c:numRef>
          </c:val>
          <c:smooth val="0"/>
        </c:ser>
        <c:ser>
          <c:idx val="1"/>
          <c:order val="1"/>
          <c:tx>
            <c:strRef>
              <c:f>'[新建 XLS 工作表.xls]Sheet1'!$E$53</c:f>
              <c:strCache>
                <c:ptCount val="1"/>
                <c:pt idx="0">
                  <c:v>间接排放量（tCO2）</c:v>
                </c:pt>
              </c:strCache>
            </c:strRef>
          </c:tx>
          <c:spPr>
            <a:ln w="28575" cap="rnd" cmpd="sng" algn="ctr">
              <a:solidFill>
                <a:srgbClr val="C0504D"/>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工作表.xls]Sheet1'!$E$54:$E$57</c:f>
              <c:numCache>
                <c:formatCode>General</c:formatCode>
                <c:ptCount val="4"/>
                <c:pt idx="0">
                  <c:v>22067.8</c:v>
                </c:pt>
                <c:pt idx="1">
                  <c:v>22357.8</c:v>
                </c:pt>
                <c:pt idx="2">
                  <c:v>22647.8</c:v>
                </c:pt>
                <c:pt idx="3">
                  <c:v>24628.5</c:v>
                </c:pt>
              </c:numCache>
            </c:numRef>
          </c:val>
          <c:smooth val="0"/>
        </c:ser>
        <c:ser>
          <c:idx val="2"/>
          <c:order val="2"/>
          <c:tx>
            <c:strRef>
              <c:f>'[新建 XLS 工作表.xls]Sheet1'!$F$53</c:f>
              <c:strCache>
                <c:ptCount val="1"/>
                <c:pt idx="0">
                  <c:v>排放总量（tCO2）</c:v>
                </c:pt>
              </c:strCache>
            </c:strRef>
          </c:tx>
          <c:spPr>
            <a:ln w="28575" cap="rnd" cmpd="sng" algn="ctr">
              <a:solidFill>
                <a:srgbClr val="9BBB59"/>
              </a:solidFill>
              <a:prstDash val="solid"/>
              <a:round/>
            </a:ln>
            <a:effectLst/>
          </c:spPr>
          <c:marker>
            <c:symbol val="none"/>
          </c:marker>
          <c:dLbls>
            <c:delete val="1"/>
          </c:dLbls>
          <c:cat>
            <c:numRef>
              <c:f>'[新建 XLS 工作表.xls]Sheet1'!$C$54:$C$57</c:f>
              <c:numCache>
                <c:formatCode>General</c:formatCode>
                <c:ptCount val="4"/>
                <c:pt idx="0">
                  <c:v>2016</c:v>
                </c:pt>
                <c:pt idx="1">
                  <c:v>2017</c:v>
                </c:pt>
                <c:pt idx="2">
                  <c:v>2018</c:v>
                </c:pt>
                <c:pt idx="3">
                  <c:v>2019</c:v>
                </c:pt>
              </c:numCache>
            </c:numRef>
          </c:cat>
          <c:val>
            <c:numRef>
              <c:f>'[新建 XLS 工作表.xls]Sheet1'!$F$54:$F$57</c:f>
              <c:numCache>
                <c:formatCode>General</c:formatCode>
                <c:ptCount val="4"/>
                <c:pt idx="0">
                  <c:v>22877.8</c:v>
                </c:pt>
                <c:pt idx="1">
                  <c:v>23188.05</c:v>
                </c:pt>
                <c:pt idx="2">
                  <c:v>23631.15</c:v>
                </c:pt>
                <c:pt idx="3">
                  <c:v>25579.06</c:v>
                </c:pt>
              </c:numCache>
            </c:numRef>
          </c:val>
          <c:smooth val="0"/>
        </c:ser>
        <c:dLbls>
          <c:showLegendKey val="0"/>
          <c:showVal val="0"/>
          <c:showCatName val="0"/>
          <c:showSerName val="0"/>
          <c:showPercent val="0"/>
          <c:showBubbleSize val="0"/>
        </c:dLbls>
        <c:marker val="0"/>
        <c:smooth val="0"/>
        <c:axId val="97266688"/>
        <c:axId val="97268480"/>
      </c:lineChart>
      <c:catAx>
        <c:axId val="97266688"/>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68480"/>
        <c:crosses val="autoZero"/>
        <c:auto val="1"/>
        <c:lblAlgn val="ctr"/>
        <c:lblOffset val="100"/>
        <c:noMultiLvlLbl val="0"/>
      </c:catAx>
      <c:valAx>
        <c:axId val="972684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2666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6A59-1595-4BA3-A7EB-BC5E7205B89F}">
  <ds:schemaRefs/>
</ds:datastoreItem>
</file>

<file path=docProps/app.xml><?xml version="1.0" encoding="utf-8"?>
<Properties xmlns="http://schemas.openxmlformats.org/officeDocument/2006/extended-properties" xmlns:vt="http://schemas.openxmlformats.org/officeDocument/2006/docPropsVTypes">
  <Template>Normal</Template>
  <Pages>92</Pages>
  <Words>33004</Words>
  <Characters>37319</Characters>
  <Lines>287</Lines>
  <Paragraphs>80</Paragraphs>
  <TotalTime>1259</TotalTime>
  <ScaleCrop>false</ScaleCrop>
  <LinksUpToDate>false</LinksUpToDate>
  <CharactersWithSpaces>37792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2020-03-02T07:21:00Z</dcterms:created>
  <dc:creator>RW</dc:creator>
  <cp:lastModifiedBy>Administrator</cp:lastModifiedBy>
  <cp:lastPrinted>2015-12-25T08:13:00Z</cp:lastPrinted>
  <dcterms:modified xsi:type="dcterms:W3CDTF">2022-11-23T04:42:46Z</dcterms:modified>
  <dc:title>北京市碳排放权交易核查机构</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83ACC7A894044B7FBF3FFC68DFBE31D7</vt:lpwstr>
  </property>
</Properties>
</file>