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0673">
      <w:pPr>
        <w:pStyle w:val="50"/>
        <w:spacing w:after="0" w:line="560" w:lineRule="exact"/>
        <w:ind w:left="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5BAD5BC2">
      <w:pPr>
        <w:pStyle w:val="50"/>
        <w:spacing w:after="0" w:line="560" w:lineRule="exact"/>
        <w:ind w:left="0"/>
        <w:rPr>
          <w:rFonts w:ascii="黑体" w:hAnsi="黑体" w:eastAsia="黑体"/>
          <w:sz w:val="32"/>
          <w:szCs w:val="32"/>
        </w:rPr>
      </w:pPr>
    </w:p>
    <w:p w14:paraId="11A40401">
      <w:pPr>
        <w:pStyle w:val="50"/>
        <w:spacing w:after="0" w:line="560" w:lineRule="exact"/>
        <w:ind w:left="0"/>
        <w:rPr>
          <w:rFonts w:ascii="黑体" w:hAnsi="黑体" w:eastAsia="黑体"/>
          <w:sz w:val="32"/>
          <w:szCs w:val="32"/>
        </w:rPr>
      </w:pPr>
    </w:p>
    <w:p w14:paraId="6FC93058">
      <w:pPr>
        <w:pStyle w:val="50"/>
        <w:spacing w:after="0" w:line="560" w:lineRule="exact"/>
        <w:ind w:left="0"/>
        <w:rPr>
          <w:rFonts w:ascii="黑体" w:hAnsi="黑体" w:eastAsia="黑体"/>
          <w:sz w:val="32"/>
          <w:szCs w:val="32"/>
        </w:rPr>
      </w:pPr>
    </w:p>
    <w:p w14:paraId="00213802">
      <w:pPr>
        <w:pStyle w:val="50"/>
        <w:spacing w:after="0" w:line="560" w:lineRule="exact"/>
        <w:ind w:left="0"/>
        <w:rPr>
          <w:rFonts w:ascii="黑体" w:hAnsi="黑体" w:eastAsia="黑体"/>
          <w:sz w:val="32"/>
          <w:szCs w:val="32"/>
        </w:rPr>
      </w:pPr>
    </w:p>
    <w:p w14:paraId="08D83BB1">
      <w:pPr>
        <w:pStyle w:val="50"/>
        <w:spacing w:after="0" w:line="560" w:lineRule="exact"/>
        <w:ind w:left="0"/>
        <w:rPr>
          <w:rFonts w:ascii="仿宋_GB2312" w:hAnsi="仿宋" w:eastAsia="仿宋_GB2312"/>
          <w:sz w:val="32"/>
          <w:szCs w:val="32"/>
        </w:rPr>
      </w:pPr>
    </w:p>
    <w:p w14:paraId="59403EF7">
      <w:pPr>
        <w:pStyle w:val="50"/>
        <w:spacing w:after="0" w:line="560" w:lineRule="exact"/>
        <w:ind w:left="0"/>
        <w:rPr>
          <w:rFonts w:ascii="仿宋_GB2312" w:hAnsi="仿宋" w:eastAsia="仿宋_GB2312"/>
          <w:sz w:val="32"/>
          <w:szCs w:val="32"/>
        </w:rPr>
      </w:pPr>
    </w:p>
    <w:p w14:paraId="3AEF9604">
      <w:pPr>
        <w:pStyle w:val="50"/>
        <w:spacing w:after="0" w:line="480" w:lineRule="auto"/>
        <w:ind w:left="0"/>
        <w:jc w:val="center"/>
        <w:rPr>
          <w:rFonts w:ascii="宋体" w:hAnsi="宋体"/>
          <w:b/>
          <w:sz w:val="44"/>
          <w:szCs w:val="44"/>
        </w:rPr>
      </w:pPr>
      <w:r>
        <w:rPr>
          <w:rFonts w:hint="eastAsia" w:ascii="宋体" w:hAnsi="宋体"/>
          <w:b/>
          <w:sz w:val="44"/>
          <w:szCs w:val="44"/>
        </w:rPr>
        <w:t>北京市碳排放第三方核查报告</w:t>
      </w:r>
    </w:p>
    <w:p w14:paraId="78E462E9">
      <w:pPr>
        <w:pStyle w:val="50"/>
        <w:spacing w:after="0" w:line="480" w:lineRule="auto"/>
        <w:ind w:left="0"/>
        <w:jc w:val="center"/>
        <w:rPr>
          <w:rFonts w:ascii="仿宋_GB2312" w:hAnsi="宋体" w:eastAsia="仿宋_GB2312"/>
          <w:sz w:val="32"/>
          <w:szCs w:val="32"/>
        </w:rPr>
      </w:pPr>
      <w:r>
        <w:rPr>
          <w:rFonts w:hint="eastAsia" w:ascii="宋体" w:hAnsi="宋体"/>
          <w:b/>
          <w:sz w:val="44"/>
          <w:szCs w:val="44"/>
        </w:rPr>
        <w:t>编写指南</w:t>
      </w:r>
    </w:p>
    <w:p w14:paraId="6985EE8F">
      <w:pPr>
        <w:spacing w:after="0" w:line="560" w:lineRule="exact"/>
        <w:ind w:firstLine="902"/>
        <w:jc w:val="center"/>
        <w:rPr>
          <w:rFonts w:ascii="方正小标宋简体" w:hAnsi="仿宋" w:eastAsia="方正小标宋简体"/>
          <w:sz w:val="44"/>
          <w:szCs w:val="44"/>
        </w:rPr>
      </w:pPr>
    </w:p>
    <w:p w14:paraId="3FB2D03A">
      <w:pPr>
        <w:spacing w:after="0" w:line="560" w:lineRule="exact"/>
        <w:ind w:firstLine="902"/>
        <w:rPr>
          <w:rFonts w:ascii="方正小标宋简体" w:hAnsi="仿宋" w:eastAsia="方正小标宋简体"/>
          <w:sz w:val="44"/>
          <w:szCs w:val="44"/>
        </w:rPr>
      </w:pPr>
    </w:p>
    <w:p w14:paraId="2851AD23">
      <w:pPr>
        <w:spacing w:after="0" w:line="560" w:lineRule="exact"/>
        <w:ind w:firstLine="902"/>
        <w:rPr>
          <w:rFonts w:ascii="方正小标宋简体" w:hAnsi="仿宋" w:eastAsia="方正小标宋简体"/>
          <w:sz w:val="44"/>
          <w:szCs w:val="44"/>
        </w:rPr>
      </w:pPr>
    </w:p>
    <w:p w14:paraId="1179E5AE">
      <w:pPr>
        <w:spacing w:after="0" w:line="560" w:lineRule="exact"/>
        <w:ind w:firstLine="902"/>
        <w:rPr>
          <w:rFonts w:ascii="方正小标宋简体" w:hAnsi="仿宋" w:eastAsia="方正小标宋简体"/>
          <w:sz w:val="44"/>
          <w:szCs w:val="44"/>
        </w:rPr>
      </w:pPr>
    </w:p>
    <w:p w14:paraId="296BDA9E">
      <w:pPr>
        <w:spacing w:after="0" w:line="560" w:lineRule="exact"/>
        <w:ind w:firstLine="902"/>
        <w:rPr>
          <w:rFonts w:ascii="方正小标宋简体" w:hAnsi="仿宋" w:eastAsia="方正小标宋简体"/>
          <w:sz w:val="44"/>
          <w:szCs w:val="44"/>
        </w:rPr>
      </w:pPr>
    </w:p>
    <w:p w14:paraId="7EAD8D2C">
      <w:pPr>
        <w:spacing w:after="0" w:line="560" w:lineRule="exact"/>
        <w:ind w:firstLine="902"/>
        <w:rPr>
          <w:rFonts w:ascii="方正小标宋简体" w:hAnsi="仿宋" w:eastAsia="方正小标宋简体"/>
          <w:sz w:val="44"/>
          <w:szCs w:val="44"/>
        </w:rPr>
      </w:pPr>
    </w:p>
    <w:p w14:paraId="160D97E7">
      <w:pPr>
        <w:spacing w:after="0" w:line="560" w:lineRule="exact"/>
        <w:ind w:firstLine="902"/>
        <w:rPr>
          <w:rFonts w:ascii="方正小标宋简体" w:hAnsi="仿宋" w:eastAsia="方正小标宋简体"/>
          <w:sz w:val="44"/>
          <w:szCs w:val="44"/>
        </w:rPr>
      </w:pPr>
    </w:p>
    <w:p w14:paraId="42897F53">
      <w:pPr>
        <w:spacing w:after="0" w:line="560" w:lineRule="exact"/>
        <w:ind w:firstLine="902"/>
        <w:rPr>
          <w:rFonts w:ascii="方正小标宋简体" w:hAnsi="仿宋" w:eastAsia="方正小标宋简体"/>
          <w:sz w:val="44"/>
          <w:szCs w:val="44"/>
        </w:rPr>
      </w:pPr>
    </w:p>
    <w:p w14:paraId="42026E2F">
      <w:pPr>
        <w:spacing w:after="0" w:line="560" w:lineRule="exact"/>
        <w:ind w:firstLine="902"/>
        <w:rPr>
          <w:rFonts w:ascii="方正小标宋简体" w:hAnsi="仿宋" w:eastAsia="方正小标宋简体"/>
          <w:sz w:val="44"/>
          <w:szCs w:val="44"/>
        </w:rPr>
      </w:pPr>
    </w:p>
    <w:p w14:paraId="703E2D61">
      <w:pPr>
        <w:spacing w:after="0" w:line="560" w:lineRule="exact"/>
        <w:ind w:firstLine="902"/>
        <w:rPr>
          <w:rFonts w:ascii="方正小标宋简体" w:hAnsi="仿宋" w:eastAsia="方正小标宋简体"/>
          <w:sz w:val="44"/>
          <w:szCs w:val="44"/>
        </w:rPr>
      </w:pPr>
    </w:p>
    <w:p w14:paraId="2FC4090D">
      <w:pPr>
        <w:spacing w:after="0" w:line="560" w:lineRule="exact"/>
        <w:ind w:firstLine="902"/>
        <w:rPr>
          <w:rFonts w:ascii="方正小标宋简体" w:hAnsi="仿宋" w:eastAsia="方正小标宋简体"/>
          <w:sz w:val="44"/>
          <w:szCs w:val="44"/>
        </w:rPr>
      </w:pPr>
    </w:p>
    <w:p w14:paraId="3715739D">
      <w:pPr>
        <w:spacing w:after="0" w:line="560" w:lineRule="exact"/>
        <w:ind w:firstLine="902"/>
        <w:rPr>
          <w:rFonts w:ascii="方正小标宋简体" w:hAnsi="仿宋" w:eastAsia="方正小标宋简体"/>
          <w:sz w:val="44"/>
          <w:szCs w:val="44"/>
        </w:rPr>
      </w:pPr>
    </w:p>
    <w:p w14:paraId="32F48369">
      <w:pPr>
        <w:spacing w:after="0" w:line="560" w:lineRule="exact"/>
        <w:ind w:firstLine="902"/>
        <w:rPr>
          <w:rFonts w:ascii="方正小标宋简体" w:hAnsi="仿宋" w:eastAsia="方正小标宋简体"/>
          <w:sz w:val="44"/>
          <w:szCs w:val="44"/>
        </w:rPr>
      </w:pPr>
    </w:p>
    <w:p w14:paraId="4CD6F7BB">
      <w:pPr>
        <w:spacing w:after="0" w:line="560" w:lineRule="exact"/>
        <w:ind w:firstLine="902"/>
        <w:rPr>
          <w:rFonts w:ascii="方正小标宋简体" w:hAnsi="仿宋" w:eastAsia="方正小标宋简体"/>
          <w:sz w:val="44"/>
          <w:szCs w:val="44"/>
        </w:rPr>
      </w:pPr>
    </w:p>
    <w:p w14:paraId="51745AA2">
      <w:pPr>
        <w:spacing w:after="0" w:line="560" w:lineRule="exact"/>
        <w:ind w:firstLine="902"/>
        <w:rPr>
          <w:rFonts w:ascii="方正小标宋简体" w:hAnsi="仿宋" w:eastAsia="方正小标宋简体"/>
          <w:sz w:val="44"/>
          <w:szCs w:val="44"/>
        </w:rPr>
      </w:pPr>
    </w:p>
    <w:p w14:paraId="24BD0C14">
      <w:pPr>
        <w:spacing w:after="0" w:line="560" w:lineRule="exact"/>
        <w:ind w:firstLine="3322" w:firstLineChars="755"/>
        <w:rPr>
          <w:rFonts w:hint="eastAsia" w:ascii="方正小标宋简体" w:hAnsi="仿宋" w:eastAsia="方正小标宋简体"/>
          <w:sz w:val="44"/>
          <w:szCs w:val="44"/>
        </w:rPr>
      </w:pPr>
      <w:r>
        <w:rPr>
          <w:rFonts w:hint="eastAsia" w:ascii="方正小标宋简体" w:hAnsi="仿宋" w:eastAsia="方正小标宋简体"/>
          <w:sz w:val="44"/>
          <w:szCs w:val="44"/>
        </w:rPr>
        <w:t>前言</w:t>
      </w:r>
    </w:p>
    <w:p w14:paraId="4F760AF6">
      <w:pPr>
        <w:spacing w:after="0" w:line="560" w:lineRule="exact"/>
        <w:ind w:firstLine="3322" w:firstLineChars="755"/>
        <w:rPr>
          <w:rFonts w:ascii="方正小标宋简体" w:hAnsi="仿宋" w:eastAsia="方正小标宋简体"/>
          <w:sz w:val="44"/>
          <w:szCs w:val="44"/>
        </w:rPr>
      </w:pPr>
    </w:p>
    <w:p w14:paraId="566DE16A">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今年中央财经委员会第九次会议再次强调，要实施重点行业领域减污降碳行动，要坚持政府和市场两手发力。为深入贯彻</w:t>
      </w:r>
      <w:r>
        <w:rPr>
          <w:rFonts w:hint="eastAsia" w:ascii="仿宋_GB2312" w:eastAsia="仿宋_GB2312"/>
          <w:sz w:val="32"/>
          <w:szCs w:val="32"/>
          <w:lang w:eastAsia="zh-CN"/>
        </w:rPr>
        <w:t>习近平</w:t>
      </w:r>
      <w:r>
        <w:rPr>
          <w:rFonts w:hint="eastAsia" w:ascii="仿宋_GB2312" w:eastAsia="仿宋_GB2312"/>
          <w:sz w:val="32"/>
          <w:szCs w:val="32"/>
        </w:rPr>
        <w:t>总书记重大宣示和重要讲话精神，将碳排放权交易作为支撑实现温室排放控制目标和协同控制大气污染物排放的重要抓手，切实提升本市碳排放权交易相关数据的科学性和规范性，结合实际工作，对重点碳排放单位年度核算要求进行了规范，一是要求本市碳排放权交易市场管理的排放单位年度碳排放核算和报告原则上按照本市发布的《二氧化碳排放核算和报告要求 电力生产业》（DB11/T 1781-2020）等7个地方标准执行，二是民用航空运输企业按照《民用航空运输的核算和报告要求》开展核算和报告工作。上述变化对第三方核查报告编制提出了新的工作要求，各核查机构应结合新的核算要求，进一步提高相关人员专业技术能力，科学核算各排放单位的二氧化碳排放量，丰富和完善核查报告，为本市碳排放权交易工作提供技术支撑。</w:t>
      </w:r>
    </w:p>
    <w:p w14:paraId="7B71CEA8">
      <w:pPr>
        <w:spacing w:after="0" w:line="240" w:lineRule="auto"/>
        <w:rPr>
          <w:rFonts w:ascii="仿宋_GB2312" w:hAnsi="仿宋" w:eastAsia="仿宋_GB2312"/>
          <w:sz w:val="32"/>
          <w:szCs w:val="32"/>
        </w:rPr>
        <w:sectPr>
          <w:pgSz w:w="11906" w:h="16838"/>
          <w:pgMar w:top="1440" w:right="1800" w:bottom="1440" w:left="1800" w:header="851" w:footer="992" w:gutter="0"/>
          <w:cols w:space="720" w:num="1"/>
          <w:docGrid w:type="lines" w:linePitch="312" w:charSpace="0"/>
        </w:sectPr>
      </w:pPr>
    </w:p>
    <w:p w14:paraId="493A928A">
      <w:pPr>
        <w:spacing w:after="0" w:line="560" w:lineRule="exact"/>
        <w:ind w:firstLine="656" w:firstLineChars="205"/>
        <w:outlineLvl w:val="0"/>
        <w:rPr>
          <w:rFonts w:ascii="黑体" w:hAnsi="黑体" w:eastAsia="黑体"/>
          <w:sz w:val="32"/>
          <w:szCs w:val="32"/>
        </w:rPr>
      </w:pPr>
      <w:bookmarkStart w:id="0" w:name="_Toc353116421"/>
      <w:r>
        <w:rPr>
          <w:rFonts w:hint="eastAsia" w:ascii="黑体" w:hAnsi="黑体" w:eastAsia="黑体"/>
          <w:sz w:val="32"/>
          <w:szCs w:val="32"/>
        </w:rPr>
        <w:t>一、适用范围</w:t>
      </w:r>
      <w:bookmarkEnd w:id="0"/>
    </w:p>
    <w:p w14:paraId="4A54A4D4">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本指南用于指导第三方核查机构对北京市碳排放权交易试点机制下二氧化碳重点排放单位（以下简称“重点碳排放单位”）及自愿参与交易的一般二氧化碳报告单位提交的二氧化碳排放报告实施核查后的二氧化碳排放核查报告编制工作。</w:t>
      </w:r>
    </w:p>
    <w:p w14:paraId="0F87E08A">
      <w:pPr>
        <w:spacing w:after="0" w:line="560" w:lineRule="exact"/>
        <w:ind w:firstLine="656" w:firstLineChars="205"/>
        <w:outlineLvl w:val="0"/>
        <w:rPr>
          <w:rFonts w:ascii="黑体" w:hAnsi="黑体" w:eastAsia="黑体"/>
          <w:sz w:val="32"/>
          <w:szCs w:val="32"/>
        </w:rPr>
      </w:pPr>
      <w:bookmarkStart w:id="1" w:name="_Toc353116422"/>
      <w:r>
        <w:rPr>
          <w:rFonts w:hint="eastAsia" w:ascii="黑体" w:hAnsi="黑体" w:eastAsia="黑体"/>
          <w:sz w:val="32"/>
          <w:szCs w:val="32"/>
        </w:rPr>
        <w:t>二、核查报告编制依据</w:t>
      </w:r>
      <w:bookmarkEnd w:id="1"/>
    </w:p>
    <w:p w14:paraId="7DE778B4">
      <w:pPr>
        <w:widowControl w:val="0"/>
        <w:spacing w:after="0" w:line="560" w:lineRule="exact"/>
        <w:ind w:left="220" w:leftChars="100"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二氧化碳排放核查报告的编制依据包括以下文件。</w:t>
      </w:r>
    </w:p>
    <w:p w14:paraId="6A6E4F32">
      <w:pPr>
        <w:widowControl w:val="0"/>
        <w:spacing w:after="0" w:line="560" w:lineRule="exact"/>
        <w:ind w:left="220" w:leftChars="100" w:firstLine="640" w:firstLineChars="200"/>
        <w:jc w:val="both"/>
        <w:rPr>
          <w:rFonts w:ascii="仿宋_GB2312" w:hAnsi="仿宋" w:eastAsia="仿宋_GB2312"/>
          <w:sz w:val="32"/>
          <w:szCs w:val="32"/>
        </w:rPr>
      </w:pPr>
      <w:bookmarkStart w:id="2" w:name="_Toc353116425"/>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电力生产业（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781-2020</w:t>
      </w:r>
      <w:r>
        <w:rPr>
          <w:rFonts w:hint="eastAsia" w:ascii="仿宋_GB2312" w:hAnsi="仿宋" w:eastAsia="仿宋_GB2312"/>
          <w:sz w:val="32"/>
          <w:szCs w:val="32"/>
        </w:rPr>
        <w:t>》</w:t>
      </w:r>
      <w:r>
        <w:rPr>
          <w:rFonts w:ascii="仿宋_GB2312" w:hAnsi="仿宋" w:eastAsia="仿宋_GB2312"/>
          <w:sz w:val="32"/>
          <w:szCs w:val="32"/>
        </w:rPr>
        <w:t>；</w:t>
      </w:r>
    </w:p>
    <w:p w14:paraId="0D8DB2AF">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水泥制造业（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782-2020</w:t>
      </w:r>
      <w:r>
        <w:rPr>
          <w:rFonts w:hint="eastAsia" w:ascii="仿宋_GB2312" w:hAnsi="仿宋" w:eastAsia="仿宋_GB2312"/>
          <w:sz w:val="32"/>
          <w:szCs w:val="32"/>
        </w:rPr>
        <w:t>》；</w:t>
      </w:r>
    </w:p>
    <w:p w14:paraId="00284252">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石油化工生产业（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783-2020</w:t>
      </w:r>
      <w:r>
        <w:rPr>
          <w:rFonts w:hint="eastAsia" w:ascii="仿宋_GB2312" w:hAnsi="仿宋" w:eastAsia="仿宋_GB2312"/>
          <w:sz w:val="32"/>
          <w:szCs w:val="32"/>
        </w:rPr>
        <w:t>》；</w:t>
      </w:r>
    </w:p>
    <w:p w14:paraId="0C7C042A">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热力生产和供应业（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784-2020</w:t>
      </w:r>
      <w:r>
        <w:rPr>
          <w:rFonts w:hint="eastAsia" w:ascii="仿宋_GB2312" w:hAnsi="仿宋" w:eastAsia="仿宋_GB2312"/>
          <w:sz w:val="32"/>
          <w:szCs w:val="32"/>
        </w:rPr>
        <w:t>》；</w:t>
      </w:r>
    </w:p>
    <w:p w14:paraId="35D4BB03">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服务业（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785-2020</w:t>
      </w:r>
      <w:r>
        <w:rPr>
          <w:rFonts w:hint="eastAsia" w:ascii="仿宋_GB2312" w:hAnsi="仿宋" w:eastAsia="仿宋_GB2312"/>
          <w:sz w:val="32"/>
          <w:szCs w:val="32"/>
        </w:rPr>
        <w:t>》；</w:t>
      </w:r>
    </w:p>
    <w:p w14:paraId="66913C72">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道路运输业（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786-2020</w:t>
      </w:r>
      <w:r>
        <w:rPr>
          <w:rFonts w:hint="eastAsia" w:ascii="仿宋_GB2312" w:hAnsi="仿宋" w:eastAsia="仿宋_GB2312"/>
          <w:sz w:val="32"/>
          <w:szCs w:val="32"/>
        </w:rPr>
        <w:t>》</w:t>
      </w:r>
      <w:r>
        <w:rPr>
          <w:rFonts w:ascii="仿宋_GB2312" w:hAnsi="仿宋" w:eastAsia="仿宋_GB2312"/>
          <w:sz w:val="32"/>
          <w:szCs w:val="32"/>
        </w:rPr>
        <w:t>；</w:t>
      </w:r>
    </w:p>
    <w:p w14:paraId="02B1394E">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 xml:space="preserve">《二氧化碳排放核算和报告要求 </w:t>
      </w:r>
      <w:r>
        <w:rPr>
          <w:rFonts w:ascii="仿宋_GB2312" w:hAnsi="仿宋" w:eastAsia="仿宋_GB2312"/>
          <w:sz w:val="32"/>
          <w:szCs w:val="32"/>
        </w:rPr>
        <w:t>其它行业（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787-2020</w:t>
      </w:r>
      <w:r>
        <w:rPr>
          <w:rFonts w:hint="eastAsia" w:ascii="仿宋_GB2312" w:hAnsi="仿宋" w:eastAsia="仿宋_GB2312"/>
          <w:sz w:val="32"/>
          <w:szCs w:val="32"/>
        </w:rPr>
        <w:t>》</w:t>
      </w:r>
    </w:p>
    <w:p w14:paraId="6F9360C7">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《北京市碳排放单位二氧化碳排放核算和报告要求》。</w:t>
      </w:r>
    </w:p>
    <w:bookmarkEnd w:id="2"/>
    <w:p w14:paraId="49358B40">
      <w:pPr>
        <w:spacing w:after="0" w:line="560" w:lineRule="exact"/>
        <w:ind w:firstLine="656" w:firstLineChars="205"/>
        <w:outlineLvl w:val="0"/>
        <w:rPr>
          <w:rFonts w:ascii="黑体" w:hAnsi="黑体" w:eastAsia="黑体"/>
          <w:sz w:val="32"/>
          <w:szCs w:val="32"/>
        </w:rPr>
      </w:pPr>
      <w:bookmarkStart w:id="3" w:name="_Toc353116426"/>
      <w:r>
        <w:rPr>
          <w:rFonts w:hint="eastAsia" w:ascii="黑体" w:hAnsi="黑体" w:eastAsia="黑体"/>
          <w:sz w:val="32"/>
          <w:szCs w:val="32"/>
        </w:rPr>
        <w:t>三、核查报告编制原则和方法</w:t>
      </w:r>
      <w:bookmarkEnd w:id="3"/>
    </w:p>
    <w:p w14:paraId="18B2B906">
      <w:pPr>
        <w:spacing w:after="0" w:line="560" w:lineRule="exact"/>
        <w:ind w:firstLine="880" w:firstLineChars="274"/>
        <w:outlineLvl w:val="0"/>
        <w:rPr>
          <w:rFonts w:ascii="楷体_GB2312" w:hAnsi="仿宋" w:eastAsia="楷体_GB2312"/>
          <w:b/>
          <w:sz w:val="32"/>
          <w:szCs w:val="32"/>
        </w:rPr>
      </w:pPr>
      <w:bookmarkStart w:id="4" w:name="_Toc353116427"/>
      <w:r>
        <w:rPr>
          <w:rFonts w:hint="eastAsia" w:ascii="楷体_GB2312" w:hAnsi="仿宋" w:eastAsia="楷体_GB2312"/>
          <w:b/>
          <w:sz w:val="32"/>
          <w:szCs w:val="32"/>
        </w:rPr>
        <w:t>（一）编制原则</w:t>
      </w:r>
      <w:bookmarkEnd w:id="4"/>
    </w:p>
    <w:p w14:paraId="43462CEB">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报告的编写应当遵循客观独立、公平公正、诚实守信、实事求是的原则。核查机构应独立于重点碳排放单位，避免可能的直接或间接利益冲突，核查员在核查过程中应保持客观，核查结论应以核查过程中获得的客观依据为基础，避免任何偏见，不受其它利益方的影响；</w:t>
      </w:r>
    </w:p>
    <w:p w14:paraId="2F10495E">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核查机构应当采用文档查阅、现场观察和访问、分析计算等方法获取编制核查报告所需的资料和数据。</w:t>
      </w:r>
    </w:p>
    <w:p w14:paraId="1011F437">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一致性。一致性体现在:在整个报告期内的核算和报告的准则保持一致；历史排放报告和年度排放报告的核查方法保持一致；在不同重点碳排放单位存在类似情形时，核查方法保持一致。</w:t>
      </w:r>
    </w:p>
    <w:p w14:paraId="61DF3A85">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核查机构在核查过程中应当保持透明性。透明性体现在核查报告中的信息应以一种开放的、清晰的、实际的、中立的和相关的方式来表达，并且以文件化的证据为基础，应清晰地标明引用文件。</w:t>
      </w:r>
    </w:p>
    <w:p w14:paraId="1890EABB">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核查机构应当保守重点碳排放单位的商业秘密及相关数据和资料。核查员应遵守核查机构与重点碳排放单位签订的核查协议中约定的保密条款，对核查过程中所获取的信息负有保密责任。</w:t>
      </w:r>
    </w:p>
    <w:p w14:paraId="7D510556">
      <w:pPr>
        <w:spacing w:after="0" w:line="560" w:lineRule="exact"/>
        <w:ind w:firstLine="880" w:firstLineChars="274"/>
        <w:outlineLvl w:val="0"/>
        <w:rPr>
          <w:rFonts w:ascii="楷体_GB2312" w:hAnsi="仿宋" w:eastAsia="楷体_GB2312"/>
          <w:b/>
          <w:sz w:val="32"/>
          <w:szCs w:val="32"/>
        </w:rPr>
      </w:pPr>
      <w:bookmarkStart w:id="5" w:name="_Toc353116428"/>
      <w:r>
        <w:rPr>
          <w:rFonts w:hint="eastAsia" w:ascii="楷体_GB2312" w:hAnsi="仿宋" w:eastAsia="楷体_GB2312"/>
          <w:b/>
          <w:sz w:val="32"/>
          <w:szCs w:val="32"/>
        </w:rPr>
        <w:t>（二）编制方法</w:t>
      </w:r>
      <w:bookmarkEnd w:id="5"/>
    </w:p>
    <w:p w14:paraId="1BC8EFB2">
      <w:pPr>
        <w:spacing w:after="0" w:line="560" w:lineRule="exact"/>
        <w:ind w:firstLine="656" w:firstLineChars="205"/>
        <w:outlineLvl w:val="0"/>
        <w:rPr>
          <w:rFonts w:ascii="仿宋_GB2312" w:hAnsi="仿宋" w:eastAsia="仿宋_GB2312"/>
          <w:sz w:val="32"/>
          <w:szCs w:val="32"/>
        </w:rPr>
      </w:pPr>
      <w:r>
        <w:rPr>
          <w:rFonts w:hint="eastAsia" w:ascii="仿宋_GB2312" w:hAnsi="仿宋" w:eastAsia="仿宋_GB2312"/>
          <w:sz w:val="32"/>
          <w:szCs w:val="32"/>
        </w:rPr>
        <w:t>1.基本原理</w:t>
      </w:r>
    </w:p>
    <w:p w14:paraId="061338C2">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二氧化碳排放核算和核查所依据的基本原理包括：物料平衡原理、排放因子计算方法以及实时监测原理。实时监测办法测量结果的不确定性不能高于采用基于物料平衡或基于排放因子的方法学的计算结果。</w:t>
      </w:r>
    </w:p>
    <w:p w14:paraId="1BE26E75">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2.基本方法</w:t>
      </w:r>
    </w:p>
    <w:p w14:paraId="113413A5">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核查机构应使用标准的核查方法来评估重点碳排放单位提供信息的质量，并编写核查报告。方法包括但不限于：</w:t>
      </w:r>
    </w:p>
    <w:p w14:paraId="4AF47D16">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1）文件评审，包括：</w:t>
      </w:r>
    </w:p>
    <w:p w14:paraId="6A9FB09F">
      <w:pPr>
        <w:pStyle w:val="58"/>
        <w:numPr>
          <w:ilvl w:val="0"/>
          <w:numId w:val="2"/>
        </w:numPr>
        <w:spacing w:line="560" w:lineRule="exact"/>
        <w:ind w:left="0" w:firstLine="480"/>
        <w:rPr>
          <w:rFonts w:ascii="仿宋_GB2312" w:hAnsi="仿宋" w:eastAsia="仿宋_GB2312"/>
          <w:sz w:val="32"/>
          <w:szCs w:val="32"/>
        </w:rPr>
      </w:pPr>
      <w:r>
        <w:rPr>
          <w:rFonts w:hint="eastAsia" w:ascii="仿宋_GB2312" w:hAnsi="仿宋" w:eastAsia="仿宋_GB2312" w:cs="Arial"/>
          <w:sz w:val="32"/>
          <w:szCs w:val="32"/>
        </w:rPr>
        <w:t>评审重点碳排放单位提供的数据和信息的完整性，判断排放是否包括了所有的相关地方标准或适用核算和报告指南所界定的化石燃料燃烧的二氧化碳排放、工业生产过程的二氧化碳排放、废弃物处理等二氧化碳直接排放以及电力消耗隐含的电力生产时的二氧化碳间接排放</w:t>
      </w:r>
      <w:r>
        <w:rPr>
          <w:rFonts w:hint="eastAsia" w:ascii="仿宋_GB2312" w:hAnsi="仿宋" w:eastAsia="仿宋_GB2312"/>
          <w:sz w:val="32"/>
          <w:szCs w:val="32"/>
        </w:rPr>
        <w:t>；</w:t>
      </w:r>
    </w:p>
    <w:p w14:paraId="642BDAC0">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若发现异常值、异常波动和趋势、数据缺失、与其他相关信息不一致或与预期数值、比率显著不同的数据，应要求重点碳排放单位对此提供解释，同时提供其他的相关证据予以支持。根据提供的解释和其他证据，核查机构应评估这些异常对所报告数据产生的影响。</w:t>
      </w:r>
    </w:p>
    <w:p w14:paraId="6F118E24">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2)现场访问，包括：</w:t>
      </w:r>
    </w:p>
    <w:p w14:paraId="0D0EA1DC">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设施的边界以及排放源的完整性，检查设备的名称、设备型号和物理位置，还可根据风险的大小决定是否需要访问重点碳排放单位的其他地点，包括开展数据流管理和其他质量控制活动的其他地点，例如集团总部和不在该现场的其他办公场所；</w:t>
      </w:r>
    </w:p>
    <w:p w14:paraId="590C6E90">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访谈相关人员以判断数据收集程序与</w:t>
      </w:r>
      <w:r>
        <w:rPr>
          <w:rFonts w:hint="eastAsia" w:ascii="仿宋_GB2312" w:hAnsi="仿宋" w:eastAsia="仿宋_GB2312"/>
          <w:sz w:val="32"/>
          <w:szCs w:val="32"/>
        </w:rPr>
        <w:t>相关行业指南的要求是否保持一致。并且确保对于同一企业的同一种生产活动，其二氧化碳排放的核算方法应保持不变</w:t>
      </w:r>
      <w:r>
        <w:rPr>
          <w:rFonts w:hint="eastAsia" w:ascii="仿宋_GB2312" w:hAnsi="仿宋" w:eastAsia="仿宋_GB2312" w:cs="Arial"/>
          <w:sz w:val="32"/>
          <w:szCs w:val="32"/>
        </w:rPr>
        <w:t>；</w:t>
      </w:r>
    </w:p>
    <w:p w14:paraId="7604DBA1">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检查测量设备</w:t>
      </w:r>
      <w:r>
        <w:rPr>
          <w:rFonts w:hint="eastAsia" w:ascii="仿宋_GB2312" w:hAnsi="仿宋" w:eastAsia="仿宋_GB2312"/>
          <w:sz w:val="32"/>
          <w:szCs w:val="32"/>
        </w:rPr>
        <w:t>，</w:t>
      </w:r>
      <w:r>
        <w:rPr>
          <w:rFonts w:hint="eastAsia" w:ascii="仿宋_GB2312" w:hAnsi="仿宋" w:eastAsia="仿宋_GB2312" w:cs="Arial"/>
          <w:sz w:val="32"/>
          <w:szCs w:val="32"/>
        </w:rPr>
        <w:t>包括检查设备的精度及校准记录及观察测量设备的运行，评审数据的监测频次，判断数据的监测和监测计划的制定与实施是否符合适用的地方标准或核算和报告指南的要求；</w:t>
      </w:r>
    </w:p>
    <w:p w14:paraId="58249965">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评审数据产生、数据记录、数据传递、数据</w:t>
      </w:r>
      <w:r>
        <w:rPr>
          <w:rFonts w:hint="eastAsia" w:ascii="仿宋_GB2312" w:hAnsi="仿宋" w:eastAsia="仿宋_GB2312"/>
          <w:sz w:val="32"/>
          <w:szCs w:val="32"/>
        </w:rPr>
        <w:t>汇总</w:t>
      </w:r>
      <w:r>
        <w:rPr>
          <w:rFonts w:hint="eastAsia" w:ascii="仿宋_GB2312" w:hAnsi="仿宋" w:eastAsia="仿宋_GB2312" w:cs="Arial"/>
          <w:sz w:val="32"/>
          <w:szCs w:val="32"/>
        </w:rPr>
        <w:t>和数据报告的信息流，判断重点碳排放单位是否以透明的方式获得、记录、分析二氧化碳排放相关数据，包括活动水平数据、排放因子数据等；</w:t>
      </w:r>
    </w:p>
    <w:p w14:paraId="22C8C6E8">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sz w:val="32"/>
          <w:szCs w:val="32"/>
        </w:rPr>
        <w:t>交叉</w:t>
      </w:r>
      <w:r>
        <w:rPr>
          <w:rFonts w:hint="eastAsia" w:ascii="仿宋_GB2312" w:hAnsi="仿宋" w:eastAsia="仿宋_GB2312" w:cs="Arial"/>
          <w:sz w:val="32"/>
          <w:szCs w:val="32"/>
        </w:rPr>
        <w:t>核对排放报告</w:t>
      </w:r>
      <w:r>
        <w:rPr>
          <w:rFonts w:hint="eastAsia" w:ascii="仿宋_GB2312" w:hAnsi="仿宋" w:eastAsia="仿宋_GB2312"/>
          <w:sz w:val="32"/>
          <w:szCs w:val="32"/>
        </w:rPr>
        <w:t>提供</w:t>
      </w:r>
      <w:r>
        <w:rPr>
          <w:rFonts w:hint="eastAsia" w:ascii="仿宋_GB2312" w:hAnsi="仿宋" w:eastAsia="仿宋_GB2312" w:cs="Arial"/>
          <w:sz w:val="32"/>
          <w:szCs w:val="32"/>
        </w:rPr>
        <w:t>的信息和其他来源的数据（比如运行日志，库存，采购记录或其他相似数据来源），判断排放量的计算和相关数据的确定是否存在系统性的错误或者人为的故意错误，排放量计算结果是否能够真实地反映报告企业（单位）的实际情况；</w:t>
      </w:r>
    </w:p>
    <w:p w14:paraId="1FA0229D">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评审在确定二氧化碳排放时所</w:t>
      </w:r>
      <w:r>
        <w:rPr>
          <w:rFonts w:hint="eastAsia" w:ascii="仿宋_GB2312" w:hAnsi="仿宋" w:eastAsia="仿宋_GB2312"/>
          <w:sz w:val="32"/>
          <w:szCs w:val="32"/>
        </w:rPr>
        <w:t>做</w:t>
      </w:r>
      <w:r>
        <w:rPr>
          <w:rFonts w:hint="eastAsia" w:ascii="仿宋_GB2312" w:hAnsi="仿宋" w:eastAsia="仿宋_GB2312" w:cs="Arial"/>
          <w:sz w:val="32"/>
          <w:szCs w:val="32"/>
        </w:rPr>
        <w:t>的计算和假设，复原、验算排放的计算，判断计算结果是否正确；</w:t>
      </w:r>
    </w:p>
    <w:p w14:paraId="38909CA5">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评审企业建立的核算和报告质量管理体系是否符合要求。</w:t>
      </w:r>
    </w:p>
    <w:p w14:paraId="278F011C">
      <w:pPr>
        <w:spacing w:after="0" w:line="560" w:lineRule="exact"/>
        <w:ind w:firstLine="656" w:firstLineChars="205"/>
        <w:jc w:val="both"/>
        <w:outlineLvl w:val="0"/>
        <w:rPr>
          <w:rFonts w:ascii="黑体" w:hAnsi="黑体" w:eastAsia="黑体"/>
          <w:sz w:val="32"/>
          <w:szCs w:val="32"/>
        </w:rPr>
      </w:pPr>
      <w:bookmarkStart w:id="6" w:name="_Toc353116429"/>
      <w:r>
        <w:rPr>
          <w:rFonts w:hint="eastAsia" w:ascii="黑体" w:hAnsi="黑体" w:eastAsia="黑体"/>
          <w:sz w:val="32"/>
          <w:szCs w:val="32"/>
        </w:rPr>
        <w:t>四、二氧化碳排放核查报告基本</w:t>
      </w:r>
      <w:bookmarkEnd w:id="6"/>
      <w:r>
        <w:rPr>
          <w:rFonts w:hint="eastAsia" w:ascii="黑体" w:hAnsi="黑体" w:eastAsia="黑体"/>
          <w:sz w:val="32"/>
          <w:szCs w:val="32"/>
        </w:rPr>
        <w:t>框架</w:t>
      </w:r>
    </w:p>
    <w:p w14:paraId="31EA5459">
      <w:pPr>
        <w:spacing w:after="0" w:line="560" w:lineRule="exact"/>
        <w:ind w:firstLine="659" w:firstLineChars="205"/>
        <w:jc w:val="both"/>
        <w:outlineLvl w:val="0"/>
        <w:rPr>
          <w:rFonts w:ascii="楷体_GB2312" w:hAnsi="仿宋" w:eastAsia="楷体_GB2312"/>
          <w:b/>
          <w:sz w:val="32"/>
          <w:szCs w:val="32"/>
        </w:rPr>
      </w:pPr>
      <w:bookmarkStart w:id="7" w:name="_Toc314496529"/>
      <w:bookmarkStart w:id="8" w:name="_Toc353116430"/>
      <w:r>
        <w:rPr>
          <w:rFonts w:hint="eastAsia" w:ascii="楷体_GB2312" w:hAnsi="仿宋" w:eastAsia="楷体_GB2312"/>
          <w:b/>
          <w:sz w:val="32"/>
          <w:szCs w:val="32"/>
        </w:rPr>
        <w:t>（一）报告文本</w:t>
      </w:r>
      <w:bookmarkEnd w:id="7"/>
      <w:bookmarkEnd w:id="8"/>
    </w:p>
    <w:p w14:paraId="613C8B02">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二氧化碳排放核查报告文本应包括以下内容，并按如下顺序装订成册：</w:t>
      </w:r>
    </w:p>
    <w:p w14:paraId="58D146D2">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1.封面</w:t>
      </w:r>
    </w:p>
    <w:p w14:paraId="4CB9274D">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2.扉页</w:t>
      </w:r>
    </w:p>
    <w:p w14:paraId="0B925F40">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3.目录</w:t>
      </w:r>
    </w:p>
    <w:p w14:paraId="2168503F">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4.正文</w:t>
      </w:r>
    </w:p>
    <w:p w14:paraId="442EABB1">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5.参考文件</w:t>
      </w:r>
    </w:p>
    <w:p w14:paraId="1E744B9A">
      <w:pPr>
        <w:spacing w:after="0" w:line="560" w:lineRule="exact"/>
        <w:ind w:firstLine="659" w:firstLineChars="205"/>
        <w:jc w:val="both"/>
        <w:outlineLvl w:val="0"/>
        <w:rPr>
          <w:rFonts w:ascii="楷体_GB2312" w:hAnsi="仿宋" w:eastAsia="楷体_GB2312"/>
          <w:b/>
          <w:sz w:val="32"/>
          <w:szCs w:val="32"/>
        </w:rPr>
      </w:pPr>
      <w:bookmarkStart w:id="9" w:name="_Toc314496530"/>
      <w:bookmarkStart w:id="10" w:name="_Toc353116431"/>
      <w:r>
        <w:rPr>
          <w:rFonts w:hint="eastAsia" w:ascii="楷体_GB2312" w:hAnsi="仿宋" w:eastAsia="楷体_GB2312"/>
          <w:b/>
          <w:sz w:val="32"/>
          <w:szCs w:val="32"/>
        </w:rPr>
        <w:t>（二）报告正文</w:t>
      </w:r>
      <w:bookmarkEnd w:id="9"/>
      <w:bookmarkEnd w:id="10"/>
    </w:p>
    <w:p w14:paraId="2441FCBB">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报告正文应包括如下内容：</w:t>
      </w:r>
    </w:p>
    <w:p w14:paraId="3D001650">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1. 概述</w:t>
      </w:r>
    </w:p>
    <w:p w14:paraId="63979337">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2. 核查过程和方法</w:t>
      </w:r>
    </w:p>
    <w:p w14:paraId="4E6F35C4">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3. 核查发现</w:t>
      </w:r>
    </w:p>
    <w:p w14:paraId="1CD60F59">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4. 核查结论</w:t>
      </w:r>
    </w:p>
    <w:p w14:paraId="142A5FF1">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5. 附件</w:t>
      </w:r>
    </w:p>
    <w:p w14:paraId="45741485">
      <w:pPr>
        <w:spacing w:after="0" w:line="560" w:lineRule="exact"/>
        <w:ind w:firstLine="656" w:firstLineChars="205"/>
        <w:jc w:val="both"/>
        <w:outlineLvl w:val="0"/>
        <w:rPr>
          <w:rFonts w:ascii="黑体" w:hAnsi="黑体" w:eastAsia="黑体"/>
          <w:sz w:val="32"/>
          <w:szCs w:val="32"/>
        </w:rPr>
      </w:pPr>
      <w:bookmarkStart w:id="11" w:name="_Toc353116432"/>
      <w:r>
        <w:rPr>
          <w:rFonts w:hint="eastAsia" w:ascii="黑体" w:hAnsi="黑体" w:eastAsia="黑体"/>
          <w:sz w:val="32"/>
          <w:szCs w:val="32"/>
        </w:rPr>
        <w:t>五、二氧化碳排放核查报告编写基本内容</w:t>
      </w:r>
      <w:bookmarkEnd w:id="11"/>
    </w:p>
    <w:p w14:paraId="1A0412A6">
      <w:pPr>
        <w:spacing w:after="0" w:line="560" w:lineRule="exact"/>
        <w:ind w:firstLine="659" w:firstLineChars="205"/>
        <w:jc w:val="both"/>
        <w:outlineLvl w:val="0"/>
        <w:rPr>
          <w:rFonts w:ascii="楷体_GB2312" w:hAnsi="仿宋" w:eastAsia="楷体_GB2312"/>
          <w:b/>
          <w:sz w:val="32"/>
          <w:szCs w:val="32"/>
        </w:rPr>
      </w:pPr>
      <w:bookmarkStart w:id="12" w:name="_Toc353116433"/>
      <w:r>
        <w:rPr>
          <w:rFonts w:hint="eastAsia" w:ascii="楷体_GB2312" w:hAnsi="仿宋" w:eastAsia="楷体_GB2312"/>
          <w:b/>
          <w:sz w:val="32"/>
          <w:szCs w:val="32"/>
        </w:rPr>
        <w:t>（一）封面</w:t>
      </w:r>
    </w:p>
    <w:p w14:paraId="4502DFBC">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1．重点碳排放单位名称</w:t>
      </w:r>
    </w:p>
    <w:p w14:paraId="6AF94E55">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“重点碳排放单位”是北京市行政区域内年二氧化碳排放量大于5000吨（含）的单位。</w:t>
      </w:r>
    </w:p>
    <w:p w14:paraId="7654B677">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注1：重点碳排放单位的名称应与市主管部门公布清单中的名称一致。</w:t>
      </w:r>
    </w:p>
    <w:p w14:paraId="57361DF2">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注2：自愿参与碳排放权交易的一般二氧化碳报告单位的排放报告及其核查要求同重点碳排放单位。</w:t>
      </w:r>
    </w:p>
    <w:p w14:paraId="19B7EEA7">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2．报告年度</w:t>
      </w:r>
    </w:p>
    <w:p w14:paraId="41300D89">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 xml:space="preserve">3．核查机构名称（公章）                                                                                                       </w:t>
      </w:r>
    </w:p>
    <w:p w14:paraId="7DE548E9">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．报告日期</w:t>
      </w:r>
    </w:p>
    <w:p w14:paraId="2E6E9B6D">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报告日期应当与扉页中的批准人签署日期一致。</w:t>
      </w:r>
    </w:p>
    <w:p w14:paraId="628CF5E3">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（二）扉页</w:t>
      </w:r>
      <w:bookmarkEnd w:id="12"/>
    </w:p>
    <w:p w14:paraId="258F5036">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1.委托方名称、地址、联系人及联系方式；</w:t>
      </w:r>
    </w:p>
    <w:p w14:paraId="0082EFE5">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“委托方”是与核查机构签署合同的机构，委托方的名称应当与核查合同中的甲方名称相一致。</w:t>
      </w:r>
    </w:p>
    <w:p w14:paraId="7116868D">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2．重点碳排放单位名称、地址、联系人及联系方式；</w:t>
      </w:r>
    </w:p>
    <w:p w14:paraId="4458D612">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3．二氧化碳排放报告初始版本日期及最终版本日期</w:t>
      </w:r>
    </w:p>
    <w:p w14:paraId="531C1EEF">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二氧化碳排放报告（初始）为重点碳排放单位提交给核查机构进行核查的排放报告。最终版本是重点碳排放单位根据核查机构提出的不符合整改后的修订版本。</w:t>
      </w:r>
    </w:p>
    <w:p w14:paraId="37C2083C">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4．报告期</w:t>
      </w:r>
    </w:p>
    <w:p w14:paraId="0A984405">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报告期为“二氧化碳排放报告”覆盖的时期。</w:t>
      </w:r>
    </w:p>
    <w:p w14:paraId="30B52D97">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5.核算和报告边界</w:t>
      </w:r>
    </w:p>
    <w:p w14:paraId="7D63E28C">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详细</w:t>
      </w:r>
      <w:r>
        <w:rPr>
          <w:rFonts w:ascii="仿宋_GB2312" w:hAnsi="仿宋" w:eastAsia="仿宋_GB2312"/>
          <w:sz w:val="32"/>
          <w:szCs w:val="32"/>
        </w:rPr>
        <w:t>表述报告期内</w:t>
      </w:r>
      <w:r>
        <w:rPr>
          <w:rFonts w:hint="eastAsia" w:ascii="仿宋_GB2312" w:hAnsi="仿宋" w:eastAsia="仿宋_GB2312"/>
          <w:sz w:val="32"/>
          <w:szCs w:val="32"/>
        </w:rPr>
        <w:t>的</w:t>
      </w:r>
      <w:r>
        <w:rPr>
          <w:rFonts w:ascii="仿宋_GB2312" w:hAnsi="仿宋" w:eastAsia="仿宋_GB2312"/>
          <w:sz w:val="32"/>
          <w:szCs w:val="32"/>
        </w:rPr>
        <w:t>核算边界，以及与</w:t>
      </w:r>
      <w:r>
        <w:rPr>
          <w:rFonts w:hint="eastAsia" w:ascii="仿宋_GB2312" w:hAnsi="仿宋" w:eastAsia="仿宋_GB2312"/>
          <w:sz w:val="32"/>
          <w:szCs w:val="32"/>
        </w:rPr>
        <w:t>历史</w:t>
      </w:r>
      <w:r>
        <w:rPr>
          <w:rFonts w:ascii="仿宋_GB2312" w:hAnsi="仿宋" w:eastAsia="仿宋_GB2312"/>
          <w:sz w:val="32"/>
          <w:szCs w:val="32"/>
        </w:rPr>
        <w:t>基准年和上一年度的</w:t>
      </w:r>
      <w:r>
        <w:rPr>
          <w:rFonts w:hint="eastAsia" w:ascii="仿宋_GB2312" w:hAnsi="仿宋" w:eastAsia="仿宋_GB2312"/>
          <w:sz w:val="32"/>
          <w:szCs w:val="32"/>
        </w:rPr>
        <w:t>核算</w:t>
      </w:r>
      <w:r>
        <w:rPr>
          <w:rFonts w:ascii="仿宋_GB2312" w:hAnsi="仿宋" w:eastAsia="仿宋_GB2312"/>
          <w:sz w:val="32"/>
          <w:szCs w:val="32"/>
        </w:rPr>
        <w:t>边界变化情况。</w:t>
      </w:r>
      <w:r>
        <w:rPr>
          <w:rFonts w:hint="eastAsia" w:ascii="仿宋_GB2312" w:hAnsi="仿宋" w:eastAsia="仿宋_GB2312"/>
          <w:sz w:val="32"/>
          <w:szCs w:val="32"/>
        </w:rPr>
        <w:t>例如：对于物业企业需按照不同服务业态（居民、商业、工业等），对建筑面积、实际物业管理面积、实际运营面积、建筑入住率等</w:t>
      </w:r>
      <w:r>
        <w:rPr>
          <w:rFonts w:ascii="仿宋_GB2312" w:hAnsi="仿宋" w:eastAsia="仿宋_GB2312"/>
          <w:sz w:val="32"/>
          <w:szCs w:val="32"/>
        </w:rPr>
        <w:t>详细情况进行核实。</w:t>
      </w:r>
    </w:p>
    <w:p w14:paraId="32ECA9A8">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.二氧化碳排放量</w:t>
      </w:r>
    </w:p>
    <w:p w14:paraId="240494C4">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包括报告期内排放单位的二氧化碳排放量、退出</w:t>
      </w:r>
      <w:r>
        <w:rPr>
          <w:rFonts w:ascii="仿宋_GB2312" w:hAnsi="仿宋" w:eastAsia="仿宋_GB2312"/>
          <w:sz w:val="32"/>
          <w:szCs w:val="32"/>
        </w:rPr>
        <w:t>的</w:t>
      </w:r>
      <w:r>
        <w:rPr>
          <w:rFonts w:hint="eastAsia" w:ascii="仿宋_GB2312" w:hAnsi="仿宋" w:eastAsia="仿宋_GB2312"/>
          <w:sz w:val="32"/>
          <w:szCs w:val="32"/>
        </w:rPr>
        <w:t>既有设施在历史基准年的排放量及</w:t>
      </w:r>
      <w:r>
        <w:rPr>
          <w:rFonts w:ascii="仿宋_GB2312" w:hAnsi="仿宋" w:eastAsia="仿宋_GB2312"/>
          <w:sz w:val="32"/>
          <w:szCs w:val="32"/>
        </w:rPr>
        <w:t>排放强度</w:t>
      </w:r>
      <w:r>
        <w:rPr>
          <w:rFonts w:hint="eastAsia" w:ascii="仿宋_GB2312" w:hAnsi="仿宋" w:eastAsia="仿宋_GB2312"/>
          <w:sz w:val="32"/>
          <w:szCs w:val="32"/>
        </w:rPr>
        <w:t>、新增设施的排放量及排放强度和替代既有设施的新增设施排放量。</w:t>
      </w:r>
    </w:p>
    <w:p w14:paraId="4B3DDA5E">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.重点碳排放单位所属行业领域</w:t>
      </w:r>
    </w:p>
    <w:p w14:paraId="7B05AFC1">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在此处按如下代码填写，例如“01／02／03／04／05／06／07/</w:t>
      </w:r>
      <w:r>
        <w:rPr>
          <w:rFonts w:ascii="仿宋_GB2312" w:hAnsi="仿宋" w:eastAsia="仿宋_GB2312"/>
          <w:sz w:val="32"/>
          <w:szCs w:val="32"/>
        </w:rPr>
        <w:t>08</w:t>
      </w:r>
      <w:r>
        <w:rPr>
          <w:rFonts w:hint="eastAsia" w:ascii="仿宋_GB2312" w:hAnsi="仿宋" w:eastAsia="仿宋_GB2312"/>
          <w:sz w:val="32"/>
          <w:szCs w:val="32"/>
        </w:rPr>
        <w:t>”。（01为“热力生产和供应”；02为“火力发电”；03为“水泥制造”；04为“石化生产”；05为“其他行业”；06为“其他服务业”；07为“交通运输业”； 0</w:t>
      </w:r>
      <w:r>
        <w:rPr>
          <w:rFonts w:ascii="仿宋_GB2312" w:hAnsi="仿宋" w:eastAsia="仿宋_GB2312"/>
          <w:sz w:val="32"/>
          <w:szCs w:val="32"/>
        </w:rPr>
        <w:t>8</w:t>
      </w:r>
      <w:r>
        <w:rPr>
          <w:rFonts w:hint="eastAsia" w:ascii="仿宋_GB2312" w:hAnsi="仿宋" w:eastAsia="仿宋_GB2312"/>
          <w:sz w:val="32"/>
          <w:szCs w:val="32"/>
        </w:rPr>
        <w:t>为“民用航空运输业”）</w:t>
      </w:r>
    </w:p>
    <w:p w14:paraId="53B9EDB5">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．标准及方法学</w:t>
      </w:r>
    </w:p>
    <w:p w14:paraId="4399C128">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在此栏填写适用的地方标准或要求。</w:t>
      </w:r>
    </w:p>
    <w:p w14:paraId="45F9FFCF">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．核查结论</w:t>
      </w:r>
    </w:p>
    <w:p w14:paraId="2B5585CF">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此栏的核查结论应与报告正文中的核查结论一致（详见附件2</w:t>
      </w:r>
      <w:r>
        <w:rPr>
          <w:rFonts w:ascii="仿宋_GB2312" w:hAnsi="仿宋" w:eastAsia="仿宋_GB2312"/>
          <w:sz w:val="32"/>
          <w:szCs w:val="32"/>
        </w:rPr>
        <w:t>的核查结论模板</w:t>
      </w:r>
      <w:r>
        <w:rPr>
          <w:rFonts w:hint="eastAsia" w:ascii="仿宋_GB2312" w:hAnsi="仿宋" w:eastAsia="仿宋_GB2312"/>
          <w:sz w:val="32"/>
          <w:szCs w:val="32"/>
        </w:rPr>
        <w:t>）。</w:t>
      </w:r>
    </w:p>
    <w:p w14:paraId="420712E4">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．核查组组长</w:t>
      </w:r>
    </w:p>
    <w:p w14:paraId="7AFA2073">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．核查组成员</w:t>
      </w:r>
    </w:p>
    <w:p w14:paraId="6BC8BA81">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核查机构应确保核查组（核查组长、核查组成员）具备</w:t>
      </w:r>
      <w:r>
        <w:rPr>
          <w:rFonts w:hint="eastAsia" w:ascii="仿宋_GB2312" w:hAnsi="仿宋" w:eastAsia="仿宋_GB2312"/>
          <w:sz w:val="32"/>
          <w:szCs w:val="32"/>
        </w:rPr>
        <w:t>相应核查</w:t>
      </w:r>
      <w:r>
        <w:rPr>
          <w:rFonts w:ascii="仿宋_GB2312" w:hAnsi="仿宋" w:eastAsia="仿宋_GB2312"/>
          <w:sz w:val="32"/>
          <w:szCs w:val="32"/>
        </w:rPr>
        <w:t>行业领域的专业知识。</w:t>
      </w:r>
    </w:p>
    <w:p w14:paraId="4B8E0181">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．技术复核人</w:t>
      </w:r>
    </w:p>
    <w:p w14:paraId="13DFD528">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技术复核人由核查机构内部独立于核查组的核查员实施。核查机构应确保技术复核人具备相应核查行业领域的专业知识。</w:t>
      </w:r>
    </w:p>
    <w:p w14:paraId="5045AA94">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．批准人</w:t>
      </w:r>
    </w:p>
    <w:p w14:paraId="2AFAB678">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核查报告应当由核查机构的最高管理者或指定的核查工作负责人签署批准。</w:t>
      </w:r>
    </w:p>
    <w:p w14:paraId="515B2B65">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（三）目录</w:t>
      </w:r>
    </w:p>
    <w:p w14:paraId="52037CA5">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核查报告应将主要标题列为目录，以便阅读。</w:t>
      </w:r>
    </w:p>
    <w:p w14:paraId="04D3B8EC">
      <w:pPr>
        <w:spacing w:after="0" w:line="560" w:lineRule="exact"/>
        <w:ind w:firstLine="659" w:firstLineChars="205"/>
        <w:jc w:val="both"/>
        <w:outlineLvl w:val="0"/>
        <w:rPr>
          <w:rFonts w:ascii="楷体_GB2312" w:hAnsi="仿宋" w:eastAsia="楷体_GB2312"/>
          <w:b/>
          <w:sz w:val="32"/>
          <w:szCs w:val="32"/>
        </w:rPr>
      </w:pPr>
      <w:bookmarkStart w:id="13" w:name="_Toc353116434"/>
      <w:r>
        <w:rPr>
          <w:rFonts w:hint="eastAsia" w:ascii="楷体_GB2312" w:hAnsi="仿宋" w:eastAsia="楷体_GB2312"/>
          <w:b/>
          <w:sz w:val="32"/>
          <w:szCs w:val="32"/>
        </w:rPr>
        <w:t>（四）</w:t>
      </w:r>
      <w:bookmarkEnd w:id="13"/>
      <w:bookmarkStart w:id="14" w:name="_Toc353116435"/>
      <w:r>
        <w:rPr>
          <w:rFonts w:hint="eastAsia" w:ascii="楷体_GB2312" w:hAnsi="仿宋" w:eastAsia="楷体_GB2312"/>
          <w:b/>
          <w:sz w:val="32"/>
          <w:szCs w:val="32"/>
        </w:rPr>
        <w:t>报告正文</w:t>
      </w:r>
      <w:bookmarkEnd w:id="14"/>
    </w:p>
    <w:p w14:paraId="20916E71">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 概述</w:t>
      </w:r>
    </w:p>
    <w:p w14:paraId="2D519F1C">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1.1 核查目的</w:t>
      </w:r>
    </w:p>
    <w:p w14:paraId="06C57A1B">
      <w:pPr>
        <w:pStyle w:val="58"/>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核查机构应在核查报告中清晰地说明核查目的，内容包括落实国家《关于开展碳排放权交易试点工作的通知》及北京市碳排放权交易试点工作的总体安排、为有效实施碳配额发放和交易提供可靠的数据质量保证服务等内容。核查具体目的表述可包含如下内容：</w:t>
      </w:r>
    </w:p>
    <w:p w14:paraId="1A5DF36C">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核查重点碳排放单位的二氧化碳核算和报告的职责、权限是否已经落实；</w:t>
      </w:r>
    </w:p>
    <w:p w14:paraId="26F9BC3E">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核查重点碳排放单位提供的二氧化碳排放报告及其他支持文件是否是完整可靠的，并且符合适用的地方标准或核算和报告指南的要求；</w:t>
      </w:r>
    </w:p>
    <w:p w14:paraId="0F2DCA7A">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核查测量设备是否已经到位，测量是否符合适用的地方标准或核算和报告指南及相关标准的要求；</w:t>
      </w:r>
    </w:p>
    <w:p w14:paraId="67EECB3A">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根据地方标准或核算和报告指南的要求，对记录和存储的数据进行评审，判断数据及计算结果是否真实、可靠、正确。</w:t>
      </w:r>
    </w:p>
    <w:p w14:paraId="33CAEF39">
      <w:pPr>
        <w:spacing w:after="0" w:line="560" w:lineRule="exact"/>
        <w:ind w:firstLine="640" w:firstLineChars="200"/>
        <w:jc w:val="both"/>
        <w:outlineLvl w:val="0"/>
        <w:rPr>
          <w:rFonts w:ascii="仿宋_GB2312" w:hAnsi="仿宋" w:eastAsia="仿宋_GB2312"/>
          <w:sz w:val="32"/>
          <w:szCs w:val="32"/>
        </w:rPr>
      </w:pPr>
      <w:r>
        <w:rPr>
          <w:rFonts w:hint="eastAsia" w:ascii="仿宋_GB2312" w:hAnsi="仿宋" w:eastAsia="仿宋_GB2312"/>
          <w:sz w:val="32"/>
          <w:szCs w:val="32"/>
        </w:rPr>
        <w:t>1.2 核查范围</w:t>
      </w:r>
    </w:p>
    <w:p w14:paraId="74CF7617">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范围。北京市二氧化碳排放报告制度遵循“谁排放谁报告”的原则，因此核查范围应包括列入北京市碳排放权交易试点工作的重点碳排放单位和自愿参与交易的一般二氧化碳报告单位的所有在北京市辖区内的固定设施和以北京为注册地的城市电汽车客运、城市轨道交通、道路货物运输、民用航空运输企业移动设施导致的二氧化碳直接排放和二氧化碳间接排放。</w:t>
      </w:r>
    </w:p>
    <w:p w14:paraId="598179E7">
      <w:pPr>
        <w:spacing w:after="0" w:line="56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对于存在京内移动源和京外化石燃料消费的重点碳排放单位，京内移动源和京外化石燃料消费也应当纳入核查范围。</w:t>
      </w:r>
      <w:bookmarkStart w:id="15" w:name="OLE_LINK7"/>
      <w:bookmarkStart w:id="16" w:name="OLE_LINK8"/>
      <w:r>
        <w:rPr>
          <w:rFonts w:hint="eastAsia" w:ascii="仿宋_GB2312" w:hAnsi="仿宋" w:eastAsia="仿宋_GB2312"/>
          <w:sz w:val="32"/>
          <w:szCs w:val="32"/>
        </w:rPr>
        <w:t>其中，航空器排放核算应遵循注册地原则。</w:t>
      </w:r>
      <w:bookmarkEnd w:id="15"/>
      <w:bookmarkEnd w:id="16"/>
    </w:p>
    <w:p w14:paraId="5668CFE8">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1.3 核查准则</w:t>
      </w:r>
    </w:p>
    <w:p w14:paraId="3BD2AA37">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核查机构应在核查报告中清晰地说明核查准则。核查机构应在核查报告中列出适用的地方标准或相应的核算和报告指南，以及活动水平数据、排放因子和计量设备所适用的北京市地方或国家法规及标准。</w:t>
      </w:r>
    </w:p>
    <w:p w14:paraId="758971AA">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 核查过程和方法</w:t>
      </w:r>
    </w:p>
    <w:p w14:paraId="4EBED576">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2.1 核查组安排</w:t>
      </w:r>
    </w:p>
    <w:p w14:paraId="648D67D5">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核查机构应统一采用列表的方式说明核查组成员，表格格式统一如下：</w:t>
      </w:r>
    </w:p>
    <w:p w14:paraId="6EE2551C">
      <w:pPr>
        <w:spacing w:after="0" w:line="560" w:lineRule="exact"/>
        <w:jc w:val="center"/>
        <w:rPr>
          <w:rFonts w:ascii="仿宋_GB2312" w:hAnsi="仿宋" w:eastAsia="仿宋_GB2312"/>
          <w:b/>
          <w:sz w:val="28"/>
          <w:szCs w:val="28"/>
        </w:rPr>
      </w:pPr>
      <w:r>
        <w:rPr>
          <w:rFonts w:hint="eastAsia" w:ascii="仿宋_GB2312" w:hAnsi="仿宋" w:eastAsia="仿宋_GB2312"/>
          <w:b/>
          <w:sz w:val="28"/>
          <w:szCs w:val="28"/>
        </w:rPr>
        <w:t>核查组成员表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1348"/>
        <w:gridCol w:w="4187"/>
        <w:gridCol w:w="1637"/>
      </w:tblGrid>
      <w:tr w14:paraId="332C9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92" w:type="pct"/>
            <w:tcBorders>
              <w:top w:val="single" w:color="auto" w:sz="12" w:space="0"/>
              <w:left w:val="single" w:color="auto" w:sz="12" w:space="0"/>
              <w:bottom w:val="single" w:color="auto" w:sz="6" w:space="0"/>
              <w:right w:val="single" w:color="auto" w:sz="6" w:space="0"/>
            </w:tcBorders>
            <w:vAlign w:val="center"/>
          </w:tcPr>
          <w:p w14:paraId="767CB5EF">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序号</w:t>
            </w:r>
          </w:p>
        </w:tc>
        <w:tc>
          <w:tcPr>
            <w:tcW w:w="791" w:type="pct"/>
            <w:tcBorders>
              <w:top w:val="single" w:color="auto" w:sz="12" w:space="0"/>
              <w:left w:val="single" w:color="auto" w:sz="6" w:space="0"/>
              <w:bottom w:val="single" w:color="auto" w:sz="6" w:space="0"/>
              <w:right w:val="single" w:color="auto" w:sz="6" w:space="0"/>
            </w:tcBorders>
            <w:vAlign w:val="center"/>
          </w:tcPr>
          <w:p w14:paraId="1BD0D61E">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姓名</w:t>
            </w:r>
          </w:p>
        </w:tc>
        <w:tc>
          <w:tcPr>
            <w:tcW w:w="2456" w:type="pct"/>
            <w:tcBorders>
              <w:top w:val="single" w:color="auto" w:sz="12" w:space="0"/>
              <w:left w:val="single" w:color="auto" w:sz="6" w:space="0"/>
              <w:bottom w:val="single" w:color="auto" w:sz="6" w:space="0"/>
              <w:right w:val="single" w:color="auto" w:sz="6" w:space="0"/>
            </w:tcBorders>
            <w:vAlign w:val="center"/>
          </w:tcPr>
          <w:p w14:paraId="7AB4C727">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核查工作分工内容</w:t>
            </w:r>
          </w:p>
        </w:tc>
        <w:tc>
          <w:tcPr>
            <w:tcW w:w="960" w:type="pct"/>
            <w:tcBorders>
              <w:top w:val="single" w:color="auto" w:sz="12" w:space="0"/>
              <w:left w:val="single" w:color="auto" w:sz="6" w:space="0"/>
              <w:bottom w:val="single" w:color="auto" w:sz="6" w:space="0"/>
              <w:right w:val="single" w:color="auto" w:sz="12" w:space="0"/>
            </w:tcBorders>
            <w:vAlign w:val="center"/>
          </w:tcPr>
          <w:p w14:paraId="44ED7BBE">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专业代码</w:t>
            </w:r>
          </w:p>
        </w:tc>
      </w:tr>
      <w:tr w14:paraId="70760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14:paraId="062F7765">
            <w:pPr>
              <w:tabs>
                <w:tab w:val="left" w:pos="540"/>
              </w:tabs>
              <w:spacing w:after="0" w:line="560" w:lineRule="exact"/>
              <w:jc w:val="center"/>
              <w:rPr>
                <w:rFonts w:ascii="仿宋_GB2312" w:hAnsi="仿宋" w:eastAsia="仿宋_GB2312"/>
                <w:sz w:val="24"/>
                <w:szCs w:val="24"/>
              </w:rPr>
            </w:pPr>
            <w:r>
              <w:rPr>
                <w:rFonts w:ascii="仿宋_GB2312" w:hAnsi="仿宋" w:eastAsia="仿宋_GB2312"/>
                <w:sz w:val="24"/>
                <w:szCs w:val="24"/>
              </w:rPr>
              <w:t>1</w:t>
            </w:r>
          </w:p>
        </w:tc>
        <w:tc>
          <w:tcPr>
            <w:tcW w:w="791" w:type="pct"/>
            <w:tcBorders>
              <w:top w:val="single" w:color="auto" w:sz="6" w:space="0"/>
              <w:left w:val="single" w:color="auto" w:sz="6" w:space="0"/>
              <w:bottom w:val="single" w:color="auto" w:sz="6" w:space="0"/>
              <w:right w:val="single" w:color="auto" w:sz="6" w:space="0"/>
            </w:tcBorders>
            <w:vAlign w:val="center"/>
          </w:tcPr>
          <w:p w14:paraId="3C459B5E">
            <w:pPr>
              <w:tabs>
                <w:tab w:val="left" w:pos="540"/>
              </w:tabs>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14:paraId="7A645040">
            <w:pPr>
              <w:tabs>
                <w:tab w:val="left" w:pos="540"/>
              </w:tabs>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14:paraId="01BA0B38">
            <w:pPr>
              <w:tabs>
                <w:tab w:val="left" w:pos="540"/>
              </w:tabs>
              <w:spacing w:after="0" w:line="560" w:lineRule="exact"/>
              <w:jc w:val="center"/>
              <w:rPr>
                <w:rFonts w:ascii="仿宋_GB2312" w:hAnsi="仿宋" w:eastAsia="仿宋_GB2312"/>
                <w:sz w:val="24"/>
                <w:szCs w:val="24"/>
              </w:rPr>
            </w:pPr>
          </w:p>
        </w:tc>
      </w:tr>
      <w:tr w14:paraId="739D3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14:paraId="2C3FFF2D">
            <w:pPr>
              <w:spacing w:after="0" w:line="560" w:lineRule="exact"/>
              <w:jc w:val="center"/>
              <w:rPr>
                <w:rFonts w:ascii="仿宋_GB2312" w:hAnsi="仿宋" w:eastAsia="仿宋_GB2312"/>
                <w:sz w:val="24"/>
                <w:szCs w:val="24"/>
              </w:rPr>
            </w:pPr>
            <w:r>
              <w:rPr>
                <w:rFonts w:ascii="仿宋_GB2312" w:hAnsi="仿宋" w:eastAsia="仿宋_GB2312"/>
                <w:sz w:val="24"/>
                <w:szCs w:val="24"/>
              </w:rPr>
              <w:t>2</w:t>
            </w:r>
          </w:p>
        </w:tc>
        <w:tc>
          <w:tcPr>
            <w:tcW w:w="791" w:type="pct"/>
            <w:tcBorders>
              <w:top w:val="single" w:color="auto" w:sz="6" w:space="0"/>
              <w:left w:val="single" w:color="auto" w:sz="6" w:space="0"/>
              <w:bottom w:val="single" w:color="auto" w:sz="6" w:space="0"/>
              <w:right w:val="single" w:color="auto" w:sz="6" w:space="0"/>
            </w:tcBorders>
            <w:vAlign w:val="center"/>
          </w:tcPr>
          <w:p w14:paraId="43D05A88">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14:paraId="7848699C">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14:paraId="6D38BE4C">
            <w:pPr>
              <w:tabs>
                <w:tab w:val="left" w:pos="540"/>
              </w:tabs>
              <w:spacing w:after="0" w:line="560" w:lineRule="exact"/>
              <w:jc w:val="center"/>
              <w:rPr>
                <w:rFonts w:ascii="仿宋_GB2312" w:hAnsi="仿宋" w:eastAsia="仿宋_GB2312"/>
                <w:sz w:val="24"/>
                <w:szCs w:val="24"/>
              </w:rPr>
            </w:pPr>
          </w:p>
        </w:tc>
      </w:tr>
      <w:tr w14:paraId="01483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14:paraId="596279FB">
            <w:pPr>
              <w:spacing w:after="0" w:line="560" w:lineRule="exact"/>
              <w:jc w:val="center"/>
              <w:rPr>
                <w:rFonts w:ascii="仿宋_GB2312" w:hAnsi="仿宋" w:eastAsia="仿宋_GB2312"/>
                <w:sz w:val="24"/>
                <w:szCs w:val="24"/>
              </w:rPr>
            </w:pPr>
            <w:r>
              <w:rPr>
                <w:rFonts w:ascii="仿宋_GB2312" w:hAnsi="仿宋" w:eastAsia="仿宋_GB2312"/>
                <w:sz w:val="24"/>
                <w:szCs w:val="24"/>
              </w:rPr>
              <w:t>3</w:t>
            </w:r>
          </w:p>
        </w:tc>
        <w:tc>
          <w:tcPr>
            <w:tcW w:w="791" w:type="pct"/>
            <w:tcBorders>
              <w:top w:val="single" w:color="auto" w:sz="6" w:space="0"/>
              <w:left w:val="single" w:color="auto" w:sz="6" w:space="0"/>
              <w:bottom w:val="single" w:color="auto" w:sz="6" w:space="0"/>
              <w:right w:val="single" w:color="auto" w:sz="6" w:space="0"/>
            </w:tcBorders>
            <w:vAlign w:val="center"/>
          </w:tcPr>
          <w:p w14:paraId="17DA9A1E">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14:paraId="1C1F18E1">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14:paraId="10DDCC0D">
            <w:pPr>
              <w:tabs>
                <w:tab w:val="left" w:pos="540"/>
              </w:tabs>
              <w:spacing w:after="0" w:line="560" w:lineRule="exact"/>
              <w:jc w:val="center"/>
              <w:rPr>
                <w:rFonts w:ascii="仿宋_GB2312" w:hAnsi="仿宋" w:eastAsia="仿宋_GB2312"/>
                <w:sz w:val="24"/>
                <w:szCs w:val="24"/>
              </w:rPr>
            </w:pPr>
          </w:p>
        </w:tc>
      </w:tr>
      <w:tr w14:paraId="4F35E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12" w:space="0"/>
              <w:right w:val="single" w:color="auto" w:sz="6" w:space="0"/>
            </w:tcBorders>
            <w:vAlign w:val="center"/>
          </w:tcPr>
          <w:p w14:paraId="1FE47EF5">
            <w:pPr>
              <w:spacing w:after="0" w:line="560" w:lineRule="exact"/>
              <w:jc w:val="center"/>
              <w:rPr>
                <w:rFonts w:ascii="仿宋_GB2312" w:hAnsi="仿宋" w:eastAsia="仿宋_GB2312"/>
                <w:sz w:val="24"/>
                <w:szCs w:val="24"/>
              </w:rPr>
            </w:pPr>
            <w:r>
              <w:rPr>
                <w:rFonts w:hint="eastAsia" w:ascii="仿宋_GB2312" w:hAnsi="仿宋" w:eastAsia="仿宋_GB2312"/>
                <w:sz w:val="24"/>
                <w:szCs w:val="24"/>
              </w:rPr>
              <w:t>…</w:t>
            </w:r>
          </w:p>
        </w:tc>
        <w:tc>
          <w:tcPr>
            <w:tcW w:w="791" w:type="pct"/>
            <w:tcBorders>
              <w:top w:val="single" w:color="auto" w:sz="6" w:space="0"/>
              <w:left w:val="single" w:color="auto" w:sz="6" w:space="0"/>
              <w:bottom w:val="single" w:color="auto" w:sz="12" w:space="0"/>
              <w:right w:val="single" w:color="auto" w:sz="6" w:space="0"/>
            </w:tcBorders>
            <w:vAlign w:val="center"/>
          </w:tcPr>
          <w:p w14:paraId="2AFDF7D1">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12" w:space="0"/>
              <w:right w:val="single" w:color="auto" w:sz="6" w:space="0"/>
            </w:tcBorders>
            <w:vAlign w:val="center"/>
          </w:tcPr>
          <w:p w14:paraId="5B6469A5">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12" w:space="0"/>
              <w:right w:val="single" w:color="auto" w:sz="12" w:space="0"/>
            </w:tcBorders>
            <w:vAlign w:val="center"/>
          </w:tcPr>
          <w:p w14:paraId="2374884B">
            <w:pPr>
              <w:tabs>
                <w:tab w:val="left" w:pos="540"/>
              </w:tabs>
              <w:spacing w:after="0" w:line="560" w:lineRule="exact"/>
              <w:jc w:val="center"/>
              <w:rPr>
                <w:rFonts w:ascii="仿宋_GB2312" w:hAnsi="仿宋" w:eastAsia="仿宋_GB2312"/>
                <w:sz w:val="24"/>
                <w:szCs w:val="24"/>
              </w:rPr>
            </w:pPr>
          </w:p>
        </w:tc>
      </w:tr>
    </w:tbl>
    <w:p w14:paraId="6B342F02">
      <w:pPr>
        <w:spacing w:after="0" w:line="560" w:lineRule="exact"/>
        <w:ind w:firstLine="160" w:firstLineChars="50"/>
        <w:rPr>
          <w:rFonts w:ascii="仿宋_GB2312" w:hAnsi="仿宋" w:eastAsia="仿宋_GB2312"/>
          <w:sz w:val="32"/>
          <w:szCs w:val="32"/>
        </w:rPr>
      </w:pPr>
      <w:r>
        <w:rPr>
          <w:rFonts w:hint="eastAsia" w:ascii="仿宋_GB2312" w:hAnsi="仿宋" w:eastAsia="仿宋_GB2312"/>
          <w:sz w:val="32"/>
          <w:szCs w:val="32"/>
        </w:rPr>
        <w:t>注：</w:t>
      </w:r>
    </w:p>
    <w:p w14:paraId="25BE0DCA">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核查机构应根据核查员的专业领域和技术能力、重点碳排放单位的规模和经营场所数量等实际情况，组成至少两名核查员的核查组实施核查。</w:t>
      </w:r>
    </w:p>
    <w:p w14:paraId="412BC788">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核查机构对报告客观真实性和报告质量负责。</w:t>
      </w:r>
    </w:p>
    <w:p w14:paraId="24CB07CE">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2.2 文件评审</w:t>
      </w:r>
    </w:p>
    <w:p w14:paraId="2B27B6DE">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核查机构应在报告中描述其文件评审的时间、过程及主要内容。核查机构对文件评审的描述应包含如下内容：</w:t>
      </w:r>
    </w:p>
    <w:p w14:paraId="05FFF0C1">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重点碳排放单位提交二氧化碳排放报告初始版本和最终版本的日期；</w:t>
      </w:r>
    </w:p>
    <w:p w14:paraId="43DD19EB">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重点碳排放单位提供的支持性文件（详细文件清单，包括版本和日期应清晰地列在核查报告的第五部分“参考文件” 中），支持文件可包括但不限于：</w:t>
      </w:r>
    </w:p>
    <w:p w14:paraId="3AFD0E05">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营业执照；</w:t>
      </w:r>
    </w:p>
    <w:p w14:paraId="3EBE33B0">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工艺流程图；</w:t>
      </w:r>
    </w:p>
    <w:p w14:paraId="0F4BEBF6">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能源平衡表；</w:t>
      </w:r>
    </w:p>
    <w:p w14:paraId="00564A05">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物料平衡表(如有)；</w:t>
      </w:r>
    </w:p>
    <w:p w14:paraId="005A57AA">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能源审计报告；</w:t>
      </w:r>
    </w:p>
    <w:p w14:paraId="002635CA">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能源统计报表；</w:t>
      </w:r>
    </w:p>
    <w:p w14:paraId="41F8BBFC">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核查组在文件评审中使用其它的支持性文件。</w:t>
      </w:r>
    </w:p>
    <w:p w14:paraId="6B195AD2">
      <w:pPr>
        <w:spacing w:after="0" w:line="560" w:lineRule="exact"/>
        <w:ind w:left="420" w:firstLine="320" w:firstLineChars="100"/>
        <w:jc w:val="both"/>
        <w:rPr>
          <w:rFonts w:ascii="仿宋_GB2312" w:hAnsi="仿宋" w:eastAsia="仿宋_GB2312"/>
          <w:sz w:val="32"/>
          <w:szCs w:val="32"/>
        </w:rPr>
      </w:pPr>
      <w:r>
        <w:rPr>
          <w:rFonts w:hint="eastAsia" w:ascii="仿宋_GB2312" w:hAnsi="仿宋" w:eastAsia="仿宋_GB2312"/>
          <w:sz w:val="32"/>
          <w:szCs w:val="32"/>
        </w:rPr>
        <w:t>c) 文件评审识别出的现场访问的重点。</w:t>
      </w:r>
    </w:p>
    <w:p w14:paraId="793D7F55">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2.3 现场访问</w:t>
      </w:r>
    </w:p>
    <w:p w14:paraId="5D8E2B8F">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核查机构应在报告中描述其现场访问的时间、对象及主要内容，并用如下表格格式汇总现场访问的实施。</w:t>
      </w:r>
    </w:p>
    <w:tbl>
      <w:tblPr>
        <w:tblStyle w:val="3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226"/>
        <w:gridCol w:w="2168"/>
        <w:gridCol w:w="3402"/>
      </w:tblGrid>
      <w:tr w14:paraId="41DA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4AA59AE9">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时间</w:t>
            </w:r>
          </w:p>
        </w:tc>
        <w:tc>
          <w:tcPr>
            <w:tcW w:w="2226" w:type="dxa"/>
            <w:vAlign w:val="center"/>
          </w:tcPr>
          <w:p w14:paraId="06CA1AB1">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访谈对象</w:t>
            </w:r>
          </w:p>
          <w:p w14:paraId="2420081D">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（姓名／职位）</w:t>
            </w:r>
          </w:p>
        </w:tc>
        <w:tc>
          <w:tcPr>
            <w:tcW w:w="2168" w:type="dxa"/>
            <w:vAlign w:val="center"/>
          </w:tcPr>
          <w:p w14:paraId="0E242671">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部门</w:t>
            </w:r>
          </w:p>
        </w:tc>
        <w:tc>
          <w:tcPr>
            <w:tcW w:w="3402" w:type="dxa"/>
            <w:vAlign w:val="center"/>
          </w:tcPr>
          <w:p w14:paraId="0B2D1200">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访谈内容</w:t>
            </w:r>
          </w:p>
        </w:tc>
      </w:tr>
      <w:tr w14:paraId="2D42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306CA425">
            <w:pPr>
              <w:spacing w:after="0" w:line="560" w:lineRule="exact"/>
              <w:rPr>
                <w:rFonts w:ascii="仿宋_GB2312" w:hAnsi="仿宋" w:eastAsia="仿宋_GB2312"/>
                <w:sz w:val="24"/>
                <w:szCs w:val="24"/>
              </w:rPr>
            </w:pPr>
          </w:p>
        </w:tc>
        <w:tc>
          <w:tcPr>
            <w:tcW w:w="2226" w:type="dxa"/>
          </w:tcPr>
          <w:p w14:paraId="13E96479">
            <w:pPr>
              <w:spacing w:after="0" w:line="560" w:lineRule="exact"/>
              <w:rPr>
                <w:rFonts w:ascii="仿宋_GB2312" w:hAnsi="仿宋" w:eastAsia="仿宋_GB2312"/>
                <w:sz w:val="24"/>
                <w:szCs w:val="24"/>
              </w:rPr>
            </w:pPr>
          </w:p>
        </w:tc>
        <w:tc>
          <w:tcPr>
            <w:tcW w:w="2168" w:type="dxa"/>
          </w:tcPr>
          <w:p w14:paraId="37C902A4">
            <w:pPr>
              <w:spacing w:after="0" w:line="560" w:lineRule="exact"/>
              <w:rPr>
                <w:rFonts w:ascii="仿宋_GB2312" w:hAnsi="仿宋" w:eastAsia="仿宋_GB2312"/>
                <w:sz w:val="24"/>
                <w:szCs w:val="24"/>
              </w:rPr>
            </w:pPr>
          </w:p>
        </w:tc>
        <w:tc>
          <w:tcPr>
            <w:tcW w:w="3402" w:type="dxa"/>
          </w:tcPr>
          <w:p w14:paraId="2EE99795">
            <w:pPr>
              <w:spacing w:after="0" w:line="560" w:lineRule="exact"/>
              <w:rPr>
                <w:rFonts w:ascii="仿宋_GB2312" w:hAnsi="仿宋" w:eastAsia="仿宋_GB2312"/>
                <w:sz w:val="24"/>
                <w:szCs w:val="24"/>
              </w:rPr>
            </w:pPr>
          </w:p>
        </w:tc>
      </w:tr>
      <w:tr w14:paraId="5CA2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6A189CDC">
            <w:pPr>
              <w:spacing w:after="0" w:line="560" w:lineRule="exact"/>
              <w:rPr>
                <w:rFonts w:ascii="仿宋_GB2312" w:hAnsi="仿宋" w:eastAsia="仿宋_GB2312"/>
                <w:sz w:val="24"/>
                <w:szCs w:val="24"/>
              </w:rPr>
            </w:pPr>
          </w:p>
        </w:tc>
        <w:tc>
          <w:tcPr>
            <w:tcW w:w="2226" w:type="dxa"/>
          </w:tcPr>
          <w:p w14:paraId="5E8E6E96">
            <w:pPr>
              <w:spacing w:after="0" w:line="560" w:lineRule="exact"/>
              <w:rPr>
                <w:rFonts w:ascii="仿宋_GB2312" w:hAnsi="仿宋" w:eastAsia="仿宋_GB2312"/>
                <w:sz w:val="24"/>
                <w:szCs w:val="24"/>
              </w:rPr>
            </w:pPr>
          </w:p>
        </w:tc>
        <w:tc>
          <w:tcPr>
            <w:tcW w:w="2168" w:type="dxa"/>
          </w:tcPr>
          <w:p w14:paraId="1C77E1BC">
            <w:pPr>
              <w:spacing w:after="0" w:line="560" w:lineRule="exact"/>
              <w:rPr>
                <w:rFonts w:ascii="仿宋_GB2312" w:hAnsi="仿宋" w:eastAsia="仿宋_GB2312"/>
                <w:sz w:val="24"/>
                <w:szCs w:val="24"/>
              </w:rPr>
            </w:pPr>
          </w:p>
        </w:tc>
        <w:tc>
          <w:tcPr>
            <w:tcW w:w="3402" w:type="dxa"/>
          </w:tcPr>
          <w:p w14:paraId="3C7219B7">
            <w:pPr>
              <w:spacing w:after="0" w:line="560" w:lineRule="exact"/>
              <w:rPr>
                <w:rFonts w:ascii="仿宋_GB2312" w:hAnsi="仿宋" w:eastAsia="仿宋_GB2312"/>
                <w:sz w:val="24"/>
                <w:szCs w:val="24"/>
              </w:rPr>
            </w:pPr>
          </w:p>
        </w:tc>
      </w:tr>
      <w:tr w14:paraId="52D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6187A7A5">
            <w:pPr>
              <w:spacing w:after="0" w:line="560" w:lineRule="exact"/>
              <w:rPr>
                <w:rFonts w:ascii="仿宋_GB2312" w:hAnsi="仿宋" w:eastAsia="仿宋_GB2312"/>
                <w:sz w:val="24"/>
                <w:szCs w:val="24"/>
              </w:rPr>
            </w:pPr>
          </w:p>
        </w:tc>
        <w:tc>
          <w:tcPr>
            <w:tcW w:w="2226" w:type="dxa"/>
          </w:tcPr>
          <w:p w14:paraId="3F5323DB">
            <w:pPr>
              <w:spacing w:after="0" w:line="560" w:lineRule="exact"/>
              <w:rPr>
                <w:rFonts w:ascii="仿宋_GB2312" w:hAnsi="仿宋" w:eastAsia="仿宋_GB2312"/>
                <w:sz w:val="24"/>
                <w:szCs w:val="24"/>
              </w:rPr>
            </w:pPr>
          </w:p>
        </w:tc>
        <w:tc>
          <w:tcPr>
            <w:tcW w:w="2168" w:type="dxa"/>
          </w:tcPr>
          <w:p w14:paraId="713B145A">
            <w:pPr>
              <w:spacing w:after="0" w:line="560" w:lineRule="exact"/>
              <w:rPr>
                <w:rFonts w:ascii="仿宋_GB2312" w:hAnsi="仿宋" w:eastAsia="仿宋_GB2312"/>
                <w:sz w:val="24"/>
                <w:szCs w:val="24"/>
              </w:rPr>
            </w:pPr>
          </w:p>
        </w:tc>
        <w:tc>
          <w:tcPr>
            <w:tcW w:w="3402" w:type="dxa"/>
          </w:tcPr>
          <w:p w14:paraId="38A1210C">
            <w:pPr>
              <w:spacing w:after="0" w:line="560" w:lineRule="exact"/>
              <w:rPr>
                <w:rFonts w:ascii="仿宋_GB2312" w:hAnsi="仿宋" w:eastAsia="仿宋_GB2312"/>
                <w:sz w:val="24"/>
                <w:szCs w:val="24"/>
              </w:rPr>
            </w:pPr>
          </w:p>
        </w:tc>
      </w:tr>
      <w:tr w14:paraId="581C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14:paraId="5008D3AC">
            <w:pPr>
              <w:spacing w:after="0" w:line="560" w:lineRule="exact"/>
              <w:rPr>
                <w:rFonts w:ascii="仿宋_GB2312" w:hAnsi="仿宋" w:eastAsia="仿宋_GB2312"/>
                <w:sz w:val="24"/>
                <w:szCs w:val="24"/>
              </w:rPr>
            </w:pPr>
          </w:p>
        </w:tc>
        <w:tc>
          <w:tcPr>
            <w:tcW w:w="2226" w:type="dxa"/>
          </w:tcPr>
          <w:p w14:paraId="18408029">
            <w:pPr>
              <w:spacing w:after="0" w:line="560" w:lineRule="exact"/>
              <w:rPr>
                <w:rFonts w:ascii="仿宋_GB2312" w:hAnsi="仿宋" w:eastAsia="仿宋_GB2312"/>
                <w:sz w:val="24"/>
                <w:szCs w:val="24"/>
              </w:rPr>
            </w:pPr>
          </w:p>
        </w:tc>
        <w:tc>
          <w:tcPr>
            <w:tcW w:w="2168" w:type="dxa"/>
          </w:tcPr>
          <w:p w14:paraId="75961F43">
            <w:pPr>
              <w:spacing w:after="0" w:line="560" w:lineRule="exact"/>
              <w:rPr>
                <w:rFonts w:ascii="仿宋_GB2312" w:hAnsi="仿宋" w:eastAsia="仿宋_GB2312"/>
                <w:sz w:val="24"/>
                <w:szCs w:val="24"/>
              </w:rPr>
            </w:pPr>
          </w:p>
        </w:tc>
        <w:tc>
          <w:tcPr>
            <w:tcW w:w="3402" w:type="dxa"/>
          </w:tcPr>
          <w:p w14:paraId="72903377">
            <w:pPr>
              <w:spacing w:after="0" w:line="560" w:lineRule="exact"/>
              <w:rPr>
                <w:rFonts w:ascii="仿宋_GB2312" w:hAnsi="仿宋" w:eastAsia="仿宋_GB2312"/>
                <w:sz w:val="24"/>
                <w:szCs w:val="24"/>
              </w:rPr>
            </w:pPr>
          </w:p>
        </w:tc>
      </w:tr>
    </w:tbl>
    <w:p w14:paraId="6392F419">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文件评审及现场访问的核查发现将具体在报告的第三部分详细描述。</w:t>
      </w:r>
    </w:p>
    <w:p w14:paraId="6A38664F">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2.4 核查报告编写及内部技术复核</w:t>
      </w:r>
    </w:p>
    <w:p w14:paraId="48D7ECC1">
      <w:pPr>
        <w:spacing w:after="0" w:line="560" w:lineRule="exact"/>
        <w:ind w:firstLine="552"/>
        <w:jc w:val="both"/>
        <w:rPr>
          <w:rFonts w:ascii="仿宋_GB2312" w:hAnsi="仿宋" w:eastAsia="仿宋_GB2312"/>
          <w:sz w:val="32"/>
          <w:szCs w:val="32"/>
        </w:rPr>
      </w:pPr>
      <w:r>
        <w:rPr>
          <w:rFonts w:hint="eastAsia" w:ascii="仿宋_GB2312" w:hAnsi="仿宋" w:eastAsia="仿宋_GB2312"/>
          <w:sz w:val="32"/>
          <w:szCs w:val="32"/>
        </w:rPr>
        <w:t>核查机构应在核查报告中描述核查报告编写的过程和内部技术复核的过程，内容可包括：</w:t>
      </w:r>
    </w:p>
    <w:p w14:paraId="755A35B6">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核查组开具了几个不符合；</w:t>
      </w:r>
    </w:p>
    <w:p w14:paraId="35249F5C">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将不符合发给重点碳排放单位的时间以及不符合关闭的时间；</w:t>
      </w:r>
    </w:p>
    <w:p w14:paraId="6A0FA359">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准备核查报告的时间；</w:t>
      </w:r>
    </w:p>
    <w:p w14:paraId="29A46BED">
      <w:pPr>
        <w:widowControl w:val="0"/>
        <w:numPr>
          <w:ilvl w:val="0"/>
          <w:numId w:val="10"/>
        </w:numPr>
        <w:spacing w:after="0" w:line="560" w:lineRule="exact"/>
        <w:ind w:left="851" w:hanging="299"/>
        <w:jc w:val="both"/>
        <w:rPr>
          <w:rFonts w:ascii="仿宋_GB2312" w:hAnsi="仿宋" w:eastAsia="仿宋_GB2312"/>
          <w:sz w:val="32"/>
          <w:szCs w:val="32"/>
        </w:rPr>
      </w:pPr>
      <w:r>
        <w:rPr>
          <w:rFonts w:hint="eastAsia" w:ascii="仿宋_GB2312" w:hAnsi="仿宋" w:eastAsia="仿宋_GB2312"/>
          <w:sz w:val="32"/>
          <w:szCs w:val="32"/>
        </w:rPr>
        <w:t>核查机构如何安排内部技术复核以及采取其他的质量控制措施等。</w:t>
      </w:r>
    </w:p>
    <w:p w14:paraId="52C10A08">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3 .核查发现</w:t>
      </w:r>
    </w:p>
    <w:p w14:paraId="0C735B37">
      <w:pPr>
        <w:widowControl w:val="0"/>
        <w:numPr>
          <w:ilvl w:val="1"/>
          <w:numId w:val="11"/>
        </w:numPr>
        <w:spacing w:after="0" w:line="560" w:lineRule="exact"/>
        <w:ind w:left="-2" w:leftChars="-1" w:firstLine="488" w:firstLineChars="152"/>
        <w:jc w:val="both"/>
        <w:rPr>
          <w:rFonts w:ascii="仿宋_GB2312" w:hAnsi="仿宋" w:eastAsia="仿宋_GB2312"/>
          <w:b/>
          <w:sz w:val="32"/>
          <w:szCs w:val="32"/>
        </w:rPr>
      </w:pPr>
      <w:r>
        <w:rPr>
          <w:rFonts w:hint="eastAsia" w:ascii="仿宋_GB2312" w:hAnsi="仿宋" w:eastAsia="仿宋_GB2312"/>
          <w:b/>
          <w:sz w:val="32"/>
          <w:szCs w:val="32"/>
        </w:rPr>
        <w:t>重点碳排放单位的基本信息</w:t>
      </w:r>
    </w:p>
    <w:p w14:paraId="4E506614">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A）报告内容</w:t>
      </w:r>
    </w:p>
    <w:p w14:paraId="0027729A">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核查机构应对重点碳排放单位报送的基本信息进行核查，并在核查报告中描述以下核查发现：</w:t>
      </w:r>
    </w:p>
    <w:p w14:paraId="50977743">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重点碳排放单位简介，如重点碳排放单位名称、所属行业、地理位置、成立时间、所有制性质、规模、隶属关系等；</w:t>
      </w:r>
    </w:p>
    <w:p w14:paraId="2EF2CF0B">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重点碳排放单位的组织结构；</w:t>
      </w:r>
    </w:p>
    <w:p w14:paraId="3F2D5CDE">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重点碳排放单位主要的产品或服务。如为工业企业，基本信息应包括生产的产品及生产工艺等相关指标；如为服务业，基本信息应包括服务范围及流程等；</w:t>
      </w:r>
    </w:p>
    <w:p w14:paraId="661EC239">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重点碳排放单位能源管理现状，包括使用能源的品种，能源计量统计及能源审计情况、年度能源统计报告等；</w:t>
      </w:r>
    </w:p>
    <w:p w14:paraId="5F9C072D">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重点碳排放单位的废弃物处理（如适用）现状;</w:t>
      </w:r>
    </w:p>
    <w:p w14:paraId="2F37E1BD">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如重点碳排放单位存在既有设施退出、新增排放设施、新增替代既有设施的情况，应做简要描述；</w:t>
      </w:r>
    </w:p>
    <w:p w14:paraId="2776C68D">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以往年份的二氧化碳排放的履约情况,包括履约的方式,比如自我控制排放的实施方式、购买信用额度以及购买配额的详细情况；</w:t>
      </w:r>
    </w:p>
    <w:p w14:paraId="787D8CC9">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14:paraId="4C296C0D">
      <w:pPr>
        <w:spacing w:after="0" w:line="560" w:lineRule="exact"/>
        <w:ind w:firstLine="790" w:firstLineChars="246"/>
        <w:outlineLvl w:val="0"/>
        <w:rPr>
          <w:rFonts w:ascii="仿宋_GB2312" w:hAnsi="仿宋" w:eastAsia="仿宋_GB2312"/>
          <w:b/>
          <w:sz w:val="32"/>
          <w:szCs w:val="32"/>
        </w:rPr>
      </w:pPr>
      <w:r>
        <w:rPr>
          <w:rFonts w:hint="eastAsia" w:ascii="仿宋_GB2312" w:hAnsi="仿宋" w:eastAsia="仿宋_GB2312"/>
          <w:b/>
          <w:sz w:val="32"/>
          <w:szCs w:val="32"/>
        </w:rPr>
        <w:t>B）核查方法</w:t>
      </w:r>
    </w:p>
    <w:p w14:paraId="4A2BFEE3">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查阅重点碳排放单位的法人证书、机构简介，与机构相关负责人进行交流访谈；</w:t>
      </w:r>
    </w:p>
    <w:p w14:paraId="4F0C6099">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了解能源和二氧化碳管理机构，查阅相关部门、岗位的职责书及培训记录。</w:t>
      </w:r>
    </w:p>
    <w:p w14:paraId="08CE4F9A">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3.2 重点碳排放单位的设施边界及排放源识别</w:t>
      </w:r>
    </w:p>
    <w:p w14:paraId="5069FE21">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3D58B2B8">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核查机构应对重点碳排放单位报送设备信息和重点排放设施等的信息进行核查，并在核查报告中描述如下核查发现：</w:t>
      </w:r>
    </w:p>
    <w:p w14:paraId="5E882C6F">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重点碳排放单位的场所边界、设施边界是否与以往年份保持一致；</w:t>
      </w:r>
    </w:p>
    <w:p w14:paraId="62B37952">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重点碳排放单位的场所边界、设施边界与适用的地方标准或核算和报告指南的符合情况；</w:t>
      </w:r>
    </w:p>
    <w:p w14:paraId="394C55D5">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非道路运输行业的排放报告中的每一个排放设施的名称、型号和物理位置是否与现场确认的一致；</w:t>
      </w:r>
    </w:p>
    <w:p w14:paraId="3316C003">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道路运输业企业的排放报告中公共电汽车车辆、运营车辆总数、飞</w:t>
      </w:r>
      <w:r>
        <w:rPr>
          <w:rFonts w:ascii="仿宋_GB2312" w:hAnsi="仿宋" w:eastAsia="仿宋_GB2312"/>
          <w:sz w:val="32"/>
          <w:szCs w:val="32"/>
        </w:rPr>
        <w:t>机</w:t>
      </w:r>
      <w:r>
        <w:rPr>
          <w:rFonts w:hint="eastAsia" w:ascii="仿宋_GB2312" w:hAnsi="仿宋" w:eastAsia="仿宋_GB2312"/>
          <w:sz w:val="32"/>
          <w:szCs w:val="32"/>
        </w:rPr>
        <w:t>总数及燃料消耗类型等是否与现场确认的一致；</w:t>
      </w:r>
    </w:p>
    <w:p w14:paraId="75646B1E">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道路运输业企业的排放报告中轨道交通的线路、配属车辆数量等是否与现场确认的一致；</w:t>
      </w:r>
    </w:p>
    <w:p w14:paraId="0E0E4ACB">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如核查机构采用对场所和数据抽样的方式实施核查，应在核查报告中详细说明抽样方案与数量等，同时核查报告中应清楚描述出本年度场所抽样与去年场所抽样情况的差别并确定是否核查指南的要求；</w:t>
      </w:r>
    </w:p>
    <w:p w14:paraId="42BD767C">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14:paraId="1ADBFD43">
      <w:pPr>
        <w:spacing w:after="0" w:line="560" w:lineRule="exact"/>
        <w:ind w:firstLine="472" w:firstLineChars="147"/>
        <w:outlineLvl w:val="0"/>
        <w:rPr>
          <w:rFonts w:ascii="仿宋_GB2312" w:hAnsi="仿宋" w:eastAsia="仿宋_GB2312"/>
          <w:b/>
          <w:sz w:val="32"/>
          <w:szCs w:val="32"/>
        </w:rPr>
      </w:pPr>
      <w:r>
        <w:rPr>
          <w:rFonts w:hint="eastAsia" w:ascii="仿宋_GB2312" w:hAnsi="仿宋" w:eastAsia="仿宋_GB2312"/>
          <w:b/>
          <w:sz w:val="32"/>
          <w:szCs w:val="32"/>
        </w:rPr>
        <w:t>B)核查方法</w:t>
      </w:r>
    </w:p>
    <w:p w14:paraId="14F176B5">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核查机构可通过以下方式来验证重点碳排放单位报告的设施的真实性：</w:t>
      </w:r>
    </w:p>
    <w:p w14:paraId="11E11776">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与设备管理人员进行交谈；</w:t>
      </w:r>
    </w:p>
    <w:p w14:paraId="3994655E">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现场观察设施或交通运输业运行线路图或统计信息；</w:t>
      </w:r>
    </w:p>
    <w:p w14:paraId="5F6C12EA">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查阅可行性研究报告的批复；</w:t>
      </w:r>
    </w:p>
    <w:p w14:paraId="3B0280F4">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查阅环境影响评价报告及年度环境监测报告等。</w:t>
      </w:r>
    </w:p>
    <w:p w14:paraId="707EE0B2">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 核算方法</w:t>
      </w:r>
      <w:r>
        <w:rPr>
          <w:rFonts w:hint="eastAsia" w:ascii="仿宋_GB2312" w:hAnsi="仿宋" w:eastAsia="仿宋_GB2312"/>
          <w:sz w:val="32"/>
          <w:szCs w:val="32"/>
        </w:rPr>
        <w:t>、</w:t>
      </w:r>
      <w:r>
        <w:rPr>
          <w:rFonts w:hint="eastAsia" w:ascii="仿宋_GB2312" w:hAnsi="仿宋" w:eastAsia="仿宋_GB2312"/>
          <w:b/>
          <w:sz w:val="32"/>
          <w:szCs w:val="32"/>
        </w:rPr>
        <w:t>数据与《企业(单位)二氧化碳核算与报告指南》的符合性</w:t>
      </w:r>
    </w:p>
    <w:p w14:paraId="040203E4">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2E29875C">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3.3.1核算方法的符合性</w:t>
      </w:r>
    </w:p>
    <w:p w14:paraId="7C414EF7">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核查机构应对重点碳排放单位的二氧化碳核算方法进行核查,确定核算方法的选择符合适用地方标准或核算和报告指南的要求。对任何偏离指南要求的核算应予以详细说明。</w:t>
      </w:r>
    </w:p>
    <w:p w14:paraId="0C5AA97E">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3.3.2数据的符合性</w:t>
      </w:r>
    </w:p>
    <w:p w14:paraId="395DDEAA">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核查机构应按照如下格式报告重点排放单位所核算参数的单位、描述以及是否制订监测计划。并在下面的3.3.2.1～3.3.2.4章节报告每个参数的详细核查发现。</w:t>
      </w:r>
    </w:p>
    <w:p w14:paraId="684EF230">
      <w:pPr>
        <w:spacing w:after="0" w:line="560" w:lineRule="exact"/>
        <w:ind w:firstLine="640" w:firstLineChars="200"/>
        <w:rPr>
          <w:rFonts w:ascii="仿宋_GB2312" w:hAnsi="仿宋" w:eastAsia="仿宋_GB2312"/>
          <w:sz w:val="32"/>
          <w:szCs w:val="32"/>
        </w:rPr>
      </w:pPr>
    </w:p>
    <w:tbl>
      <w:tblPr>
        <w:tblStyle w:val="35"/>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457"/>
        <w:gridCol w:w="1167"/>
        <w:gridCol w:w="992"/>
        <w:gridCol w:w="993"/>
        <w:gridCol w:w="3191"/>
        <w:gridCol w:w="1525"/>
      </w:tblGrid>
      <w:tr w14:paraId="368DC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81" w:type="dxa"/>
            <w:gridSpan w:val="3"/>
            <w:vAlign w:val="center"/>
          </w:tcPr>
          <w:p w14:paraId="226BC53F">
            <w:pPr>
              <w:spacing w:after="0"/>
              <w:jc w:val="center"/>
              <w:rPr>
                <w:rFonts w:ascii="仿宋" w:hAnsi="仿宋" w:eastAsia="仿宋"/>
                <w:b/>
                <w:sz w:val="24"/>
                <w:szCs w:val="24"/>
              </w:rPr>
            </w:pPr>
          </w:p>
        </w:tc>
        <w:tc>
          <w:tcPr>
            <w:tcW w:w="992" w:type="dxa"/>
            <w:vAlign w:val="center"/>
          </w:tcPr>
          <w:p w14:paraId="32CC96E7">
            <w:pPr>
              <w:spacing w:after="0"/>
              <w:jc w:val="center"/>
              <w:rPr>
                <w:rFonts w:ascii="仿宋" w:hAnsi="仿宋" w:eastAsia="仿宋"/>
                <w:b/>
                <w:sz w:val="24"/>
                <w:szCs w:val="24"/>
              </w:rPr>
            </w:pPr>
            <w:r>
              <w:rPr>
                <w:rFonts w:hint="eastAsia" w:ascii="仿宋" w:hAnsi="仿宋" w:eastAsia="仿宋"/>
                <w:b/>
                <w:sz w:val="24"/>
                <w:szCs w:val="24"/>
              </w:rPr>
              <w:t>参数</w:t>
            </w:r>
          </w:p>
        </w:tc>
        <w:tc>
          <w:tcPr>
            <w:tcW w:w="993" w:type="dxa"/>
            <w:vAlign w:val="center"/>
          </w:tcPr>
          <w:p w14:paraId="6F98B54B">
            <w:pPr>
              <w:spacing w:after="0"/>
              <w:jc w:val="center"/>
              <w:rPr>
                <w:rFonts w:ascii="仿宋" w:hAnsi="仿宋" w:eastAsia="仿宋"/>
                <w:b/>
                <w:sz w:val="24"/>
                <w:szCs w:val="24"/>
              </w:rPr>
            </w:pPr>
            <w:r>
              <w:rPr>
                <w:rFonts w:hint="eastAsia" w:ascii="仿宋" w:hAnsi="仿宋" w:eastAsia="仿宋"/>
                <w:b/>
                <w:sz w:val="24"/>
                <w:szCs w:val="24"/>
              </w:rPr>
              <w:t>单位</w:t>
            </w:r>
          </w:p>
        </w:tc>
        <w:tc>
          <w:tcPr>
            <w:tcW w:w="3191" w:type="dxa"/>
            <w:vAlign w:val="center"/>
          </w:tcPr>
          <w:p w14:paraId="1A99F4CA">
            <w:pPr>
              <w:spacing w:after="0"/>
              <w:jc w:val="center"/>
              <w:rPr>
                <w:rFonts w:ascii="仿宋" w:hAnsi="仿宋" w:eastAsia="仿宋"/>
                <w:b/>
                <w:sz w:val="24"/>
                <w:szCs w:val="24"/>
              </w:rPr>
            </w:pPr>
            <w:r>
              <w:rPr>
                <w:rFonts w:hint="eastAsia" w:ascii="仿宋" w:hAnsi="仿宋" w:eastAsia="仿宋"/>
                <w:b/>
                <w:sz w:val="24"/>
                <w:szCs w:val="24"/>
              </w:rPr>
              <w:t>参数描述</w:t>
            </w:r>
          </w:p>
        </w:tc>
        <w:tc>
          <w:tcPr>
            <w:tcW w:w="1525" w:type="dxa"/>
            <w:vAlign w:val="center"/>
          </w:tcPr>
          <w:p w14:paraId="49EDF7B1">
            <w:pPr>
              <w:spacing w:after="0"/>
              <w:jc w:val="center"/>
              <w:rPr>
                <w:rFonts w:ascii="仿宋" w:hAnsi="仿宋" w:eastAsia="仿宋"/>
                <w:b/>
                <w:sz w:val="24"/>
                <w:szCs w:val="24"/>
              </w:rPr>
            </w:pPr>
            <w:r>
              <w:rPr>
                <w:rFonts w:hint="eastAsia" w:ascii="仿宋" w:hAnsi="仿宋" w:eastAsia="仿宋"/>
                <w:b/>
                <w:sz w:val="24"/>
                <w:szCs w:val="24"/>
              </w:rPr>
              <w:t>是否制订</w:t>
            </w:r>
          </w:p>
          <w:p w14:paraId="4F3E7D9F">
            <w:pPr>
              <w:spacing w:after="0"/>
              <w:jc w:val="center"/>
              <w:rPr>
                <w:rFonts w:ascii="仿宋" w:hAnsi="仿宋" w:eastAsia="仿宋"/>
                <w:b/>
                <w:sz w:val="24"/>
                <w:szCs w:val="24"/>
              </w:rPr>
            </w:pPr>
            <w:r>
              <w:rPr>
                <w:rFonts w:hint="eastAsia" w:ascii="仿宋" w:hAnsi="仿宋" w:eastAsia="仿宋"/>
                <w:b/>
                <w:sz w:val="24"/>
                <w:szCs w:val="24"/>
              </w:rPr>
              <w:t>监测计划</w:t>
            </w:r>
          </w:p>
        </w:tc>
      </w:tr>
      <w:tr w14:paraId="499BE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restart"/>
            <w:vAlign w:val="center"/>
          </w:tcPr>
          <w:p w14:paraId="0D4CDB5F">
            <w:pPr>
              <w:rPr>
                <w:rFonts w:ascii="仿宋" w:hAnsi="仿宋" w:eastAsia="仿宋"/>
                <w:b/>
                <w:sz w:val="24"/>
                <w:szCs w:val="24"/>
              </w:rPr>
            </w:pPr>
            <w:r>
              <w:rPr>
                <w:rFonts w:hint="eastAsia" w:ascii="仿宋" w:hAnsi="仿宋" w:eastAsia="仿宋"/>
                <w:b/>
                <w:sz w:val="24"/>
                <w:szCs w:val="24"/>
              </w:rPr>
              <w:t>活</w:t>
            </w:r>
          </w:p>
          <w:p w14:paraId="28CB7104">
            <w:pPr>
              <w:rPr>
                <w:rFonts w:ascii="仿宋" w:hAnsi="仿宋" w:eastAsia="仿宋"/>
                <w:b/>
                <w:sz w:val="24"/>
                <w:szCs w:val="24"/>
              </w:rPr>
            </w:pPr>
            <w:r>
              <w:rPr>
                <w:rFonts w:hint="eastAsia" w:ascii="仿宋" w:hAnsi="仿宋" w:eastAsia="仿宋"/>
                <w:b/>
                <w:sz w:val="24"/>
                <w:szCs w:val="24"/>
              </w:rPr>
              <w:t>动</w:t>
            </w:r>
          </w:p>
          <w:p w14:paraId="33DD7B23">
            <w:pPr>
              <w:rPr>
                <w:rFonts w:ascii="仿宋" w:hAnsi="仿宋" w:eastAsia="仿宋"/>
                <w:b/>
                <w:sz w:val="24"/>
                <w:szCs w:val="24"/>
              </w:rPr>
            </w:pPr>
            <w:r>
              <w:rPr>
                <w:rFonts w:hint="eastAsia" w:ascii="仿宋" w:hAnsi="仿宋" w:eastAsia="仿宋"/>
                <w:b/>
                <w:sz w:val="24"/>
                <w:szCs w:val="24"/>
              </w:rPr>
              <w:t>水</w:t>
            </w:r>
          </w:p>
          <w:p w14:paraId="4C4DD764">
            <w:pPr>
              <w:rPr>
                <w:rFonts w:ascii="仿宋" w:hAnsi="仿宋" w:eastAsia="仿宋"/>
                <w:b/>
                <w:sz w:val="24"/>
                <w:szCs w:val="24"/>
              </w:rPr>
            </w:pPr>
            <w:r>
              <w:rPr>
                <w:rFonts w:hint="eastAsia" w:ascii="仿宋" w:hAnsi="仿宋" w:eastAsia="仿宋"/>
                <w:b/>
                <w:sz w:val="24"/>
                <w:szCs w:val="24"/>
              </w:rPr>
              <w:t>平</w:t>
            </w:r>
          </w:p>
          <w:p w14:paraId="7EDDE63C">
            <w:pPr>
              <w:rPr>
                <w:rFonts w:ascii="仿宋" w:hAnsi="仿宋" w:eastAsia="仿宋"/>
                <w:b/>
                <w:sz w:val="24"/>
                <w:szCs w:val="24"/>
              </w:rPr>
            </w:pPr>
            <w:r>
              <w:rPr>
                <w:rFonts w:hint="eastAsia" w:ascii="仿宋" w:hAnsi="仿宋" w:eastAsia="仿宋"/>
                <w:b/>
                <w:sz w:val="24"/>
                <w:szCs w:val="24"/>
              </w:rPr>
              <w:t>数</w:t>
            </w:r>
          </w:p>
          <w:p w14:paraId="2E90140B">
            <w:pPr>
              <w:rPr>
                <w:rFonts w:ascii="仿宋" w:hAnsi="仿宋" w:eastAsia="仿宋"/>
                <w:b/>
                <w:sz w:val="24"/>
                <w:szCs w:val="24"/>
              </w:rPr>
            </w:pPr>
            <w:r>
              <w:rPr>
                <w:rFonts w:hint="eastAsia" w:ascii="仿宋" w:hAnsi="仿宋" w:eastAsia="仿宋"/>
                <w:b/>
                <w:sz w:val="24"/>
                <w:szCs w:val="24"/>
              </w:rPr>
              <w:t>据</w:t>
            </w:r>
          </w:p>
        </w:tc>
        <w:tc>
          <w:tcPr>
            <w:tcW w:w="457" w:type="dxa"/>
            <w:vMerge w:val="restart"/>
            <w:vAlign w:val="center"/>
          </w:tcPr>
          <w:p w14:paraId="26D2A202">
            <w:pPr>
              <w:rPr>
                <w:rFonts w:ascii="仿宋" w:hAnsi="仿宋" w:eastAsia="仿宋"/>
                <w:b/>
                <w:sz w:val="24"/>
                <w:szCs w:val="24"/>
              </w:rPr>
            </w:pPr>
            <w:r>
              <w:rPr>
                <w:rFonts w:hint="eastAsia" w:ascii="仿宋" w:hAnsi="仿宋" w:eastAsia="仿宋"/>
                <w:b/>
                <w:sz w:val="24"/>
                <w:szCs w:val="24"/>
              </w:rPr>
              <w:t>直</w:t>
            </w:r>
          </w:p>
          <w:p w14:paraId="324BCC60">
            <w:pPr>
              <w:rPr>
                <w:rFonts w:ascii="仿宋" w:hAnsi="仿宋" w:eastAsia="仿宋"/>
                <w:b/>
                <w:sz w:val="24"/>
                <w:szCs w:val="24"/>
              </w:rPr>
            </w:pPr>
            <w:r>
              <w:rPr>
                <w:rFonts w:hint="eastAsia" w:ascii="仿宋" w:hAnsi="仿宋" w:eastAsia="仿宋"/>
                <w:b/>
                <w:sz w:val="24"/>
                <w:szCs w:val="24"/>
              </w:rPr>
              <w:t>接</w:t>
            </w:r>
          </w:p>
          <w:p w14:paraId="4435699F">
            <w:pPr>
              <w:rPr>
                <w:rFonts w:ascii="仿宋" w:hAnsi="仿宋" w:eastAsia="仿宋"/>
                <w:b/>
                <w:sz w:val="24"/>
                <w:szCs w:val="24"/>
              </w:rPr>
            </w:pPr>
            <w:r>
              <w:rPr>
                <w:rFonts w:hint="eastAsia" w:ascii="仿宋" w:hAnsi="仿宋" w:eastAsia="仿宋"/>
                <w:b/>
                <w:sz w:val="24"/>
                <w:szCs w:val="24"/>
              </w:rPr>
              <w:t>排</w:t>
            </w:r>
          </w:p>
          <w:p w14:paraId="4BD3AF86">
            <w:pPr>
              <w:rPr>
                <w:rFonts w:ascii="仿宋" w:hAnsi="仿宋" w:eastAsia="仿宋"/>
                <w:b/>
                <w:sz w:val="24"/>
                <w:szCs w:val="24"/>
              </w:rPr>
            </w:pPr>
            <w:r>
              <w:rPr>
                <w:rFonts w:hint="eastAsia" w:ascii="仿宋" w:hAnsi="仿宋" w:eastAsia="仿宋"/>
                <w:b/>
                <w:sz w:val="24"/>
                <w:szCs w:val="24"/>
              </w:rPr>
              <w:t>放</w:t>
            </w:r>
          </w:p>
        </w:tc>
        <w:tc>
          <w:tcPr>
            <w:tcW w:w="1167" w:type="dxa"/>
            <w:vAlign w:val="center"/>
          </w:tcPr>
          <w:p w14:paraId="68BCBE98">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14:paraId="0733F9AB">
            <w:pPr>
              <w:rPr>
                <w:rFonts w:ascii="仿宋" w:hAnsi="仿宋" w:eastAsia="仿宋"/>
                <w:sz w:val="24"/>
                <w:szCs w:val="24"/>
              </w:rPr>
            </w:pPr>
          </w:p>
        </w:tc>
        <w:tc>
          <w:tcPr>
            <w:tcW w:w="993" w:type="dxa"/>
          </w:tcPr>
          <w:p w14:paraId="2BD59BF3">
            <w:pPr>
              <w:rPr>
                <w:rFonts w:ascii="仿宋" w:hAnsi="仿宋" w:eastAsia="仿宋"/>
                <w:sz w:val="24"/>
                <w:szCs w:val="24"/>
              </w:rPr>
            </w:pPr>
          </w:p>
        </w:tc>
        <w:tc>
          <w:tcPr>
            <w:tcW w:w="3191" w:type="dxa"/>
            <w:vAlign w:val="center"/>
          </w:tcPr>
          <w:p w14:paraId="63BA628B">
            <w:pPr>
              <w:rPr>
                <w:rFonts w:ascii="仿宋" w:hAnsi="仿宋" w:eastAsia="仿宋"/>
                <w:sz w:val="24"/>
                <w:szCs w:val="24"/>
              </w:rPr>
            </w:pPr>
          </w:p>
        </w:tc>
        <w:tc>
          <w:tcPr>
            <w:tcW w:w="1525" w:type="dxa"/>
            <w:vAlign w:val="center"/>
          </w:tcPr>
          <w:p w14:paraId="232DE46F">
            <w:pPr>
              <w:rPr>
                <w:rFonts w:ascii="仿宋" w:hAnsi="仿宋" w:eastAsia="仿宋"/>
                <w:sz w:val="24"/>
                <w:szCs w:val="24"/>
              </w:rPr>
            </w:pPr>
          </w:p>
        </w:tc>
      </w:tr>
      <w:tr w14:paraId="2CFAE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10FF2322">
            <w:pPr>
              <w:rPr>
                <w:rFonts w:ascii="仿宋" w:hAnsi="仿宋" w:eastAsia="仿宋"/>
                <w:b/>
                <w:sz w:val="24"/>
                <w:szCs w:val="24"/>
              </w:rPr>
            </w:pPr>
          </w:p>
        </w:tc>
        <w:tc>
          <w:tcPr>
            <w:tcW w:w="457" w:type="dxa"/>
            <w:vMerge w:val="continue"/>
            <w:vAlign w:val="center"/>
          </w:tcPr>
          <w:p w14:paraId="08158CC4">
            <w:pPr>
              <w:rPr>
                <w:rFonts w:ascii="仿宋" w:hAnsi="仿宋" w:eastAsia="仿宋"/>
                <w:b/>
                <w:sz w:val="24"/>
                <w:szCs w:val="24"/>
              </w:rPr>
            </w:pPr>
          </w:p>
        </w:tc>
        <w:tc>
          <w:tcPr>
            <w:tcW w:w="1167" w:type="dxa"/>
            <w:vAlign w:val="center"/>
          </w:tcPr>
          <w:p w14:paraId="2DAED434">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14:paraId="1635681F">
            <w:pPr>
              <w:rPr>
                <w:rFonts w:ascii="仿宋" w:hAnsi="仿宋" w:eastAsia="仿宋"/>
                <w:sz w:val="24"/>
                <w:szCs w:val="24"/>
              </w:rPr>
            </w:pPr>
          </w:p>
        </w:tc>
        <w:tc>
          <w:tcPr>
            <w:tcW w:w="993" w:type="dxa"/>
          </w:tcPr>
          <w:p w14:paraId="599C11E6">
            <w:pPr>
              <w:rPr>
                <w:rFonts w:ascii="仿宋" w:hAnsi="仿宋" w:eastAsia="仿宋"/>
                <w:sz w:val="24"/>
                <w:szCs w:val="24"/>
              </w:rPr>
            </w:pPr>
          </w:p>
        </w:tc>
        <w:tc>
          <w:tcPr>
            <w:tcW w:w="3191" w:type="dxa"/>
            <w:vAlign w:val="center"/>
          </w:tcPr>
          <w:p w14:paraId="1852CB06">
            <w:pPr>
              <w:rPr>
                <w:rFonts w:ascii="仿宋" w:hAnsi="仿宋" w:eastAsia="仿宋"/>
                <w:sz w:val="24"/>
                <w:szCs w:val="24"/>
              </w:rPr>
            </w:pPr>
          </w:p>
        </w:tc>
        <w:tc>
          <w:tcPr>
            <w:tcW w:w="1525" w:type="dxa"/>
            <w:vAlign w:val="center"/>
          </w:tcPr>
          <w:p w14:paraId="0960AF60">
            <w:pPr>
              <w:rPr>
                <w:rFonts w:ascii="仿宋" w:hAnsi="仿宋" w:eastAsia="仿宋"/>
                <w:sz w:val="24"/>
                <w:szCs w:val="24"/>
              </w:rPr>
            </w:pPr>
          </w:p>
        </w:tc>
      </w:tr>
      <w:tr w14:paraId="2672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6A83B6A1">
            <w:pPr>
              <w:rPr>
                <w:rFonts w:ascii="仿宋" w:hAnsi="仿宋" w:eastAsia="仿宋"/>
                <w:b/>
                <w:sz w:val="24"/>
                <w:szCs w:val="24"/>
              </w:rPr>
            </w:pPr>
          </w:p>
        </w:tc>
        <w:tc>
          <w:tcPr>
            <w:tcW w:w="457" w:type="dxa"/>
            <w:vMerge w:val="continue"/>
            <w:vAlign w:val="center"/>
          </w:tcPr>
          <w:p w14:paraId="4C6C9C5C">
            <w:pPr>
              <w:rPr>
                <w:rFonts w:ascii="仿宋" w:hAnsi="仿宋" w:eastAsia="仿宋"/>
                <w:b/>
                <w:sz w:val="24"/>
                <w:szCs w:val="24"/>
              </w:rPr>
            </w:pPr>
          </w:p>
        </w:tc>
        <w:tc>
          <w:tcPr>
            <w:tcW w:w="1167" w:type="dxa"/>
            <w:vAlign w:val="center"/>
          </w:tcPr>
          <w:p w14:paraId="4C250A65">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14:paraId="2AEE0650">
            <w:pPr>
              <w:rPr>
                <w:rFonts w:ascii="仿宋" w:hAnsi="仿宋" w:eastAsia="仿宋"/>
                <w:sz w:val="24"/>
                <w:szCs w:val="24"/>
              </w:rPr>
            </w:pPr>
          </w:p>
        </w:tc>
        <w:tc>
          <w:tcPr>
            <w:tcW w:w="993" w:type="dxa"/>
          </w:tcPr>
          <w:p w14:paraId="4DFABFE0">
            <w:pPr>
              <w:rPr>
                <w:rFonts w:ascii="仿宋" w:hAnsi="仿宋" w:eastAsia="仿宋"/>
                <w:sz w:val="24"/>
                <w:szCs w:val="24"/>
              </w:rPr>
            </w:pPr>
          </w:p>
        </w:tc>
        <w:tc>
          <w:tcPr>
            <w:tcW w:w="3191" w:type="dxa"/>
            <w:vAlign w:val="center"/>
          </w:tcPr>
          <w:p w14:paraId="67DCC867">
            <w:pPr>
              <w:rPr>
                <w:rFonts w:ascii="仿宋" w:hAnsi="仿宋" w:eastAsia="仿宋"/>
                <w:sz w:val="24"/>
                <w:szCs w:val="24"/>
              </w:rPr>
            </w:pPr>
          </w:p>
        </w:tc>
        <w:tc>
          <w:tcPr>
            <w:tcW w:w="1525" w:type="dxa"/>
            <w:vAlign w:val="center"/>
          </w:tcPr>
          <w:p w14:paraId="5567FC2D">
            <w:pPr>
              <w:rPr>
                <w:rFonts w:ascii="仿宋" w:hAnsi="仿宋" w:eastAsia="仿宋"/>
                <w:sz w:val="24"/>
                <w:szCs w:val="24"/>
              </w:rPr>
            </w:pPr>
          </w:p>
        </w:tc>
      </w:tr>
      <w:tr w14:paraId="6838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73C83B71">
            <w:pPr>
              <w:rPr>
                <w:rFonts w:ascii="仿宋" w:hAnsi="仿宋" w:eastAsia="仿宋"/>
                <w:b/>
                <w:sz w:val="24"/>
                <w:szCs w:val="24"/>
              </w:rPr>
            </w:pPr>
          </w:p>
        </w:tc>
        <w:tc>
          <w:tcPr>
            <w:tcW w:w="457" w:type="dxa"/>
            <w:vMerge w:val="continue"/>
            <w:vAlign w:val="center"/>
          </w:tcPr>
          <w:p w14:paraId="4F1222A8">
            <w:pPr>
              <w:rPr>
                <w:rFonts w:ascii="仿宋" w:hAnsi="仿宋" w:eastAsia="仿宋"/>
                <w:b/>
                <w:sz w:val="24"/>
                <w:szCs w:val="24"/>
              </w:rPr>
            </w:pPr>
          </w:p>
        </w:tc>
        <w:tc>
          <w:tcPr>
            <w:tcW w:w="1167" w:type="dxa"/>
            <w:vAlign w:val="center"/>
          </w:tcPr>
          <w:p w14:paraId="1B0F3E45">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14:paraId="76B0C1BF">
            <w:pPr>
              <w:rPr>
                <w:rFonts w:ascii="仿宋" w:hAnsi="仿宋" w:eastAsia="仿宋"/>
                <w:sz w:val="24"/>
                <w:szCs w:val="24"/>
              </w:rPr>
            </w:pPr>
          </w:p>
        </w:tc>
        <w:tc>
          <w:tcPr>
            <w:tcW w:w="993" w:type="dxa"/>
          </w:tcPr>
          <w:p w14:paraId="01A9D694">
            <w:pPr>
              <w:rPr>
                <w:rFonts w:ascii="仿宋" w:hAnsi="仿宋" w:eastAsia="仿宋"/>
                <w:sz w:val="24"/>
                <w:szCs w:val="24"/>
              </w:rPr>
            </w:pPr>
          </w:p>
        </w:tc>
        <w:tc>
          <w:tcPr>
            <w:tcW w:w="3191" w:type="dxa"/>
            <w:vAlign w:val="center"/>
          </w:tcPr>
          <w:p w14:paraId="685AB130">
            <w:pPr>
              <w:rPr>
                <w:rFonts w:ascii="仿宋" w:hAnsi="仿宋" w:eastAsia="仿宋"/>
                <w:sz w:val="24"/>
                <w:szCs w:val="24"/>
              </w:rPr>
            </w:pPr>
          </w:p>
        </w:tc>
        <w:tc>
          <w:tcPr>
            <w:tcW w:w="1525" w:type="dxa"/>
            <w:vAlign w:val="center"/>
          </w:tcPr>
          <w:p w14:paraId="5420FC3F">
            <w:pPr>
              <w:rPr>
                <w:rFonts w:ascii="仿宋" w:hAnsi="仿宋" w:eastAsia="仿宋"/>
                <w:sz w:val="24"/>
                <w:szCs w:val="24"/>
              </w:rPr>
            </w:pPr>
          </w:p>
        </w:tc>
      </w:tr>
      <w:tr w14:paraId="77D0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28F42DB0">
            <w:pPr>
              <w:rPr>
                <w:rFonts w:ascii="仿宋" w:hAnsi="仿宋" w:eastAsia="仿宋"/>
                <w:b/>
                <w:sz w:val="24"/>
                <w:szCs w:val="24"/>
              </w:rPr>
            </w:pPr>
          </w:p>
        </w:tc>
        <w:tc>
          <w:tcPr>
            <w:tcW w:w="457" w:type="dxa"/>
            <w:vMerge w:val="continue"/>
            <w:vAlign w:val="center"/>
          </w:tcPr>
          <w:p w14:paraId="1AB5ACAE">
            <w:pPr>
              <w:rPr>
                <w:rFonts w:ascii="仿宋" w:hAnsi="仿宋" w:eastAsia="仿宋"/>
                <w:b/>
                <w:sz w:val="24"/>
                <w:szCs w:val="24"/>
              </w:rPr>
            </w:pPr>
          </w:p>
        </w:tc>
        <w:tc>
          <w:tcPr>
            <w:tcW w:w="1167" w:type="dxa"/>
            <w:vAlign w:val="center"/>
          </w:tcPr>
          <w:p w14:paraId="3F11121B">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14:paraId="3A38CE8B">
            <w:pPr>
              <w:rPr>
                <w:rFonts w:ascii="仿宋" w:hAnsi="仿宋" w:eastAsia="仿宋"/>
                <w:sz w:val="24"/>
                <w:szCs w:val="24"/>
              </w:rPr>
            </w:pPr>
          </w:p>
        </w:tc>
        <w:tc>
          <w:tcPr>
            <w:tcW w:w="993" w:type="dxa"/>
          </w:tcPr>
          <w:p w14:paraId="64293B26">
            <w:pPr>
              <w:rPr>
                <w:rFonts w:ascii="仿宋" w:hAnsi="仿宋" w:eastAsia="仿宋"/>
                <w:sz w:val="24"/>
                <w:szCs w:val="24"/>
              </w:rPr>
            </w:pPr>
          </w:p>
        </w:tc>
        <w:tc>
          <w:tcPr>
            <w:tcW w:w="3191" w:type="dxa"/>
            <w:vAlign w:val="center"/>
          </w:tcPr>
          <w:p w14:paraId="11815DAA">
            <w:pPr>
              <w:rPr>
                <w:rFonts w:ascii="仿宋" w:hAnsi="仿宋" w:eastAsia="仿宋"/>
                <w:sz w:val="24"/>
                <w:szCs w:val="24"/>
              </w:rPr>
            </w:pPr>
          </w:p>
        </w:tc>
        <w:tc>
          <w:tcPr>
            <w:tcW w:w="1525" w:type="dxa"/>
            <w:vAlign w:val="center"/>
          </w:tcPr>
          <w:p w14:paraId="12D89EC9">
            <w:pPr>
              <w:rPr>
                <w:rFonts w:ascii="仿宋" w:hAnsi="仿宋" w:eastAsia="仿宋"/>
                <w:sz w:val="24"/>
                <w:szCs w:val="24"/>
              </w:rPr>
            </w:pPr>
          </w:p>
        </w:tc>
      </w:tr>
      <w:tr w14:paraId="16F30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342F642F">
            <w:pPr>
              <w:rPr>
                <w:rFonts w:ascii="仿宋" w:hAnsi="仿宋" w:eastAsia="仿宋"/>
                <w:b/>
                <w:sz w:val="24"/>
                <w:szCs w:val="24"/>
              </w:rPr>
            </w:pPr>
          </w:p>
        </w:tc>
        <w:tc>
          <w:tcPr>
            <w:tcW w:w="457" w:type="dxa"/>
            <w:vMerge w:val="restart"/>
            <w:vAlign w:val="center"/>
          </w:tcPr>
          <w:p w14:paraId="0F849E83">
            <w:pPr>
              <w:rPr>
                <w:rFonts w:ascii="仿宋" w:hAnsi="仿宋" w:eastAsia="仿宋"/>
                <w:b/>
                <w:sz w:val="24"/>
                <w:szCs w:val="24"/>
              </w:rPr>
            </w:pPr>
            <w:r>
              <w:rPr>
                <w:rFonts w:hint="eastAsia" w:ascii="仿宋" w:hAnsi="仿宋" w:eastAsia="仿宋"/>
                <w:b/>
                <w:sz w:val="24"/>
                <w:szCs w:val="24"/>
              </w:rPr>
              <w:t>间</w:t>
            </w:r>
          </w:p>
          <w:p w14:paraId="71B1E2DD">
            <w:pPr>
              <w:rPr>
                <w:rFonts w:ascii="仿宋" w:hAnsi="仿宋" w:eastAsia="仿宋"/>
                <w:b/>
                <w:sz w:val="24"/>
                <w:szCs w:val="24"/>
              </w:rPr>
            </w:pPr>
            <w:r>
              <w:rPr>
                <w:rFonts w:hint="eastAsia" w:ascii="仿宋" w:hAnsi="仿宋" w:eastAsia="仿宋"/>
                <w:b/>
                <w:sz w:val="24"/>
                <w:szCs w:val="24"/>
              </w:rPr>
              <w:t>接</w:t>
            </w:r>
          </w:p>
          <w:p w14:paraId="68698958">
            <w:pPr>
              <w:rPr>
                <w:rFonts w:ascii="仿宋" w:hAnsi="仿宋" w:eastAsia="仿宋"/>
                <w:b/>
                <w:sz w:val="24"/>
                <w:szCs w:val="24"/>
              </w:rPr>
            </w:pPr>
            <w:r>
              <w:rPr>
                <w:rFonts w:hint="eastAsia" w:ascii="仿宋" w:hAnsi="仿宋" w:eastAsia="仿宋"/>
                <w:b/>
                <w:sz w:val="24"/>
                <w:szCs w:val="24"/>
              </w:rPr>
              <w:t>排</w:t>
            </w:r>
          </w:p>
          <w:p w14:paraId="17579849">
            <w:pPr>
              <w:rPr>
                <w:rFonts w:ascii="仿宋" w:hAnsi="仿宋" w:eastAsia="仿宋"/>
                <w:b/>
                <w:sz w:val="24"/>
                <w:szCs w:val="24"/>
              </w:rPr>
            </w:pPr>
            <w:r>
              <w:rPr>
                <w:rFonts w:hint="eastAsia" w:ascii="仿宋" w:hAnsi="仿宋" w:eastAsia="仿宋"/>
                <w:b/>
                <w:sz w:val="24"/>
                <w:szCs w:val="24"/>
              </w:rPr>
              <w:t>放</w:t>
            </w:r>
          </w:p>
        </w:tc>
        <w:tc>
          <w:tcPr>
            <w:tcW w:w="1167" w:type="dxa"/>
            <w:vAlign w:val="center"/>
          </w:tcPr>
          <w:p w14:paraId="1620B417">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14:paraId="77B7D51F">
            <w:pPr>
              <w:rPr>
                <w:rFonts w:ascii="仿宋" w:hAnsi="仿宋" w:eastAsia="仿宋"/>
                <w:sz w:val="24"/>
                <w:szCs w:val="24"/>
              </w:rPr>
            </w:pPr>
          </w:p>
        </w:tc>
        <w:tc>
          <w:tcPr>
            <w:tcW w:w="993" w:type="dxa"/>
          </w:tcPr>
          <w:p w14:paraId="7A1FC1E3">
            <w:pPr>
              <w:rPr>
                <w:rFonts w:ascii="仿宋" w:hAnsi="仿宋" w:eastAsia="仿宋"/>
                <w:sz w:val="24"/>
                <w:szCs w:val="24"/>
              </w:rPr>
            </w:pPr>
          </w:p>
        </w:tc>
        <w:tc>
          <w:tcPr>
            <w:tcW w:w="3191" w:type="dxa"/>
            <w:vAlign w:val="center"/>
          </w:tcPr>
          <w:p w14:paraId="247F3C01">
            <w:pPr>
              <w:rPr>
                <w:rFonts w:ascii="仿宋" w:hAnsi="仿宋" w:eastAsia="仿宋"/>
                <w:sz w:val="24"/>
                <w:szCs w:val="24"/>
              </w:rPr>
            </w:pPr>
          </w:p>
        </w:tc>
        <w:tc>
          <w:tcPr>
            <w:tcW w:w="1525" w:type="dxa"/>
            <w:vAlign w:val="center"/>
          </w:tcPr>
          <w:p w14:paraId="0CE318D9">
            <w:pPr>
              <w:rPr>
                <w:rFonts w:ascii="仿宋" w:hAnsi="仿宋" w:eastAsia="仿宋"/>
                <w:sz w:val="24"/>
                <w:szCs w:val="24"/>
              </w:rPr>
            </w:pPr>
          </w:p>
        </w:tc>
      </w:tr>
      <w:tr w14:paraId="65E96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6BFC507F">
            <w:pPr>
              <w:rPr>
                <w:rFonts w:ascii="仿宋" w:hAnsi="仿宋" w:eastAsia="仿宋"/>
                <w:b/>
                <w:sz w:val="24"/>
                <w:szCs w:val="24"/>
              </w:rPr>
            </w:pPr>
          </w:p>
        </w:tc>
        <w:tc>
          <w:tcPr>
            <w:tcW w:w="457" w:type="dxa"/>
            <w:vMerge w:val="continue"/>
            <w:vAlign w:val="center"/>
          </w:tcPr>
          <w:p w14:paraId="07B14BDD">
            <w:pPr>
              <w:rPr>
                <w:rFonts w:ascii="仿宋" w:hAnsi="仿宋" w:eastAsia="仿宋"/>
                <w:b/>
                <w:sz w:val="24"/>
                <w:szCs w:val="24"/>
              </w:rPr>
            </w:pPr>
          </w:p>
        </w:tc>
        <w:tc>
          <w:tcPr>
            <w:tcW w:w="1167" w:type="dxa"/>
            <w:vAlign w:val="center"/>
          </w:tcPr>
          <w:p w14:paraId="7920CED2">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14:paraId="631AB64A">
            <w:pPr>
              <w:rPr>
                <w:rFonts w:ascii="仿宋" w:hAnsi="仿宋" w:eastAsia="仿宋"/>
                <w:sz w:val="24"/>
                <w:szCs w:val="24"/>
              </w:rPr>
            </w:pPr>
          </w:p>
        </w:tc>
        <w:tc>
          <w:tcPr>
            <w:tcW w:w="993" w:type="dxa"/>
          </w:tcPr>
          <w:p w14:paraId="3DB2A799">
            <w:pPr>
              <w:rPr>
                <w:rFonts w:ascii="仿宋" w:hAnsi="仿宋" w:eastAsia="仿宋"/>
                <w:sz w:val="24"/>
                <w:szCs w:val="24"/>
              </w:rPr>
            </w:pPr>
          </w:p>
        </w:tc>
        <w:tc>
          <w:tcPr>
            <w:tcW w:w="3191" w:type="dxa"/>
            <w:vAlign w:val="center"/>
          </w:tcPr>
          <w:p w14:paraId="3C01549C">
            <w:pPr>
              <w:rPr>
                <w:rFonts w:ascii="仿宋" w:hAnsi="仿宋" w:eastAsia="仿宋"/>
                <w:sz w:val="24"/>
                <w:szCs w:val="24"/>
              </w:rPr>
            </w:pPr>
          </w:p>
        </w:tc>
        <w:tc>
          <w:tcPr>
            <w:tcW w:w="1525" w:type="dxa"/>
            <w:vAlign w:val="center"/>
          </w:tcPr>
          <w:p w14:paraId="5882E88F">
            <w:pPr>
              <w:rPr>
                <w:rFonts w:ascii="仿宋" w:hAnsi="仿宋" w:eastAsia="仿宋"/>
                <w:sz w:val="24"/>
                <w:szCs w:val="24"/>
              </w:rPr>
            </w:pPr>
          </w:p>
        </w:tc>
      </w:tr>
      <w:tr w14:paraId="6DC09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2998A4DD">
            <w:pPr>
              <w:rPr>
                <w:rFonts w:ascii="仿宋" w:hAnsi="仿宋" w:eastAsia="仿宋"/>
                <w:b/>
                <w:sz w:val="24"/>
                <w:szCs w:val="24"/>
              </w:rPr>
            </w:pPr>
          </w:p>
        </w:tc>
        <w:tc>
          <w:tcPr>
            <w:tcW w:w="457" w:type="dxa"/>
            <w:vMerge w:val="continue"/>
            <w:vAlign w:val="center"/>
          </w:tcPr>
          <w:p w14:paraId="1DBF9CF8">
            <w:pPr>
              <w:rPr>
                <w:rFonts w:ascii="仿宋" w:hAnsi="仿宋" w:eastAsia="仿宋"/>
                <w:b/>
                <w:sz w:val="24"/>
                <w:szCs w:val="24"/>
              </w:rPr>
            </w:pPr>
          </w:p>
        </w:tc>
        <w:tc>
          <w:tcPr>
            <w:tcW w:w="1167" w:type="dxa"/>
            <w:vAlign w:val="center"/>
          </w:tcPr>
          <w:p w14:paraId="35A87227">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14:paraId="7784645A">
            <w:pPr>
              <w:rPr>
                <w:rFonts w:ascii="仿宋" w:hAnsi="仿宋" w:eastAsia="仿宋"/>
                <w:sz w:val="24"/>
                <w:szCs w:val="24"/>
              </w:rPr>
            </w:pPr>
          </w:p>
        </w:tc>
        <w:tc>
          <w:tcPr>
            <w:tcW w:w="993" w:type="dxa"/>
          </w:tcPr>
          <w:p w14:paraId="3D189FFD">
            <w:pPr>
              <w:rPr>
                <w:rFonts w:ascii="仿宋" w:hAnsi="仿宋" w:eastAsia="仿宋"/>
                <w:sz w:val="24"/>
                <w:szCs w:val="24"/>
              </w:rPr>
            </w:pPr>
          </w:p>
        </w:tc>
        <w:tc>
          <w:tcPr>
            <w:tcW w:w="3191" w:type="dxa"/>
            <w:vAlign w:val="center"/>
          </w:tcPr>
          <w:p w14:paraId="1999A6F8">
            <w:pPr>
              <w:rPr>
                <w:rFonts w:ascii="仿宋" w:hAnsi="仿宋" w:eastAsia="仿宋"/>
                <w:sz w:val="24"/>
                <w:szCs w:val="24"/>
              </w:rPr>
            </w:pPr>
          </w:p>
        </w:tc>
        <w:tc>
          <w:tcPr>
            <w:tcW w:w="1525" w:type="dxa"/>
            <w:vAlign w:val="center"/>
          </w:tcPr>
          <w:p w14:paraId="1EE2431A">
            <w:pPr>
              <w:rPr>
                <w:rFonts w:ascii="仿宋" w:hAnsi="仿宋" w:eastAsia="仿宋"/>
                <w:sz w:val="24"/>
                <w:szCs w:val="24"/>
              </w:rPr>
            </w:pPr>
          </w:p>
        </w:tc>
      </w:tr>
      <w:tr w14:paraId="300D1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12EE1241">
            <w:pPr>
              <w:rPr>
                <w:rFonts w:ascii="仿宋" w:hAnsi="仿宋" w:eastAsia="仿宋"/>
                <w:b/>
                <w:sz w:val="24"/>
                <w:szCs w:val="24"/>
              </w:rPr>
            </w:pPr>
          </w:p>
        </w:tc>
        <w:tc>
          <w:tcPr>
            <w:tcW w:w="457" w:type="dxa"/>
            <w:vMerge w:val="continue"/>
            <w:vAlign w:val="center"/>
          </w:tcPr>
          <w:p w14:paraId="30C09C9D">
            <w:pPr>
              <w:rPr>
                <w:rFonts w:ascii="仿宋" w:hAnsi="仿宋" w:eastAsia="仿宋"/>
                <w:b/>
                <w:sz w:val="24"/>
                <w:szCs w:val="24"/>
              </w:rPr>
            </w:pPr>
          </w:p>
        </w:tc>
        <w:tc>
          <w:tcPr>
            <w:tcW w:w="1167" w:type="dxa"/>
            <w:vAlign w:val="center"/>
          </w:tcPr>
          <w:p w14:paraId="1132383B">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14:paraId="4D2C3EDF">
            <w:pPr>
              <w:rPr>
                <w:rFonts w:ascii="仿宋" w:hAnsi="仿宋" w:eastAsia="仿宋"/>
                <w:sz w:val="24"/>
                <w:szCs w:val="24"/>
              </w:rPr>
            </w:pPr>
          </w:p>
        </w:tc>
        <w:tc>
          <w:tcPr>
            <w:tcW w:w="993" w:type="dxa"/>
          </w:tcPr>
          <w:p w14:paraId="6C61D03A">
            <w:pPr>
              <w:rPr>
                <w:rFonts w:ascii="仿宋" w:hAnsi="仿宋" w:eastAsia="仿宋"/>
                <w:sz w:val="24"/>
                <w:szCs w:val="24"/>
              </w:rPr>
            </w:pPr>
          </w:p>
        </w:tc>
        <w:tc>
          <w:tcPr>
            <w:tcW w:w="3191" w:type="dxa"/>
            <w:vAlign w:val="center"/>
          </w:tcPr>
          <w:p w14:paraId="07DC6A33">
            <w:pPr>
              <w:rPr>
                <w:rFonts w:ascii="仿宋" w:hAnsi="仿宋" w:eastAsia="仿宋"/>
                <w:sz w:val="24"/>
                <w:szCs w:val="24"/>
              </w:rPr>
            </w:pPr>
          </w:p>
        </w:tc>
        <w:tc>
          <w:tcPr>
            <w:tcW w:w="1525" w:type="dxa"/>
            <w:vAlign w:val="center"/>
          </w:tcPr>
          <w:p w14:paraId="4D9F479D">
            <w:pPr>
              <w:rPr>
                <w:rFonts w:ascii="仿宋" w:hAnsi="仿宋" w:eastAsia="仿宋"/>
                <w:sz w:val="24"/>
                <w:szCs w:val="24"/>
              </w:rPr>
            </w:pPr>
          </w:p>
        </w:tc>
      </w:tr>
      <w:tr w14:paraId="09D07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14:paraId="6A59A14D">
            <w:pPr>
              <w:rPr>
                <w:rFonts w:ascii="仿宋" w:hAnsi="仿宋" w:eastAsia="仿宋"/>
                <w:b/>
                <w:sz w:val="24"/>
                <w:szCs w:val="24"/>
              </w:rPr>
            </w:pPr>
          </w:p>
        </w:tc>
        <w:tc>
          <w:tcPr>
            <w:tcW w:w="457" w:type="dxa"/>
            <w:vMerge w:val="continue"/>
            <w:vAlign w:val="center"/>
          </w:tcPr>
          <w:p w14:paraId="01C762B6">
            <w:pPr>
              <w:rPr>
                <w:rFonts w:ascii="仿宋" w:hAnsi="仿宋" w:eastAsia="仿宋"/>
                <w:b/>
                <w:sz w:val="24"/>
                <w:szCs w:val="24"/>
              </w:rPr>
            </w:pPr>
          </w:p>
        </w:tc>
        <w:tc>
          <w:tcPr>
            <w:tcW w:w="1167" w:type="dxa"/>
            <w:vAlign w:val="center"/>
          </w:tcPr>
          <w:p w14:paraId="71827F84">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14:paraId="0B52249B">
            <w:pPr>
              <w:rPr>
                <w:rFonts w:ascii="仿宋" w:hAnsi="仿宋" w:eastAsia="仿宋"/>
                <w:sz w:val="24"/>
                <w:szCs w:val="24"/>
              </w:rPr>
            </w:pPr>
          </w:p>
        </w:tc>
        <w:tc>
          <w:tcPr>
            <w:tcW w:w="993" w:type="dxa"/>
          </w:tcPr>
          <w:p w14:paraId="2AF69BB4">
            <w:pPr>
              <w:rPr>
                <w:rFonts w:ascii="仿宋" w:hAnsi="仿宋" w:eastAsia="仿宋"/>
                <w:sz w:val="24"/>
                <w:szCs w:val="24"/>
              </w:rPr>
            </w:pPr>
          </w:p>
        </w:tc>
        <w:tc>
          <w:tcPr>
            <w:tcW w:w="3191" w:type="dxa"/>
            <w:vAlign w:val="center"/>
          </w:tcPr>
          <w:p w14:paraId="7C507B0A">
            <w:pPr>
              <w:rPr>
                <w:rFonts w:ascii="仿宋" w:hAnsi="仿宋" w:eastAsia="仿宋"/>
                <w:sz w:val="24"/>
                <w:szCs w:val="24"/>
              </w:rPr>
            </w:pPr>
          </w:p>
        </w:tc>
        <w:tc>
          <w:tcPr>
            <w:tcW w:w="1525" w:type="dxa"/>
            <w:vAlign w:val="center"/>
          </w:tcPr>
          <w:p w14:paraId="6F0FAB91">
            <w:pPr>
              <w:rPr>
                <w:rFonts w:ascii="仿宋" w:hAnsi="仿宋" w:eastAsia="仿宋"/>
                <w:sz w:val="24"/>
                <w:szCs w:val="24"/>
              </w:rPr>
            </w:pPr>
          </w:p>
        </w:tc>
      </w:tr>
      <w:tr w14:paraId="35288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restart"/>
            <w:vAlign w:val="center"/>
          </w:tcPr>
          <w:p w14:paraId="1A4509A1">
            <w:pPr>
              <w:rPr>
                <w:rFonts w:ascii="仿宋" w:hAnsi="仿宋" w:eastAsia="仿宋"/>
                <w:b/>
                <w:sz w:val="24"/>
                <w:szCs w:val="24"/>
              </w:rPr>
            </w:pPr>
            <w:r>
              <w:rPr>
                <w:rFonts w:hint="eastAsia" w:ascii="仿宋" w:hAnsi="仿宋" w:eastAsia="仿宋"/>
                <w:b/>
                <w:sz w:val="24"/>
                <w:szCs w:val="24"/>
              </w:rPr>
              <w:t>排</w:t>
            </w:r>
          </w:p>
          <w:p w14:paraId="199E4B6D">
            <w:pPr>
              <w:rPr>
                <w:rFonts w:ascii="仿宋" w:hAnsi="仿宋" w:eastAsia="仿宋"/>
                <w:b/>
                <w:sz w:val="24"/>
                <w:szCs w:val="24"/>
              </w:rPr>
            </w:pPr>
            <w:r>
              <w:rPr>
                <w:rFonts w:hint="eastAsia" w:ascii="仿宋" w:hAnsi="仿宋" w:eastAsia="仿宋"/>
                <w:b/>
                <w:sz w:val="24"/>
                <w:szCs w:val="24"/>
              </w:rPr>
              <w:t>放</w:t>
            </w:r>
          </w:p>
          <w:p w14:paraId="347F72CA">
            <w:pPr>
              <w:rPr>
                <w:rFonts w:ascii="仿宋" w:hAnsi="仿宋" w:eastAsia="仿宋"/>
                <w:b/>
                <w:sz w:val="24"/>
                <w:szCs w:val="24"/>
              </w:rPr>
            </w:pPr>
            <w:r>
              <w:rPr>
                <w:rFonts w:hint="eastAsia" w:ascii="仿宋" w:hAnsi="仿宋" w:eastAsia="仿宋"/>
                <w:b/>
                <w:sz w:val="24"/>
                <w:szCs w:val="24"/>
              </w:rPr>
              <w:t>因</w:t>
            </w:r>
          </w:p>
          <w:p w14:paraId="03E4D036">
            <w:pPr>
              <w:rPr>
                <w:rFonts w:ascii="仿宋" w:hAnsi="仿宋" w:eastAsia="仿宋"/>
                <w:b/>
                <w:sz w:val="24"/>
                <w:szCs w:val="24"/>
              </w:rPr>
            </w:pPr>
            <w:r>
              <w:rPr>
                <w:rFonts w:hint="eastAsia" w:ascii="仿宋" w:hAnsi="仿宋" w:eastAsia="仿宋"/>
                <w:b/>
                <w:sz w:val="24"/>
                <w:szCs w:val="24"/>
              </w:rPr>
              <w:t>子</w:t>
            </w:r>
          </w:p>
        </w:tc>
        <w:tc>
          <w:tcPr>
            <w:tcW w:w="457" w:type="dxa"/>
            <w:vMerge w:val="restart"/>
            <w:vAlign w:val="center"/>
          </w:tcPr>
          <w:p w14:paraId="040A72C9">
            <w:pPr>
              <w:rPr>
                <w:rFonts w:ascii="仿宋" w:hAnsi="仿宋" w:eastAsia="仿宋"/>
                <w:b/>
                <w:sz w:val="24"/>
                <w:szCs w:val="24"/>
              </w:rPr>
            </w:pPr>
            <w:r>
              <w:rPr>
                <w:rFonts w:hint="eastAsia" w:ascii="仿宋" w:hAnsi="仿宋" w:eastAsia="仿宋"/>
                <w:b/>
                <w:sz w:val="24"/>
                <w:szCs w:val="24"/>
              </w:rPr>
              <w:t>直</w:t>
            </w:r>
          </w:p>
          <w:p w14:paraId="1C7A73E6">
            <w:pPr>
              <w:rPr>
                <w:rFonts w:ascii="仿宋" w:hAnsi="仿宋" w:eastAsia="仿宋"/>
                <w:b/>
                <w:sz w:val="24"/>
                <w:szCs w:val="24"/>
              </w:rPr>
            </w:pPr>
            <w:r>
              <w:rPr>
                <w:rFonts w:hint="eastAsia" w:ascii="仿宋" w:hAnsi="仿宋" w:eastAsia="仿宋"/>
                <w:b/>
                <w:sz w:val="24"/>
                <w:szCs w:val="24"/>
              </w:rPr>
              <w:t>接</w:t>
            </w:r>
          </w:p>
          <w:p w14:paraId="1DEF759F">
            <w:pPr>
              <w:rPr>
                <w:rFonts w:ascii="仿宋" w:hAnsi="仿宋" w:eastAsia="仿宋"/>
                <w:b/>
                <w:sz w:val="24"/>
                <w:szCs w:val="24"/>
              </w:rPr>
            </w:pPr>
            <w:r>
              <w:rPr>
                <w:rFonts w:hint="eastAsia" w:ascii="仿宋" w:hAnsi="仿宋" w:eastAsia="仿宋"/>
                <w:b/>
                <w:sz w:val="24"/>
                <w:szCs w:val="24"/>
              </w:rPr>
              <w:t>排</w:t>
            </w:r>
          </w:p>
          <w:p w14:paraId="5BF7756C">
            <w:pPr>
              <w:rPr>
                <w:rFonts w:ascii="仿宋" w:hAnsi="仿宋" w:eastAsia="仿宋"/>
                <w:b/>
                <w:sz w:val="24"/>
                <w:szCs w:val="24"/>
              </w:rPr>
            </w:pPr>
            <w:r>
              <w:rPr>
                <w:rFonts w:hint="eastAsia" w:ascii="仿宋" w:hAnsi="仿宋" w:eastAsia="仿宋"/>
                <w:b/>
                <w:sz w:val="24"/>
                <w:szCs w:val="24"/>
              </w:rPr>
              <w:t>放</w:t>
            </w:r>
          </w:p>
        </w:tc>
        <w:tc>
          <w:tcPr>
            <w:tcW w:w="1167" w:type="dxa"/>
            <w:vAlign w:val="center"/>
          </w:tcPr>
          <w:p w14:paraId="674A9551">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14:paraId="67D1E232">
            <w:pPr>
              <w:rPr>
                <w:rFonts w:ascii="仿宋" w:hAnsi="仿宋" w:eastAsia="仿宋"/>
                <w:sz w:val="24"/>
                <w:szCs w:val="24"/>
              </w:rPr>
            </w:pPr>
          </w:p>
        </w:tc>
        <w:tc>
          <w:tcPr>
            <w:tcW w:w="993" w:type="dxa"/>
          </w:tcPr>
          <w:p w14:paraId="5FF68058">
            <w:pPr>
              <w:rPr>
                <w:rFonts w:ascii="仿宋" w:hAnsi="仿宋" w:eastAsia="仿宋"/>
                <w:sz w:val="24"/>
                <w:szCs w:val="24"/>
              </w:rPr>
            </w:pPr>
          </w:p>
        </w:tc>
        <w:tc>
          <w:tcPr>
            <w:tcW w:w="3191" w:type="dxa"/>
            <w:vAlign w:val="center"/>
          </w:tcPr>
          <w:p w14:paraId="51A3E284">
            <w:pPr>
              <w:rPr>
                <w:rFonts w:ascii="仿宋" w:hAnsi="仿宋" w:eastAsia="仿宋"/>
                <w:sz w:val="24"/>
                <w:szCs w:val="24"/>
              </w:rPr>
            </w:pPr>
          </w:p>
        </w:tc>
        <w:tc>
          <w:tcPr>
            <w:tcW w:w="1525" w:type="dxa"/>
            <w:vAlign w:val="center"/>
          </w:tcPr>
          <w:p w14:paraId="20ACEBB7">
            <w:pPr>
              <w:rPr>
                <w:rFonts w:ascii="仿宋" w:hAnsi="仿宋" w:eastAsia="仿宋"/>
                <w:sz w:val="24"/>
                <w:szCs w:val="24"/>
              </w:rPr>
            </w:pPr>
          </w:p>
        </w:tc>
      </w:tr>
      <w:tr w14:paraId="69CE2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5C410B37">
            <w:pPr>
              <w:rPr>
                <w:rFonts w:ascii="仿宋" w:hAnsi="仿宋" w:eastAsia="仿宋"/>
                <w:b/>
                <w:sz w:val="24"/>
                <w:szCs w:val="24"/>
              </w:rPr>
            </w:pPr>
          </w:p>
        </w:tc>
        <w:tc>
          <w:tcPr>
            <w:tcW w:w="457" w:type="dxa"/>
            <w:vMerge w:val="continue"/>
            <w:vAlign w:val="center"/>
          </w:tcPr>
          <w:p w14:paraId="30BF21EE">
            <w:pPr>
              <w:rPr>
                <w:rFonts w:ascii="仿宋" w:hAnsi="仿宋" w:eastAsia="仿宋"/>
                <w:b/>
                <w:sz w:val="24"/>
                <w:szCs w:val="24"/>
              </w:rPr>
            </w:pPr>
          </w:p>
        </w:tc>
        <w:tc>
          <w:tcPr>
            <w:tcW w:w="1167" w:type="dxa"/>
            <w:vAlign w:val="center"/>
          </w:tcPr>
          <w:p w14:paraId="13DC6196">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14:paraId="7AF831D0">
            <w:pPr>
              <w:rPr>
                <w:rFonts w:ascii="仿宋" w:hAnsi="仿宋" w:eastAsia="仿宋"/>
                <w:sz w:val="24"/>
                <w:szCs w:val="24"/>
              </w:rPr>
            </w:pPr>
          </w:p>
        </w:tc>
        <w:tc>
          <w:tcPr>
            <w:tcW w:w="993" w:type="dxa"/>
          </w:tcPr>
          <w:p w14:paraId="314C555B">
            <w:pPr>
              <w:rPr>
                <w:rFonts w:ascii="仿宋" w:hAnsi="仿宋" w:eastAsia="仿宋"/>
                <w:sz w:val="24"/>
                <w:szCs w:val="24"/>
              </w:rPr>
            </w:pPr>
          </w:p>
        </w:tc>
        <w:tc>
          <w:tcPr>
            <w:tcW w:w="3191" w:type="dxa"/>
            <w:vAlign w:val="center"/>
          </w:tcPr>
          <w:p w14:paraId="4760392C">
            <w:pPr>
              <w:rPr>
                <w:rFonts w:ascii="仿宋" w:hAnsi="仿宋" w:eastAsia="仿宋"/>
                <w:sz w:val="24"/>
                <w:szCs w:val="24"/>
              </w:rPr>
            </w:pPr>
          </w:p>
        </w:tc>
        <w:tc>
          <w:tcPr>
            <w:tcW w:w="1525" w:type="dxa"/>
            <w:vAlign w:val="center"/>
          </w:tcPr>
          <w:p w14:paraId="5293D975">
            <w:pPr>
              <w:rPr>
                <w:rFonts w:ascii="仿宋" w:hAnsi="仿宋" w:eastAsia="仿宋"/>
                <w:sz w:val="24"/>
                <w:szCs w:val="24"/>
              </w:rPr>
            </w:pPr>
          </w:p>
        </w:tc>
      </w:tr>
      <w:tr w14:paraId="57CE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3A4D6A89">
            <w:pPr>
              <w:rPr>
                <w:rFonts w:ascii="仿宋" w:hAnsi="仿宋" w:eastAsia="仿宋"/>
                <w:b/>
                <w:sz w:val="24"/>
                <w:szCs w:val="24"/>
              </w:rPr>
            </w:pPr>
          </w:p>
        </w:tc>
        <w:tc>
          <w:tcPr>
            <w:tcW w:w="457" w:type="dxa"/>
            <w:vMerge w:val="continue"/>
            <w:vAlign w:val="center"/>
          </w:tcPr>
          <w:p w14:paraId="2CAD4B7C">
            <w:pPr>
              <w:rPr>
                <w:rFonts w:ascii="仿宋" w:hAnsi="仿宋" w:eastAsia="仿宋"/>
                <w:b/>
                <w:sz w:val="24"/>
                <w:szCs w:val="24"/>
              </w:rPr>
            </w:pPr>
          </w:p>
        </w:tc>
        <w:tc>
          <w:tcPr>
            <w:tcW w:w="1167" w:type="dxa"/>
            <w:vAlign w:val="center"/>
          </w:tcPr>
          <w:p w14:paraId="39890240">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14:paraId="516DD152">
            <w:pPr>
              <w:rPr>
                <w:rFonts w:ascii="仿宋" w:hAnsi="仿宋" w:eastAsia="仿宋"/>
                <w:sz w:val="24"/>
                <w:szCs w:val="24"/>
              </w:rPr>
            </w:pPr>
          </w:p>
        </w:tc>
        <w:tc>
          <w:tcPr>
            <w:tcW w:w="993" w:type="dxa"/>
          </w:tcPr>
          <w:p w14:paraId="447C5CC3">
            <w:pPr>
              <w:rPr>
                <w:rFonts w:ascii="仿宋" w:hAnsi="仿宋" w:eastAsia="仿宋"/>
                <w:sz w:val="24"/>
                <w:szCs w:val="24"/>
              </w:rPr>
            </w:pPr>
          </w:p>
        </w:tc>
        <w:tc>
          <w:tcPr>
            <w:tcW w:w="3191" w:type="dxa"/>
            <w:vAlign w:val="center"/>
          </w:tcPr>
          <w:p w14:paraId="6D319518">
            <w:pPr>
              <w:rPr>
                <w:rFonts w:ascii="仿宋" w:hAnsi="仿宋" w:eastAsia="仿宋"/>
                <w:sz w:val="24"/>
                <w:szCs w:val="24"/>
              </w:rPr>
            </w:pPr>
          </w:p>
        </w:tc>
        <w:tc>
          <w:tcPr>
            <w:tcW w:w="1525" w:type="dxa"/>
            <w:vAlign w:val="center"/>
          </w:tcPr>
          <w:p w14:paraId="66537378">
            <w:pPr>
              <w:rPr>
                <w:rFonts w:ascii="仿宋" w:hAnsi="仿宋" w:eastAsia="仿宋"/>
                <w:sz w:val="24"/>
                <w:szCs w:val="24"/>
              </w:rPr>
            </w:pPr>
          </w:p>
        </w:tc>
      </w:tr>
      <w:tr w14:paraId="4AD29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306C2C39">
            <w:pPr>
              <w:rPr>
                <w:rFonts w:ascii="仿宋" w:hAnsi="仿宋" w:eastAsia="仿宋"/>
                <w:b/>
                <w:sz w:val="24"/>
                <w:szCs w:val="24"/>
              </w:rPr>
            </w:pPr>
          </w:p>
        </w:tc>
        <w:tc>
          <w:tcPr>
            <w:tcW w:w="457" w:type="dxa"/>
            <w:vMerge w:val="continue"/>
            <w:vAlign w:val="center"/>
          </w:tcPr>
          <w:p w14:paraId="78D7B103">
            <w:pPr>
              <w:rPr>
                <w:rFonts w:ascii="仿宋" w:hAnsi="仿宋" w:eastAsia="仿宋"/>
                <w:b/>
                <w:sz w:val="24"/>
                <w:szCs w:val="24"/>
              </w:rPr>
            </w:pPr>
          </w:p>
        </w:tc>
        <w:tc>
          <w:tcPr>
            <w:tcW w:w="1167" w:type="dxa"/>
            <w:vAlign w:val="center"/>
          </w:tcPr>
          <w:p w14:paraId="7AFBF05C">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14:paraId="46E5540B">
            <w:pPr>
              <w:rPr>
                <w:rFonts w:ascii="仿宋" w:hAnsi="仿宋" w:eastAsia="仿宋"/>
                <w:sz w:val="24"/>
                <w:szCs w:val="24"/>
              </w:rPr>
            </w:pPr>
          </w:p>
        </w:tc>
        <w:tc>
          <w:tcPr>
            <w:tcW w:w="993" w:type="dxa"/>
          </w:tcPr>
          <w:p w14:paraId="6C4FF51F">
            <w:pPr>
              <w:rPr>
                <w:rFonts w:ascii="仿宋" w:hAnsi="仿宋" w:eastAsia="仿宋"/>
                <w:sz w:val="24"/>
                <w:szCs w:val="24"/>
              </w:rPr>
            </w:pPr>
          </w:p>
        </w:tc>
        <w:tc>
          <w:tcPr>
            <w:tcW w:w="3191" w:type="dxa"/>
            <w:vAlign w:val="center"/>
          </w:tcPr>
          <w:p w14:paraId="6A73F647">
            <w:pPr>
              <w:rPr>
                <w:rFonts w:ascii="仿宋" w:hAnsi="仿宋" w:eastAsia="仿宋"/>
                <w:sz w:val="24"/>
                <w:szCs w:val="24"/>
              </w:rPr>
            </w:pPr>
          </w:p>
        </w:tc>
        <w:tc>
          <w:tcPr>
            <w:tcW w:w="1525" w:type="dxa"/>
            <w:vAlign w:val="center"/>
          </w:tcPr>
          <w:p w14:paraId="1FFCFC20">
            <w:pPr>
              <w:rPr>
                <w:rFonts w:ascii="仿宋" w:hAnsi="仿宋" w:eastAsia="仿宋"/>
                <w:sz w:val="24"/>
                <w:szCs w:val="24"/>
              </w:rPr>
            </w:pPr>
          </w:p>
        </w:tc>
      </w:tr>
      <w:tr w14:paraId="7A4FF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1109668A">
            <w:pPr>
              <w:rPr>
                <w:rFonts w:ascii="仿宋" w:hAnsi="仿宋" w:eastAsia="仿宋"/>
                <w:b/>
                <w:sz w:val="24"/>
                <w:szCs w:val="24"/>
              </w:rPr>
            </w:pPr>
          </w:p>
        </w:tc>
        <w:tc>
          <w:tcPr>
            <w:tcW w:w="457" w:type="dxa"/>
            <w:vMerge w:val="continue"/>
            <w:vAlign w:val="center"/>
          </w:tcPr>
          <w:p w14:paraId="3D1EDC67">
            <w:pPr>
              <w:rPr>
                <w:rFonts w:ascii="仿宋" w:hAnsi="仿宋" w:eastAsia="仿宋"/>
                <w:b/>
                <w:sz w:val="24"/>
                <w:szCs w:val="24"/>
              </w:rPr>
            </w:pPr>
          </w:p>
        </w:tc>
        <w:tc>
          <w:tcPr>
            <w:tcW w:w="1167" w:type="dxa"/>
            <w:vAlign w:val="center"/>
          </w:tcPr>
          <w:p w14:paraId="6EB3D46E">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14:paraId="3ECA494D">
            <w:pPr>
              <w:rPr>
                <w:rFonts w:ascii="仿宋" w:hAnsi="仿宋" w:eastAsia="仿宋"/>
                <w:sz w:val="24"/>
                <w:szCs w:val="24"/>
              </w:rPr>
            </w:pPr>
          </w:p>
        </w:tc>
        <w:tc>
          <w:tcPr>
            <w:tcW w:w="993" w:type="dxa"/>
          </w:tcPr>
          <w:p w14:paraId="0A4CBC4F">
            <w:pPr>
              <w:rPr>
                <w:rFonts w:ascii="仿宋" w:hAnsi="仿宋" w:eastAsia="仿宋"/>
                <w:sz w:val="24"/>
                <w:szCs w:val="24"/>
              </w:rPr>
            </w:pPr>
          </w:p>
        </w:tc>
        <w:tc>
          <w:tcPr>
            <w:tcW w:w="3191" w:type="dxa"/>
            <w:vAlign w:val="center"/>
          </w:tcPr>
          <w:p w14:paraId="101BE308">
            <w:pPr>
              <w:rPr>
                <w:rFonts w:ascii="仿宋" w:hAnsi="仿宋" w:eastAsia="仿宋"/>
                <w:sz w:val="24"/>
                <w:szCs w:val="24"/>
              </w:rPr>
            </w:pPr>
          </w:p>
        </w:tc>
        <w:tc>
          <w:tcPr>
            <w:tcW w:w="1525" w:type="dxa"/>
            <w:vAlign w:val="center"/>
          </w:tcPr>
          <w:p w14:paraId="6F779EEF">
            <w:pPr>
              <w:rPr>
                <w:rFonts w:ascii="仿宋" w:hAnsi="仿宋" w:eastAsia="仿宋"/>
                <w:sz w:val="24"/>
                <w:szCs w:val="24"/>
              </w:rPr>
            </w:pPr>
          </w:p>
        </w:tc>
      </w:tr>
      <w:tr w14:paraId="081E7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continue"/>
            <w:vAlign w:val="center"/>
          </w:tcPr>
          <w:p w14:paraId="7F68A7D6">
            <w:pPr>
              <w:rPr>
                <w:rFonts w:ascii="仿宋" w:hAnsi="仿宋" w:eastAsia="仿宋"/>
                <w:b/>
                <w:sz w:val="24"/>
                <w:szCs w:val="24"/>
              </w:rPr>
            </w:pPr>
          </w:p>
        </w:tc>
        <w:tc>
          <w:tcPr>
            <w:tcW w:w="457" w:type="dxa"/>
            <w:vMerge w:val="restart"/>
            <w:vAlign w:val="center"/>
          </w:tcPr>
          <w:p w14:paraId="4E6DB513">
            <w:pPr>
              <w:rPr>
                <w:rFonts w:ascii="仿宋" w:hAnsi="仿宋" w:eastAsia="仿宋"/>
                <w:b/>
                <w:sz w:val="24"/>
                <w:szCs w:val="24"/>
              </w:rPr>
            </w:pPr>
            <w:r>
              <w:rPr>
                <w:rFonts w:hint="eastAsia" w:ascii="仿宋" w:hAnsi="仿宋" w:eastAsia="仿宋"/>
                <w:b/>
                <w:sz w:val="24"/>
                <w:szCs w:val="24"/>
              </w:rPr>
              <w:t>间接</w:t>
            </w:r>
          </w:p>
          <w:p w14:paraId="09C23E48">
            <w:pPr>
              <w:rPr>
                <w:rFonts w:ascii="仿宋" w:hAnsi="仿宋" w:eastAsia="仿宋"/>
                <w:b/>
                <w:sz w:val="24"/>
                <w:szCs w:val="24"/>
              </w:rPr>
            </w:pPr>
            <w:r>
              <w:rPr>
                <w:rFonts w:hint="eastAsia" w:ascii="仿宋" w:hAnsi="仿宋" w:eastAsia="仿宋"/>
                <w:b/>
                <w:sz w:val="24"/>
                <w:szCs w:val="24"/>
              </w:rPr>
              <w:t>排放</w:t>
            </w:r>
          </w:p>
        </w:tc>
        <w:tc>
          <w:tcPr>
            <w:tcW w:w="1167" w:type="dxa"/>
            <w:vAlign w:val="center"/>
          </w:tcPr>
          <w:p w14:paraId="360CEEDA">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14:paraId="1B54C4D2">
            <w:pPr>
              <w:rPr>
                <w:rFonts w:ascii="仿宋" w:hAnsi="仿宋" w:eastAsia="仿宋"/>
                <w:sz w:val="24"/>
                <w:szCs w:val="24"/>
              </w:rPr>
            </w:pPr>
          </w:p>
        </w:tc>
        <w:tc>
          <w:tcPr>
            <w:tcW w:w="993" w:type="dxa"/>
          </w:tcPr>
          <w:p w14:paraId="2357B19C">
            <w:pPr>
              <w:rPr>
                <w:rFonts w:ascii="仿宋" w:hAnsi="仿宋" w:eastAsia="仿宋"/>
                <w:sz w:val="24"/>
                <w:szCs w:val="24"/>
              </w:rPr>
            </w:pPr>
          </w:p>
        </w:tc>
        <w:tc>
          <w:tcPr>
            <w:tcW w:w="3191" w:type="dxa"/>
            <w:vAlign w:val="center"/>
          </w:tcPr>
          <w:p w14:paraId="6AAB27FE">
            <w:pPr>
              <w:rPr>
                <w:rFonts w:ascii="仿宋" w:hAnsi="仿宋" w:eastAsia="仿宋"/>
                <w:sz w:val="24"/>
                <w:szCs w:val="24"/>
              </w:rPr>
            </w:pPr>
          </w:p>
        </w:tc>
        <w:tc>
          <w:tcPr>
            <w:tcW w:w="1525" w:type="dxa"/>
            <w:vAlign w:val="center"/>
          </w:tcPr>
          <w:p w14:paraId="5E18894E">
            <w:pPr>
              <w:rPr>
                <w:rFonts w:ascii="仿宋" w:hAnsi="仿宋" w:eastAsia="仿宋"/>
                <w:sz w:val="24"/>
                <w:szCs w:val="24"/>
              </w:rPr>
            </w:pPr>
          </w:p>
        </w:tc>
      </w:tr>
      <w:tr w14:paraId="45FC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10DE05C1">
            <w:pPr>
              <w:rPr>
                <w:rFonts w:ascii="仿宋" w:hAnsi="仿宋" w:eastAsia="仿宋"/>
                <w:b/>
                <w:sz w:val="24"/>
                <w:szCs w:val="24"/>
              </w:rPr>
            </w:pPr>
          </w:p>
        </w:tc>
        <w:tc>
          <w:tcPr>
            <w:tcW w:w="457" w:type="dxa"/>
            <w:vMerge w:val="continue"/>
            <w:vAlign w:val="center"/>
          </w:tcPr>
          <w:p w14:paraId="1050DB24">
            <w:pPr>
              <w:rPr>
                <w:rFonts w:ascii="仿宋" w:hAnsi="仿宋" w:eastAsia="仿宋"/>
                <w:b/>
                <w:sz w:val="24"/>
                <w:szCs w:val="24"/>
              </w:rPr>
            </w:pPr>
          </w:p>
        </w:tc>
        <w:tc>
          <w:tcPr>
            <w:tcW w:w="1167" w:type="dxa"/>
            <w:vAlign w:val="center"/>
          </w:tcPr>
          <w:p w14:paraId="6231BEEB">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14:paraId="2F65C41D">
            <w:pPr>
              <w:rPr>
                <w:rFonts w:ascii="仿宋" w:hAnsi="仿宋" w:eastAsia="仿宋"/>
                <w:sz w:val="24"/>
                <w:szCs w:val="24"/>
              </w:rPr>
            </w:pPr>
          </w:p>
        </w:tc>
        <w:tc>
          <w:tcPr>
            <w:tcW w:w="993" w:type="dxa"/>
          </w:tcPr>
          <w:p w14:paraId="679AB7CD">
            <w:pPr>
              <w:rPr>
                <w:rFonts w:ascii="仿宋" w:hAnsi="仿宋" w:eastAsia="仿宋"/>
                <w:sz w:val="24"/>
                <w:szCs w:val="24"/>
              </w:rPr>
            </w:pPr>
          </w:p>
        </w:tc>
        <w:tc>
          <w:tcPr>
            <w:tcW w:w="3191" w:type="dxa"/>
            <w:vAlign w:val="center"/>
          </w:tcPr>
          <w:p w14:paraId="2FCF22EE">
            <w:pPr>
              <w:rPr>
                <w:rFonts w:ascii="仿宋" w:hAnsi="仿宋" w:eastAsia="仿宋"/>
                <w:sz w:val="24"/>
                <w:szCs w:val="24"/>
              </w:rPr>
            </w:pPr>
          </w:p>
        </w:tc>
        <w:tc>
          <w:tcPr>
            <w:tcW w:w="1525" w:type="dxa"/>
            <w:vAlign w:val="center"/>
          </w:tcPr>
          <w:p w14:paraId="435509DD">
            <w:pPr>
              <w:rPr>
                <w:rFonts w:ascii="仿宋" w:hAnsi="仿宋" w:eastAsia="仿宋"/>
                <w:sz w:val="24"/>
                <w:szCs w:val="24"/>
              </w:rPr>
            </w:pPr>
          </w:p>
        </w:tc>
      </w:tr>
      <w:tr w14:paraId="03F2F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5D9C83D6">
            <w:pPr>
              <w:rPr>
                <w:rFonts w:ascii="仿宋" w:hAnsi="仿宋" w:eastAsia="仿宋"/>
                <w:b/>
                <w:sz w:val="24"/>
                <w:szCs w:val="24"/>
              </w:rPr>
            </w:pPr>
          </w:p>
        </w:tc>
        <w:tc>
          <w:tcPr>
            <w:tcW w:w="457" w:type="dxa"/>
            <w:vMerge w:val="continue"/>
            <w:vAlign w:val="center"/>
          </w:tcPr>
          <w:p w14:paraId="7B404092">
            <w:pPr>
              <w:rPr>
                <w:rFonts w:ascii="仿宋" w:hAnsi="仿宋" w:eastAsia="仿宋"/>
                <w:b/>
                <w:sz w:val="24"/>
                <w:szCs w:val="24"/>
              </w:rPr>
            </w:pPr>
          </w:p>
        </w:tc>
        <w:tc>
          <w:tcPr>
            <w:tcW w:w="1167" w:type="dxa"/>
            <w:vAlign w:val="center"/>
          </w:tcPr>
          <w:p w14:paraId="6435CAB2">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14:paraId="71610811">
            <w:pPr>
              <w:rPr>
                <w:rFonts w:ascii="仿宋" w:hAnsi="仿宋" w:eastAsia="仿宋"/>
                <w:sz w:val="24"/>
                <w:szCs w:val="24"/>
              </w:rPr>
            </w:pPr>
          </w:p>
        </w:tc>
        <w:tc>
          <w:tcPr>
            <w:tcW w:w="993" w:type="dxa"/>
          </w:tcPr>
          <w:p w14:paraId="279D006C">
            <w:pPr>
              <w:rPr>
                <w:rFonts w:ascii="仿宋" w:hAnsi="仿宋" w:eastAsia="仿宋"/>
                <w:sz w:val="24"/>
                <w:szCs w:val="24"/>
              </w:rPr>
            </w:pPr>
          </w:p>
        </w:tc>
        <w:tc>
          <w:tcPr>
            <w:tcW w:w="3191" w:type="dxa"/>
            <w:vAlign w:val="center"/>
          </w:tcPr>
          <w:p w14:paraId="4D7C7918">
            <w:pPr>
              <w:rPr>
                <w:rFonts w:ascii="仿宋" w:hAnsi="仿宋" w:eastAsia="仿宋"/>
                <w:sz w:val="24"/>
                <w:szCs w:val="24"/>
              </w:rPr>
            </w:pPr>
          </w:p>
        </w:tc>
        <w:tc>
          <w:tcPr>
            <w:tcW w:w="1525" w:type="dxa"/>
            <w:vAlign w:val="center"/>
          </w:tcPr>
          <w:p w14:paraId="47868C62">
            <w:pPr>
              <w:rPr>
                <w:rFonts w:ascii="仿宋" w:hAnsi="仿宋" w:eastAsia="仿宋"/>
                <w:sz w:val="24"/>
                <w:szCs w:val="24"/>
              </w:rPr>
            </w:pPr>
          </w:p>
        </w:tc>
      </w:tr>
      <w:tr w14:paraId="2BF33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0AC337C5">
            <w:pPr>
              <w:rPr>
                <w:rFonts w:ascii="仿宋" w:hAnsi="仿宋" w:eastAsia="仿宋"/>
                <w:b/>
                <w:sz w:val="24"/>
                <w:szCs w:val="24"/>
              </w:rPr>
            </w:pPr>
          </w:p>
        </w:tc>
        <w:tc>
          <w:tcPr>
            <w:tcW w:w="457" w:type="dxa"/>
            <w:vMerge w:val="continue"/>
            <w:vAlign w:val="center"/>
          </w:tcPr>
          <w:p w14:paraId="7FCD7393">
            <w:pPr>
              <w:rPr>
                <w:rFonts w:ascii="仿宋" w:hAnsi="仿宋" w:eastAsia="仿宋"/>
                <w:b/>
                <w:sz w:val="24"/>
                <w:szCs w:val="24"/>
              </w:rPr>
            </w:pPr>
          </w:p>
        </w:tc>
        <w:tc>
          <w:tcPr>
            <w:tcW w:w="1167" w:type="dxa"/>
            <w:vAlign w:val="center"/>
          </w:tcPr>
          <w:p w14:paraId="5DAD827A">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14:paraId="54AB78CB">
            <w:pPr>
              <w:rPr>
                <w:rFonts w:ascii="仿宋" w:hAnsi="仿宋" w:eastAsia="仿宋"/>
                <w:sz w:val="24"/>
                <w:szCs w:val="24"/>
              </w:rPr>
            </w:pPr>
          </w:p>
        </w:tc>
        <w:tc>
          <w:tcPr>
            <w:tcW w:w="993" w:type="dxa"/>
          </w:tcPr>
          <w:p w14:paraId="25BB4BB5">
            <w:pPr>
              <w:rPr>
                <w:rFonts w:ascii="仿宋" w:hAnsi="仿宋" w:eastAsia="仿宋"/>
                <w:sz w:val="24"/>
                <w:szCs w:val="24"/>
              </w:rPr>
            </w:pPr>
          </w:p>
        </w:tc>
        <w:tc>
          <w:tcPr>
            <w:tcW w:w="3191" w:type="dxa"/>
            <w:vAlign w:val="center"/>
          </w:tcPr>
          <w:p w14:paraId="62B97585">
            <w:pPr>
              <w:rPr>
                <w:rFonts w:ascii="仿宋" w:hAnsi="仿宋" w:eastAsia="仿宋"/>
                <w:sz w:val="24"/>
                <w:szCs w:val="24"/>
              </w:rPr>
            </w:pPr>
          </w:p>
        </w:tc>
        <w:tc>
          <w:tcPr>
            <w:tcW w:w="1525" w:type="dxa"/>
            <w:vAlign w:val="center"/>
          </w:tcPr>
          <w:p w14:paraId="3A331696">
            <w:pPr>
              <w:rPr>
                <w:rFonts w:ascii="仿宋" w:hAnsi="仿宋" w:eastAsia="仿宋"/>
                <w:sz w:val="24"/>
                <w:szCs w:val="24"/>
              </w:rPr>
            </w:pPr>
          </w:p>
        </w:tc>
      </w:tr>
      <w:tr w14:paraId="319C9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14:paraId="7BD1C73E">
            <w:pPr>
              <w:rPr>
                <w:rFonts w:ascii="仿宋" w:hAnsi="仿宋" w:eastAsia="仿宋"/>
                <w:b/>
                <w:sz w:val="24"/>
                <w:szCs w:val="24"/>
              </w:rPr>
            </w:pPr>
          </w:p>
        </w:tc>
        <w:tc>
          <w:tcPr>
            <w:tcW w:w="457" w:type="dxa"/>
            <w:vMerge w:val="continue"/>
            <w:vAlign w:val="center"/>
          </w:tcPr>
          <w:p w14:paraId="1D2913B7">
            <w:pPr>
              <w:rPr>
                <w:rFonts w:ascii="仿宋" w:hAnsi="仿宋" w:eastAsia="仿宋"/>
                <w:b/>
                <w:sz w:val="24"/>
                <w:szCs w:val="24"/>
              </w:rPr>
            </w:pPr>
          </w:p>
        </w:tc>
        <w:tc>
          <w:tcPr>
            <w:tcW w:w="1167" w:type="dxa"/>
            <w:vAlign w:val="center"/>
          </w:tcPr>
          <w:p w14:paraId="74554DF5">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14:paraId="51BEC202">
            <w:pPr>
              <w:rPr>
                <w:rFonts w:ascii="仿宋" w:hAnsi="仿宋" w:eastAsia="仿宋"/>
                <w:sz w:val="24"/>
                <w:szCs w:val="24"/>
              </w:rPr>
            </w:pPr>
          </w:p>
        </w:tc>
        <w:tc>
          <w:tcPr>
            <w:tcW w:w="993" w:type="dxa"/>
          </w:tcPr>
          <w:p w14:paraId="7F43BF3C">
            <w:pPr>
              <w:rPr>
                <w:rFonts w:ascii="仿宋" w:hAnsi="仿宋" w:eastAsia="仿宋"/>
                <w:sz w:val="24"/>
                <w:szCs w:val="24"/>
              </w:rPr>
            </w:pPr>
          </w:p>
        </w:tc>
        <w:tc>
          <w:tcPr>
            <w:tcW w:w="3191" w:type="dxa"/>
            <w:vAlign w:val="center"/>
          </w:tcPr>
          <w:p w14:paraId="41E87419">
            <w:pPr>
              <w:rPr>
                <w:rFonts w:ascii="仿宋" w:hAnsi="仿宋" w:eastAsia="仿宋"/>
                <w:sz w:val="24"/>
                <w:szCs w:val="24"/>
              </w:rPr>
            </w:pPr>
          </w:p>
        </w:tc>
        <w:tc>
          <w:tcPr>
            <w:tcW w:w="1525" w:type="dxa"/>
            <w:vAlign w:val="center"/>
          </w:tcPr>
          <w:p w14:paraId="35D1B647">
            <w:pPr>
              <w:rPr>
                <w:rFonts w:ascii="仿宋" w:hAnsi="仿宋" w:eastAsia="仿宋"/>
                <w:sz w:val="24"/>
                <w:szCs w:val="24"/>
              </w:rPr>
            </w:pPr>
          </w:p>
        </w:tc>
      </w:tr>
      <w:tr w14:paraId="123A8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14:paraId="460B0A23">
            <w:pPr>
              <w:rPr>
                <w:rFonts w:ascii="仿宋" w:hAnsi="仿宋" w:eastAsia="仿宋"/>
                <w:b/>
                <w:sz w:val="24"/>
                <w:szCs w:val="24"/>
              </w:rPr>
            </w:pPr>
            <w:r>
              <w:rPr>
                <w:rFonts w:hint="eastAsia" w:ascii="仿宋" w:hAnsi="仿宋" w:eastAsia="仿宋"/>
                <w:b/>
                <w:sz w:val="24"/>
                <w:szCs w:val="24"/>
              </w:rPr>
              <w:t>其他</w:t>
            </w:r>
          </w:p>
          <w:p w14:paraId="33C18033">
            <w:pPr>
              <w:widowControl w:val="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14:paraId="0E13060C">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14:paraId="54285490">
            <w:pPr>
              <w:rPr>
                <w:rFonts w:ascii="仿宋" w:hAnsi="仿宋" w:eastAsia="仿宋"/>
                <w:sz w:val="24"/>
                <w:szCs w:val="24"/>
              </w:rPr>
            </w:pPr>
          </w:p>
        </w:tc>
        <w:tc>
          <w:tcPr>
            <w:tcW w:w="993" w:type="dxa"/>
          </w:tcPr>
          <w:p w14:paraId="0F20F848">
            <w:pPr>
              <w:rPr>
                <w:rFonts w:ascii="仿宋" w:hAnsi="仿宋" w:eastAsia="仿宋"/>
                <w:sz w:val="24"/>
                <w:szCs w:val="24"/>
              </w:rPr>
            </w:pPr>
          </w:p>
        </w:tc>
        <w:tc>
          <w:tcPr>
            <w:tcW w:w="3191" w:type="dxa"/>
            <w:vAlign w:val="center"/>
          </w:tcPr>
          <w:p w14:paraId="4B86E384">
            <w:pPr>
              <w:rPr>
                <w:rFonts w:ascii="仿宋" w:hAnsi="仿宋" w:eastAsia="仿宋"/>
                <w:sz w:val="24"/>
                <w:szCs w:val="24"/>
              </w:rPr>
            </w:pPr>
          </w:p>
        </w:tc>
        <w:tc>
          <w:tcPr>
            <w:tcW w:w="1525" w:type="dxa"/>
            <w:vAlign w:val="center"/>
          </w:tcPr>
          <w:p w14:paraId="287B9EC8">
            <w:pPr>
              <w:rPr>
                <w:rFonts w:ascii="仿宋" w:hAnsi="仿宋" w:eastAsia="仿宋"/>
                <w:sz w:val="24"/>
                <w:szCs w:val="24"/>
              </w:rPr>
            </w:pPr>
          </w:p>
        </w:tc>
      </w:tr>
      <w:tr w14:paraId="543B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14:paraId="4ABA94BF">
            <w:pPr>
              <w:rPr>
                <w:rFonts w:ascii="仿宋" w:hAnsi="仿宋" w:eastAsia="仿宋"/>
                <w:b/>
                <w:sz w:val="24"/>
                <w:szCs w:val="24"/>
              </w:rPr>
            </w:pPr>
          </w:p>
        </w:tc>
        <w:tc>
          <w:tcPr>
            <w:tcW w:w="1167" w:type="dxa"/>
            <w:vAlign w:val="center"/>
          </w:tcPr>
          <w:p w14:paraId="037BA0B9">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14:paraId="76F1948F">
            <w:pPr>
              <w:rPr>
                <w:rFonts w:ascii="仿宋" w:hAnsi="仿宋" w:eastAsia="仿宋"/>
                <w:sz w:val="24"/>
                <w:szCs w:val="24"/>
              </w:rPr>
            </w:pPr>
          </w:p>
        </w:tc>
        <w:tc>
          <w:tcPr>
            <w:tcW w:w="993" w:type="dxa"/>
          </w:tcPr>
          <w:p w14:paraId="71D4762C">
            <w:pPr>
              <w:rPr>
                <w:rFonts w:ascii="仿宋" w:hAnsi="仿宋" w:eastAsia="仿宋"/>
                <w:sz w:val="24"/>
                <w:szCs w:val="24"/>
              </w:rPr>
            </w:pPr>
          </w:p>
        </w:tc>
        <w:tc>
          <w:tcPr>
            <w:tcW w:w="3191" w:type="dxa"/>
            <w:vAlign w:val="center"/>
          </w:tcPr>
          <w:p w14:paraId="481B78CA">
            <w:pPr>
              <w:rPr>
                <w:rFonts w:ascii="仿宋" w:hAnsi="仿宋" w:eastAsia="仿宋"/>
                <w:sz w:val="24"/>
                <w:szCs w:val="24"/>
              </w:rPr>
            </w:pPr>
          </w:p>
        </w:tc>
        <w:tc>
          <w:tcPr>
            <w:tcW w:w="1525" w:type="dxa"/>
            <w:vAlign w:val="center"/>
          </w:tcPr>
          <w:p w14:paraId="0D3C7C02">
            <w:pPr>
              <w:rPr>
                <w:rFonts w:ascii="仿宋" w:hAnsi="仿宋" w:eastAsia="仿宋"/>
                <w:sz w:val="24"/>
                <w:szCs w:val="24"/>
              </w:rPr>
            </w:pPr>
          </w:p>
        </w:tc>
      </w:tr>
      <w:tr w14:paraId="61276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022442D3">
            <w:pPr>
              <w:rPr>
                <w:rFonts w:ascii="仿宋" w:hAnsi="仿宋" w:eastAsia="仿宋"/>
                <w:b/>
                <w:sz w:val="24"/>
                <w:szCs w:val="24"/>
              </w:rPr>
            </w:pPr>
          </w:p>
        </w:tc>
        <w:tc>
          <w:tcPr>
            <w:tcW w:w="1167" w:type="dxa"/>
            <w:vAlign w:val="center"/>
          </w:tcPr>
          <w:p w14:paraId="7EA9DC7C">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14:paraId="21A34C9F">
            <w:pPr>
              <w:rPr>
                <w:rFonts w:ascii="仿宋" w:hAnsi="仿宋" w:eastAsia="仿宋"/>
                <w:sz w:val="24"/>
                <w:szCs w:val="24"/>
              </w:rPr>
            </w:pPr>
          </w:p>
        </w:tc>
        <w:tc>
          <w:tcPr>
            <w:tcW w:w="993" w:type="dxa"/>
          </w:tcPr>
          <w:p w14:paraId="46AD11D5">
            <w:pPr>
              <w:rPr>
                <w:rFonts w:ascii="仿宋" w:hAnsi="仿宋" w:eastAsia="仿宋"/>
                <w:sz w:val="24"/>
                <w:szCs w:val="24"/>
              </w:rPr>
            </w:pPr>
          </w:p>
        </w:tc>
        <w:tc>
          <w:tcPr>
            <w:tcW w:w="3191" w:type="dxa"/>
            <w:vAlign w:val="center"/>
          </w:tcPr>
          <w:p w14:paraId="00867078">
            <w:pPr>
              <w:rPr>
                <w:rFonts w:ascii="仿宋" w:hAnsi="仿宋" w:eastAsia="仿宋"/>
                <w:sz w:val="24"/>
                <w:szCs w:val="24"/>
              </w:rPr>
            </w:pPr>
          </w:p>
        </w:tc>
        <w:tc>
          <w:tcPr>
            <w:tcW w:w="1525" w:type="dxa"/>
            <w:vAlign w:val="center"/>
          </w:tcPr>
          <w:p w14:paraId="495B1BC3">
            <w:pPr>
              <w:rPr>
                <w:rFonts w:ascii="仿宋" w:hAnsi="仿宋" w:eastAsia="仿宋"/>
                <w:sz w:val="24"/>
                <w:szCs w:val="24"/>
              </w:rPr>
            </w:pPr>
          </w:p>
        </w:tc>
      </w:tr>
      <w:tr w14:paraId="0D9D4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43B752B1">
            <w:pPr>
              <w:rPr>
                <w:rFonts w:ascii="仿宋" w:hAnsi="仿宋" w:eastAsia="仿宋"/>
                <w:b/>
                <w:sz w:val="24"/>
                <w:szCs w:val="24"/>
              </w:rPr>
            </w:pPr>
          </w:p>
        </w:tc>
        <w:tc>
          <w:tcPr>
            <w:tcW w:w="1167" w:type="dxa"/>
            <w:vAlign w:val="center"/>
          </w:tcPr>
          <w:p w14:paraId="3F333400">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14:paraId="72174FFA">
            <w:pPr>
              <w:rPr>
                <w:rFonts w:ascii="仿宋" w:hAnsi="仿宋" w:eastAsia="仿宋"/>
                <w:sz w:val="24"/>
                <w:szCs w:val="24"/>
              </w:rPr>
            </w:pPr>
          </w:p>
        </w:tc>
        <w:tc>
          <w:tcPr>
            <w:tcW w:w="993" w:type="dxa"/>
          </w:tcPr>
          <w:p w14:paraId="110F0851">
            <w:pPr>
              <w:rPr>
                <w:rFonts w:ascii="仿宋" w:hAnsi="仿宋" w:eastAsia="仿宋"/>
                <w:sz w:val="24"/>
                <w:szCs w:val="24"/>
              </w:rPr>
            </w:pPr>
          </w:p>
        </w:tc>
        <w:tc>
          <w:tcPr>
            <w:tcW w:w="3191" w:type="dxa"/>
            <w:vAlign w:val="center"/>
          </w:tcPr>
          <w:p w14:paraId="0B2D6452">
            <w:pPr>
              <w:rPr>
                <w:rFonts w:ascii="仿宋" w:hAnsi="仿宋" w:eastAsia="仿宋"/>
                <w:sz w:val="24"/>
                <w:szCs w:val="24"/>
              </w:rPr>
            </w:pPr>
          </w:p>
        </w:tc>
        <w:tc>
          <w:tcPr>
            <w:tcW w:w="1525" w:type="dxa"/>
            <w:vAlign w:val="center"/>
          </w:tcPr>
          <w:p w14:paraId="71309B99">
            <w:pPr>
              <w:rPr>
                <w:rFonts w:ascii="仿宋" w:hAnsi="仿宋" w:eastAsia="仿宋"/>
                <w:sz w:val="24"/>
                <w:szCs w:val="24"/>
              </w:rPr>
            </w:pPr>
          </w:p>
        </w:tc>
      </w:tr>
      <w:tr w14:paraId="77D1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685FEEBF">
            <w:pPr>
              <w:rPr>
                <w:rFonts w:ascii="仿宋" w:hAnsi="仿宋" w:eastAsia="仿宋"/>
                <w:b/>
                <w:sz w:val="24"/>
                <w:szCs w:val="24"/>
              </w:rPr>
            </w:pPr>
          </w:p>
        </w:tc>
        <w:tc>
          <w:tcPr>
            <w:tcW w:w="1167" w:type="dxa"/>
            <w:vAlign w:val="center"/>
          </w:tcPr>
          <w:p w14:paraId="49406C1D">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14:paraId="6E0F4A15">
            <w:pPr>
              <w:rPr>
                <w:rFonts w:ascii="仿宋" w:hAnsi="仿宋" w:eastAsia="仿宋"/>
                <w:sz w:val="24"/>
                <w:szCs w:val="24"/>
              </w:rPr>
            </w:pPr>
          </w:p>
        </w:tc>
        <w:tc>
          <w:tcPr>
            <w:tcW w:w="993" w:type="dxa"/>
          </w:tcPr>
          <w:p w14:paraId="7B8276AF">
            <w:pPr>
              <w:rPr>
                <w:rFonts w:ascii="仿宋" w:hAnsi="仿宋" w:eastAsia="仿宋"/>
                <w:sz w:val="24"/>
                <w:szCs w:val="24"/>
              </w:rPr>
            </w:pPr>
          </w:p>
        </w:tc>
        <w:tc>
          <w:tcPr>
            <w:tcW w:w="3191" w:type="dxa"/>
            <w:vAlign w:val="center"/>
          </w:tcPr>
          <w:p w14:paraId="5410C61F">
            <w:pPr>
              <w:rPr>
                <w:rFonts w:ascii="仿宋" w:hAnsi="仿宋" w:eastAsia="仿宋"/>
                <w:sz w:val="24"/>
                <w:szCs w:val="24"/>
              </w:rPr>
            </w:pPr>
          </w:p>
        </w:tc>
        <w:tc>
          <w:tcPr>
            <w:tcW w:w="1525" w:type="dxa"/>
            <w:vAlign w:val="center"/>
          </w:tcPr>
          <w:p w14:paraId="4AEC864A">
            <w:pPr>
              <w:rPr>
                <w:rFonts w:ascii="仿宋" w:hAnsi="仿宋" w:eastAsia="仿宋"/>
                <w:sz w:val="24"/>
                <w:szCs w:val="24"/>
              </w:rPr>
            </w:pPr>
          </w:p>
        </w:tc>
      </w:tr>
      <w:tr w14:paraId="3BE75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14:paraId="588FAADC">
            <w:pPr>
              <w:rPr>
                <w:rFonts w:ascii="仿宋" w:hAnsi="仿宋" w:eastAsia="仿宋"/>
                <w:b/>
                <w:sz w:val="24"/>
                <w:szCs w:val="24"/>
              </w:rPr>
            </w:pPr>
            <w:r>
              <w:rPr>
                <w:rFonts w:hint="eastAsia" w:ascii="仿宋" w:hAnsi="仿宋" w:eastAsia="仿宋"/>
                <w:b/>
                <w:sz w:val="24"/>
                <w:szCs w:val="24"/>
              </w:rPr>
              <w:t>补充</w:t>
            </w:r>
          </w:p>
          <w:p w14:paraId="7E2D46DE">
            <w:pPr>
              <w:widowControl w:val="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14:paraId="25FB6692">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1</w:t>
            </w:r>
          </w:p>
        </w:tc>
        <w:tc>
          <w:tcPr>
            <w:tcW w:w="992" w:type="dxa"/>
            <w:vAlign w:val="center"/>
          </w:tcPr>
          <w:p w14:paraId="5414D92A">
            <w:pPr>
              <w:rPr>
                <w:rFonts w:ascii="仿宋" w:hAnsi="仿宋" w:eastAsia="仿宋"/>
                <w:sz w:val="24"/>
                <w:szCs w:val="24"/>
              </w:rPr>
            </w:pPr>
          </w:p>
        </w:tc>
        <w:tc>
          <w:tcPr>
            <w:tcW w:w="993" w:type="dxa"/>
          </w:tcPr>
          <w:p w14:paraId="0CBFC430">
            <w:pPr>
              <w:rPr>
                <w:rFonts w:ascii="仿宋" w:hAnsi="仿宋" w:eastAsia="仿宋"/>
                <w:sz w:val="24"/>
                <w:szCs w:val="24"/>
              </w:rPr>
            </w:pPr>
          </w:p>
        </w:tc>
        <w:tc>
          <w:tcPr>
            <w:tcW w:w="3191" w:type="dxa"/>
            <w:vAlign w:val="center"/>
          </w:tcPr>
          <w:p w14:paraId="153E6EF6">
            <w:pPr>
              <w:rPr>
                <w:rFonts w:ascii="仿宋" w:hAnsi="仿宋" w:eastAsia="仿宋"/>
                <w:sz w:val="24"/>
                <w:szCs w:val="24"/>
              </w:rPr>
            </w:pPr>
          </w:p>
        </w:tc>
        <w:tc>
          <w:tcPr>
            <w:tcW w:w="1525" w:type="dxa"/>
            <w:vAlign w:val="center"/>
          </w:tcPr>
          <w:p w14:paraId="6C28AA96">
            <w:pPr>
              <w:rPr>
                <w:rFonts w:ascii="仿宋" w:hAnsi="仿宋" w:eastAsia="仿宋"/>
                <w:sz w:val="24"/>
                <w:szCs w:val="24"/>
              </w:rPr>
            </w:pPr>
          </w:p>
        </w:tc>
      </w:tr>
      <w:tr w14:paraId="66BE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14:paraId="682EF065">
            <w:pPr>
              <w:rPr>
                <w:rFonts w:ascii="仿宋" w:hAnsi="仿宋" w:eastAsia="仿宋"/>
                <w:b/>
                <w:sz w:val="24"/>
                <w:szCs w:val="24"/>
              </w:rPr>
            </w:pPr>
          </w:p>
        </w:tc>
        <w:tc>
          <w:tcPr>
            <w:tcW w:w="1167" w:type="dxa"/>
            <w:vAlign w:val="center"/>
          </w:tcPr>
          <w:p w14:paraId="059C3E04">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2</w:t>
            </w:r>
          </w:p>
        </w:tc>
        <w:tc>
          <w:tcPr>
            <w:tcW w:w="992" w:type="dxa"/>
            <w:vAlign w:val="center"/>
          </w:tcPr>
          <w:p w14:paraId="420A288E">
            <w:pPr>
              <w:rPr>
                <w:rFonts w:ascii="仿宋" w:hAnsi="仿宋" w:eastAsia="仿宋"/>
                <w:sz w:val="24"/>
                <w:szCs w:val="24"/>
              </w:rPr>
            </w:pPr>
          </w:p>
        </w:tc>
        <w:tc>
          <w:tcPr>
            <w:tcW w:w="993" w:type="dxa"/>
          </w:tcPr>
          <w:p w14:paraId="2786E711">
            <w:pPr>
              <w:rPr>
                <w:rFonts w:ascii="仿宋" w:hAnsi="仿宋" w:eastAsia="仿宋"/>
                <w:sz w:val="24"/>
                <w:szCs w:val="24"/>
              </w:rPr>
            </w:pPr>
          </w:p>
        </w:tc>
        <w:tc>
          <w:tcPr>
            <w:tcW w:w="3191" w:type="dxa"/>
            <w:vAlign w:val="center"/>
          </w:tcPr>
          <w:p w14:paraId="78941AFB">
            <w:pPr>
              <w:rPr>
                <w:rFonts w:ascii="仿宋" w:hAnsi="仿宋" w:eastAsia="仿宋"/>
                <w:sz w:val="24"/>
                <w:szCs w:val="24"/>
              </w:rPr>
            </w:pPr>
          </w:p>
        </w:tc>
        <w:tc>
          <w:tcPr>
            <w:tcW w:w="1525" w:type="dxa"/>
            <w:vAlign w:val="center"/>
          </w:tcPr>
          <w:p w14:paraId="39E5FB1B">
            <w:pPr>
              <w:rPr>
                <w:rFonts w:ascii="仿宋" w:hAnsi="仿宋" w:eastAsia="仿宋"/>
                <w:sz w:val="24"/>
                <w:szCs w:val="24"/>
              </w:rPr>
            </w:pPr>
          </w:p>
        </w:tc>
      </w:tr>
      <w:tr w14:paraId="25335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0A04072B">
            <w:pPr>
              <w:rPr>
                <w:rFonts w:ascii="仿宋" w:hAnsi="仿宋" w:eastAsia="仿宋"/>
                <w:b/>
                <w:sz w:val="24"/>
                <w:szCs w:val="24"/>
              </w:rPr>
            </w:pPr>
          </w:p>
        </w:tc>
        <w:tc>
          <w:tcPr>
            <w:tcW w:w="1167" w:type="dxa"/>
            <w:vAlign w:val="center"/>
          </w:tcPr>
          <w:p w14:paraId="15F1EC31">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3</w:t>
            </w:r>
          </w:p>
        </w:tc>
        <w:tc>
          <w:tcPr>
            <w:tcW w:w="992" w:type="dxa"/>
            <w:vAlign w:val="center"/>
          </w:tcPr>
          <w:p w14:paraId="3434CD1C">
            <w:pPr>
              <w:rPr>
                <w:rFonts w:ascii="仿宋" w:hAnsi="仿宋" w:eastAsia="仿宋"/>
                <w:sz w:val="24"/>
                <w:szCs w:val="24"/>
              </w:rPr>
            </w:pPr>
          </w:p>
        </w:tc>
        <w:tc>
          <w:tcPr>
            <w:tcW w:w="993" w:type="dxa"/>
          </w:tcPr>
          <w:p w14:paraId="265463DC">
            <w:pPr>
              <w:rPr>
                <w:rFonts w:ascii="仿宋" w:hAnsi="仿宋" w:eastAsia="仿宋"/>
                <w:sz w:val="24"/>
                <w:szCs w:val="24"/>
              </w:rPr>
            </w:pPr>
          </w:p>
        </w:tc>
        <w:tc>
          <w:tcPr>
            <w:tcW w:w="3191" w:type="dxa"/>
            <w:vAlign w:val="center"/>
          </w:tcPr>
          <w:p w14:paraId="5DD4114F">
            <w:pPr>
              <w:rPr>
                <w:rFonts w:ascii="仿宋" w:hAnsi="仿宋" w:eastAsia="仿宋"/>
                <w:sz w:val="24"/>
                <w:szCs w:val="24"/>
              </w:rPr>
            </w:pPr>
          </w:p>
        </w:tc>
        <w:tc>
          <w:tcPr>
            <w:tcW w:w="1525" w:type="dxa"/>
            <w:vAlign w:val="center"/>
          </w:tcPr>
          <w:p w14:paraId="2F9C68B0">
            <w:pPr>
              <w:rPr>
                <w:rFonts w:ascii="仿宋" w:hAnsi="仿宋" w:eastAsia="仿宋"/>
                <w:sz w:val="24"/>
                <w:szCs w:val="24"/>
              </w:rPr>
            </w:pPr>
          </w:p>
        </w:tc>
      </w:tr>
      <w:tr w14:paraId="4EAC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767E0657">
            <w:pPr>
              <w:rPr>
                <w:rFonts w:ascii="仿宋" w:hAnsi="仿宋" w:eastAsia="仿宋"/>
                <w:b/>
                <w:sz w:val="24"/>
                <w:szCs w:val="24"/>
              </w:rPr>
            </w:pPr>
          </w:p>
        </w:tc>
        <w:tc>
          <w:tcPr>
            <w:tcW w:w="1167" w:type="dxa"/>
            <w:vAlign w:val="center"/>
          </w:tcPr>
          <w:p w14:paraId="197B3870">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4</w:t>
            </w:r>
          </w:p>
        </w:tc>
        <w:tc>
          <w:tcPr>
            <w:tcW w:w="992" w:type="dxa"/>
            <w:vAlign w:val="center"/>
          </w:tcPr>
          <w:p w14:paraId="3961FA7B">
            <w:pPr>
              <w:rPr>
                <w:rFonts w:ascii="仿宋" w:hAnsi="仿宋" w:eastAsia="仿宋"/>
                <w:sz w:val="24"/>
                <w:szCs w:val="24"/>
              </w:rPr>
            </w:pPr>
          </w:p>
        </w:tc>
        <w:tc>
          <w:tcPr>
            <w:tcW w:w="993" w:type="dxa"/>
          </w:tcPr>
          <w:p w14:paraId="5391B240">
            <w:pPr>
              <w:rPr>
                <w:rFonts w:ascii="仿宋" w:hAnsi="仿宋" w:eastAsia="仿宋"/>
                <w:sz w:val="24"/>
                <w:szCs w:val="24"/>
              </w:rPr>
            </w:pPr>
          </w:p>
        </w:tc>
        <w:tc>
          <w:tcPr>
            <w:tcW w:w="3191" w:type="dxa"/>
            <w:vAlign w:val="center"/>
          </w:tcPr>
          <w:p w14:paraId="03450B49">
            <w:pPr>
              <w:rPr>
                <w:rFonts w:ascii="仿宋" w:hAnsi="仿宋" w:eastAsia="仿宋"/>
                <w:sz w:val="24"/>
                <w:szCs w:val="24"/>
              </w:rPr>
            </w:pPr>
          </w:p>
        </w:tc>
        <w:tc>
          <w:tcPr>
            <w:tcW w:w="1525" w:type="dxa"/>
            <w:vAlign w:val="center"/>
          </w:tcPr>
          <w:p w14:paraId="0E74AAD0">
            <w:pPr>
              <w:rPr>
                <w:rFonts w:ascii="仿宋" w:hAnsi="仿宋" w:eastAsia="仿宋"/>
                <w:sz w:val="24"/>
                <w:szCs w:val="24"/>
              </w:rPr>
            </w:pPr>
          </w:p>
        </w:tc>
      </w:tr>
      <w:tr w14:paraId="2AFC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3309003F">
            <w:pPr>
              <w:rPr>
                <w:rFonts w:ascii="仿宋" w:hAnsi="仿宋" w:eastAsia="仿宋"/>
                <w:b/>
                <w:sz w:val="24"/>
                <w:szCs w:val="24"/>
              </w:rPr>
            </w:pPr>
          </w:p>
        </w:tc>
        <w:tc>
          <w:tcPr>
            <w:tcW w:w="1167" w:type="dxa"/>
            <w:vAlign w:val="center"/>
          </w:tcPr>
          <w:p w14:paraId="1909306D">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14:paraId="169E1853">
            <w:pPr>
              <w:rPr>
                <w:rFonts w:ascii="仿宋" w:hAnsi="仿宋" w:eastAsia="仿宋"/>
                <w:sz w:val="24"/>
                <w:szCs w:val="24"/>
              </w:rPr>
            </w:pPr>
          </w:p>
        </w:tc>
        <w:tc>
          <w:tcPr>
            <w:tcW w:w="993" w:type="dxa"/>
          </w:tcPr>
          <w:p w14:paraId="3AFB7797">
            <w:pPr>
              <w:rPr>
                <w:rFonts w:ascii="仿宋" w:hAnsi="仿宋" w:eastAsia="仿宋"/>
                <w:sz w:val="24"/>
                <w:szCs w:val="24"/>
              </w:rPr>
            </w:pPr>
          </w:p>
        </w:tc>
        <w:tc>
          <w:tcPr>
            <w:tcW w:w="3191" w:type="dxa"/>
            <w:vAlign w:val="center"/>
          </w:tcPr>
          <w:p w14:paraId="23DA6913">
            <w:pPr>
              <w:rPr>
                <w:rFonts w:ascii="仿宋" w:hAnsi="仿宋" w:eastAsia="仿宋"/>
                <w:sz w:val="24"/>
                <w:szCs w:val="24"/>
              </w:rPr>
            </w:pPr>
          </w:p>
        </w:tc>
        <w:tc>
          <w:tcPr>
            <w:tcW w:w="1525" w:type="dxa"/>
            <w:vAlign w:val="center"/>
          </w:tcPr>
          <w:p w14:paraId="46B5419E">
            <w:pPr>
              <w:rPr>
                <w:rFonts w:ascii="仿宋" w:hAnsi="仿宋" w:eastAsia="仿宋"/>
                <w:sz w:val="24"/>
                <w:szCs w:val="24"/>
              </w:rPr>
            </w:pPr>
          </w:p>
        </w:tc>
      </w:tr>
      <w:tr w14:paraId="748B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restart"/>
            <w:vAlign w:val="center"/>
          </w:tcPr>
          <w:p w14:paraId="728D175B">
            <w:pPr>
              <w:rPr>
                <w:rFonts w:ascii="仿宋" w:hAnsi="仿宋" w:eastAsia="仿宋"/>
                <w:b/>
                <w:sz w:val="24"/>
                <w:szCs w:val="24"/>
              </w:rPr>
            </w:pPr>
            <w:r>
              <w:rPr>
                <w:rFonts w:hint="eastAsia" w:ascii="仿宋" w:hAnsi="仿宋" w:eastAsia="仿宋"/>
                <w:b/>
                <w:sz w:val="24"/>
                <w:szCs w:val="24"/>
              </w:rPr>
              <w:t>实时监测的数据</w:t>
            </w:r>
          </w:p>
        </w:tc>
        <w:tc>
          <w:tcPr>
            <w:tcW w:w="1167" w:type="dxa"/>
            <w:vAlign w:val="center"/>
          </w:tcPr>
          <w:p w14:paraId="4AC968FC">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14:paraId="1D0A81D0">
            <w:pPr>
              <w:rPr>
                <w:rFonts w:ascii="仿宋" w:hAnsi="仿宋" w:eastAsia="仿宋"/>
                <w:sz w:val="24"/>
                <w:szCs w:val="24"/>
              </w:rPr>
            </w:pPr>
          </w:p>
        </w:tc>
        <w:tc>
          <w:tcPr>
            <w:tcW w:w="993" w:type="dxa"/>
          </w:tcPr>
          <w:p w14:paraId="1FC72FFC">
            <w:pPr>
              <w:rPr>
                <w:rFonts w:ascii="仿宋" w:hAnsi="仿宋" w:eastAsia="仿宋"/>
                <w:sz w:val="24"/>
                <w:szCs w:val="24"/>
              </w:rPr>
            </w:pPr>
          </w:p>
        </w:tc>
        <w:tc>
          <w:tcPr>
            <w:tcW w:w="3191" w:type="dxa"/>
            <w:vAlign w:val="center"/>
          </w:tcPr>
          <w:p w14:paraId="3A1DCE0F">
            <w:pPr>
              <w:rPr>
                <w:rFonts w:ascii="仿宋" w:hAnsi="仿宋" w:eastAsia="仿宋"/>
                <w:sz w:val="24"/>
                <w:szCs w:val="24"/>
              </w:rPr>
            </w:pPr>
          </w:p>
        </w:tc>
        <w:tc>
          <w:tcPr>
            <w:tcW w:w="1525" w:type="dxa"/>
            <w:vAlign w:val="center"/>
          </w:tcPr>
          <w:p w14:paraId="65AADA3E">
            <w:pPr>
              <w:rPr>
                <w:rFonts w:ascii="仿宋" w:hAnsi="仿宋" w:eastAsia="仿宋"/>
                <w:sz w:val="24"/>
                <w:szCs w:val="24"/>
              </w:rPr>
            </w:pPr>
          </w:p>
        </w:tc>
      </w:tr>
      <w:tr w14:paraId="1E607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3C83B837">
            <w:pPr>
              <w:rPr>
                <w:rFonts w:ascii="仿宋" w:hAnsi="仿宋" w:eastAsia="仿宋"/>
                <w:b/>
                <w:sz w:val="24"/>
                <w:szCs w:val="24"/>
              </w:rPr>
            </w:pPr>
          </w:p>
        </w:tc>
        <w:tc>
          <w:tcPr>
            <w:tcW w:w="1167" w:type="dxa"/>
            <w:vAlign w:val="center"/>
          </w:tcPr>
          <w:p w14:paraId="100A6185">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14:paraId="6AA02DB2">
            <w:pPr>
              <w:rPr>
                <w:rFonts w:ascii="仿宋" w:hAnsi="仿宋" w:eastAsia="仿宋"/>
                <w:sz w:val="24"/>
                <w:szCs w:val="24"/>
              </w:rPr>
            </w:pPr>
          </w:p>
        </w:tc>
        <w:tc>
          <w:tcPr>
            <w:tcW w:w="993" w:type="dxa"/>
          </w:tcPr>
          <w:p w14:paraId="631DF603">
            <w:pPr>
              <w:rPr>
                <w:rFonts w:ascii="仿宋" w:hAnsi="仿宋" w:eastAsia="仿宋"/>
                <w:sz w:val="24"/>
                <w:szCs w:val="24"/>
              </w:rPr>
            </w:pPr>
          </w:p>
        </w:tc>
        <w:tc>
          <w:tcPr>
            <w:tcW w:w="3191" w:type="dxa"/>
            <w:vAlign w:val="center"/>
          </w:tcPr>
          <w:p w14:paraId="774BB7A9">
            <w:pPr>
              <w:rPr>
                <w:rFonts w:ascii="仿宋" w:hAnsi="仿宋" w:eastAsia="仿宋"/>
                <w:sz w:val="24"/>
                <w:szCs w:val="24"/>
              </w:rPr>
            </w:pPr>
          </w:p>
        </w:tc>
        <w:tc>
          <w:tcPr>
            <w:tcW w:w="1525" w:type="dxa"/>
            <w:vAlign w:val="center"/>
          </w:tcPr>
          <w:p w14:paraId="2C3DADD5">
            <w:pPr>
              <w:rPr>
                <w:rFonts w:ascii="仿宋" w:hAnsi="仿宋" w:eastAsia="仿宋"/>
                <w:sz w:val="24"/>
                <w:szCs w:val="24"/>
              </w:rPr>
            </w:pPr>
          </w:p>
        </w:tc>
      </w:tr>
      <w:tr w14:paraId="5473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79419858">
            <w:pPr>
              <w:rPr>
                <w:rFonts w:ascii="仿宋" w:hAnsi="仿宋" w:eastAsia="仿宋"/>
                <w:b/>
                <w:sz w:val="24"/>
                <w:szCs w:val="24"/>
              </w:rPr>
            </w:pPr>
          </w:p>
        </w:tc>
        <w:tc>
          <w:tcPr>
            <w:tcW w:w="1167" w:type="dxa"/>
            <w:vAlign w:val="center"/>
          </w:tcPr>
          <w:p w14:paraId="787991F3">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14:paraId="28CA4E22">
            <w:pPr>
              <w:rPr>
                <w:rFonts w:ascii="仿宋" w:hAnsi="仿宋" w:eastAsia="仿宋"/>
                <w:sz w:val="24"/>
                <w:szCs w:val="24"/>
              </w:rPr>
            </w:pPr>
          </w:p>
        </w:tc>
        <w:tc>
          <w:tcPr>
            <w:tcW w:w="993" w:type="dxa"/>
          </w:tcPr>
          <w:p w14:paraId="4A1EB9FC">
            <w:pPr>
              <w:rPr>
                <w:rFonts w:ascii="仿宋" w:hAnsi="仿宋" w:eastAsia="仿宋"/>
                <w:sz w:val="24"/>
                <w:szCs w:val="24"/>
              </w:rPr>
            </w:pPr>
          </w:p>
        </w:tc>
        <w:tc>
          <w:tcPr>
            <w:tcW w:w="3191" w:type="dxa"/>
            <w:vAlign w:val="center"/>
          </w:tcPr>
          <w:p w14:paraId="48681A16">
            <w:pPr>
              <w:rPr>
                <w:rFonts w:ascii="仿宋" w:hAnsi="仿宋" w:eastAsia="仿宋"/>
                <w:sz w:val="24"/>
                <w:szCs w:val="24"/>
              </w:rPr>
            </w:pPr>
          </w:p>
        </w:tc>
        <w:tc>
          <w:tcPr>
            <w:tcW w:w="1525" w:type="dxa"/>
            <w:vAlign w:val="center"/>
          </w:tcPr>
          <w:p w14:paraId="2F3437DD">
            <w:pPr>
              <w:rPr>
                <w:rFonts w:ascii="仿宋" w:hAnsi="仿宋" w:eastAsia="仿宋"/>
                <w:sz w:val="24"/>
                <w:szCs w:val="24"/>
              </w:rPr>
            </w:pPr>
          </w:p>
        </w:tc>
      </w:tr>
      <w:tr w14:paraId="3CC3D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1E48C35C">
            <w:pPr>
              <w:rPr>
                <w:rFonts w:ascii="仿宋" w:hAnsi="仿宋" w:eastAsia="仿宋"/>
                <w:b/>
                <w:sz w:val="24"/>
                <w:szCs w:val="24"/>
              </w:rPr>
            </w:pPr>
          </w:p>
        </w:tc>
        <w:tc>
          <w:tcPr>
            <w:tcW w:w="1167" w:type="dxa"/>
            <w:vAlign w:val="center"/>
          </w:tcPr>
          <w:p w14:paraId="14166EE1">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14:paraId="023EFF92">
            <w:pPr>
              <w:rPr>
                <w:rFonts w:ascii="仿宋" w:hAnsi="仿宋" w:eastAsia="仿宋"/>
                <w:sz w:val="24"/>
                <w:szCs w:val="24"/>
              </w:rPr>
            </w:pPr>
          </w:p>
        </w:tc>
        <w:tc>
          <w:tcPr>
            <w:tcW w:w="993" w:type="dxa"/>
          </w:tcPr>
          <w:p w14:paraId="77353F20">
            <w:pPr>
              <w:rPr>
                <w:rFonts w:ascii="仿宋" w:hAnsi="仿宋" w:eastAsia="仿宋"/>
                <w:sz w:val="24"/>
                <w:szCs w:val="24"/>
              </w:rPr>
            </w:pPr>
          </w:p>
        </w:tc>
        <w:tc>
          <w:tcPr>
            <w:tcW w:w="3191" w:type="dxa"/>
            <w:vAlign w:val="center"/>
          </w:tcPr>
          <w:p w14:paraId="2CD8285A">
            <w:pPr>
              <w:rPr>
                <w:rFonts w:ascii="仿宋" w:hAnsi="仿宋" w:eastAsia="仿宋"/>
                <w:sz w:val="24"/>
                <w:szCs w:val="24"/>
              </w:rPr>
            </w:pPr>
          </w:p>
        </w:tc>
        <w:tc>
          <w:tcPr>
            <w:tcW w:w="1525" w:type="dxa"/>
            <w:vAlign w:val="center"/>
          </w:tcPr>
          <w:p w14:paraId="207F7570">
            <w:pPr>
              <w:rPr>
                <w:rFonts w:ascii="仿宋" w:hAnsi="仿宋" w:eastAsia="仿宋"/>
                <w:sz w:val="24"/>
                <w:szCs w:val="24"/>
              </w:rPr>
            </w:pPr>
          </w:p>
        </w:tc>
      </w:tr>
      <w:tr w14:paraId="39E81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14:paraId="2789A079">
            <w:pPr>
              <w:rPr>
                <w:rFonts w:ascii="仿宋" w:hAnsi="仿宋" w:eastAsia="仿宋"/>
                <w:b/>
                <w:sz w:val="24"/>
                <w:szCs w:val="24"/>
              </w:rPr>
            </w:pPr>
          </w:p>
        </w:tc>
        <w:tc>
          <w:tcPr>
            <w:tcW w:w="1167" w:type="dxa"/>
            <w:vAlign w:val="center"/>
          </w:tcPr>
          <w:p w14:paraId="0ADB21A1">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14:paraId="5E06263F">
            <w:pPr>
              <w:rPr>
                <w:rFonts w:ascii="仿宋" w:hAnsi="仿宋" w:eastAsia="仿宋"/>
                <w:sz w:val="24"/>
                <w:szCs w:val="24"/>
              </w:rPr>
            </w:pPr>
          </w:p>
        </w:tc>
        <w:tc>
          <w:tcPr>
            <w:tcW w:w="993" w:type="dxa"/>
          </w:tcPr>
          <w:p w14:paraId="61E65337">
            <w:pPr>
              <w:rPr>
                <w:rFonts w:ascii="仿宋" w:hAnsi="仿宋" w:eastAsia="仿宋"/>
                <w:sz w:val="24"/>
                <w:szCs w:val="24"/>
              </w:rPr>
            </w:pPr>
          </w:p>
        </w:tc>
        <w:tc>
          <w:tcPr>
            <w:tcW w:w="3191" w:type="dxa"/>
            <w:vAlign w:val="center"/>
          </w:tcPr>
          <w:p w14:paraId="26699998">
            <w:pPr>
              <w:rPr>
                <w:rFonts w:ascii="仿宋" w:hAnsi="仿宋" w:eastAsia="仿宋"/>
                <w:sz w:val="24"/>
                <w:szCs w:val="24"/>
              </w:rPr>
            </w:pPr>
          </w:p>
        </w:tc>
        <w:tc>
          <w:tcPr>
            <w:tcW w:w="1525" w:type="dxa"/>
            <w:vAlign w:val="center"/>
          </w:tcPr>
          <w:p w14:paraId="4C755C61">
            <w:pPr>
              <w:rPr>
                <w:rFonts w:ascii="仿宋" w:hAnsi="仿宋" w:eastAsia="仿宋"/>
                <w:sz w:val="24"/>
                <w:szCs w:val="24"/>
              </w:rPr>
            </w:pPr>
          </w:p>
        </w:tc>
      </w:tr>
    </w:tbl>
    <w:p w14:paraId="76321AC4">
      <w:pPr>
        <w:spacing w:after="0" w:line="560" w:lineRule="exact"/>
        <w:ind w:firstLine="659" w:firstLineChars="205"/>
        <w:rPr>
          <w:rFonts w:ascii="仿宋_GB2312" w:hAnsi="仿宋" w:eastAsia="仿宋_GB2312"/>
          <w:b/>
          <w:sz w:val="32"/>
          <w:szCs w:val="32"/>
        </w:rPr>
      </w:pPr>
    </w:p>
    <w:p w14:paraId="6272F9C7">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3.3.2.1 活动水平数据的符合性</w:t>
      </w:r>
    </w:p>
    <w:p w14:paraId="76A2B4CF">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二氧化碳直接和间接排放相关的活动水平数据及相应的表格。对每一个活动水平数据进行核查,核查的内容包括:单位、数据来源、监测方法、监测频次、记录频次、数据缺失处理、交叉核对内容，核查机构应对上述每一个核算数据的符合性进行报告。报告格式如下：</w:t>
      </w:r>
    </w:p>
    <w:p w14:paraId="3A54E9E4">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活动水平数据1（直接排放）：</w:t>
      </w:r>
    </w:p>
    <w:p w14:paraId="29A33EC2">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单位</w:t>
      </w:r>
    </w:p>
    <w:p w14:paraId="12587180">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数据来源</w:t>
      </w:r>
    </w:p>
    <w:p w14:paraId="4C78CC7B">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监测方法</w:t>
      </w:r>
    </w:p>
    <w:p w14:paraId="5EB98D6D">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监测频次</w:t>
      </w:r>
    </w:p>
    <w:p w14:paraId="4BEB833F">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记录频次</w:t>
      </w:r>
    </w:p>
    <w:p w14:paraId="1E0747A1">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数据缺失处理</w:t>
      </w:r>
    </w:p>
    <w:p w14:paraId="381DFB58">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交叉核对</w:t>
      </w:r>
    </w:p>
    <w:p w14:paraId="33C08027">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确认的数值</w:t>
      </w:r>
    </w:p>
    <w:p w14:paraId="5A6F30E4">
      <w:pPr>
        <w:widowControl w:val="0"/>
        <w:numPr>
          <w:ilvl w:val="0"/>
          <w:numId w:val="16"/>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14:paraId="6E2FBC3E">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活动水平数据2（直接排放）：</w:t>
      </w:r>
    </w:p>
    <w:p w14:paraId="72548BB5">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活动水平数据1（间接排放）：</w:t>
      </w:r>
    </w:p>
    <w:p w14:paraId="42D979D7">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3.3.2.2 排放因子的符合性</w:t>
      </w:r>
    </w:p>
    <w:p w14:paraId="7891D785">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的排放因子数据及相应的表格以及各个行业的特定表格，应对每一个排放因子进行核查,核查的内容包括:单位、数据来源、监测方法、监测频次、记录频次、数据缺失处理、交叉核对内容，核查机构应对上述每一个核算数据的符合性进行报告。如果排放因子为缺省值,可适当删减上述核查内容。报告格式如下：</w:t>
      </w:r>
    </w:p>
    <w:p w14:paraId="268791E5">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排放因子参数1（直接排放）：</w:t>
      </w:r>
    </w:p>
    <w:p w14:paraId="03245127">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单位</w:t>
      </w:r>
    </w:p>
    <w:p w14:paraId="798D8079">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数据来源</w:t>
      </w:r>
    </w:p>
    <w:p w14:paraId="099D8A74">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监测方法</w:t>
      </w:r>
    </w:p>
    <w:p w14:paraId="0C999917">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监测频次</w:t>
      </w:r>
    </w:p>
    <w:p w14:paraId="4CE760EC">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记录频次</w:t>
      </w:r>
    </w:p>
    <w:p w14:paraId="1A26E77A">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数据缺失处理</w:t>
      </w:r>
    </w:p>
    <w:p w14:paraId="27799857">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交叉核对</w:t>
      </w:r>
    </w:p>
    <w:p w14:paraId="2BD1CC42">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确认的数值</w:t>
      </w:r>
    </w:p>
    <w:p w14:paraId="6B00AA07">
      <w:pPr>
        <w:widowControl w:val="0"/>
        <w:numPr>
          <w:ilvl w:val="0"/>
          <w:numId w:val="17"/>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14:paraId="6117FFF5">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排放因子参数2（直接排放）：</w:t>
      </w:r>
    </w:p>
    <w:p w14:paraId="0131FF99">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排放因子参数1（间接排放）：</w:t>
      </w:r>
    </w:p>
    <w:p w14:paraId="2FFE9E59">
      <w:pPr>
        <w:spacing w:after="0" w:line="560" w:lineRule="exact"/>
        <w:ind w:firstLine="660"/>
        <w:outlineLvl w:val="0"/>
        <w:rPr>
          <w:rFonts w:ascii="仿宋_GB2312" w:hAnsi="仿宋" w:eastAsia="仿宋_GB2312"/>
          <w:b/>
          <w:sz w:val="32"/>
          <w:szCs w:val="32"/>
        </w:rPr>
      </w:pPr>
      <w:r>
        <w:rPr>
          <w:rFonts w:hint="eastAsia" w:ascii="仿宋_GB2312" w:hAnsi="仿宋" w:eastAsia="仿宋_GB2312"/>
          <w:b/>
          <w:sz w:val="32"/>
          <w:szCs w:val="32"/>
        </w:rPr>
        <w:t>3.3.2.3 其他数据及补充</w:t>
      </w:r>
      <w:r>
        <w:rPr>
          <w:rFonts w:ascii="仿宋_GB2312" w:hAnsi="仿宋" w:eastAsia="仿宋_GB2312"/>
          <w:b/>
          <w:sz w:val="32"/>
          <w:szCs w:val="32"/>
        </w:rPr>
        <w:t>信息</w:t>
      </w:r>
      <w:r>
        <w:rPr>
          <w:rFonts w:hint="eastAsia" w:ascii="仿宋_GB2312" w:hAnsi="仿宋" w:eastAsia="仿宋_GB2312"/>
          <w:b/>
          <w:sz w:val="32"/>
          <w:szCs w:val="32"/>
        </w:rPr>
        <w:t>的符合性</w:t>
      </w:r>
    </w:p>
    <w:p w14:paraId="5DAE13E8">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其它数据和补充信息包括石油化工</w:t>
      </w:r>
      <w:r>
        <w:rPr>
          <w:rFonts w:ascii="仿宋_GB2312" w:hAnsi="仿宋" w:eastAsia="仿宋_GB2312"/>
          <w:sz w:val="32"/>
          <w:szCs w:val="32"/>
        </w:rPr>
        <w:t>、</w:t>
      </w:r>
      <w:r>
        <w:rPr>
          <w:rFonts w:hint="eastAsia" w:ascii="仿宋_GB2312" w:hAnsi="仿宋" w:eastAsia="仿宋_GB2312"/>
          <w:sz w:val="32"/>
          <w:szCs w:val="32"/>
        </w:rPr>
        <w:t>热力生产和供应、水泥制造、其他服务业（物业、数据中心、通信）、其他行业（电网、汽车制造、生物药品制品制造、污水处理和再生水供应、自来水供应）等的</w:t>
      </w:r>
      <w:r>
        <w:rPr>
          <w:rFonts w:ascii="仿宋_GB2312" w:hAnsi="仿宋" w:eastAsia="仿宋_GB2312"/>
          <w:sz w:val="32"/>
          <w:szCs w:val="32"/>
        </w:rPr>
        <w:t>生产经营服务信息和碳排放补充信息</w:t>
      </w:r>
      <w:r>
        <w:rPr>
          <w:rFonts w:hint="eastAsia" w:ascii="仿宋_GB2312" w:hAnsi="仿宋" w:eastAsia="仿宋_GB2312"/>
          <w:sz w:val="32"/>
          <w:szCs w:val="32"/>
        </w:rPr>
        <w:t>，核查机构应对其它数据及补充数据信息进行核查。对涉及</w:t>
      </w:r>
      <w:bookmarkStart w:id="27" w:name="_GoBack"/>
      <w:bookmarkEnd w:id="27"/>
      <w:r>
        <w:rPr>
          <w:rFonts w:hint="eastAsia" w:ascii="仿宋_GB2312" w:hAnsi="仿宋" w:eastAsia="仿宋_GB2312"/>
          <w:sz w:val="32"/>
          <w:szCs w:val="32"/>
        </w:rPr>
        <w:t>的其它数据和补充信息的核查内容包括：数据的单位、数据来源、监测方法、监测频次、记录频次、参数交叉核对、数据缺失的处理方式等内容，核查机构应对其它数据和补充数据的每一个数据的符合性进行报告，若已经在核查报告中详细描述了核查过程且不降低核查质量的前提下，此处对于其它数据和补充信息的核查可以简化描述。</w:t>
      </w:r>
    </w:p>
    <w:p w14:paraId="07E3AFF5">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其它数据和补充信息的符合性报告格式参考</w:t>
      </w:r>
      <w:r>
        <w:rPr>
          <w:rFonts w:ascii="仿宋_GB2312" w:hAnsi="仿宋" w:eastAsia="仿宋_GB2312"/>
          <w:sz w:val="32"/>
          <w:szCs w:val="32"/>
        </w:rPr>
        <w:t>3.3.2.1</w:t>
      </w:r>
      <w:r>
        <w:rPr>
          <w:rFonts w:hint="eastAsia" w:ascii="仿宋_GB2312" w:hAnsi="仿宋" w:eastAsia="仿宋_GB2312"/>
          <w:sz w:val="32"/>
          <w:szCs w:val="32"/>
        </w:rPr>
        <w:t>。</w:t>
      </w:r>
    </w:p>
    <w:p w14:paraId="28B3FC7A">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补充</w:t>
      </w:r>
      <w:r>
        <w:rPr>
          <w:rFonts w:ascii="仿宋_GB2312" w:hAnsi="仿宋" w:eastAsia="仿宋_GB2312"/>
          <w:sz w:val="32"/>
          <w:szCs w:val="32"/>
        </w:rPr>
        <w:t>数据表核查重点如下：</w:t>
      </w:r>
    </w:p>
    <w:p w14:paraId="7AF2D6C7">
      <w:pPr>
        <w:spacing w:after="0" w:line="560" w:lineRule="exact"/>
        <w:ind w:firstLine="643"/>
        <w:jc w:val="center"/>
        <w:rPr>
          <w:rFonts w:ascii="仿宋_GB2312" w:hAnsi="仿宋" w:eastAsia="仿宋_GB2312"/>
          <w:b/>
          <w:sz w:val="32"/>
          <w:szCs w:val="32"/>
          <w:lang w:val="en-US"/>
        </w:rPr>
      </w:pPr>
      <w:r>
        <w:rPr>
          <w:rFonts w:hint="eastAsia" w:ascii="仿宋_GB2312" w:hAnsi="仿宋" w:eastAsia="仿宋_GB2312"/>
          <w:b/>
          <w:sz w:val="32"/>
          <w:szCs w:val="32"/>
          <w:lang w:val="en-US"/>
        </w:rPr>
        <w:t>热力生产和供应企业补充</w:t>
      </w:r>
      <w:r>
        <w:rPr>
          <w:rFonts w:ascii="仿宋_GB2312" w:hAnsi="仿宋" w:eastAsia="仿宋_GB2312"/>
          <w:b/>
          <w:sz w:val="32"/>
          <w:szCs w:val="32"/>
          <w:lang w:val="en-US"/>
        </w:rPr>
        <w:t>数据表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14:paraId="64D8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89" w:type="dxa"/>
            <w:vAlign w:val="center"/>
          </w:tcPr>
          <w:p w14:paraId="2BCE920F">
            <w:pPr>
              <w:spacing w:after="0" w:line="300" w:lineRule="auto"/>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报告</w:t>
            </w:r>
            <w:r>
              <w:rPr>
                <w:rFonts w:ascii="仿宋_GB2312" w:hAnsi="仿宋" w:eastAsia="仿宋_GB2312"/>
                <w:b/>
                <w:bCs/>
                <w:sz w:val="24"/>
                <w:szCs w:val="24"/>
                <w:lang w:val="en-US"/>
              </w:rPr>
              <w:t>参数</w:t>
            </w:r>
          </w:p>
        </w:tc>
        <w:tc>
          <w:tcPr>
            <w:tcW w:w="5607" w:type="dxa"/>
            <w:vAlign w:val="center"/>
          </w:tcPr>
          <w:p w14:paraId="705B651D">
            <w:pPr>
              <w:spacing w:after="0" w:line="300" w:lineRule="auto"/>
              <w:ind w:firstLine="482"/>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核查要求</w:t>
            </w:r>
          </w:p>
        </w:tc>
      </w:tr>
      <w:tr w14:paraId="21B2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6E4F76E">
            <w:pPr>
              <w:spacing w:after="120"/>
              <w:ind w:firstLine="480"/>
              <w:rPr>
                <w:rFonts w:ascii="仿宋_GB2312" w:hAnsi="仿宋" w:eastAsia="仿宋_GB2312"/>
                <w:sz w:val="24"/>
                <w:szCs w:val="24"/>
                <w:lang w:val="en-US"/>
              </w:rPr>
            </w:pPr>
            <w:r>
              <w:rPr>
                <w:rFonts w:hint="eastAsia" w:ascii="仿宋_GB2312" w:hAnsi="仿宋" w:eastAsia="仿宋_GB2312"/>
                <w:sz w:val="24"/>
                <w:szCs w:val="24"/>
                <w:lang w:val="en-US"/>
              </w:rPr>
              <w:t>各热量数据</w:t>
            </w:r>
          </w:p>
        </w:tc>
        <w:tc>
          <w:tcPr>
            <w:tcW w:w="5607" w:type="dxa"/>
            <w:vAlign w:val="center"/>
          </w:tcPr>
          <w:p w14:paraId="3E8E775C">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核查组首先应确定受核查方的供热类型（包括热源及热网类型，热源：燃气锅炉</w:t>
            </w:r>
            <w:r>
              <w:rPr>
                <w:rFonts w:ascii="仿宋_GB2312" w:hAnsi="仿宋" w:eastAsia="仿宋_GB2312"/>
                <w:sz w:val="24"/>
                <w:szCs w:val="24"/>
                <w:lang w:val="en-US"/>
              </w:rPr>
              <w:t>/燃煤锅炉/电锅炉/燃油锅炉/地源热泵/其他，热网：直供/间供），热量的数据来源是否与监测计划一致。如为计量数据，还应将报告的数据与热表抄表记录等数据交叉核对；如为计算数据，应确认计算方法的合理性，并保持各年度数据的可比性，计算用到的各</w:t>
            </w:r>
            <w:r>
              <w:rPr>
                <w:rFonts w:hint="eastAsia" w:ascii="仿宋_GB2312" w:hAnsi="仿宋" w:eastAsia="仿宋_GB2312"/>
                <w:sz w:val="24"/>
                <w:szCs w:val="24"/>
                <w:lang w:val="en-US"/>
              </w:rPr>
              <w:t>参数，均应确保其来源可信，如有测试报告，应附在核查报告中。</w:t>
            </w:r>
          </w:p>
        </w:tc>
      </w:tr>
      <w:tr w14:paraId="6B7A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45E4D8A3">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不同用能单元（热源锅炉房、办公生活及其他）的直接排放量</w:t>
            </w:r>
          </w:p>
        </w:tc>
        <w:tc>
          <w:tcPr>
            <w:tcW w:w="5607" w:type="dxa"/>
            <w:vAlign w:val="center"/>
          </w:tcPr>
          <w:p w14:paraId="52FDCF6E">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核查组应确认受核查方化石燃料消耗量的数据来源是否与监测计划一致，并通过能源平衡表、生产月报表等相关记录交叉核对。</w:t>
            </w:r>
          </w:p>
          <w:p w14:paraId="6FA2E3F6">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对于天然气等可单独计量的能源，还应将报告的数据与天然气抄表记录、财务数据等数据交叉核对。</w:t>
            </w:r>
          </w:p>
          <w:p w14:paraId="6364DF9B">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如重点排放单位使用化石燃料排放因子的缺省值，核查组应确认缺省值的数据、单位正确，如使用实测值，排放因子的核查应参考核查报告编写指南第</w:t>
            </w:r>
            <w:r>
              <w:rPr>
                <w:rFonts w:ascii="仿宋_GB2312" w:hAnsi="仿宋" w:eastAsia="仿宋_GB2312"/>
                <w:sz w:val="24"/>
                <w:szCs w:val="24"/>
                <w:lang w:val="en-US"/>
              </w:rPr>
              <w:t>3.3.2.2部分的要求。</w:t>
            </w:r>
          </w:p>
        </w:tc>
      </w:tr>
      <w:tr w14:paraId="7AD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07761F6A">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不同用能单元（热源锅炉房、热力站、中继泵站、办公生活及其他）的间接排放量</w:t>
            </w:r>
          </w:p>
        </w:tc>
        <w:tc>
          <w:tcPr>
            <w:tcW w:w="5607" w:type="dxa"/>
            <w:vAlign w:val="center"/>
          </w:tcPr>
          <w:p w14:paraId="3AA58A29">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对于各用电单元单独计量的电量，应确认监测设备的校准、数据记录等活动是否符合监测计划的要求，并核对抄表记录、各车间能源消耗台账。</w:t>
            </w:r>
          </w:p>
          <w:p w14:paraId="0649B6D3">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如各用电单元对应的外购电力数据是通过拆分总外购电量计算得出，核查组应确认拆分的方式是否合理，并保持各年度数据的可比性。</w:t>
            </w:r>
          </w:p>
        </w:tc>
      </w:tr>
    </w:tbl>
    <w:p w14:paraId="6730D7CC">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水泥企业协同处置废弃物补充数据</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3E0B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0B29945C">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7EF7CD45">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5E87E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F104F7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协同处置废弃物的种类</w:t>
            </w:r>
          </w:p>
        </w:tc>
        <w:tc>
          <w:tcPr>
            <w:tcW w:w="5607" w:type="dxa"/>
          </w:tcPr>
          <w:p w14:paraId="2EEE184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14:paraId="325FD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E52356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协同处置废弃物的数量</w:t>
            </w:r>
          </w:p>
        </w:tc>
        <w:tc>
          <w:tcPr>
            <w:tcW w:w="5607" w:type="dxa"/>
          </w:tcPr>
          <w:p w14:paraId="1E079BE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14:paraId="078AB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E8088D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废弃物预处理部分的耗电量</w:t>
            </w:r>
          </w:p>
        </w:tc>
        <w:tc>
          <w:tcPr>
            <w:tcW w:w="5607" w:type="dxa"/>
          </w:tcPr>
          <w:p w14:paraId="6E35728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核查组应确认受核查方废弃物预处理部分的耗电量的数据来源是否与监测计划一致，并通过生产月报表、电表数据记录、不同部分的耗电量记录、能源消耗台账等相关记录交叉核对。</w:t>
            </w:r>
          </w:p>
        </w:tc>
      </w:tr>
    </w:tbl>
    <w:p w14:paraId="7B88D665">
      <w:pPr>
        <w:spacing w:after="0" w:line="560" w:lineRule="exact"/>
        <w:jc w:val="center"/>
        <w:rPr>
          <w:rFonts w:ascii="仿宋_GB2312" w:hAnsi="仿宋" w:eastAsia="仿宋_GB2312"/>
          <w:b/>
          <w:sz w:val="32"/>
          <w:szCs w:val="32"/>
          <w:lang w:val="en-US"/>
        </w:rPr>
      </w:pPr>
    </w:p>
    <w:p w14:paraId="2258344B">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石油化工企业补充</w:t>
      </w:r>
      <w:r>
        <w:rPr>
          <w:rFonts w:ascii="仿宋_GB2312" w:hAnsi="仿宋" w:eastAsia="仿宋_GB2312"/>
          <w:b/>
          <w:sz w:val="32"/>
          <w:szCs w:val="32"/>
          <w:lang w:val="en-US"/>
        </w:rPr>
        <w:t>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17B6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689" w:type="dxa"/>
          </w:tcPr>
          <w:p w14:paraId="13966AB1">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75FEDAD6">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1BD8E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2689" w:type="dxa"/>
            <w:vAlign w:val="center"/>
          </w:tcPr>
          <w:p w14:paraId="461B408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产品类别</w:t>
            </w:r>
          </w:p>
        </w:tc>
        <w:tc>
          <w:tcPr>
            <w:tcW w:w="5607" w:type="dxa"/>
          </w:tcPr>
          <w:p w14:paraId="75889A9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核查组应确定受核查方的主营产品类别，除原油及原料油加工、乙烯应单独报告外，企业生产的其他化工产品类别也应识别并报告。</w:t>
            </w:r>
          </w:p>
          <w:p w14:paraId="6CC1D896">
            <w:pPr>
              <w:spacing w:after="0" w:line="300" w:lineRule="auto"/>
              <w:ind w:firstLine="480" w:firstLineChars="200"/>
              <w:jc w:val="both"/>
              <w:rPr>
                <w:rFonts w:ascii="仿宋_GB2312" w:eastAsia="仿宋_GB2312"/>
              </w:rPr>
            </w:pPr>
            <w:r>
              <w:rPr>
                <w:rFonts w:hint="eastAsia" w:ascii="仿宋_GB2312" w:hAnsi="楷体" w:eastAsia="仿宋_GB2312"/>
                <w:sz w:val="24"/>
                <w:szCs w:val="24"/>
              </w:rPr>
              <w:t>受核查方以生产车间和/或工序为单位确定主营产品类别。</w:t>
            </w:r>
          </w:p>
        </w:tc>
      </w:tr>
      <w:tr w14:paraId="748F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19694C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5607" w:type="dxa"/>
          </w:tcPr>
          <w:p w14:paraId="305FC46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核查组应确认受核查方产品产量的数据来自企业产量报表外，还应与上报统计局的产量产值相关数据核对。</w:t>
            </w:r>
          </w:p>
        </w:tc>
      </w:tr>
      <w:tr w14:paraId="4829A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166E74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每类产品生产的直接排放-化石燃料燃烧排放量</w:t>
            </w:r>
          </w:p>
        </w:tc>
        <w:tc>
          <w:tcPr>
            <w:tcW w:w="5607" w:type="dxa"/>
          </w:tcPr>
          <w:p w14:paraId="07472D6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核查组应确认受核查方对每类产品生产过程化石燃料消耗量的数据来源是否与监测计划一致，并通过能源平衡表、生产月报表等相关记录交叉核对。</w:t>
            </w:r>
          </w:p>
          <w:p w14:paraId="369FD15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0ECDE46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如受核查方使用化石燃料排放因子的缺省值，核查组应确认缺省值的数据、单位正确，如使用实测值，排放因子的核查应参考核查报告编写指南第3.3.2.2部分的要求。</w:t>
            </w:r>
          </w:p>
          <w:p w14:paraId="3432E53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当两类或两类以上的主营产品车间/工序的化石燃料消耗量数据不能分开核算时，可以合并填写，核查组应在核查报告中说明。</w:t>
            </w:r>
          </w:p>
        </w:tc>
      </w:tr>
      <w:tr w14:paraId="48CDF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41904AE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每类产品生产的直接排放-过程排放量</w:t>
            </w:r>
          </w:p>
        </w:tc>
        <w:tc>
          <w:tcPr>
            <w:tcW w:w="5607" w:type="dxa"/>
          </w:tcPr>
          <w:p w14:paraId="57E717D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分别识别每类产品生产是否存在过程排放，例如原油加工核算催化剂烧焦、制氢过程产生的二氧化碳排放量，乙烯生产核算乙烯裂解过程产生的二氧化碳排放量，其他化工产品生产仅核算环氧乙烷、醋酸乙烯生产过程产生的二氧化碳排放量。</w:t>
            </w:r>
          </w:p>
          <w:p w14:paraId="7CEFAAF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核查组确认每类产品过程排放核算方法是否与</w:t>
            </w:r>
            <w:r>
              <w:rPr>
                <w:rFonts w:ascii="仿宋_GB2312" w:hAnsi="楷体" w:eastAsia="仿宋_GB2312"/>
                <w:sz w:val="24"/>
                <w:szCs w:val="24"/>
              </w:rPr>
              <w:t>地方标准或适用的核算和报告指南</w:t>
            </w:r>
            <w:r>
              <w:rPr>
                <w:rFonts w:hint="eastAsia" w:ascii="仿宋_GB2312" w:hAnsi="楷体" w:eastAsia="仿宋_GB2312"/>
                <w:sz w:val="24"/>
                <w:szCs w:val="24"/>
              </w:rPr>
              <w:t>一致，各项参数数据来源是否与监测计划一致。对于直接监测计量的数据，将报告的数据与抄表记录等数据交叉核对；对于实验室监测汇总的数据，应确认监测方法符合相关标准，数据汇总方式合理，计算中用到的各参数，均应确保其来源可信。</w:t>
            </w:r>
          </w:p>
        </w:tc>
      </w:tr>
      <w:tr w14:paraId="3802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1FFB0F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每类产品生产的间接排放量</w:t>
            </w:r>
          </w:p>
        </w:tc>
        <w:tc>
          <w:tcPr>
            <w:tcW w:w="5607" w:type="dxa"/>
          </w:tcPr>
          <w:p w14:paraId="62CE074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对于各产品车间/工序单独计量的电量，应确认监测设备的校准、数据记录等活动是否符合监测计划的要求，并核对抄表记录、各车间能源消耗台账。</w:t>
            </w:r>
          </w:p>
          <w:p w14:paraId="34D14F7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如各成品车间/工序消耗对应的外购电力数据是通过拆分全厂总外购电量计算得出，核查组应确认拆分的方式是否合理，并保持各年度数据的可比性。</w:t>
            </w:r>
          </w:p>
          <w:p w14:paraId="4B524B4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对于存在自发电的情况，核查组应根据企业实际情况确认其外购电与自发电分配的合理性，并保持各年度数据处理的一致性和可比性。</w:t>
            </w:r>
          </w:p>
          <w:p w14:paraId="3B75F49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当两类或两类以上的主营产品车间/工序生产消耗的外购电量数据不能分开核算时，可以合并填写，核查组应在核查报告中做原因说明。</w:t>
            </w:r>
          </w:p>
        </w:tc>
      </w:tr>
    </w:tbl>
    <w:p w14:paraId="2064C20F">
      <w:pPr>
        <w:spacing w:after="0" w:line="560" w:lineRule="exact"/>
        <w:ind w:firstLine="640" w:firstLineChars="200"/>
        <w:jc w:val="center"/>
        <w:rPr>
          <w:rFonts w:ascii="仿宋_GB2312" w:hAnsi="仿宋" w:eastAsia="仿宋_GB2312"/>
          <w:sz w:val="32"/>
          <w:szCs w:val="32"/>
        </w:rPr>
      </w:pPr>
    </w:p>
    <w:p w14:paraId="2461E434">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物业管理类企业补充</w:t>
      </w:r>
      <w:r>
        <w:rPr>
          <w:rFonts w:ascii="仿宋_GB2312" w:hAnsi="仿宋" w:eastAsia="仿宋_GB2312"/>
          <w:b/>
          <w:sz w:val="32"/>
          <w:szCs w:val="32"/>
          <w:lang w:val="en-US"/>
        </w:rPr>
        <w:t>数据表</w:t>
      </w:r>
    </w:p>
    <w:tbl>
      <w:tblPr>
        <w:tblStyle w:val="3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0"/>
        <w:gridCol w:w="5760"/>
      </w:tblGrid>
      <w:tr w14:paraId="032E7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tcPr>
          <w:p w14:paraId="24A8A18E">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3380" w:type="pct"/>
          </w:tcPr>
          <w:p w14:paraId="0DB54654">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68A1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14:paraId="5A5AB46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建筑面积</w:t>
            </w:r>
            <w:r>
              <w:rPr>
                <w:rFonts w:ascii="仿宋_GB2312" w:hAnsi="楷体" w:eastAsia="仿宋_GB2312"/>
                <w:sz w:val="24"/>
                <w:szCs w:val="24"/>
                <w:lang w:val="en-US"/>
              </w:rPr>
              <w:t>/实际物业管理面积</w:t>
            </w:r>
          </w:p>
        </w:tc>
        <w:tc>
          <w:tcPr>
            <w:tcW w:w="3380" w:type="pct"/>
          </w:tcPr>
          <w:p w14:paraId="1747B57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项目总平面图等资料并现场访问确定建筑面积。不同业态的建筑面积如果是估算获得，核查组需要求受核查方说明估算方法并提供相关资料依据，核查组应评估其合理性。</w:t>
            </w:r>
          </w:p>
        </w:tc>
      </w:tr>
      <w:tr w14:paraId="7076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14:paraId="06EF7CC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地下车库面积</w:t>
            </w:r>
          </w:p>
        </w:tc>
        <w:tc>
          <w:tcPr>
            <w:tcW w:w="3380" w:type="pct"/>
          </w:tcPr>
          <w:p w14:paraId="3B9193B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等资料并现场访问确定地下车库面积。不同业态的地下车库面积如果是估算获得，核查组需要求受核查方说明估算方法并提供相关资料依据，核查组应评估其合理性。</w:t>
            </w:r>
          </w:p>
        </w:tc>
      </w:tr>
      <w:tr w14:paraId="65027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14:paraId="1820A87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产值</w:t>
            </w:r>
            <w:r>
              <w:rPr>
                <w:rFonts w:ascii="仿宋_GB2312" w:hAnsi="楷体" w:eastAsia="仿宋_GB2312"/>
                <w:sz w:val="24"/>
                <w:szCs w:val="24"/>
              </w:rPr>
              <w:t>/物业收入等财务数据</w:t>
            </w:r>
          </w:p>
        </w:tc>
        <w:tc>
          <w:tcPr>
            <w:tcW w:w="3380" w:type="pct"/>
          </w:tcPr>
          <w:p w14:paraId="44E2451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核查组应通过查阅资产负债表、利润分配表等财务报表获得各财务数据。核查组应查阅月度财务报表，确认年度数据的正确性。核查组应交叉核对上报统计部门的相关数据，如有差异，需解释说明差异原因。</w:t>
            </w:r>
          </w:p>
        </w:tc>
      </w:tr>
      <w:tr w14:paraId="462B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14:paraId="4E682E2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入住率</w:t>
            </w:r>
            <w:r>
              <w:rPr>
                <w:rFonts w:ascii="仿宋_GB2312" w:hAnsi="楷体" w:eastAsia="仿宋_GB2312"/>
                <w:sz w:val="24"/>
                <w:szCs w:val="24"/>
              </w:rPr>
              <w:t>/入驻率/入园率</w:t>
            </w:r>
          </w:p>
        </w:tc>
        <w:tc>
          <w:tcPr>
            <w:tcW w:w="3380" w:type="pct"/>
          </w:tcPr>
          <w:p w14:paraId="2B77B4C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核查组应通过现场访问、查阅相关年报等方式获得该项数据。核查组应通过查阅入住登记表、租赁合同、物业费收缴明细、电费清单等方式，确认受核查方统计数据的正确性。</w:t>
            </w:r>
          </w:p>
        </w:tc>
      </w:tr>
      <w:tr w14:paraId="172CA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14:paraId="266E821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基准年内项目实际运营天数</w:t>
            </w:r>
          </w:p>
        </w:tc>
        <w:tc>
          <w:tcPr>
            <w:tcW w:w="3380" w:type="pct"/>
          </w:tcPr>
          <w:p w14:paraId="55C1A63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核查组应通过现场访问、查阅相关工作运行记录等方式获取该项数据。核查组应查阅电费清单，能源统计台账，统计局报表等方式，确认受核查方基准年内项目实际运营的天数。</w:t>
            </w:r>
          </w:p>
        </w:tc>
      </w:tr>
    </w:tbl>
    <w:p w14:paraId="114B12A9">
      <w:pPr>
        <w:spacing w:after="0" w:line="560" w:lineRule="exact"/>
        <w:ind w:firstLine="640" w:firstLineChars="200"/>
        <w:jc w:val="center"/>
        <w:rPr>
          <w:rFonts w:ascii="仿宋_GB2312" w:hAnsi="仿宋" w:eastAsia="仿宋_GB2312"/>
          <w:sz w:val="32"/>
          <w:szCs w:val="32"/>
          <w:lang w:val="en-US"/>
        </w:rPr>
      </w:pPr>
    </w:p>
    <w:p w14:paraId="1036D14C">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数据中心企业补充数据表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064C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7A704781">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5B1ED780">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20679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D61D81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数据中心行业子类</w:t>
            </w:r>
          </w:p>
        </w:tc>
        <w:tc>
          <w:tcPr>
            <w:tcW w:w="5607" w:type="dxa"/>
            <w:vAlign w:val="center"/>
          </w:tcPr>
          <w:p w14:paraId="2A7045C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w:t>
            </w:r>
          </w:p>
        </w:tc>
      </w:tr>
      <w:tr w14:paraId="4FDE6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5621FD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5607" w:type="dxa"/>
            <w:vAlign w:val="center"/>
          </w:tcPr>
          <w:p w14:paraId="3D248C1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14:paraId="5C75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4A14D0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5607" w:type="dxa"/>
            <w:vAlign w:val="center"/>
          </w:tcPr>
          <w:p w14:paraId="34F0ED8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w:t>
            </w:r>
            <w:r>
              <w:rPr>
                <w:rFonts w:ascii="仿宋_GB2312" w:hAnsi="楷体" w:eastAsia="仿宋_GB2312"/>
                <w:sz w:val="24"/>
                <w:szCs w:val="24"/>
              </w:rPr>
              <w:t>的数据来源是否与监测计划一致，如为实测计量数据，还应将报告的数据与电能表抄表记录等数据交叉核对；如为计算数据，应确认计算方法的合理性，并保持各年度数据的可比性。</w:t>
            </w:r>
          </w:p>
        </w:tc>
      </w:tr>
      <w:tr w14:paraId="72172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886673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5607" w:type="dxa"/>
            <w:vAlign w:val="center"/>
          </w:tcPr>
          <w:p w14:paraId="34BAB8E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14:paraId="51CA7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C106EE4">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5607" w:type="dxa"/>
            <w:vAlign w:val="center"/>
          </w:tcPr>
          <w:p w14:paraId="40A5A6C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14:paraId="369D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A9F920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非数据中心设施建筑面积</w:t>
            </w:r>
          </w:p>
        </w:tc>
        <w:tc>
          <w:tcPr>
            <w:tcW w:w="5607" w:type="dxa"/>
            <w:vAlign w:val="center"/>
          </w:tcPr>
          <w:p w14:paraId="207D444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确认非数据中心设施建筑面积的数据来源是否与监测计划一致，应将报告的数据与设施竣工验收等资料交叉核对。</w:t>
            </w:r>
          </w:p>
        </w:tc>
      </w:tr>
      <w:tr w14:paraId="29FEC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B74AE5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不同子类（大型数据中心、中小型数据中心、该行业中非数据中心设施）的直接排放量</w:t>
            </w:r>
          </w:p>
        </w:tc>
        <w:tc>
          <w:tcPr>
            <w:tcW w:w="5607" w:type="dxa"/>
            <w:vAlign w:val="center"/>
          </w:tcPr>
          <w:p w14:paraId="333B05D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14:paraId="380FC99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对于柴油等可单独计量的能源，还应将报告的数据与库存数据、财务数据等交叉核对。</w:t>
            </w:r>
          </w:p>
          <w:p w14:paraId="386BDE3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58093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1F6925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不同子类（大型数据中心、中小型数据中心、该行业中非数据中心设施）的间接排放量</w:t>
            </w:r>
          </w:p>
        </w:tc>
        <w:tc>
          <w:tcPr>
            <w:tcW w:w="5607" w:type="dxa"/>
            <w:vAlign w:val="center"/>
          </w:tcPr>
          <w:p w14:paraId="697BF2E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对于不同类型数据中心、非数据中心固定设施的用电量，应确认监测设备的校准、数据记录等活动是否符合监测计划的要求，并核对抄表记录、能源消耗台账。</w:t>
            </w:r>
          </w:p>
          <w:p w14:paraId="125AE30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如数据中心对应的外购电力数据是通过拆分总外购电量计算得出，核查组应确认拆分的方式是否合理，并保持各年度数据的可比性。</w:t>
            </w:r>
          </w:p>
        </w:tc>
      </w:tr>
    </w:tbl>
    <w:p w14:paraId="1C47C9EC">
      <w:pPr>
        <w:spacing w:after="0" w:line="560" w:lineRule="exact"/>
        <w:ind w:firstLine="640" w:firstLineChars="200"/>
        <w:jc w:val="center"/>
        <w:rPr>
          <w:rFonts w:ascii="仿宋_GB2312" w:hAnsi="仿宋" w:eastAsia="仿宋_GB2312"/>
          <w:sz w:val="32"/>
          <w:szCs w:val="32"/>
          <w:lang w:val="en-US"/>
        </w:rPr>
      </w:pPr>
    </w:p>
    <w:p w14:paraId="4A95167C">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通信企业补充数据表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26D0A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66E95E1E">
            <w:pPr>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57AE708E">
            <w:pPr>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6085C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2FBCDEB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w:t>
            </w:r>
          </w:p>
        </w:tc>
        <w:tc>
          <w:tcPr>
            <w:tcW w:w="5607" w:type="dxa"/>
          </w:tcPr>
          <w:p w14:paraId="7D2F10B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核查组首先应确定受核查方的业务类型（移动业务、移动语音业务、移动数据与互联网业务、移动增值及其他业务、固网业务、数据中心、非数据中心），各业务类型电信业务量的数据来源是否与监测计划一致。</w:t>
            </w:r>
          </w:p>
          <w:p w14:paraId="2A9B580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电信业务量的数据除来自企业报表外，还应与上报统计局的“邮电业主要指标”相关数据核对。</w:t>
            </w:r>
          </w:p>
        </w:tc>
      </w:tr>
      <w:tr w14:paraId="6189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30F328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5607" w:type="dxa"/>
            <w:vAlign w:val="center"/>
          </w:tcPr>
          <w:p w14:paraId="4E5A3CE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14:paraId="79E56BB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14:paraId="64415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C85BEF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5607" w:type="dxa"/>
            <w:vAlign w:val="center"/>
          </w:tcPr>
          <w:p w14:paraId="6B816BD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14:paraId="515AEF5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14:paraId="454F1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02A7765">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5607" w:type="dxa"/>
            <w:vAlign w:val="center"/>
          </w:tcPr>
          <w:p w14:paraId="37F76E6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14:paraId="53ED0A4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14:paraId="58CDA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6645B9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每种业务类型的直接排放量（移动业务、固网业务、数据中心、非数据中心）</w:t>
            </w:r>
          </w:p>
        </w:tc>
        <w:tc>
          <w:tcPr>
            <w:tcW w:w="5607" w:type="dxa"/>
          </w:tcPr>
          <w:p w14:paraId="45C8459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14:paraId="0ED8C2F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287DE7A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50F4C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527ED1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每种业务类型的间接排放量（移动业务、固网业务、数据中心、非数据中心）</w:t>
            </w:r>
          </w:p>
        </w:tc>
        <w:tc>
          <w:tcPr>
            <w:tcW w:w="5607" w:type="dxa"/>
          </w:tcPr>
          <w:p w14:paraId="46174B2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对于各业务类型单独计量的电量，应确认监测设备的校准、数据记录等活动是否符合监测计划的要求，并核对抄表记录、各车间能源消耗台账。</w:t>
            </w:r>
          </w:p>
          <w:p w14:paraId="3177DD9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如各业务类型对应的外购电力数据是通过拆分总外购电量计算得出，核查组应确认拆分的方式是否合理，并保持各年度数据的可比性。</w:t>
            </w:r>
          </w:p>
        </w:tc>
      </w:tr>
    </w:tbl>
    <w:p w14:paraId="6F613DAF">
      <w:pPr>
        <w:spacing w:after="0" w:line="560" w:lineRule="exact"/>
        <w:ind w:firstLine="640" w:firstLineChars="200"/>
        <w:jc w:val="center"/>
        <w:rPr>
          <w:rFonts w:ascii="仿宋_GB2312" w:hAnsi="仿宋" w:eastAsia="仿宋_GB2312"/>
          <w:sz w:val="32"/>
          <w:szCs w:val="32"/>
        </w:rPr>
      </w:pPr>
    </w:p>
    <w:p w14:paraId="0DF1EE6F">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电网企业补充数据表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6F46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3FFBB4FC">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00971E69">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4D16D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A3FE482">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w:t>
            </w:r>
          </w:p>
        </w:tc>
        <w:tc>
          <w:tcPr>
            <w:tcW w:w="5607" w:type="dxa"/>
          </w:tcPr>
          <w:p w14:paraId="61B663F6">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供电量数据除来自企业统计</w:t>
            </w:r>
            <w:r>
              <w:rPr>
                <w:rFonts w:hint="eastAsia" w:ascii="仿宋_GB2312" w:hAnsi="楷体" w:eastAsia="仿宋_GB2312"/>
                <w:sz w:val="24"/>
                <w:szCs w:val="24"/>
              </w:rPr>
              <w:t>报表外，还应与上报统计局的相关数据核对</w:t>
            </w:r>
          </w:p>
        </w:tc>
      </w:tr>
      <w:tr w14:paraId="5FE6F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995AF54">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p>
        </w:tc>
        <w:tc>
          <w:tcPr>
            <w:tcW w:w="5607" w:type="dxa"/>
          </w:tcPr>
          <w:p w14:paraId="39AB888F">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r>
              <w:rPr>
                <w:rFonts w:hint="eastAsia" w:ascii="仿宋_GB2312" w:hAnsi="楷体" w:eastAsia="仿宋_GB2312"/>
                <w:sz w:val="24"/>
                <w:szCs w:val="24"/>
              </w:rPr>
              <w:t>数据除来自企业</w:t>
            </w:r>
            <w:r>
              <w:rPr>
                <w:rFonts w:hint="eastAsia" w:ascii="仿宋_GB2312" w:hAnsi="楷体" w:eastAsia="仿宋_GB2312"/>
                <w:sz w:val="24"/>
                <w:szCs w:val="24"/>
                <w:lang w:val="en-US"/>
              </w:rPr>
              <w:t>统计</w:t>
            </w:r>
            <w:r>
              <w:rPr>
                <w:rFonts w:hint="eastAsia" w:ascii="仿宋_GB2312" w:hAnsi="楷体" w:eastAsia="仿宋_GB2312"/>
                <w:sz w:val="24"/>
                <w:szCs w:val="24"/>
              </w:rPr>
              <w:t>报表外，还应</w:t>
            </w:r>
            <w:r>
              <w:rPr>
                <w:rFonts w:hint="eastAsia" w:ascii="仿宋_GB2312" w:hAnsi="楷体" w:eastAsia="仿宋_GB2312"/>
                <w:sz w:val="24"/>
                <w:szCs w:val="24"/>
                <w:lang w:val="en-US"/>
              </w:rPr>
              <w:t>与根据外省输入电量数据、上网电量数据、外省输出电量数据计算出的售电量数据进行交叉核对；</w:t>
            </w:r>
            <w:r>
              <w:rPr>
                <w:rFonts w:hint="eastAsia" w:ascii="仿宋_GB2312" w:hAnsi="楷体" w:eastAsia="仿宋_GB2312"/>
                <w:sz w:val="24"/>
                <w:szCs w:val="24"/>
              </w:rPr>
              <w:t>与上报统计局相关数据核对</w:t>
            </w:r>
            <w:r>
              <w:rPr>
                <w:rFonts w:hint="eastAsia" w:ascii="仿宋_GB2312" w:hAnsi="楷体" w:eastAsia="仿宋_GB2312"/>
                <w:sz w:val="24"/>
                <w:szCs w:val="24"/>
                <w:lang w:val="en-US"/>
              </w:rPr>
              <w:t>。</w:t>
            </w:r>
          </w:p>
        </w:tc>
      </w:tr>
    </w:tbl>
    <w:p w14:paraId="49483D23">
      <w:pPr>
        <w:spacing w:after="0" w:line="560" w:lineRule="exact"/>
        <w:ind w:firstLine="643" w:firstLineChars="200"/>
        <w:jc w:val="center"/>
        <w:rPr>
          <w:rFonts w:ascii="仿宋_GB2312" w:hAnsi="仿宋" w:eastAsia="仿宋_GB2312"/>
          <w:sz w:val="32"/>
          <w:szCs w:val="32"/>
        </w:rPr>
      </w:pPr>
      <w:r>
        <w:rPr>
          <w:rFonts w:hint="eastAsia" w:ascii="仿宋_GB2312" w:hAnsi="仿宋" w:eastAsia="仿宋_GB2312"/>
          <w:b/>
          <w:sz w:val="32"/>
          <w:szCs w:val="32"/>
          <w:lang w:val="en-US"/>
        </w:rPr>
        <w:t>汽车制造企业补充数据表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4B3F0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689" w:type="dxa"/>
          </w:tcPr>
          <w:p w14:paraId="6820E425">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2B055A02">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6232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644A7B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产品种类</w:t>
            </w:r>
          </w:p>
        </w:tc>
        <w:tc>
          <w:tcPr>
            <w:tcW w:w="5607" w:type="dxa"/>
          </w:tcPr>
          <w:p w14:paraId="7B90370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核查组首先应确定受核查方的产品种类，确认受核查方对汽车的分类是否符合相关标准的要求。</w:t>
            </w:r>
          </w:p>
          <w:p w14:paraId="437B0B0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整车的产品种类分为：</w:t>
            </w:r>
          </w:p>
          <w:p w14:paraId="66B8146A">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普通轿车及普通运动型乘用车；</w:t>
            </w:r>
          </w:p>
          <w:p w14:paraId="5FFAA661">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高级轿车及高级运动型乘用车；</w:t>
            </w:r>
          </w:p>
          <w:p w14:paraId="41530BF3">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中、重型载货汽车；</w:t>
            </w:r>
          </w:p>
          <w:p w14:paraId="6568D665">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纯电动汽车</w:t>
            </w:r>
          </w:p>
          <w:p w14:paraId="32870EF1">
            <w:pPr>
              <w:spacing w:after="0" w:line="300" w:lineRule="auto"/>
              <w:ind w:left="480"/>
              <w:jc w:val="both"/>
              <w:rPr>
                <w:rFonts w:ascii="仿宋_GB2312" w:hAnsi="楷体" w:eastAsia="仿宋_GB2312"/>
                <w:sz w:val="24"/>
                <w:szCs w:val="24"/>
              </w:rPr>
            </w:pPr>
            <w:r>
              <w:rPr>
                <w:rFonts w:hint="eastAsia" w:ascii="仿宋_GB2312" w:hAnsi="楷体" w:eastAsia="仿宋_GB2312"/>
                <w:sz w:val="24"/>
                <w:szCs w:val="24"/>
              </w:rPr>
              <w:t>汽车发动机的产品种类分为：</w:t>
            </w:r>
          </w:p>
          <w:p w14:paraId="4F5295B4">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汽油发动机</w:t>
            </w:r>
          </w:p>
          <w:p w14:paraId="2AB37D78">
            <w:pPr>
              <w:pStyle w:val="50"/>
              <w:widowControl w:val="0"/>
              <w:numPr>
                <w:ilvl w:val="0"/>
                <w:numId w:val="18"/>
              </w:numPr>
              <w:spacing w:after="0" w:line="300" w:lineRule="auto"/>
              <w:contextualSpacing w:val="0"/>
              <w:jc w:val="both"/>
              <w:rPr>
                <w:rFonts w:ascii="仿宋_GB2312" w:eastAsia="仿宋_GB2312"/>
              </w:rPr>
            </w:pPr>
            <w:r>
              <w:rPr>
                <w:rFonts w:hint="eastAsia" w:ascii="仿宋_GB2312" w:hAnsi="楷体" w:eastAsia="仿宋_GB2312"/>
                <w:sz w:val="24"/>
                <w:szCs w:val="24"/>
              </w:rPr>
              <w:t>柴油发动机</w:t>
            </w:r>
          </w:p>
        </w:tc>
      </w:tr>
      <w:tr w14:paraId="308E0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F77472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5607" w:type="dxa"/>
          </w:tcPr>
          <w:p w14:paraId="1AA9722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汽车产量的数据除来自企业产量报表外，还应与上报统计局的产量产值相关数据核对</w:t>
            </w:r>
          </w:p>
        </w:tc>
      </w:tr>
      <w:tr w14:paraId="5ADBB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257218F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每类产品的直接排放量</w:t>
            </w:r>
          </w:p>
        </w:tc>
        <w:tc>
          <w:tcPr>
            <w:tcW w:w="5607" w:type="dxa"/>
          </w:tcPr>
          <w:p w14:paraId="6F64777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14:paraId="31D67DD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6DA9F84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如重点排放单位使用化石燃料排放因子的缺省值，核查组应确认缺省值的数据、单位正确，如使用实测值，排放因子的核查应参考核查报告编写指南第3.3.2.2部分的要求。</w:t>
            </w:r>
          </w:p>
          <w:p w14:paraId="332A1983">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对于混线生产的情况，可根据下式估算第i类产品的直接排放量：</w:t>
            </w:r>
          </w:p>
          <w:p w14:paraId="08BF121D">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5" o:spt="75" type="#_x0000_t75" style="height:27.75pt;width:236.25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p>
          <w:p w14:paraId="733EB6F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对于以发动机为主要产品的生产线生产发动机零配件的情况，如核查组确认无法拆分或合理估算生产发动机产生的直接排放量，则该生产线的直接排放量均计为生产发动机产生的直接排放。</w:t>
            </w:r>
          </w:p>
        </w:tc>
      </w:tr>
      <w:tr w14:paraId="7A4C3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67A0C69">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每类产品的间接排放量</w:t>
            </w:r>
          </w:p>
        </w:tc>
        <w:tc>
          <w:tcPr>
            <w:tcW w:w="5607" w:type="dxa"/>
          </w:tcPr>
          <w:p w14:paraId="05D48A7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对于各生产线单独计量的电量，应确认监测设备的校准、数据记录等活动是否符合监测计划的要求，并核对抄表记录、各车间能源消耗台账。</w:t>
            </w:r>
          </w:p>
          <w:p w14:paraId="2ED47FF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如各生产线对应的外购电力数据是通过拆分全厂总外购电量计算得出，核查组应确认拆分的方式是否合理，并保持各年度数据的可比性。</w:t>
            </w:r>
          </w:p>
          <w:p w14:paraId="12C111B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对于混线生产的情况，可根据下式估算第i类产品的间接排放量：</w:t>
            </w:r>
          </w:p>
          <w:p w14:paraId="43809776">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6" o:spt="75" type="#_x0000_t75" style="height:27.75pt;width:249.7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p>
          <w:p w14:paraId="717AA71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对于以发动机为主要产品的生产线生产发动机零配件的情况，如核查组确认无法拆分或合理估算生产发动机产生的间接排放量，则该生产线的间接排放量均计为生产发动机产生的间接排放。</w:t>
            </w:r>
          </w:p>
        </w:tc>
      </w:tr>
    </w:tbl>
    <w:p w14:paraId="4EE5DFE7">
      <w:pPr>
        <w:spacing w:after="0" w:line="560" w:lineRule="exact"/>
        <w:ind w:firstLine="640" w:firstLineChars="200"/>
        <w:jc w:val="center"/>
        <w:rPr>
          <w:rFonts w:ascii="仿宋_GB2312" w:hAnsi="仿宋" w:eastAsia="仿宋_GB2312"/>
          <w:sz w:val="32"/>
          <w:szCs w:val="32"/>
        </w:rPr>
      </w:pPr>
    </w:p>
    <w:p w14:paraId="02D7766A">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生物药品制品制造企业补充数据表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7077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1A901BB4">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59453A26">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79D9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465D476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生物化学药品制造（血液制品等）产量</w:t>
            </w:r>
          </w:p>
        </w:tc>
        <w:tc>
          <w:tcPr>
            <w:tcW w:w="5607" w:type="dxa"/>
          </w:tcPr>
          <w:p w14:paraId="52445A2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14:paraId="02996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52CF2BE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生物化学药品制造（血液制品等）产值</w:t>
            </w:r>
          </w:p>
        </w:tc>
        <w:tc>
          <w:tcPr>
            <w:tcW w:w="5607" w:type="dxa"/>
          </w:tcPr>
          <w:p w14:paraId="3C67FBE0">
            <w:pPr>
              <w:spacing w:after="0" w:line="300" w:lineRule="auto"/>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14:paraId="20A57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4F790F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生物化学药品制造（血液制品等）的直接排放量</w:t>
            </w:r>
          </w:p>
        </w:tc>
        <w:tc>
          <w:tcPr>
            <w:tcW w:w="5607" w:type="dxa"/>
          </w:tcPr>
          <w:p w14:paraId="34A810D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14:paraId="007E641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52EFC4B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72010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94CEC5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生物化学药品制造（血液制品等）的间接排放量</w:t>
            </w:r>
          </w:p>
        </w:tc>
        <w:tc>
          <w:tcPr>
            <w:tcW w:w="5607" w:type="dxa"/>
          </w:tcPr>
          <w:p w14:paraId="5547099E">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14:paraId="0073540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14:paraId="05FA6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B6F0D8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基因工程药物和疫苗制造产量</w:t>
            </w:r>
          </w:p>
        </w:tc>
        <w:tc>
          <w:tcPr>
            <w:tcW w:w="5607" w:type="dxa"/>
          </w:tcPr>
          <w:p w14:paraId="6603C76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14:paraId="35E7A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217D79D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基因工程药物和疫苗制造产值</w:t>
            </w:r>
          </w:p>
        </w:tc>
        <w:tc>
          <w:tcPr>
            <w:tcW w:w="5607" w:type="dxa"/>
          </w:tcPr>
          <w:p w14:paraId="627937A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14:paraId="450BC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90213D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基因工程药物和疫苗制造的直接排放量</w:t>
            </w:r>
          </w:p>
        </w:tc>
        <w:tc>
          <w:tcPr>
            <w:tcW w:w="5607" w:type="dxa"/>
          </w:tcPr>
          <w:p w14:paraId="17522AC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14:paraId="72B2954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14:paraId="26EE01C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14:paraId="0C3C0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3D81C8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基因工程药物和疫苗制造的间接排放量</w:t>
            </w:r>
          </w:p>
        </w:tc>
        <w:tc>
          <w:tcPr>
            <w:tcW w:w="5607" w:type="dxa"/>
          </w:tcPr>
          <w:p w14:paraId="4B2C4637">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14:paraId="4B5CA11B">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14:paraId="5DB3B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553384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办公及其他设施的直接排放量</w:t>
            </w:r>
          </w:p>
        </w:tc>
        <w:tc>
          <w:tcPr>
            <w:tcW w:w="5607" w:type="dxa"/>
          </w:tcPr>
          <w:p w14:paraId="35D1CEA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对于办公及其他设施的不同种类的化石燃料消耗量，应确认数据来源是否与监测计划一致，并核对抄表记录、各车间能源消耗台账。</w:t>
            </w:r>
          </w:p>
        </w:tc>
      </w:tr>
      <w:tr w14:paraId="28ABD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F6C682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办公及其他设施的间接排放量</w:t>
            </w:r>
          </w:p>
        </w:tc>
        <w:tc>
          <w:tcPr>
            <w:tcW w:w="5607" w:type="dxa"/>
          </w:tcPr>
          <w:p w14:paraId="6B91CB7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核查组应确认受核查方办公及其他设施的耗电量的数据来源是否与监测计划一致，并通过生产月报表、电表数据记录、设施的耗电量记录、能源消耗台账等相关记录交叉核对。</w:t>
            </w:r>
          </w:p>
        </w:tc>
      </w:tr>
    </w:tbl>
    <w:p w14:paraId="68B2B025">
      <w:pPr>
        <w:spacing w:after="0" w:line="560" w:lineRule="exact"/>
        <w:ind w:firstLine="640" w:firstLineChars="200"/>
        <w:jc w:val="center"/>
        <w:rPr>
          <w:rFonts w:ascii="仿宋_GB2312" w:hAnsi="仿宋" w:eastAsia="仿宋_GB2312"/>
          <w:sz w:val="32"/>
          <w:szCs w:val="32"/>
        </w:rPr>
      </w:pPr>
    </w:p>
    <w:p w14:paraId="1557B62D">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污水处理和再生水供应业企业补充数据表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604DE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39F7B9DA">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06A852A9">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64981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20846D4">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污水处理的数量</w:t>
            </w:r>
          </w:p>
        </w:tc>
        <w:tc>
          <w:tcPr>
            <w:tcW w:w="5607" w:type="dxa"/>
          </w:tcPr>
          <w:p w14:paraId="6CD7F36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核查组应确定受核查方的污水处理数量。污水处理数量除来自企业产量报表外，还应与上报统计局的产量产值相关数据核对。</w:t>
            </w:r>
          </w:p>
        </w:tc>
      </w:tr>
      <w:tr w14:paraId="1486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7AEDC0A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再生水的数量</w:t>
            </w:r>
          </w:p>
        </w:tc>
        <w:tc>
          <w:tcPr>
            <w:tcW w:w="5607" w:type="dxa"/>
          </w:tcPr>
          <w:p w14:paraId="5BFB835C">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核查组应确定受核查方的再生水数量。再生水数量的数据除来自企业产量报表外，还应与上报统计局的产量产值相关数据核对。</w:t>
            </w:r>
          </w:p>
        </w:tc>
      </w:tr>
      <w:tr w14:paraId="3DCD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5AAB6905">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污水处理和再生水设施的间接排放量</w:t>
            </w:r>
          </w:p>
        </w:tc>
        <w:tc>
          <w:tcPr>
            <w:tcW w:w="5607" w:type="dxa"/>
          </w:tcPr>
          <w:p w14:paraId="5B64572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水处理和再生水设施的耗电量的数据来源是否与监测计划一致，并通过生产月报表、电表数据记录、车间的耗电量记录、能源消耗台账等相关记录交叉核对。企业的污水处理和再生水设施的间接排放量包括企业办公及其他设施的排放量。</w:t>
            </w:r>
          </w:p>
        </w:tc>
      </w:tr>
      <w:tr w14:paraId="16C89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086669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污水处理和再生水设施的直接排放量</w:t>
            </w:r>
          </w:p>
        </w:tc>
        <w:tc>
          <w:tcPr>
            <w:tcW w:w="5607" w:type="dxa"/>
          </w:tcPr>
          <w:p w14:paraId="02C344FF">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水处理和再生水设施的不同种类的化石燃料消耗量，应确认数据来源是否与监测计划一致，并核对抄表记录、各车间能源消耗台账。企业的污水处理和再生水设施的直接排放量包括企业办公及其他设施的排放量。</w:t>
            </w:r>
          </w:p>
        </w:tc>
      </w:tr>
      <w:tr w14:paraId="2E27E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425D935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污水处理和再生水设施采用的生产工艺</w:t>
            </w:r>
          </w:p>
        </w:tc>
        <w:tc>
          <w:tcPr>
            <w:tcW w:w="5607" w:type="dxa"/>
          </w:tcPr>
          <w:p w14:paraId="5F6C8A4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说明污水处理和再生水设施采用的生产工艺。</w:t>
            </w:r>
          </w:p>
        </w:tc>
      </w:tr>
      <w:tr w14:paraId="2CF5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00C550B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污泥深度处理的数量</w:t>
            </w:r>
          </w:p>
        </w:tc>
        <w:tc>
          <w:tcPr>
            <w:tcW w:w="5607" w:type="dxa"/>
          </w:tcPr>
          <w:p w14:paraId="1BA9D70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核查组应确定受核查方的污泥处理数量。污泥处理数量的数据除来自企业生产记录外，还应与企业报表的相关数据核对。</w:t>
            </w:r>
          </w:p>
        </w:tc>
      </w:tr>
      <w:tr w14:paraId="410C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12F07352">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污泥深度处理设施的间接排放量</w:t>
            </w:r>
          </w:p>
        </w:tc>
        <w:tc>
          <w:tcPr>
            <w:tcW w:w="5607" w:type="dxa"/>
          </w:tcPr>
          <w:p w14:paraId="33D0D77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核查组应确认受核查方污泥处理设施的耗电量的数据来源是否与监测计划一致，并通过生产月报表、电表数据记录、车间的耗电量记录、能源消耗台账等相关记录交叉核对。</w:t>
            </w:r>
          </w:p>
        </w:tc>
      </w:tr>
      <w:tr w14:paraId="2C34D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15C5AD1">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污泥深度处理设施的直接排放量</w:t>
            </w:r>
          </w:p>
        </w:tc>
        <w:tc>
          <w:tcPr>
            <w:tcW w:w="5607" w:type="dxa"/>
          </w:tcPr>
          <w:p w14:paraId="4C47A4AA">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对于污泥处理设施的不同种类的化石燃料消耗量，应确认数据来源是否与监测计划一致，并核对抄表记录、各车间能源消耗台账。</w:t>
            </w:r>
          </w:p>
        </w:tc>
      </w:tr>
      <w:tr w14:paraId="249DC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48F19850">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污泥深度处理设施采用的工艺</w:t>
            </w:r>
          </w:p>
        </w:tc>
        <w:tc>
          <w:tcPr>
            <w:tcW w:w="5607" w:type="dxa"/>
          </w:tcPr>
          <w:p w14:paraId="2F361D4D">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说明污泥处理设施采用的生产工艺</w:t>
            </w:r>
          </w:p>
        </w:tc>
      </w:tr>
    </w:tbl>
    <w:p w14:paraId="411076D0">
      <w:pPr>
        <w:pStyle w:val="147"/>
        <w:snapToGrid w:val="0"/>
        <w:spacing w:line="320" w:lineRule="exact"/>
        <w:ind w:firstLine="420" w:firstLineChars="200"/>
        <w:rPr>
          <w:rFonts w:ascii="仿宋" w:hAnsi="仿宋" w:eastAsia="仿宋" w:cs="Times New Roman"/>
          <w:color w:val="auto"/>
          <w:sz w:val="21"/>
          <w:szCs w:val="21"/>
        </w:rPr>
      </w:pPr>
      <w:r>
        <w:rPr>
          <w:rFonts w:hint="eastAsia" w:ascii="仿宋" w:hAnsi="仿宋" w:eastAsia="仿宋" w:cs="Times New Roman"/>
          <w:color w:val="auto"/>
          <w:sz w:val="21"/>
          <w:szCs w:val="21"/>
        </w:rPr>
        <w:t>注：</w:t>
      </w:r>
      <w:r>
        <w:rPr>
          <w:rFonts w:ascii="仿宋" w:hAnsi="仿宋" w:eastAsia="仿宋" w:cs="Times New Roman"/>
          <w:color w:val="auto"/>
          <w:sz w:val="21"/>
          <w:szCs w:val="21"/>
        </w:rPr>
        <w:t>污泥</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处理设施</w:t>
      </w:r>
      <w:r>
        <w:rPr>
          <w:rFonts w:hint="eastAsia" w:ascii="仿宋" w:hAnsi="仿宋" w:eastAsia="仿宋" w:cs="Times New Roman"/>
          <w:color w:val="auto"/>
          <w:sz w:val="21"/>
          <w:szCs w:val="21"/>
        </w:rPr>
        <w:t>排放</w:t>
      </w:r>
      <w:r>
        <w:rPr>
          <w:rFonts w:ascii="仿宋" w:hAnsi="仿宋" w:eastAsia="仿宋" w:cs="Times New Roman"/>
          <w:color w:val="auto"/>
          <w:sz w:val="21"/>
          <w:szCs w:val="21"/>
        </w:rPr>
        <w:t>边界</w:t>
      </w:r>
      <w:r>
        <w:rPr>
          <w:rFonts w:hint="eastAsia" w:ascii="仿宋" w:hAnsi="仿宋" w:eastAsia="仿宋" w:cs="Times New Roman"/>
          <w:color w:val="auto"/>
          <w:sz w:val="21"/>
          <w:szCs w:val="21"/>
        </w:rPr>
        <w:t>确定：</w:t>
      </w:r>
      <w:r>
        <w:rPr>
          <w:rFonts w:ascii="仿宋" w:hAnsi="仿宋" w:eastAsia="仿宋" w:cs="Times New Roman"/>
          <w:color w:val="auto"/>
          <w:sz w:val="21"/>
          <w:szCs w:val="21"/>
        </w:rPr>
        <w:t>污泥脱水部分</w:t>
      </w:r>
      <w:r>
        <w:rPr>
          <w:rFonts w:hint="eastAsia" w:ascii="仿宋" w:hAnsi="仿宋" w:eastAsia="仿宋" w:cs="Times New Roman"/>
          <w:color w:val="auto"/>
          <w:sz w:val="21"/>
          <w:szCs w:val="21"/>
        </w:rPr>
        <w:t>的排放量，包含在污水处理及再生水设施的排放中；</w:t>
      </w:r>
      <w:r>
        <w:rPr>
          <w:rFonts w:ascii="仿宋" w:hAnsi="仿宋" w:eastAsia="仿宋" w:cs="Times New Roman"/>
          <w:color w:val="auto"/>
          <w:sz w:val="21"/>
          <w:szCs w:val="21"/>
        </w:rPr>
        <w:t>脱水后的泥饼进行深度处理</w:t>
      </w:r>
      <w:r>
        <w:rPr>
          <w:rFonts w:hint="eastAsia" w:ascii="仿宋" w:hAnsi="仿宋" w:eastAsia="仿宋" w:cs="Times New Roman"/>
          <w:color w:val="auto"/>
          <w:sz w:val="21"/>
          <w:szCs w:val="21"/>
        </w:rPr>
        <w:t>产生的排放量</w:t>
      </w:r>
      <w:r>
        <w:rPr>
          <w:rFonts w:ascii="仿宋" w:hAnsi="仿宋" w:eastAsia="仿宋" w:cs="Times New Roman"/>
          <w:color w:val="auto"/>
          <w:sz w:val="21"/>
          <w:szCs w:val="21"/>
        </w:rPr>
        <w:t>作为污泥处理</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设施</w:t>
      </w:r>
      <w:r>
        <w:rPr>
          <w:rFonts w:hint="eastAsia" w:ascii="仿宋" w:hAnsi="仿宋" w:eastAsia="仿宋" w:cs="Times New Roman"/>
          <w:color w:val="auto"/>
          <w:sz w:val="21"/>
          <w:szCs w:val="21"/>
        </w:rPr>
        <w:t>的</w:t>
      </w:r>
      <w:r>
        <w:rPr>
          <w:rFonts w:ascii="仿宋" w:hAnsi="仿宋" w:eastAsia="仿宋" w:cs="Times New Roman"/>
          <w:color w:val="auto"/>
          <w:sz w:val="21"/>
          <w:szCs w:val="21"/>
        </w:rPr>
        <w:t>排放量</w:t>
      </w:r>
      <w:r>
        <w:rPr>
          <w:rFonts w:hint="eastAsia" w:ascii="仿宋" w:hAnsi="仿宋" w:eastAsia="仿宋" w:cs="Times New Roman"/>
          <w:color w:val="auto"/>
          <w:sz w:val="21"/>
          <w:szCs w:val="21"/>
        </w:rPr>
        <w:t>。</w:t>
      </w:r>
    </w:p>
    <w:p w14:paraId="3594C22C">
      <w:pPr>
        <w:spacing w:after="0" w:line="560" w:lineRule="exact"/>
        <w:jc w:val="center"/>
        <w:rPr>
          <w:rFonts w:ascii="仿宋_GB2312" w:hAnsi="仿宋" w:eastAsia="仿宋_GB2312"/>
          <w:b/>
          <w:sz w:val="32"/>
          <w:szCs w:val="32"/>
          <w:lang w:val="en-US"/>
        </w:rPr>
      </w:pPr>
    </w:p>
    <w:p w14:paraId="165EA25C">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自来水供应业企业补充数据表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14:paraId="6D63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4B1E2BE2">
            <w:pPr>
              <w:spacing w:after="0" w:line="300" w:lineRule="auto"/>
              <w:ind w:firstLine="35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14:paraId="57F13E96">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14:paraId="09496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607DCFFE">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自来水产量</w:t>
            </w:r>
          </w:p>
        </w:tc>
        <w:tc>
          <w:tcPr>
            <w:tcW w:w="5607" w:type="dxa"/>
          </w:tcPr>
          <w:p w14:paraId="3855FA6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核查组应确定受核查方的自来水产量。自来水产量的数据除来自企业产量报表外，还应与上报统计局的产量产值相关数据核对。</w:t>
            </w:r>
          </w:p>
        </w:tc>
      </w:tr>
      <w:tr w14:paraId="28841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3FE58423">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输入的地下水、地表水的数量</w:t>
            </w:r>
          </w:p>
        </w:tc>
        <w:tc>
          <w:tcPr>
            <w:tcW w:w="5607" w:type="dxa"/>
          </w:tcPr>
          <w:p w14:paraId="268B8D26">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核查组应确认受核查方输入的地下水、地表水的数量的数据来源是否与监测计划一致，并通过生产月报表、水源地分公司输出水的水表数据记录、输入地下水/地表水的水泵耗电量等相关记录交叉核对。</w:t>
            </w:r>
          </w:p>
        </w:tc>
      </w:tr>
      <w:tr w14:paraId="0FA62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14:paraId="2F98F627">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输入地下水/地表水的水泵耗电量</w:t>
            </w:r>
          </w:p>
        </w:tc>
        <w:tc>
          <w:tcPr>
            <w:tcW w:w="5607" w:type="dxa"/>
          </w:tcPr>
          <w:p w14:paraId="11645818">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对于各分水厂用于不同来源水量抽取的水泵单独计量的电量，应确认监测设备的校准、数据记录等活动是否符合监测计划的要求，并核对抄表记录、各车间能源消耗台账。</w:t>
            </w:r>
          </w:p>
        </w:tc>
      </w:tr>
    </w:tbl>
    <w:p w14:paraId="6CC61F3F">
      <w:pPr>
        <w:spacing w:after="0" w:line="560" w:lineRule="exact"/>
        <w:jc w:val="center"/>
        <w:rPr>
          <w:rFonts w:ascii="仿宋_GB2312" w:hAnsi="仿宋" w:eastAsia="仿宋_GB2312"/>
          <w:b/>
          <w:sz w:val="32"/>
          <w:szCs w:val="32"/>
        </w:rPr>
      </w:pPr>
    </w:p>
    <w:p w14:paraId="184CF235">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3.3.2.4实时监测数据的符合性</w:t>
      </w:r>
    </w:p>
    <w:p w14:paraId="2301F590">
      <w:pPr>
        <w:spacing w:after="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如重点碳排放单位装有实时监测系统，核查机构应报告实时测量设备是否经过校准，是否通过与物料平衡或排放因子计算结果的对比佐证测量结果的不确定性。</w:t>
      </w:r>
    </w:p>
    <w:p w14:paraId="1F304F87">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核查机构应对上述每一个数据的核查发现进行报告，并简要描述不符合(如有),详细描述及纠正措施链接核查报告附件1。</w:t>
      </w:r>
    </w:p>
    <w:p w14:paraId="45C2C92E">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B)核查方法</w:t>
      </w:r>
    </w:p>
    <w:p w14:paraId="7917825E">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核查机构应关注适用的地方标准或核算和报告指南中对于重点碳排放单位排放对数据要求的区别。核查可采用如下方法：</w:t>
      </w:r>
    </w:p>
    <w:p w14:paraId="04C5F4DE">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查阅燃料购买合同；</w:t>
      </w:r>
    </w:p>
    <w:p w14:paraId="00E168CA">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查阅能源台帐、重点设备的能源消耗记录；</w:t>
      </w:r>
    </w:p>
    <w:p w14:paraId="7B1E8538">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查阅年度能源审计报告、能流图、能源消费量表、能源加工转换报表；</w:t>
      </w:r>
    </w:p>
    <w:p w14:paraId="792E4653">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查阅月度生产报表、企业台帐如水泥、催化剂烧焦、制氢、环氧乙烷、醋酸乙烷等的生产记录；</w:t>
      </w:r>
    </w:p>
    <w:p w14:paraId="4835EB7B">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查阅主要产品能源消耗指标、经济指标核算基础数据表、能耗经济指标一览表；</w:t>
      </w:r>
    </w:p>
    <w:p w14:paraId="5F91C2B0">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查阅IPCC及省级温室气体清单；</w:t>
      </w:r>
    </w:p>
    <w:p w14:paraId="213993EA">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查阅与电网公司的结算单或购售电发票（包括固定设施及移动设施）；</w:t>
      </w:r>
    </w:p>
    <w:p w14:paraId="483316ED">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查阅供应商发票；</w:t>
      </w:r>
    </w:p>
    <w:p w14:paraId="5A22C122">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查阅年度环境监测报告；</w:t>
      </w:r>
    </w:p>
    <w:p w14:paraId="4BBE3494">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查阅供热协议及发票；</w:t>
      </w:r>
    </w:p>
    <w:p w14:paraId="44DAC609">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查阅废弃物处理协议；</w:t>
      </w:r>
    </w:p>
    <w:p w14:paraId="630F11DB">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查阅氧化率、热值以及产品或燃料化学分析报告;</w:t>
      </w:r>
    </w:p>
    <w:p w14:paraId="34E2ABB7">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访问温室气体管理人员、燃料采购人员等;</w:t>
      </w:r>
    </w:p>
    <w:p w14:paraId="31D80ACD">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查阅移动源加油记录、燃料购买记录及尾气净化剂添加记录；</w:t>
      </w:r>
    </w:p>
    <w:p w14:paraId="1ABBCAFE">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道路运输企业查阅固定设施及移动设施电力消耗记录及统计台账（报表）；</w:t>
      </w:r>
    </w:p>
    <w:p w14:paraId="6133FF68">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观察实施监测的运行以及测量设备的校准、检定；</w:t>
      </w:r>
    </w:p>
    <w:p w14:paraId="788934BF">
      <w:pPr>
        <w:widowControl w:val="0"/>
        <w:numPr>
          <w:ilvl w:val="0"/>
          <w:numId w:val="13"/>
        </w:numPr>
        <w:spacing w:after="0" w:line="560" w:lineRule="exact"/>
        <w:jc w:val="both"/>
        <w:rPr>
          <w:rFonts w:ascii="仿宋_GB2312" w:hAnsi="仿宋" w:eastAsia="仿宋_GB2312"/>
          <w:sz w:val="32"/>
          <w:szCs w:val="32"/>
        </w:rPr>
      </w:pPr>
      <w:r>
        <w:rPr>
          <w:rFonts w:ascii="仿宋_GB2312" w:hAnsi="仿宋" w:eastAsia="仿宋_GB2312"/>
          <w:sz w:val="32"/>
          <w:szCs w:val="32"/>
        </w:rPr>
        <w:t>查看或确认核查过程中涉及的其它可用的证据</w:t>
      </w:r>
      <w:r>
        <w:rPr>
          <w:rFonts w:hint="eastAsia" w:ascii="仿宋_GB2312" w:hAnsi="仿宋" w:eastAsia="仿宋_GB2312"/>
          <w:sz w:val="32"/>
          <w:szCs w:val="32"/>
        </w:rPr>
        <w:t>。</w:t>
      </w:r>
    </w:p>
    <w:p w14:paraId="49B9B434">
      <w:pPr>
        <w:spacing w:after="0" w:line="560" w:lineRule="exact"/>
        <w:ind w:firstLine="880" w:firstLineChars="274"/>
        <w:rPr>
          <w:rFonts w:ascii="仿宋_GB2312" w:hAnsi="仿宋" w:eastAsia="仿宋_GB2312"/>
          <w:b/>
          <w:sz w:val="32"/>
          <w:szCs w:val="32"/>
        </w:rPr>
      </w:pPr>
      <w:r>
        <w:rPr>
          <w:rFonts w:hint="eastAsia" w:ascii="仿宋_GB2312" w:hAnsi="仿宋" w:eastAsia="仿宋_GB2312"/>
          <w:b/>
          <w:sz w:val="32"/>
          <w:szCs w:val="32"/>
        </w:rPr>
        <w:t>3.4 测量设备校准的符合性</w:t>
      </w:r>
    </w:p>
    <w:p w14:paraId="04687C72">
      <w:pPr>
        <w:spacing w:after="0" w:line="560" w:lineRule="exact"/>
        <w:ind w:firstLine="880" w:firstLineChars="274"/>
        <w:outlineLvl w:val="0"/>
        <w:rPr>
          <w:rFonts w:ascii="仿宋_GB2312" w:hAnsi="仿宋" w:eastAsia="仿宋_GB2312"/>
          <w:b/>
          <w:sz w:val="32"/>
          <w:szCs w:val="32"/>
        </w:rPr>
      </w:pPr>
      <w:r>
        <w:rPr>
          <w:rFonts w:hint="eastAsia" w:ascii="仿宋_GB2312" w:hAnsi="仿宋" w:eastAsia="仿宋_GB2312"/>
          <w:b/>
          <w:sz w:val="32"/>
          <w:szCs w:val="32"/>
        </w:rPr>
        <w:t>A)报告内容</w:t>
      </w:r>
    </w:p>
    <w:p w14:paraId="148F0587">
      <w:pPr>
        <w:spacing w:after="0" w:line="560" w:lineRule="exact"/>
        <w:ind w:firstLine="640" w:firstLineChars="200"/>
        <w:jc w:val="both"/>
        <w:rPr>
          <w:rFonts w:ascii="仿宋_GB2312" w:hAnsi="仿宋" w:eastAsia="仿宋_GB2312"/>
          <w:b/>
          <w:sz w:val="32"/>
          <w:szCs w:val="32"/>
        </w:rPr>
      </w:pPr>
      <w:r>
        <w:rPr>
          <w:rFonts w:hint="eastAsia" w:ascii="仿宋_GB2312" w:hAnsi="仿宋" w:eastAsia="仿宋_GB2312"/>
          <w:sz w:val="32"/>
          <w:szCs w:val="32"/>
        </w:rPr>
        <w:t>核查机构应对排放报告中每一个测量设备进行核查核查的内容包括:序号、规定的和实际的校准频次、校准的标准。核查机构应对每一个测量设备的符合性进行报告。如测量设备较多(每同类设备多于10个、单个计量设备计量数据的排放量小于总排放的5%)或测量设备不受重点排放单位控制，可调整报告格式，仅报告监测设备数量，但核查机构应确保此项简化不影响核查工作的数据质量。报告格式如下：</w:t>
      </w:r>
    </w:p>
    <w:tbl>
      <w:tblPr>
        <w:tblStyle w:val="3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59"/>
        <w:gridCol w:w="1276"/>
        <w:gridCol w:w="1559"/>
        <w:gridCol w:w="1560"/>
      </w:tblGrid>
      <w:tr w14:paraId="2D71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14:paraId="6F48A72B">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测量设备1</w:t>
            </w:r>
          </w:p>
        </w:tc>
        <w:tc>
          <w:tcPr>
            <w:tcW w:w="5954" w:type="dxa"/>
            <w:gridSpan w:val="4"/>
            <w:shd w:val="clear" w:color="auto" w:fill="D9D9D9"/>
          </w:tcPr>
          <w:p w14:paraId="5019BD24">
            <w:pPr>
              <w:pStyle w:val="15"/>
              <w:spacing w:line="560" w:lineRule="exact"/>
              <w:jc w:val="center"/>
              <w:rPr>
                <w:rFonts w:ascii="仿宋_GB2312" w:hAnsi="仿宋" w:eastAsia="仿宋_GB2312" w:cs="Arial"/>
                <w:b/>
                <w:bCs/>
                <w:sz w:val="24"/>
                <w:szCs w:val="24"/>
                <w:lang w:val="en-GB"/>
              </w:rPr>
            </w:pPr>
          </w:p>
        </w:tc>
      </w:tr>
      <w:tr w14:paraId="28F6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70041AB9">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14:paraId="66B79691">
            <w:pPr>
              <w:pStyle w:val="15"/>
              <w:spacing w:line="560" w:lineRule="exact"/>
              <w:rPr>
                <w:rFonts w:ascii="仿宋_GB2312" w:hAnsi="仿宋" w:eastAsia="仿宋_GB2312" w:cs="Arial"/>
                <w:sz w:val="24"/>
                <w:szCs w:val="24"/>
                <w:lang w:val="en-GB"/>
              </w:rPr>
            </w:pPr>
          </w:p>
        </w:tc>
      </w:tr>
      <w:tr w14:paraId="03C6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0974AE8B">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14:paraId="7CC0B517">
            <w:pPr>
              <w:pStyle w:val="15"/>
              <w:spacing w:line="560" w:lineRule="exact"/>
              <w:rPr>
                <w:rFonts w:ascii="仿宋_GB2312" w:hAnsi="仿宋" w:eastAsia="仿宋_GB2312" w:cs="Arial"/>
                <w:sz w:val="24"/>
                <w:szCs w:val="24"/>
                <w:lang w:val="en-GB"/>
              </w:rPr>
            </w:pPr>
          </w:p>
        </w:tc>
      </w:tr>
      <w:tr w14:paraId="71C2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42ADB5DF">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14:paraId="29E502BF">
            <w:pPr>
              <w:pStyle w:val="15"/>
              <w:spacing w:line="560" w:lineRule="exact"/>
              <w:rPr>
                <w:rFonts w:ascii="仿宋_GB2312" w:hAnsi="仿宋" w:eastAsia="仿宋_GB2312" w:cs="Arial"/>
                <w:sz w:val="24"/>
                <w:szCs w:val="24"/>
                <w:lang w:val="en-GB"/>
              </w:rPr>
            </w:pPr>
          </w:p>
        </w:tc>
      </w:tr>
      <w:tr w14:paraId="1A08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69376D93">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14:paraId="077E8C71">
            <w:pPr>
              <w:pStyle w:val="15"/>
              <w:spacing w:line="560" w:lineRule="exact"/>
              <w:rPr>
                <w:rFonts w:ascii="仿宋_GB2312" w:hAnsi="仿宋" w:eastAsia="仿宋_GB2312" w:cs="Arial"/>
                <w:sz w:val="24"/>
                <w:szCs w:val="24"/>
                <w:lang w:val="en-GB"/>
              </w:rPr>
            </w:pPr>
          </w:p>
        </w:tc>
      </w:tr>
      <w:tr w14:paraId="6A46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297BED0B">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覆盖报告期工作日期的校准日期</w:t>
            </w:r>
          </w:p>
        </w:tc>
        <w:tc>
          <w:tcPr>
            <w:tcW w:w="1559" w:type="dxa"/>
          </w:tcPr>
          <w:p w14:paraId="4A26C809">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0A10241B">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4848F6B7">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60" w:type="dxa"/>
          </w:tcPr>
          <w:p w14:paraId="3A4D0540">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r>
      <w:tr w14:paraId="1A94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5D7B0B07">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14:paraId="1BB3B086">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33C99FC1">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20C0C810">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14:paraId="34FC52C2">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14:paraId="2C9E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14:paraId="71A2C727">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测量设备2</w:t>
            </w:r>
          </w:p>
        </w:tc>
        <w:tc>
          <w:tcPr>
            <w:tcW w:w="5954" w:type="dxa"/>
            <w:gridSpan w:val="4"/>
            <w:shd w:val="clear" w:color="auto" w:fill="D9D9D9"/>
          </w:tcPr>
          <w:p w14:paraId="09C43409">
            <w:pPr>
              <w:pStyle w:val="15"/>
              <w:spacing w:line="560" w:lineRule="exact"/>
              <w:jc w:val="center"/>
              <w:rPr>
                <w:rFonts w:ascii="仿宋_GB2312" w:hAnsi="仿宋" w:eastAsia="仿宋_GB2312" w:cs="Arial"/>
                <w:b/>
                <w:bCs/>
                <w:sz w:val="24"/>
                <w:szCs w:val="24"/>
                <w:lang w:val="en-GB"/>
              </w:rPr>
            </w:pPr>
          </w:p>
        </w:tc>
      </w:tr>
      <w:tr w14:paraId="0A0F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29031C7B">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14:paraId="52E5F2C2">
            <w:pPr>
              <w:pStyle w:val="15"/>
              <w:spacing w:line="560" w:lineRule="exact"/>
              <w:rPr>
                <w:rFonts w:ascii="仿宋_GB2312" w:hAnsi="仿宋" w:eastAsia="仿宋_GB2312" w:cs="Arial"/>
                <w:sz w:val="24"/>
                <w:szCs w:val="24"/>
                <w:lang w:val="en-GB"/>
              </w:rPr>
            </w:pPr>
          </w:p>
        </w:tc>
      </w:tr>
      <w:tr w14:paraId="4E31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1883DF7E">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14:paraId="161E0445">
            <w:pPr>
              <w:pStyle w:val="15"/>
              <w:spacing w:line="560" w:lineRule="exact"/>
              <w:rPr>
                <w:rFonts w:ascii="仿宋_GB2312" w:hAnsi="仿宋" w:eastAsia="仿宋_GB2312" w:cs="Arial"/>
                <w:sz w:val="24"/>
                <w:szCs w:val="24"/>
                <w:lang w:val="en-GB"/>
              </w:rPr>
            </w:pPr>
          </w:p>
        </w:tc>
      </w:tr>
      <w:tr w14:paraId="261B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770155B5">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14:paraId="79511C7D">
            <w:pPr>
              <w:pStyle w:val="15"/>
              <w:spacing w:line="560" w:lineRule="exact"/>
              <w:rPr>
                <w:rFonts w:ascii="仿宋_GB2312" w:hAnsi="仿宋" w:eastAsia="仿宋_GB2312" w:cs="Arial"/>
                <w:sz w:val="24"/>
                <w:szCs w:val="24"/>
                <w:lang w:val="en-GB"/>
              </w:rPr>
            </w:pPr>
          </w:p>
        </w:tc>
      </w:tr>
      <w:tr w14:paraId="13E2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6F78E466">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14:paraId="13036776">
            <w:pPr>
              <w:pStyle w:val="15"/>
              <w:spacing w:line="560" w:lineRule="exact"/>
              <w:rPr>
                <w:rFonts w:ascii="仿宋_GB2312" w:hAnsi="仿宋" w:eastAsia="仿宋_GB2312" w:cs="Arial"/>
                <w:sz w:val="24"/>
                <w:szCs w:val="24"/>
                <w:lang w:val="en-GB"/>
              </w:rPr>
            </w:pPr>
          </w:p>
        </w:tc>
      </w:tr>
      <w:tr w14:paraId="512A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01412898">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覆盖报告期的工作日期的校准日期</w:t>
            </w:r>
          </w:p>
        </w:tc>
        <w:tc>
          <w:tcPr>
            <w:tcW w:w="1559" w:type="dxa"/>
          </w:tcPr>
          <w:p w14:paraId="6AF35C2C">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2863BFD3">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3747DE97">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14:paraId="0DFA3D32">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14:paraId="3CA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34091643">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14:paraId="0816C2DC">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14:paraId="1609E3F3">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14:paraId="56F1206B">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14:paraId="00E1D519">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14:paraId="78D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14:paraId="40512981">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测量设备3</w:t>
            </w:r>
          </w:p>
        </w:tc>
        <w:tc>
          <w:tcPr>
            <w:tcW w:w="5954" w:type="dxa"/>
            <w:gridSpan w:val="4"/>
            <w:shd w:val="clear" w:color="auto" w:fill="D9D9D9"/>
          </w:tcPr>
          <w:p w14:paraId="00FEED6A">
            <w:pPr>
              <w:pStyle w:val="15"/>
              <w:spacing w:line="560" w:lineRule="exact"/>
              <w:jc w:val="center"/>
              <w:rPr>
                <w:rFonts w:ascii="仿宋_GB2312" w:hAnsi="仿宋" w:eastAsia="仿宋_GB2312" w:cs="Arial"/>
                <w:b/>
                <w:bCs/>
                <w:sz w:val="24"/>
                <w:szCs w:val="24"/>
                <w:lang w:val="en-GB"/>
              </w:rPr>
            </w:pPr>
          </w:p>
        </w:tc>
      </w:tr>
      <w:tr w14:paraId="5FAA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0F5C130B">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w:t>
            </w:r>
          </w:p>
        </w:tc>
        <w:tc>
          <w:tcPr>
            <w:tcW w:w="5954" w:type="dxa"/>
            <w:gridSpan w:val="4"/>
          </w:tcPr>
          <w:p w14:paraId="48D5A841">
            <w:pPr>
              <w:pStyle w:val="15"/>
              <w:spacing w:line="560" w:lineRule="exact"/>
              <w:rPr>
                <w:rFonts w:ascii="仿宋_GB2312" w:hAnsi="仿宋" w:eastAsia="仿宋_GB2312" w:cs="Arial"/>
                <w:sz w:val="24"/>
                <w:szCs w:val="24"/>
                <w:lang w:val="en-GB"/>
              </w:rPr>
            </w:pPr>
          </w:p>
        </w:tc>
      </w:tr>
    </w:tbl>
    <w:p w14:paraId="02C40012">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核查机构应对上述每一个测量设备的核查发现进行报告，并简要描述不符合(如有),详细描述及纠正措施链接核查报告附件1。</w:t>
      </w:r>
    </w:p>
    <w:p w14:paraId="635CD2D3">
      <w:pPr>
        <w:spacing w:after="0" w:line="560" w:lineRule="exact"/>
        <w:ind w:firstLine="630" w:firstLineChars="196"/>
        <w:jc w:val="both"/>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B)核查方法</w:t>
      </w:r>
    </w:p>
    <w:p w14:paraId="3BFE2B81">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查阅校准报告、设备维修和更新记录；</w:t>
      </w:r>
    </w:p>
    <w:p w14:paraId="6F85CDB2">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现场观察设备校准标签；</w:t>
      </w:r>
    </w:p>
    <w:p w14:paraId="64C00BD4">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查阅《能源计量器具一览表》；</w:t>
      </w:r>
    </w:p>
    <w:p w14:paraId="5222916D">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查阅《能源计量器具配置表及能源计量网络图》；</w:t>
      </w:r>
    </w:p>
    <w:p w14:paraId="5A955388">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与测量设备管理人员交谈等。</w:t>
      </w:r>
    </w:p>
    <w:p w14:paraId="0DDF190F">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3.5 二氧化碳排放量计算过程及结果</w:t>
      </w:r>
    </w:p>
    <w:p w14:paraId="39A68E84">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06C76310">
      <w:pPr>
        <w:spacing w:after="0" w:line="560" w:lineRule="exact"/>
        <w:ind w:firstLine="656" w:firstLineChars="205"/>
        <w:jc w:val="both"/>
        <w:outlineLvl w:val="0"/>
        <w:rPr>
          <w:rFonts w:ascii="仿宋_GB2312" w:hAnsi="仿宋" w:eastAsia="仿宋_GB2312"/>
          <w:sz w:val="32"/>
          <w:szCs w:val="32"/>
        </w:rPr>
      </w:pPr>
      <w:r>
        <w:rPr>
          <w:rFonts w:hint="eastAsia" w:ascii="仿宋_GB2312" w:hAnsi="仿宋" w:eastAsia="仿宋_GB2312"/>
          <w:sz w:val="32"/>
          <w:szCs w:val="32"/>
        </w:rPr>
        <w:t>3.5.1 计算过程及结果</w:t>
      </w:r>
    </w:p>
    <w:p w14:paraId="257DA296">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核查机构对重点碳排放单位报告的核算结果进行核查。核查机构应详细报告如下核查发现:</w:t>
      </w:r>
    </w:p>
    <w:p w14:paraId="29613FF5">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排放量的计算公式是否正确；</w:t>
      </w:r>
    </w:p>
    <w:p w14:paraId="3E93C8B3">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排放量的累加是否正确；</w:t>
      </w:r>
    </w:p>
    <w:p w14:paraId="7E52E2C8">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排放量的计算是否可再现；</w:t>
      </w:r>
    </w:p>
    <w:p w14:paraId="5B5082BE">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直接排放和间接排放最终结果计算是否正确；</w:t>
      </w:r>
    </w:p>
    <w:p w14:paraId="51322685">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本年度排放量与基准年</w:t>
      </w:r>
      <w:r>
        <w:rPr>
          <w:rFonts w:ascii="仿宋_GB2312" w:hAnsi="仿宋" w:eastAsia="仿宋_GB2312"/>
          <w:sz w:val="32"/>
          <w:szCs w:val="32"/>
        </w:rPr>
        <w:t>和</w:t>
      </w:r>
      <w:r>
        <w:rPr>
          <w:rFonts w:hint="eastAsia" w:ascii="仿宋_GB2312" w:hAnsi="仿宋" w:eastAsia="仿宋_GB2312"/>
          <w:sz w:val="32"/>
          <w:szCs w:val="32"/>
        </w:rPr>
        <w:t>上一年度排放量的对比,对存在异常变化(</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)的原因的核查发现;</w:t>
      </w:r>
    </w:p>
    <w:p w14:paraId="0FA73BA6">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14:paraId="2D2EC0D4">
      <w:pPr>
        <w:spacing w:after="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3.5.2 不确定性分析</w:t>
      </w:r>
    </w:p>
    <w:p w14:paraId="6F06E9EC">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核查机构应对重点碳排放单位影响其直接排放量主要不确定性因素和不确定性量化的计算结果进行核查。报告内容应包括：</w:t>
      </w:r>
    </w:p>
    <w:p w14:paraId="1564CEC9">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每个影响因素的合理性；</w:t>
      </w:r>
    </w:p>
    <w:p w14:paraId="74B33448">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活动水平数据不确定性量化结果的合理性；</w:t>
      </w:r>
    </w:p>
    <w:p w14:paraId="66C615CC">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排放因子不确定性量化结果的合理性；</w:t>
      </w:r>
    </w:p>
    <w:p w14:paraId="051D1B6A">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排放量不确定性的计算公式是否正确；</w:t>
      </w:r>
    </w:p>
    <w:p w14:paraId="16713519">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误差传递的计算公式是否正确；</w:t>
      </w:r>
    </w:p>
    <w:p w14:paraId="2E160299">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对开具的不符合进行简要描述（详细描述及纠正措施链接附件1）。</w:t>
      </w:r>
    </w:p>
    <w:p w14:paraId="6184F2BC">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4D505865">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请排放报告编写人员现场演示计算过程；</w:t>
      </w:r>
    </w:p>
    <w:p w14:paraId="089B36B7">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查阅排放报告中的公式关联；</w:t>
      </w:r>
    </w:p>
    <w:p w14:paraId="69CB08B3">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w:t>
      </w:r>
    </w:p>
    <w:p w14:paraId="08791A7E">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与年度能源报告结果交差核对。</w:t>
      </w:r>
    </w:p>
    <w:p w14:paraId="632F3CBB">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 新增排放设施及既有设施退出的核查</w:t>
      </w:r>
    </w:p>
    <w:p w14:paraId="34BCF665">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3.6.1</w:t>
      </w:r>
      <w:r>
        <w:rPr>
          <w:rFonts w:hint="eastAsia" w:ascii="仿宋_GB2312" w:hAnsi="仿宋" w:eastAsia="仿宋_GB2312"/>
          <w:b/>
          <w:bCs/>
          <w:sz w:val="32"/>
          <w:szCs w:val="32"/>
        </w:rPr>
        <w:t>新增设施基本信息的核查</w:t>
      </w:r>
    </w:p>
    <w:p w14:paraId="6AA70A76">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7168609E">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年1月1日后新投产运行的设施的名称、型号、物理位置和投产时间等内容进行核查，确定企业填报信息与现场设备信息一致。</w:t>
      </w:r>
    </w:p>
    <w:p w14:paraId="7953EF9F">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499D1A3B">
      <w:pPr>
        <w:widowControl w:val="0"/>
        <w:spacing w:after="0" w:line="560" w:lineRule="exact"/>
        <w:ind w:firstLine="579" w:firstLineChars="181"/>
        <w:jc w:val="both"/>
        <w:rPr>
          <w:rFonts w:ascii="仿宋_GB2312" w:hAnsi="仿宋" w:eastAsia="仿宋_GB2312"/>
          <w:sz w:val="32"/>
          <w:szCs w:val="32"/>
        </w:rPr>
      </w:pPr>
      <w:r>
        <w:rPr>
          <w:rFonts w:hint="eastAsia" w:ascii="仿宋_GB2312" w:hAnsi="仿宋" w:eastAsia="仿宋_GB2312"/>
          <w:sz w:val="32"/>
          <w:szCs w:val="32"/>
        </w:rPr>
        <w:t>对新增设施的开始投产运行时间的核查，可查阅以下证据：</w:t>
      </w:r>
    </w:p>
    <w:p w14:paraId="1170E9A3">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外部验收报告（如环保、消防验收报告）；</w:t>
      </w:r>
    </w:p>
    <w:p w14:paraId="01D005E7">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内部验收报告；</w:t>
      </w:r>
    </w:p>
    <w:p w14:paraId="4211D58F">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租赁协议；</w:t>
      </w:r>
    </w:p>
    <w:p w14:paraId="45BDA71E">
      <w:pPr>
        <w:widowControl w:val="0"/>
        <w:numPr>
          <w:ilvl w:val="0"/>
          <w:numId w:val="22"/>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统计报表（如《固定资产投资项目基本情况表》或其他行业的统计年度和定期报表）；</w:t>
      </w:r>
    </w:p>
    <w:p w14:paraId="52EDF95B">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企业提供的其他证据。</w:t>
      </w:r>
    </w:p>
    <w:p w14:paraId="347AD8B4">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对新增设施信息的核查：</w:t>
      </w:r>
    </w:p>
    <w:p w14:paraId="4D1BD74C">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现场观察新增设施的位置、型号；</w:t>
      </w:r>
    </w:p>
    <w:p w14:paraId="48678BD9">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查阅可研报告或环评报告的批复；</w:t>
      </w:r>
    </w:p>
    <w:p w14:paraId="504CF842">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查阅固定资产能评报告。</w:t>
      </w:r>
    </w:p>
    <w:p w14:paraId="0988C112">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3.6.2</w:t>
      </w:r>
      <w:r>
        <w:rPr>
          <w:rFonts w:hint="eastAsia" w:ascii="仿宋_GB2312" w:hAnsi="仿宋" w:eastAsia="仿宋_GB2312"/>
          <w:b/>
          <w:bCs/>
          <w:sz w:val="32"/>
          <w:szCs w:val="32"/>
        </w:rPr>
        <w:t>新增设施生产数据的核查</w:t>
      </w:r>
    </w:p>
    <w:p w14:paraId="3851112E">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A)报告内容</w:t>
      </w:r>
    </w:p>
    <w:p w14:paraId="601045BC">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生产数据（如产值、产量、建筑面积、供暖面积和供热量等）进行核查，核查内容包括：单位、来源、监测方法、监测频次、记录频次、数据缺失处理、交叉核对、确认的数值以及核查结论。核查机构对每一个数据的符合性进行报告。</w:t>
      </w:r>
    </w:p>
    <w:p w14:paraId="375D642B">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B)核查原则</w:t>
      </w:r>
    </w:p>
    <w:p w14:paraId="3C6EE7DD">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数据选取采用以下的优先序： </w:t>
      </w:r>
    </w:p>
    <w:p w14:paraId="273685CF">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1）新增设施的排放数据和生产数据应分别单独测量获得； </w:t>
      </w:r>
    </w:p>
    <w:p w14:paraId="34E0FF85">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2）如果生产数据无法获得而排放数据可获得，可按照排放数据分摊推算生产数据； </w:t>
      </w:r>
    </w:p>
    <w:p w14:paraId="0F699102">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3）如果生产数据可获得而排放数据不可获得，不能按生产数据分摊推算排放数据。排放数据可按照生产负荷或产量等分摊推算； </w:t>
      </w:r>
    </w:p>
    <w:p w14:paraId="46AA9C1F">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4）如果排放数据和生产数据都没有单独测量的数据，按照如下原则处理： </w:t>
      </w:r>
    </w:p>
    <w:p w14:paraId="6109ED68">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-首先估算新增设施的排放数据； </w:t>
      </w:r>
    </w:p>
    <w:p w14:paraId="462B7DF5">
      <w:pPr>
        <w:widowControl w:val="0"/>
        <w:spacing w:after="0" w:line="560" w:lineRule="exact"/>
        <w:ind w:firstLine="640" w:firstLineChars="200"/>
        <w:jc w:val="both"/>
        <w:rPr>
          <w:rFonts w:ascii="仿宋_GB2312" w:hAnsi="仿宋" w:eastAsia="仿宋_GB2312"/>
          <w:sz w:val="32"/>
          <w:szCs w:val="32"/>
          <w:lang w:val="en-US"/>
        </w:rPr>
      </w:pPr>
      <w:r>
        <w:rPr>
          <w:rFonts w:ascii="仿宋_GB2312" w:hAnsi="仿宋" w:eastAsia="仿宋_GB2312"/>
          <w:sz w:val="32"/>
          <w:szCs w:val="32"/>
          <w:lang w:val="en-US"/>
        </w:rPr>
        <w:t xml:space="preserve">- </w:t>
      </w:r>
      <w:r>
        <w:rPr>
          <w:rFonts w:hint="eastAsia" w:ascii="仿宋_GB2312" w:hAnsi="仿宋" w:eastAsia="仿宋_GB2312"/>
          <w:sz w:val="32"/>
          <w:szCs w:val="32"/>
          <w:lang w:val="en-US"/>
        </w:rPr>
        <w:t xml:space="preserve">然后按照排放数据分摊推算新增产值的生产数据。 </w:t>
      </w:r>
    </w:p>
    <w:p w14:paraId="7F1D52F5">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3.6.3</w:t>
      </w:r>
      <w:r>
        <w:rPr>
          <w:rFonts w:hint="eastAsia" w:ascii="仿宋_GB2312" w:hAnsi="仿宋" w:eastAsia="仿宋_GB2312"/>
          <w:b/>
          <w:bCs/>
          <w:sz w:val="32"/>
          <w:szCs w:val="32"/>
        </w:rPr>
        <w:t>新增设施排放量的核查</w:t>
      </w:r>
    </w:p>
    <w:p w14:paraId="2E1528CE">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265ED5AA">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每一个新增设施的活动水平数据、排放因子以及排放量进行核查。活动水平和排放因子的核查发现可与核查报告中的3.3.2.2和报告中的3.3.2.3相协调，如果前面的核查发现已经描述很详细，这里简要描述一下即可。</w:t>
      </w:r>
    </w:p>
    <w:p w14:paraId="446E5F34">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14:paraId="11FD59B5">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同对既有设施的核查。</w:t>
      </w:r>
    </w:p>
    <w:p w14:paraId="7A998E1A">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3.6.4</w:t>
      </w:r>
      <w:r>
        <w:rPr>
          <w:rFonts w:hint="eastAsia" w:ascii="仿宋_GB2312" w:hAnsi="仿宋" w:eastAsia="仿宋_GB2312"/>
          <w:b/>
          <w:bCs/>
          <w:sz w:val="32"/>
          <w:szCs w:val="32"/>
        </w:rPr>
        <w:t>新增设施排放强度的核查</w:t>
      </w:r>
    </w:p>
    <w:p w14:paraId="2B73ABCC">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41F5BDE3">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核查机构应对新增设施的排放强度进行核查。核查机构应详细报告排放强度计算过程。</w:t>
      </w:r>
    </w:p>
    <w:p w14:paraId="69EE8676">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（计算方法：排放强度＝所有新增设施的直接排放和间接排放／所有新增设施对应的生产数据）。</w:t>
      </w:r>
    </w:p>
    <w:p w14:paraId="30CFDD09">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0F70CD26">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验算计算过程。</w:t>
      </w:r>
    </w:p>
    <w:p w14:paraId="59990C5B">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3.6.5</w:t>
      </w:r>
      <w:r>
        <w:rPr>
          <w:rFonts w:hint="eastAsia" w:ascii="仿宋_GB2312" w:hAnsi="仿宋" w:eastAsia="仿宋_GB2312"/>
          <w:b/>
          <w:bCs/>
          <w:sz w:val="32"/>
          <w:szCs w:val="32"/>
        </w:rPr>
        <w:t>新增设施替代既有设施的核查</w:t>
      </w:r>
    </w:p>
    <w:p w14:paraId="20B3D657">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696BA137">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核查机构应对新增设施中那些对既有设施替代的新增设施进行核查。核查内容包括设施的基本信息、替代既有设备的情况、排放量。如有既有设施退出，也应在本节中详细描述核查发现。</w:t>
      </w:r>
    </w:p>
    <w:p w14:paraId="11E4EBDD">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2DCDD06B">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查阅新增设施的可研和环评批复文件确认是否属于替代既有设施；</w:t>
      </w:r>
    </w:p>
    <w:p w14:paraId="45B5EE4E">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w:t>
      </w:r>
    </w:p>
    <w:p w14:paraId="67467B6F">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验算排放量的计算过程</w:t>
      </w:r>
    </w:p>
    <w:p w14:paraId="6A570DA6">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3.6.6既有设施退出的核查</w:t>
      </w:r>
    </w:p>
    <w:p w14:paraId="59150CE9">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A)报告内容</w:t>
      </w:r>
    </w:p>
    <w:p w14:paraId="7DEF0F46">
      <w:pPr>
        <w:spacing w:after="0" w:line="560" w:lineRule="exact"/>
        <w:ind w:firstLine="764" w:firstLineChars="239"/>
        <w:jc w:val="both"/>
        <w:rPr>
          <w:rFonts w:ascii="仿宋_GB2312" w:hAnsi="仿宋" w:eastAsia="仿宋_GB2312"/>
          <w:sz w:val="32"/>
          <w:szCs w:val="32"/>
        </w:rPr>
      </w:pPr>
      <w:r>
        <w:rPr>
          <w:rFonts w:hint="eastAsia" w:ascii="仿宋_GB2312" w:hAnsi="仿宋" w:eastAsia="仿宋_GB2312"/>
          <w:sz w:val="32"/>
          <w:szCs w:val="32"/>
        </w:rPr>
        <w:t>核查机构应对既有设施退出进行核查。核查内容包括既有设施退出的基本信息及在历史基准年及上一年度的排放量和</w:t>
      </w:r>
      <w:r>
        <w:rPr>
          <w:rFonts w:ascii="仿宋_GB2312" w:hAnsi="仿宋" w:eastAsia="仿宋_GB2312"/>
          <w:sz w:val="32"/>
          <w:szCs w:val="32"/>
        </w:rPr>
        <w:t>排放强度</w:t>
      </w:r>
      <w:r>
        <w:rPr>
          <w:rFonts w:hint="eastAsia" w:ascii="仿宋_GB2312" w:hAnsi="仿宋" w:eastAsia="仿宋_GB2312"/>
          <w:sz w:val="32"/>
          <w:szCs w:val="32"/>
        </w:rPr>
        <w:t>。</w:t>
      </w:r>
    </w:p>
    <w:p w14:paraId="5908715B">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B)核查方法</w:t>
      </w:r>
    </w:p>
    <w:p w14:paraId="6E51F703">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查阅设施、设备管理台账、企业运行情况统计与说明等；</w:t>
      </w:r>
    </w:p>
    <w:p w14:paraId="2B69677F">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现场观察；</w:t>
      </w:r>
    </w:p>
    <w:p w14:paraId="3E1DBF04">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验算既有设施退出</w:t>
      </w:r>
      <w:r>
        <w:rPr>
          <w:rFonts w:hint="eastAsia" w:ascii="仿宋_GB2312" w:hAnsi="仿宋" w:eastAsia="仿宋_GB2312"/>
          <w:sz w:val="32"/>
          <w:szCs w:val="32"/>
        </w:rPr>
        <w:t>在</w:t>
      </w:r>
      <w:r>
        <w:rPr>
          <w:rFonts w:ascii="仿宋_GB2312" w:hAnsi="仿宋" w:eastAsia="仿宋_GB2312"/>
          <w:sz w:val="32"/>
          <w:szCs w:val="32"/>
        </w:rPr>
        <w:t>历史</w:t>
      </w:r>
      <w:r>
        <w:rPr>
          <w:rFonts w:hint="eastAsia" w:ascii="仿宋_GB2312" w:hAnsi="仿宋" w:eastAsia="仿宋_GB2312"/>
          <w:sz w:val="32"/>
          <w:szCs w:val="32"/>
        </w:rPr>
        <w:t>基准年排放量和</w:t>
      </w:r>
      <w:r>
        <w:rPr>
          <w:rFonts w:ascii="仿宋_GB2312" w:hAnsi="仿宋" w:eastAsia="仿宋_GB2312"/>
          <w:sz w:val="32"/>
          <w:szCs w:val="32"/>
        </w:rPr>
        <w:t>排放强度等</w:t>
      </w:r>
      <w:r>
        <w:rPr>
          <w:rFonts w:hint="eastAsia" w:ascii="仿宋_GB2312" w:hAnsi="仿宋" w:eastAsia="仿宋_GB2312"/>
          <w:sz w:val="32"/>
          <w:szCs w:val="32"/>
        </w:rPr>
        <w:t>的计算过程。</w:t>
      </w:r>
    </w:p>
    <w:p w14:paraId="01D75C11">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3.7 未来二氧化碳控制措施的核查</w:t>
      </w:r>
    </w:p>
    <w:p w14:paraId="25A30FAF">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A）报告内容</w:t>
      </w:r>
    </w:p>
    <w:p w14:paraId="0D46CB80">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核查机构应对重点碳排放单位描述的未来</w:t>
      </w:r>
      <w:r>
        <w:rPr>
          <w:rFonts w:ascii="仿宋_GB2312" w:hAnsi="仿宋" w:eastAsia="仿宋_GB2312"/>
          <w:sz w:val="32"/>
          <w:szCs w:val="32"/>
        </w:rPr>
        <w:t>3～5年二氧化碳控制措施</w:t>
      </w:r>
      <w:r>
        <w:rPr>
          <w:rFonts w:hint="eastAsia" w:ascii="仿宋_GB2312" w:hAnsi="仿宋" w:eastAsia="仿宋_GB2312"/>
          <w:sz w:val="32"/>
          <w:szCs w:val="32"/>
        </w:rPr>
        <w:t>特别是针对碳排放达峰和碳中和等方面采取的计划或规划等情况进行核查，并核查采用控制措施情况下和未采用控制措施情况下未来</w:t>
      </w:r>
      <w:r>
        <w:rPr>
          <w:rFonts w:ascii="仿宋_GB2312" w:hAnsi="仿宋" w:eastAsia="仿宋_GB2312"/>
          <w:sz w:val="32"/>
          <w:szCs w:val="32"/>
        </w:rPr>
        <w:t>3～5年每年的二氧化碳排放量的预估结果。</w:t>
      </w:r>
      <w:r>
        <w:rPr>
          <w:rFonts w:hint="eastAsia" w:ascii="仿宋_GB2312" w:hAnsi="仿宋" w:eastAsia="仿宋_GB2312"/>
          <w:sz w:val="32"/>
          <w:szCs w:val="32"/>
        </w:rPr>
        <w:t>核查机构应对上年度提交的二氧化碳控制措施的实施情况进行核查。报告内容应包含：</w:t>
      </w:r>
    </w:p>
    <w:p w14:paraId="2D17AF96">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控制措施的内容及其与法规的符合性；</w:t>
      </w:r>
    </w:p>
    <w:p w14:paraId="34396303">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采用控制措施情况下未来3～5年每年的二氧化碳排放量的预估过程及计算是否正确；</w:t>
      </w:r>
    </w:p>
    <w:p w14:paraId="6F3AD59B">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未采用控制措施情况下未来3～5年每年的二氧化碳排放量的预估过程及计算是否正确；</w:t>
      </w:r>
    </w:p>
    <w:p w14:paraId="1F079125">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上年度提交的二氧化碳控制措施的实施情况。</w:t>
      </w:r>
    </w:p>
    <w:p w14:paraId="58F0D0BA">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14:paraId="0235ED44">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14:paraId="25E43849">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查阅能源审计等相关报告中的节能措施；</w:t>
      </w:r>
    </w:p>
    <w:p w14:paraId="622546FF">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利用EXCEL表格验算排放量的估算。</w:t>
      </w:r>
    </w:p>
    <w:p w14:paraId="0795DDC5">
      <w:pPr>
        <w:widowControl w:val="0"/>
        <w:spacing w:after="0" w:line="560" w:lineRule="exact"/>
        <w:ind w:left="420" w:firstLine="144" w:firstLineChars="45"/>
        <w:jc w:val="both"/>
        <w:rPr>
          <w:rFonts w:ascii="仿宋_GB2312" w:hAnsi="仿宋" w:eastAsia="仿宋_GB2312"/>
          <w:sz w:val="32"/>
          <w:szCs w:val="32"/>
        </w:rPr>
      </w:pPr>
    </w:p>
    <w:p w14:paraId="088650F8">
      <w:pPr>
        <w:widowControl w:val="0"/>
        <w:spacing w:after="0" w:line="560" w:lineRule="exact"/>
        <w:ind w:left="420" w:firstLine="145" w:firstLineChars="45"/>
        <w:jc w:val="both"/>
        <w:rPr>
          <w:rFonts w:ascii="仿宋_GB2312" w:hAnsi="仿宋" w:eastAsia="仿宋_GB2312"/>
          <w:b/>
          <w:sz w:val="32"/>
          <w:szCs w:val="32"/>
        </w:rPr>
      </w:pPr>
      <w:r>
        <w:rPr>
          <w:rFonts w:hint="eastAsia" w:ascii="仿宋_GB2312" w:hAnsi="仿宋" w:eastAsia="仿宋_GB2312"/>
          <w:b/>
          <w:sz w:val="32"/>
          <w:szCs w:val="32"/>
        </w:rPr>
        <w:t>3.8对监测计划的核查</w:t>
      </w:r>
    </w:p>
    <w:p w14:paraId="111742B6">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A）报告内容</w:t>
      </w:r>
    </w:p>
    <w:p w14:paraId="47FD7EDD">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核查机构应对重点碳排放单位的监测计划进行核查,确认根据适用的地方标准或核算和报告指南要求建立的监测计划合理性和执行情况，并报告如下的核查发现，格式参考下表：</w:t>
      </w:r>
    </w:p>
    <w:p w14:paraId="1377B054">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监测计划版本及修订情况符合性的核查发现；</w:t>
      </w:r>
    </w:p>
    <w:p w14:paraId="4DDCA6B5">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报告主体描述符合性的核查发现；</w:t>
      </w:r>
    </w:p>
    <w:p w14:paraId="328DFC35">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核算边界和主要排放设施描述符合性的核查发现；</w:t>
      </w:r>
    </w:p>
    <w:p w14:paraId="7FA61E00">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各个活动数据和排放因子获取方式符合性的核查发现；</w:t>
      </w:r>
    </w:p>
    <w:p w14:paraId="2A3A5947">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数据内部质量控制和质量保证相关规定符合性的核查发现；</w:t>
      </w:r>
    </w:p>
    <w:p w14:paraId="35FC5888">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上一年度监测计划的合理性和核查年度监测计划的执行情况核查发现；</w:t>
      </w:r>
    </w:p>
    <w:p w14:paraId="7B5D3D92">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核查年度的下一年度监测计划合理性的核查发现；</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342"/>
      </w:tblGrid>
      <w:tr w14:paraId="63DB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14:paraId="37EB3FCC">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监测计划版本的符合性</w:t>
            </w:r>
          </w:p>
        </w:tc>
        <w:tc>
          <w:tcPr>
            <w:tcW w:w="6342" w:type="dxa"/>
            <w:vAlign w:val="center"/>
          </w:tcPr>
          <w:p w14:paraId="3AF6AF1B">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最终版本与实际情况符合情况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0E9A55DB">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发布或修改时间与实际情况相符合情况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02E1C54">
            <w:pPr>
              <w:tabs>
                <w:tab w:val="left" w:pos="3960"/>
                <w:tab w:val="left" w:pos="4140"/>
              </w:tabs>
              <w:adjustRightInd w:val="0"/>
              <w:snapToGrid w:val="0"/>
              <w:spacing w:beforeLines="50" w:after="0" w:line="300" w:lineRule="auto"/>
              <w:ind w:firstLine="480" w:firstLineChars="200"/>
              <w:rPr>
                <w:rFonts w:eastAsia="仿宋"/>
                <w:sz w:val="24"/>
                <w:szCs w:val="24"/>
              </w:rPr>
            </w:pPr>
            <w:r>
              <w:rPr>
                <w:rFonts w:eastAsia="仿宋"/>
                <w:sz w:val="24"/>
                <w:szCs w:val="24"/>
              </w:rPr>
              <w:t>发布或修改的内容满足适用地方标准或核算和报告指南要求情况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50C3C364">
            <w:pPr>
              <w:tabs>
                <w:tab w:val="left" w:pos="3960"/>
                <w:tab w:val="left" w:pos="4140"/>
              </w:tabs>
              <w:adjustRightInd w:val="0"/>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1758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0" w:type="dxa"/>
            <w:shd w:val="clear" w:color="auto" w:fill="D8D8D8" w:themeFill="background1" w:themeFillShade="D9"/>
            <w:vAlign w:val="center"/>
          </w:tcPr>
          <w:p w14:paraId="0D2F2059">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报告主体描述的符合性</w:t>
            </w:r>
          </w:p>
        </w:tc>
        <w:tc>
          <w:tcPr>
            <w:tcW w:w="6342" w:type="dxa"/>
            <w:vAlign w:val="center"/>
          </w:tcPr>
          <w:p w14:paraId="2803BF44">
            <w:pPr>
              <w:tabs>
                <w:tab w:val="left" w:pos="3960"/>
                <w:tab w:val="left" w:pos="4140"/>
              </w:tabs>
              <w:snapToGrid w:val="0"/>
              <w:spacing w:beforeLines="50" w:after="0" w:line="300" w:lineRule="auto"/>
              <w:ind w:firstLine="480" w:firstLineChars="200"/>
              <w:rPr>
                <w:rFonts w:eastAsia="仿宋"/>
                <w:bCs/>
                <w:sz w:val="24"/>
                <w:szCs w:val="24"/>
              </w:rPr>
            </w:pPr>
            <w:r>
              <w:rPr>
                <w:rFonts w:hint="eastAsia" w:eastAsia="仿宋"/>
                <w:bCs/>
                <w:sz w:val="24"/>
                <w:szCs w:val="24"/>
              </w:rPr>
              <w:t>企业（或者其他经济组织）的基本信息与实际符合情况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0D8658F6">
            <w:pPr>
              <w:tabs>
                <w:tab w:val="left" w:pos="3960"/>
                <w:tab w:val="left" w:pos="4140"/>
              </w:tabs>
              <w:snapToGrid w:val="0"/>
              <w:spacing w:beforeLines="50" w:after="0" w:line="300" w:lineRule="auto"/>
              <w:ind w:firstLine="480" w:firstLineChars="200"/>
              <w:rPr>
                <w:rFonts w:eastAsia="仿宋"/>
                <w:sz w:val="24"/>
                <w:szCs w:val="24"/>
              </w:rPr>
            </w:pPr>
            <w:r>
              <w:rPr>
                <w:rFonts w:hint="eastAsia" w:eastAsia="仿宋"/>
                <w:bCs/>
                <w:sz w:val="24"/>
                <w:szCs w:val="24"/>
              </w:rPr>
              <w:t>企业主营产品、生产设施信息、组织机构图、厂区平面分布图、工艺流程图与实际符合情况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4CD75BB">
            <w:pPr>
              <w:tabs>
                <w:tab w:val="left" w:pos="3960"/>
                <w:tab w:val="left" w:pos="4140"/>
              </w:tabs>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4662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shd w:val="clear" w:color="auto" w:fill="D8D8D8" w:themeFill="background1" w:themeFillShade="D9"/>
            <w:vAlign w:val="center"/>
          </w:tcPr>
          <w:p w14:paraId="17AC882F">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核算边界和主要排放设施描述的符合性</w:t>
            </w:r>
          </w:p>
        </w:tc>
        <w:tc>
          <w:tcPr>
            <w:tcW w:w="6342" w:type="dxa"/>
            <w:vAlign w:val="center"/>
          </w:tcPr>
          <w:p w14:paraId="0CC58995">
            <w:pPr>
              <w:snapToGrid w:val="0"/>
              <w:spacing w:beforeLines="50" w:after="0" w:line="300" w:lineRule="auto"/>
              <w:ind w:firstLine="480" w:firstLineChars="200"/>
              <w:rPr>
                <w:rFonts w:eastAsia="仿宋"/>
                <w:sz w:val="24"/>
                <w:szCs w:val="24"/>
              </w:rPr>
            </w:pPr>
            <w:r>
              <w:rPr>
                <w:rFonts w:hint="eastAsia" w:eastAsia="仿宋"/>
                <w:sz w:val="24"/>
                <w:szCs w:val="24"/>
              </w:rPr>
              <w:t>法人边界的核算范围与实际的符合情况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5CFEA8C8">
            <w:pPr>
              <w:snapToGrid w:val="0"/>
              <w:spacing w:beforeLines="50" w:after="0" w:line="300" w:lineRule="auto"/>
              <w:ind w:firstLine="480" w:firstLineChars="200"/>
              <w:rPr>
                <w:rFonts w:eastAsia="仿宋"/>
                <w:sz w:val="24"/>
                <w:szCs w:val="24"/>
              </w:rPr>
            </w:pPr>
            <w:r>
              <w:rPr>
                <w:rFonts w:hint="eastAsia" w:eastAsia="仿宋"/>
                <w:sz w:val="24"/>
                <w:szCs w:val="24"/>
              </w:rPr>
              <w:t>补充数据表的核算范围与实际的符合情况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72517985">
            <w:pPr>
              <w:snapToGrid w:val="0"/>
              <w:spacing w:beforeLines="50" w:after="0" w:line="300" w:lineRule="auto"/>
              <w:ind w:firstLine="480" w:firstLineChars="200"/>
              <w:rPr>
                <w:rFonts w:eastAsia="仿宋"/>
                <w:sz w:val="24"/>
                <w:szCs w:val="24"/>
              </w:rPr>
            </w:pPr>
            <w:r>
              <w:rPr>
                <w:rFonts w:hint="eastAsia" w:eastAsia="仿宋"/>
                <w:sz w:val="24"/>
                <w:szCs w:val="24"/>
              </w:rPr>
              <w:t>主要排放设施与实际的符合情况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2189EE3E">
            <w:pPr>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1FF7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14:paraId="123C1F42">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数据获取方式的符合性</w:t>
            </w:r>
          </w:p>
        </w:tc>
        <w:tc>
          <w:tcPr>
            <w:tcW w:w="6342" w:type="dxa"/>
            <w:vAlign w:val="center"/>
          </w:tcPr>
          <w:p w14:paraId="0C98B199">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监测计划中涉及的所有活动水平数据和排放因子识别全面情况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D20D17F">
            <w:pPr>
              <w:tabs>
                <w:tab w:val="left" w:pos="3960"/>
                <w:tab w:val="left" w:pos="4140"/>
              </w:tabs>
              <w:snapToGrid w:val="0"/>
              <w:spacing w:beforeLines="50" w:after="0" w:line="300" w:lineRule="auto"/>
              <w:ind w:firstLine="480" w:firstLineChars="200"/>
              <w:rPr>
                <w:rFonts w:eastAsia="仿宋"/>
                <w:bCs/>
                <w:sz w:val="24"/>
                <w:szCs w:val="24"/>
              </w:rPr>
            </w:pPr>
            <w:r>
              <w:rPr>
                <w:rFonts w:eastAsia="仿宋"/>
                <w:bCs/>
                <w:sz w:val="24"/>
                <w:szCs w:val="24"/>
              </w:rPr>
              <w:t>监测计划中对参与核算所需要的所有数据都制定了获取方式情况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273ECF16">
            <w:pPr>
              <w:tabs>
                <w:tab w:val="left" w:pos="3960"/>
                <w:tab w:val="left" w:pos="4140"/>
              </w:tabs>
              <w:snapToGrid w:val="0"/>
              <w:spacing w:beforeLines="50" w:after="0" w:line="300" w:lineRule="auto"/>
              <w:ind w:firstLine="480" w:firstLineChars="200"/>
              <w:rPr>
                <w:rFonts w:eastAsia="仿宋"/>
                <w:bCs/>
                <w:sz w:val="24"/>
                <w:szCs w:val="24"/>
              </w:rPr>
            </w:pPr>
            <w:r>
              <w:rPr>
                <w:rFonts w:eastAsia="仿宋"/>
                <w:sz w:val="24"/>
                <w:szCs w:val="24"/>
              </w:rPr>
              <w:t>所填报的</w:t>
            </w:r>
            <w:r>
              <w:rPr>
                <w:rFonts w:eastAsia="仿宋"/>
                <w:bCs/>
                <w:sz w:val="24"/>
                <w:szCs w:val="24"/>
              </w:rPr>
              <w:t>数据单位与核算指南一致情况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65F9EBC2">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所有数据的计算方法和获取方式合理且符合适用的地方标准或核算和报告指南的要求</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20114C38">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数据获取过程中涉及的测量设备的型号、位置属实情况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35276FF7">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监测频次、精度和校准频次符合相关要求情况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7F63B6D7">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数据缺失时的处理方式能够确保不会导致排放量的低估和配额的过量发放情况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7CB5E4F1">
            <w:pPr>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176D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14:paraId="72CE86CD">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数据内部质量控制和质量保证的符合性</w:t>
            </w:r>
          </w:p>
        </w:tc>
        <w:tc>
          <w:tcPr>
            <w:tcW w:w="6342" w:type="dxa"/>
            <w:vAlign w:val="center"/>
          </w:tcPr>
          <w:p w14:paraId="064B21A4">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受审核方已指定专人负责温室气体监测计划制定、温室气体报告工作情况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5A70D1D4">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受审核方已建立监测计划的制定、修订、审批以及执行等的管理制度情况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7EA32A9A">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受审核方已建立温室气体排放报告的编写、内部审核以及审批等管理制度情况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5F38C1CC">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受审核方已建立温室气体数据文件的保存和归档管理制度</w:t>
            </w:r>
            <w:r>
              <w:rPr>
                <w:rFonts w:hint="eastAsia" w:eastAsia="仿宋"/>
                <w:sz w:val="24"/>
                <w:szCs w:val="24"/>
              </w:rPr>
              <w:t>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7659D6BC">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受审核方监测计划制定和执行人员以及排放报告编制人员具备制定相应报告的能力情况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14:paraId="1329BA72">
            <w:pPr>
              <w:tabs>
                <w:tab w:val="left" w:pos="3960"/>
                <w:tab w:val="left" w:pos="4140"/>
              </w:tabs>
              <w:snapToGrid w:val="0"/>
              <w:spacing w:beforeLines="50" w:after="0" w:line="300" w:lineRule="auto"/>
              <w:ind w:firstLine="480" w:firstLineChars="200"/>
              <w:rPr>
                <w:rFonts w:eastAsia="仿宋"/>
                <w:b/>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14:paraId="0A39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14:paraId="61287C57">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其他核查发现（如有）</w:t>
            </w:r>
          </w:p>
        </w:tc>
        <w:tc>
          <w:tcPr>
            <w:tcW w:w="6342" w:type="dxa"/>
            <w:vAlign w:val="center"/>
          </w:tcPr>
          <w:p w14:paraId="606A0390">
            <w:pPr>
              <w:snapToGrid w:val="0"/>
              <w:spacing w:beforeLines="50" w:after="0" w:line="300" w:lineRule="auto"/>
              <w:ind w:firstLine="480" w:firstLineChars="200"/>
              <w:rPr>
                <w:rFonts w:eastAsia="仿宋"/>
                <w:bCs/>
                <w:sz w:val="24"/>
                <w:szCs w:val="24"/>
              </w:rPr>
            </w:pPr>
            <w:r>
              <w:rPr>
                <w:rFonts w:eastAsia="仿宋"/>
                <w:bCs/>
                <w:sz w:val="24"/>
                <w:szCs w:val="24"/>
              </w:rPr>
              <w:t>若还有其它需要说明的核查发现，请详细描述。</w:t>
            </w:r>
          </w:p>
        </w:tc>
      </w:tr>
    </w:tbl>
    <w:p w14:paraId="3FEAF9E6">
      <w:pPr>
        <w:widowControl w:val="0"/>
        <w:spacing w:after="0" w:line="560" w:lineRule="exact"/>
        <w:ind w:left="987"/>
        <w:jc w:val="both"/>
        <w:rPr>
          <w:rFonts w:ascii="仿宋_GB2312" w:hAnsi="仿宋" w:eastAsia="仿宋_GB2312"/>
          <w:sz w:val="32"/>
          <w:szCs w:val="32"/>
        </w:rPr>
      </w:pPr>
    </w:p>
    <w:p w14:paraId="3997C25F">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B）核查方法</w:t>
      </w:r>
    </w:p>
    <w:p w14:paraId="4C472E60">
      <w:pPr>
        <w:widowControl w:val="0"/>
        <w:numPr>
          <w:ilvl w:val="0"/>
          <w:numId w:val="26"/>
        </w:numPr>
        <w:spacing w:after="0" w:line="560" w:lineRule="exact"/>
        <w:jc w:val="both"/>
        <w:rPr>
          <w:rFonts w:ascii="仿宋_GB2312" w:hAnsi="仿宋" w:eastAsia="仿宋_GB2312"/>
          <w:sz w:val="32"/>
          <w:szCs w:val="32"/>
        </w:rPr>
      </w:pPr>
      <w:r>
        <w:rPr>
          <w:rFonts w:ascii="仿宋_GB2312" w:hAnsi="仿宋" w:eastAsia="仿宋_GB2312"/>
          <w:sz w:val="32"/>
          <w:szCs w:val="32"/>
        </w:rPr>
        <w:t>访谈确认监测计划制定及实施情况；</w:t>
      </w:r>
    </w:p>
    <w:p w14:paraId="1B6083CA">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查阅相关参数的检测报告；</w:t>
      </w:r>
    </w:p>
    <w:p w14:paraId="5807AE22">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观察现有监测设备的配置情况；</w:t>
      </w:r>
    </w:p>
    <w:p w14:paraId="6A51E62E">
      <w:pPr>
        <w:widowControl w:val="0"/>
        <w:numPr>
          <w:ilvl w:val="0"/>
          <w:numId w:val="26"/>
        </w:numPr>
        <w:spacing w:after="0" w:line="560" w:lineRule="exact"/>
        <w:ind w:left="567" w:firstLine="6"/>
        <w:jc w:val="both"/>
        <w:rPr>
          <w:rFonts w:ascii="仿宋_GB2312" w:hAnsi="仿宋" w:eastAsia="仿宋_GB2312"/>
          <w:sz w:val="32"/>
          <w:szCs w:val="32"/>
        </w:rPr>
      </w:pPr>
      <w:r>
        <w:rPr>
          <w:rFonts w:hint="eastAsia" w:ascii="仿宋_GB2312" w:hAnsi="仿宋" w:eastAsia="仿宋_GB2312"/>
          <w:sz w:val="32"/>
          <w:szCs w:val="32"/>
        </w:rPr>
        <w:t>访谈了解监测设备的下一步配置计划。</w:t>
      </w:r>
    </w:p>
    <w:p w14:paraId="0EFE72C5">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3.9对京内移动设施和京外能源消费总量的核查</w:t>
      </w:r>
    </w:p>
    <w:p w14:paraId="008F5D30">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14:paraId="00AB84B9">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核查机构应对重点碳排放单位的其他能源消费信息进行核查,并报告如下核查发现：</w:t>
      </w:r>
    </w:p>
    <w:p w14:paraId="7A69F007">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能源消耗（燃料品种、电力等）是否完整；</w:t>
      </w:r>
    </w:p>
    <w:p w14:paraId="1B1DA8D4">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消费数据是否真实、可信。</w:t>
      </w:r>
    </w:p>
    <w:p w14:paraId="0585280A">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14:paraId="22A616AA">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查阅油品购买记录；</w:t>
      </w:r>
    </w:p>
    <w:p w14:paraId="59EBE059">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查阅移动源行驶里程；</w:t>
      </w:r>
    </w:p>
    <w:p w14:paraId="3C12AB84">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查阅能源平衡表。</w:t>
      </w:r>
    </w:p>
    <w:p w14:paraId="001DFA0A">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 xml:space="preserve">   核查机构应注意，交通设施的京内移动设施和</w:t>
      </w:r>
      <w:r>
        <w:rPr>
          <w:rFonts w:ascii="仿宋_GB2312" w:hAnsi="仿宋" w:eastAsia="仿宋_GB2312"/>
          <w:sz w:val="32"/>
          <w:szCs w:val="32"/>
        </w:rPr>
        <w:t>航空器的排放</w:t>
      </w:r>
      <w:r>
        <w:rPr>
          <w:rFonts w:hint="eastAsia" w:ascii="仿宋_GB2312" w:hAnsi="仿宋" w:eastAsia="仿宋_GB2312"/>
          <w:sz w:val="32"/>
          <w:szCs w:val="32"/>
        </w:rPr>
        <w:t>应作为核算边界内的排放设施纳入核查范围，而不应当作为本节核查的内容。</w:t>
      </w:r>
    </w:p>
    <w:p w14:paraId="267016CA">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3.10对数据质量管理的核查</w:t>
      </w:r>
    </w:p>
    <w:p w14:paraId="771F7102">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14:paraId="605299FD">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核查机构应对重点碳排放单位的二氧化碳排放质量管理体系进行核查,核查内容包括：</w:t>
      </w:r>
    </w:p>
    <w:p w14:paraId="15446B72">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是否按标准和规定进行仪表的校准和检定；</w:t>
      </w:r>
    </w:p>
    <w:p w14:paraId="0AE9E265">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是否明确了管理部门，专人负责数据的记录、收集和整理工作；</w:t>
      </w:r>
    </w:p>
    <w:p w14:paraId="1AAF8277">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是否建立了数据的监测、收集和获取的规章制度；</w:t>
      </w:r>
    </w:p>
    <w:p w14:paraId="327A605D">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是否制定了数据缺失、生产活动变化以及报告方法变更的应对措施；</w:t>
      </w:r>
    </w:p>
    <w:p w14:paraId="0C77C6B1">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文档管理是否规范。</w:t>
      </w:r>
    </w:p>
    <w:p w14:paraId="58A40419">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14:paraId="6EAF48DA">
      <w:pPr>
        <w:widowControl w:val="0"/>
        <w:numPr>
          <w:ilvl w:val="0"/>
          <w:numId w:val="24"/>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14:paraId="35345923">
      <w:pPr>
        <w:widowControl w:val="0"/>
        <w:numPr>
          <w:ilvl w:val="0"/>
          <w:numId w:val="28"/>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查阅企业规章制度及监测计划等确认。</w:t>
      </w:r>
    </w:p>
    <w:p w14:paraId="6FE075AD">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4. 核查结论</w:t>
      </w:r>
    </w:p>
    <w:p w14:paraId="556715A2">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核查机构应在核查报告中出具肯定或否定的核查结论。只有当不符合关闭后，核查机构才能出具肯定的核查结论。核查结论应包含下列内容：</w:t>
      </w:r>
    </w:p>
    <w:p w14:paraId="4625DDD2">
      <w:pPr>
        <w:pStyle w:val="5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4.1 核算、报告及方法学的符合性；</w:t>
      </w:r>
    </w:p>
    <w:p w14:paraId="0C444443">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 本年度排放量及</w:t>
      </w:r>
      <w:r>
        <w:rPr>
          <w:rFonts w:ascii="仿宋_GB2312" w:hAnsi="仿宋" w:eastAsia="仿宋_GB2312"/>
          <w:sz w:val="32"/>
          <w:szCs w:val="32"/>
        </w:rPr>
        <w:t>活动水平数据</w:t>
      </w:r>
      <w:r>
        <w:rPr>
          <w:rFonts w:hint="eastAsia" w:ascii="仿宋_GB2312" w:hAnsi="仿宋" w:eastAsia="仿宋_GB2312"/>
          <w:sz w:val="32"/>
          <w:szCs w:val="32"/>
        </w:rPr>
        <w:t>的声明；</w:t>
      </w:r>
    </w:p>
    <w:p w14:paraId="37816F0A">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4.2.1 经核查的直接和间接排放量的声明；</w:t>
      </w:r>
    </w:p>
    <w:p w14:paraId="67231E09">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4.2.2 经核查的活动水平</w:t>
      </w:r>
      <w:r>
        <w:rPr>
          <w:rFonts w:ascii="仿宋_GB2312" w:hAnsi="仿宋" w:eastAsia="仿宋_GB2312"/>
          <w:sz w:val="32"/>
          <w:szCs w:val="32"/>
        </w:rPr>
        <w:t>数据的</w:t>
      </w:r>
      <w:r>
        <w:rPr>
          <w:rFonts w:hint="eastAsia" w:ascii="仿宋_GB2312" w:hAnsi="仿宋" w:eastAsia="仿宋_GB2312"/>
          <w:sz w:val="32"/>
          <w:szCs w:val="32"/>
        </w:rPr>
        <w:t>声明。</w:t>
      </w:r>
    </w:p>
    <w:p w14:paraId="075D6A66">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 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14:paraId="1CF8FD7B">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4.3.1 本年度排放量波动的原因说明;</w:t>
      </w:r>
    </w:p>
    <w:p w14:paraId="4F4D2400">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4.3.2排放下降幅度说明:</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w:t>
      </w:r>
    </w:p>
    <w:p w14:paraId="4916E0DC">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4.3.3本年度</w:t>
      </w:r>
      <w:r>
        <w:rPr>
          <w:rFonts w:ascii="仿宋_GB2312" w:hAnsi="仿宋" w:eastAsia="仿宋_GB2312"/>
          <w:sz w:val="32"/>
          <w:szCs w:val="32"/>
        </w:rPr>
        <w:t>活动水平</w:t>
      </w:r>
      <w:r>
        <w:rPr>
          <w:rFonts w:hint="eastAsia" w:ascii="仿宋_GB2312" w:hAnsi="仿宋" w:eastAsia="仿宋_GB2312"/>
          <w:sz w:val="32"/>
          <w:szCs w:val="32"/>
        </w:rPr>
        <w:t>波动的原因说明，</w:t>
      </w:r>
      <w:r>
        <w:rPr>
          <w:rFonts w:ascii="仿宋_GB2312" w:hAnsi="仿宋" w:eastAsia="仿宋_GB2312"/>
          <w:sz w:val="32"/>
          <w:szCs w:val="32"/>
        </w:rPr>
        <w:t>包括与基准年和上一年度对比的情况。</w:t>
      </w:r>
    </w:p>
    <w:p w14:paraId="5F646D46">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4.4核算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14:paraId="7484970E">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4.4.1</w:t>
      </w:r>
      <w:r>
        <w:rPr>
          <w:rFonts w:ascii="Times New Roman" w:hAnsi="Times New Roman" w:eastAsia="仿宋_GB2312"/>
          <w:kern w:val="2"/>
          <w:sz w:val="32"/>
          <w:szCs w:val="32"/>
          <w:lang w:val="en-US"/>
        </w:rPr>
        <w:t>本年度场所边界的变化</w:t>
      </w:r>
      <w:r>
        <w:rPr>
          <w:rFonts w:hint="eastAsia" w:ascii="Times New Roman" w:hAnsi="Times New Roman" w:eastAsia="仿宋_GB2312"/>
          <w:kern w:val="2"/>
          <w:sz w:val="32"/>
          <w:szCs w:val="32"/>
          <w:lang w:val="en-US"/>
        </w:rPr>
        <w:t>，</w:t>
      </w:r>
      <w:r>
        <w:rPr>
          <w:rFonts w:ascii="仿宋_GB2312" w:hAnsi="仿宋" w:eastAsia="仿宋_GB2312"/>
          <w:sz w:val="32"/>
          <w:szCs w:val="32"/>
        </w:rPr>
        <w:t>包括与基准年和上一年度对比的情况</w:t>
      </w:r>
      <w:r>
        <w:rPr>
          <w:rFonts w:hint="eastAsia" w:ascii="仿宋_GB2312" w:hAnsi="仿宋" w:eastAsia="仿宋_GB2312"/>
          <w:sz w:val="32"/>
          <w:szCs w:val="32"/>
        </w:rPr>
        <w:t>；</w:t>
      </w:r>
    </w:p>
    <w:p w14:paraId="14CAB321">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4.4.2</w:t>
      </w:r>
      <w:r>
        <w:rPr>
          <w:rFonts w:ascii="Times New Roman" w:hAnsi="Times New Roman" w:eastAsia="仿宋"/>
          <w:kern w:val="2"/>
          <w:sz w:val="32"/>
          <w:szCs w:val="32"/>
          <w:lang w:val="en-US"/>
        </w:rPr>
        <w:t>本年度排放设施的变化</w:t>
      </w:r>
      <w:r>
        <w:rPr>
          <w:rFonts w:hint="eastAsia" w:ascii="Times New Roman" w:hAnsi="Times New Roman" w:eastAsia="仿宋"/>
          <w:kern w:val="2"/>
          <w:sz w:val="32"/>
          <w:szCs w:val="32"/>
          <w:lang w:val="en-US"/>
        </w:rPr>
        <w:t>，包括是否</w:t>
      </w:r>
      <w:r>
        <w:rPr>
          <w:rFonts w:ascii="Times New Roman" w:hAnsi="Times New Roman" w:eastAsia="仿宋"/>
          <w:kern w:val="2"/>
          <w:sz w:val="32"/>
          <w:szCs w:val="32"/>
          <w:lang w:val="en-US"/>
        </w:rPr>
        <w:t>符合既有设施调整、</w:t>
      </w:r>
      <w:r>
        <w:rPr>
          <w:rFonts w:hint="eastAsia" w:ascii="Times New Roman" w:hAnsi="Times New Roman" w:eastAsia="仿宋"/>
          <w:kern w:val="2"/>
          <w:sz w:val="32"/>
          <w:szCs w:val="32"/>
          <w:lang w:val="en-US"/>
        </w:rPr>
        <w:t>既有</w:t>
      </w:r>
      <w:r>
        <w:rPr>
          <w:rFonts w:ascii="Times New Roman" w:hAnsi="Times New Roman" w:eastAsia="仿宋"/>
          <w:kern w:val="2"/>
          <w:sz w:val="32"/>
          <w:szCs w:val="32"/>
          <w:lang w:val="en-US"/>
        </w:rPr>
        <w:t>设施退出、新增设施</w:t>
      </w:r>
      <w:r>
        <w:rPr>
          <w:rFonts w:hint="eastAsia" w:ascii="Times New Roman" w:hAnsi="Times New Roman" w:eastAsia="仿宋"/>
          <w:kern w:val="2"/>
          <w:sz w:val="32"/>
          <w:szCs w:val="32"/>
          <w:lang w:val="en-US"/>
        </w:rPr>
        <w:t>、</w:t>
      </w:r>
      <w:r>
        <w:rPr>
          <w:rFonts w:ascii="Times New Roman" w:hAnsi="Times New Roman" w:eastAsia="仿宋"/>
          <w:kern w:val="2"/>
          <w:sz w:val="32"/>
          <w:szCs w:val="32"/>
          <w:lang w:val="en-US"/>
        </w:rPr>
        <w:t>新增替代既有</w:t>
      </w:r>
      <w:r>
        <w:rPr>
          <w:rFonts w:hint="eastAsia" w:ascii="Times New Roman" w:hAnsi="Times New Roman" w:eastAsia="仿宋"/>
          <w:kern w:val="2"/>
          <w:sz w:val="32"/>
          <w:szCs w:val="32"/>
          <w:lang w:val="en-US"/>
        </w:rPr>
        <w:t>设施的</w:t>
      </w:r>
      <w:r>
        <w:rPr>
          <w:rFonts w:ascii="Times New Roman" w:hAnsi="Times New Roman" w:eastAsia="仿宋"/>
          <w:kern w:val="2"/>
          <w:sz w:val="32"/>
          <w:szCs w:val="32"/>
          <w:lang w:val="en-US"/>
        </w:rPr>
        <w:t>活动水平和排放量等情况</w:t>
      </w:r>
      <w:r>
        <w:rPr>
          <w:rFonts w:hint="eastAsia" w:ascii="Times New Roman" w:hAnsi="Times New Roman" w:eastAsia="仿宋"/>
          <w:kern w:val="2"/>
          <w:sz w:val="32"/>
          <w:szCs w:val="32"/>
          <w:lang w:val="en-US"/>
        </w:rPr>
        <w:t>。</w:t>
      </w:r>
    </w:p>
    <w:p w14:paraId="23BB05B7">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4.5核查过程未覆盖到的问题的描述。</w:t>
      </w:r>
    </w:p>
    <w:p w14:paraId="0E21169B">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5. 附件</w:t>
      </w:r>
    </w:p>
    <w:p w14:paraId="303C121A">
      <w:pPr>
        <w:spacing w:after="0" w:line="560" w:lineRule="exact"/>
        <w:ind w:firstLine="549" w:firstLineChars="171"/>
        <w:rPr>
          <w:rFonts w:ascii="仿宋_GB2312" w:hAnsi="仿宋" w:eastAsia="仿宋_GB2312"/>
          <w:b/>
          <w:sz w:val="32"/>
          <w:szCs w:val="32"/>
        </w:rPr>
      </w:pPr>
      <w:r>
        <w:rPr>
          <w:rFonts w:hint="eastAsia" w:ascii="仿宋_GB2312" w:hAnsi="仿宋" w:eastAsia="仿宋_GB2312"/>
          <w:b/>
          <w:sz w:val="32"/>
          <w:szCs w:val="32"/>
        </w:rPr>
        <w:t>附件1：不符合清单</w:t>
      </w:r>
    </w:p>
    <w:p w14:paraId="26C39373">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核查机构应采用如下格式，详细报告在核查过程中开具的不符合，以及重点碳排放单位对不符合的原因分析、纠正及纠正措施以及最终的核查结论。</w:t>
      </w:r>
    </w:p>
    <w:p w14:paraId="5CB597FB">
      <w:pPr>
        <w:spacing w:after="0" w:line="560" w:lineRule="exact"/>
        <w:ind w:firstLine="564"/>
        <w:rPr>
          <w:rFonts w:ascii="仿宋_GB2312" w:hAnsi="仿宋" w:eastAsia="仿宋_GB2312"/>
          <w:sz w:val="32"/>
          <w:szCs w:val="32"/>
        </w:rPr>
      </w:pP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189"/>
        <w:gridCol w:w="2739"/>
        <w:gridCol w:w="3119"/>
        <w:gridCol w:w="1559"/>
      </w:tblGrid>
      <w:tr w14:paraId="74F6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7DB59453">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序号</w:t>
            </w:r>
          </w:p>
        </w:tc>
        <w:tc>
          <w:tcPr>
            <w:tcW w:w="1189" w:type="dxa"/>
          </w:tcPr>
          <w:p w14:paraId="0B052870">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不符合描述</w:t>
            </w:r>
          </w:p>
        </w:tc>
        <w:tc>
          <w:tcPr>
            <w:tcW w:w="2739" w:type="dxa"/>
          </w:tcPr>
          <w:p w14:paraId="680FFF71">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重点碳排放单位原因分析</w:t>
            </w:r>
          </w:p>
        </w:tc>
        <w:tc>
          <w:tcPr>
            <w:tcW w:w="3119" w:type="dxa"/>
          </w:tcPr>
          <w:p w14:paraId="28614B62">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重点碳排放单位采取的纠正及纠正措施</w:t>
            </w:r>
          </w:p>
        </w:tc>
        <w:tc>
          <w:tcPr>
            <w:tcW w:w="1559" w:type="dxa"/>
          </w:tcPr>
          <w:p w14:paraId="5402C89D">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核查结论</w:t>
            </w:r>
          </w:p>
        </w:tc>
      </w:tr>
      <w:tr w14:paraId="4331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18B2625E">
            <w:pPr>
              <w:spacing w:after="0" w:line="560" w:lineRule="exact"/>
              <w:rPr>
                <w:rFonts w:ascii="仿宋_GB2312" w:hAnsi="仿宋" w:eastAsia="仿宋_GB2312"/>
                <w:sz w:val="32"/>
                <w:szCs w:val="32"/>
              </w:rPr>
            </w:pPr>
            <w:r>
              <w:rPr>
                <w:rFonts w:hint="eastAsia" w:ascii="仿宋_GB2312" w:hAnsi="仿宋" w:eastAsia="仿宋_GB2312"/>
                <w:sz w:val="32"/>
                <w:szCs w:val="32"/>
              </w:rPr>
              <w:t>NC1</w:t>
            </w:r>
          </w:p>
        </w:tc>
        <w:tc>
          <w:tcPr>
            <w:tcW w:w="1189" w:type="dxa"/>
          </w:tcPr>
          <w:p w14:paraId="1FE73570">
            <w:pPr>
              <w:spacing w:after="0" w:line="560" w:lineRule="exact"/>
              <w:rPr>
                <w:rFonts w:ascii="仿宋_GB2312" w:hAnsi="仿宋" w:eastAsia="仿宋_GB2312"/>
                <w:sz w:val="32"/>
                <w:szCs w:val="32"/>
              </w:rPr>
            </w:pPr>
          </w:p>
        </w:tc>
        <w:tc>
          <w:tcPr>
            <w:tcW w:w="2739" w:type="dxa"/>
          </w:tcPr>
          <w:p w14:paraId="549D320B">
            <w:pPr>
              <w:spacing w:after="0" w:line="560" w:lineRule="exact"/>
              <w:rPr>
                <w:rFonts w:ascii="仿宋_GB2312" w:hAnsi="仿宋" w:eastAsia="仿宋_GB2312"/>
                <w:sz w:val="32"/>
                <w:szCs w:val="32"/>
              </w:rPr>
            </w:pPr>
          </w:p>
        </w:tc>
        <w:tc>
          <w:tcPr>
            <w:tcW w:w="3119" w:type="dxa"/>
          </w:tcPr>
          <w:p w14:paraId="4DD9B9F5">
            <w:pPr>
              <w:spacing w:after="0" w:line="560" w:lineRule="exact"/>
              <w:rPr>
                <w:rFonts w:ascii="仿宋_GB2312" w:hAnsi="仿宋" w:eastAsia="仿宋_GB2312"/>
                <w:sz w:val="32"/>
                <w:szCs w:val="32"/>
              </w:rPr>
            </w:pPr>
          </w:p>
        </w:tc>
        <w:tc>
          <w:tcPr>
            <w:tcW w:w="1559" w:type="dxa"/>
          </w:tcPr>
          <w:p w14:paraId="072914D4">
            <w:pPr>
              <w:spacing w:after="0" w:line="560" w:lineRule="exact"/>
              <w:rPr>
                <w:rFonts w:ascii="仿宋_GB2312" w:hAnsi="仿宋" w:eastAsia="仿宋_GB2312"/>
                <w:sz w:val="32"/>
                <w:szCs w:val="32"/>
              </w:rPr>
            </w:pPr>
          </w:p>
        </w:tc>
      </w:tr>
      <w:tr w14:paraId="0194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1C81B6DC">
            <w:pPr>
              <w:spacing w:after="0" w:line="560" w:lineRule="exact"/>
              <w:rPr>
                <w:rFonts w:ascii="仿宋_GB2312" w:hAnsi="仿宋" w:eastAsia="仿宋_GB2312"/>
                <w:sz w:val="32"/>
                <w:szCs w:val="32"/>
              </w:rPr>
            </w:pPr>
            <w:r>
              <w:rPr>
                <w:rFonts w:hint="eastAsia" w:ascii="仿宋_GB2312" w:hAnsi="仿宋" w:eastAsia="仿宋_GB2312"/>
                <w:sz w:val="32"/>
                <w:szCs w:val="32"/>
              </w:rPr>
              <w:t>NC2</w:t>
            </w:r>
          </w:p>
        </w:tc>
        <w:tc>
          <w:tcPr>
            <w:tcW w:w="1189" w:type="dxa"/>
          </w:tcPr>
          <w:p w14:paraId="19055E06">
            <w:pPr>
              <w:spacing w:after="0" w:line="560" w:lineRule="exact"/>
              <w:rPr>
                <w:rFonts w:ascii="仿宋_GB2312" w:hAnsi="仿宋" w:eastAsia="仿宋_GB2312"/>
                <w:sz w:val="32"/>
                <w:szCs w:val="32"/>
              </w:rPr>
            </w:pPr>
          </w:p>
        </w:tc>
        <w:tc>
          <w:tcPr>
            <w:tcW w:w="2739" w:type="dxa"/>
          </w:tcPr>
          <w:p w14:paraId="0F1D2883">
            <w:pPr>
              <w:spacing w:after="0" w:line="560" w:lineRule="exact"/>
              <w:rPr>
                <w:rFonts w:ascii="仿宋_GB2312" w:hAnsi="仿宋" w:eastAsia="仿宋_GB2312"/>
                <w:sz w:val="32"/>
                <w:szCs w:val="32"/>
              </w:rPr>
            </w:pPr>
          </w:p>
        </w:tc>
        <w:tc>
          <w:tcPr>
            <w:tcW w:w="3119" w:type="dxa"/>
          </w:tcPr>
          <w:p w14:paraId="3A9C3EDF">
            <w:pPr>
              <w:spacing w:after="0" w:line="560" w:lineRule="exact"/>
              <w:rPr>
                <w:rFonts w:ascii="仿宋_GB2312" w:hAnsi="仿宋" w:eastAsia="仿宋_GB2312"/>
                <w:sz w:val="32"/>
                <w:szCs w:val="32"/>
              </w:rPr>
            </w:pPr>
          </w:p>
        </w:tc>
        <w:tc>
          <w:tcPr>
            <w:tcW w:w="1559" w:type="dxa"/>
          </w:tcPr>
          <w:p w14:paraId="19721D3E">
            <w:pPr>
              <w:spacing w:after="0" w:line="560" w:lineRule="exact"/>
              <w:rPr>
                <w:rFonts w:ascii="仿宋_GB2312" w:hAnsi="仿宋" w:eastAsia="仿宋_GB2312"/>
                <w:sz w:val="32"/>
                <w:szCs w:val="32"/>
              </w:rPr>
            </w:pPr>
          </w:p>
        </w:tc>
      </w:tr>
      <w:tr w14:paraId="058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086B1A5B">
            <w:pPr>
              <w:spacing w:after="0" w:line="560" w:lineRule="exact"/>
              <w:rPr>
                <w:rFonts w:ascii="仿宋_GB2312" w:hAnsi="仿宋" w:eastAsia="仿宋_GB2312"/>
                <w:sz w:val="32"/>
                <w:szCs w:val="32"/>
              </w:rPr>
            </w:pPr>
            <w:r>
              <w:rPr>
                <w:rFonts w:hint="eastAsia" w:ascii="仿宋_GB2312" w:hAnsi="仿宋" w:eastAsia="仿宋_GB2312"/>
                <w:sz w:val="32"/>
                <w:szCs w:val="32"/>
              </w:rPr>
              <w:t>……</w:t>
            </w:r>
          </w:p>
        </w:tc>
        <w:tc>
          <w:tcPr>
            <w:tcW w:w="1189" w:type="dxa"/>
          </w:tcPr>
          <w:p w14:paraId="718D483A">
            <w:pPr>
              <w:spacing w:after="0" w:line="560" w:lineRule="exact"/>
              <w:rPr>
                <w:rFonts w:ascii="仿宋_GB2312" w:hAnsi="仿宋" w:eastAsia="仿宋_GB2312"/>
                <w:sz w:val="32"/>
                <w:szCs w:val="32"/>
              </w:rPr>
            </w:pPr>
          </w:p>
        </w:tc>
        <w:tc>
          <w:tcPr>
            <w:tcW w:w="2739" w:type="dxa"/>
          </w:tcPr>
          <w:p w14:paraId="5427556F">
            <w:pPr>
              <w:spacing w:after="0" w:line="560" w:lineRule="exact"/>
              <w:rPr>
                <w:rFonts w:ascii="仿宋_GB2312" w:hAnsi="仿宋" w:eastAsia="仿宋_GB2312"/>
                <w:sz w:val="32"/>
                <w:szCs w:val="32"/>
              </w:rPr>
            </w:pPr>
          </w:p>
        </w:tc>
        <w:tc>
          <w:tcPr>
            <w:tcW w:w="3119" w:type="dxa"/>
          </w:tcPr>
          <w:p w14:paraId="4370E26E">
            <w:pPr>
              <w:spacing w:after="0" w:line="560" w:lineRule="exact"/>
              <w:rPr>
                <w:rFonts w:ascii="仿宋_GB2312" w:hAnsi="仿宋" w:eastAsia="仿宋_GB2312"/>
                <w:sz w:val="32"/>
                <w:szCs w:val="32"/>
              </w:rPr>
            </w:pPr>
          </w:p>
        </w:tc>
        <w:tc>
          <w:tcPr>
            <w:tcW w:w="1559" w:type="dxa"/>
          </w:tcPr>
          <w:p w14:paraId="025A61CA">
            <w:pPr>
              <w:spacing w:after="0" w:line="560" w:lineRule="exact"/>
              <w:rPr>
                <w:rFonts w:ascii="仿宋_GB2312" w:hAnsi="仿宋" w:eastAsia="仿宋_GB2312"/>
                <w:sz w:val="32"/>
                <w:szCs w:val="32"/>
              </w:rPr>
            </w:pPr>
          </w:p>
        </w:tc>
      </w:tr>
    </w:tbl>
    <w:p w14:paraId="697F9EDC">
      <w:pPr>
        <w:spacing w:after="0" w:line="560" w:lineRule="exact"/>
        <w:rPr>
          <w:rFonts w:ascii="仿宋_GB2312" w:hAnsi="仿宋" w:eastAsia="仿宋_GB2312"/>
          <w:sz w:val="32"/>
          <w:szCs w:val="32"/>
        </w:rPr>
      </w:pPr>
    </w:p>
    <w:p w14:paraId="1A19C546">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附件2：对今后数据核算活动的建议</w:t>
      </w:r>
    </w:p>
    <w:p w14:paraId="32557419">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核查机构应在核查报告中对重点碳排放单位那些虽然不违反适用的地方标准或核算和报告指南但是将来有可能出现误报告或不符合的情况提出建议。</w:t>
      </w:r>
    </w:p>
    <w:p w14:paraId="70A24181">
      <w:pPr>
        <w:spacing w:after="0" w:line="560" w:lineRule="exact"/>
        <w:ind w:firstLine="630" w:firstLineChars="196"/>
        <w:jc w:val="both"/>
        <w:outlineLvl w:val="0"/>
        <w:rPr>
          <w:rFonts w:ascii="楷体_GB2312" w:hAnsi="黑体" w:eastAsia="楷体_GB2312"/>
          <w:b/>
          <w:sz w:val="32"/>
          <w:szCs w:val="32"/>
        </w:rPr>
      </w:pPr>
      <w:r>
        <w:rPr>
          <w:rFonts w:hint="eastAsia" w:ascii="楷体_GB2312" w:hAnsi="黑体" w:eastAsia="楷体_GB2312"/>
          <w:b/>
          <w:sz w:val="32"/>
          <w:szCs w:val="32"/>
        </w:rPr>
        <w:t>（五）参考文件</w:t>
      </w:r>
    </w:p>
    <w:p w14:paraId="3E640D04">
      <w:pPr>
        <w:spacing w:after="0" w:line="560" w:lineRule="exact"/>
        <w:ind w:firstLine="645"/>
        <w:jc w:val="both"/>
        <w:rPr>
          <w:rFonts w:ascii="仿宋_GB2312" w:hAnsi="仿宋" w:eastAsia="仿宋_GB2312"/>
          <w:sz w:val="32"/>
          <w:szCs w:val="32"/>
        </w:rPr>
      </w:pPr>
      <w:r>
        <w:rPr>
          <w:rFonts w:hint="eastAsia" w:ascii="仿宋_GB2312" w:hAnsi="仿宋" w:eastAsia="仿宋_GB2312"/>
          <w:sz w:val="32"/>
          <w:szCs w:val="32"/>
        </w:rPr>
        <w:t>核查机构应在核查报告中列出参考文献及核查过程的支持性文件的清单。</w:t>
      </w:r>
    </w:p>
    <w:p w14:paraId="10A7C8DD">
      <w:pPr>
        <w:spacing w:after="0" w:line="560" w:lineRule="exact"/>
        <w:ind w:firstLine="645"/>
        <w:jc w:val="both"/>
        <w:rPr>
          <w:rFonts w:ascii="仿宋_GB2312" w:hAnsi="仿宋" w:eastAsia="仿宋_GB2312"/>
          <w:sz w:val="32"/>
          <w:szCs w:val="32"/>
        </w:rPr>
      </w:pPr>
    </w:p>
    <w:p w14:paraId="35D2DF14">
      <w:pPr>
        <w:spacing w:after="0" w:line="560" w:lineRule="exact"/>
        <w:ind w:firstLine="645"/>
        <w:jc w:val="both"/>
        <w:rPr>
          <w:rFonts w:ascii="仿宋_GB2312" w:hAnsi="仿宋" w:eastAsia="仿宋_GB2312"/>
          <w:bCs/>
          <w:sz w:val="32"/>
          <w:szCs w:val="32"/>
        </w:rPr>
      </w:pPr>
      <w:r>
        <w:rPr>
          <w:rFonts w:hint="eastAsia" w:ascii="仿宋_GB2312" w:hAnsi="仿宋" w:eastAsia="仿宋_GB2312"/>
          <w:sz w:val="32"/>
          <w:szCs w:val="32"/>
        </w:rPr>
        <w:t>附件</w:t>
      </w:r>
      <w:r>
        <w:rPr>
          <w:rFonts w:ascii="仿宋_GB2312" w:hAnsi="仿宋" w:eastAsia="仿宋_GB2312"/>
          <w:sz w:val="32"/>
          <w:szCs w:val="32"/>
        </w:rPr>
        <w:t>：</w:t>
      </w:r>
      <w:r>
        <w:rPr>
          <w:rFonts w:hint="eastAsia" w:ascii="仿宋_GB2312" w:hAnsi="仿宋" w:eastAsia="仿宋_GB2312"/>
          <w:sz w:val="32"/>
          <w:szCs w:val="32"/>
        </w:rPr>
        <w:t>1.</w:t>
      </w:r>
      <w:r>
        <w:rPr>
          <w:rFonts w:hint="eastAsia" w:ascii="仿宋_GB2312" w:hAnsi="仿宋" w:eastAsia="仿宋_GB2312"/>
          <w:bCs/>
          <w:sz w:val="32"/>
          <w:szCs w:val="32"/>
        </w:rPr>
        <w:t>核查报告基本格式</w:t>
      </w:r>
    </w:p>
    <w:p w14:paraId="33C078D8">
      <w:pPr>
        <w:spacing w:after="0" w:line="560" w:lineRule="exact"/>
        <w:ind w:right="850"/>
        <w:rPr>
          <w:rFonts w:ascii="仿宋_GB2312" w:hAnsi="仿宋" w:eastAsia="仿宋_GB2312" w:cs="Arial"/>
          <w:caps/>
          <w:sz w:val="32"/>
          <w:szCs w:val="32"/>
        </w:rPr>
      </w:pPr>
      <w:r>
        <w:rPr>
          <w:rFonts w:ascii="仿宋_GB2312" w:hAnsi="仿宋" w:eastAsia="仿宋_GB2312"/>
          <w:sz w:val="32"/>
          <w:szCs w:val="32"/>
        </w:rPr>
        <w:t xml:space="preserve">          2.</w:t>
      </w:r>
      <w:r>
        <w:rPr>
          <w:rFonts w:hint="eastAsia" w:ascii="仿宋_GB2312" w:hAnsi="仿宋" w:eastAsia="仿宋_GB2312" w:cs="Arial"/>
          <w:caps/>
          <w:sz w:val="32"/>
          <w:szCs w:val="32"/>
        </w:rPr>
        <w:t>扉页核查结论模板</w:t>
      </w:r>
    </w:p>
    <w:p w14:paraId="620AA1A9">
      <w:pPr>
        <w:spacing w:after="0" w:line="560" w:lineRule="exact"/>
        <w:ind w:firstLine="645"/>
        <w:jc w:val="both"/>
        <w:rPr>
          <w:rFonts w:ascii="仿宋_GB2312" w:hAnsi="仿宋" w:eastAsia="仿宋_GB2312"/>
          <w:sz w:val="32"/>
          <w:szCs w:val="32"/>
        </w:rPr>
      </w:pPr>
    </w:p>
    <w:p w14:paraId="302E5ABD">
      <w:pPr>
        <w:pStyle w:val="150"/>
        <w:spacing w:after="0" w:line="560" w:lineRule="exact"/>
        <w:ind w:left="0"/>
        <w:rPr>
          <w:rFonts w:ascii="黑体" w:hAnsi="黑体" w:eastAsia="黑体"/>
          <w:sz w:val="32"/>
          <w:szCs w:val="32"/>
        </w:rPr>
      </w:pPr>
      <w:r>
        <w:rPr>
          <w:rFonts w:hint="eastAsia" w:ascii="仿宋_GB2312" w:hAnsi="仿宋" w:eastAsia="仿宋_GB2312"/>
          <w:sz w:val="32"/>
          <w:szCs w:val="32"/>
        </w:rPr>
        <w:br w:type="page"/>
      </w:r>
      <w:r>
        <w:rPr>
          <w:rFonts w:hint="eastAsia" w:ascii="黑体" w:hAnsi="黑体" w:eastAsia="黑体"/>
          <w:sz w:val="32"/>
          <w:szCs w:val="32"/>
        </w:rPr>
        <w:t>附件1</w:t>
      </w:r>
    </w:p>
    <w:p w14:paraId="5A445114">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核查报告基本格式</w:t>
      </w:r>
    </w:p>
    <w:p w14:paraId="5963BF81">
      <w:pPr>
        <w:spacing w:after="0" w:line="560" w:lineRule="exact"/>
        <w:rPr>
          <w:rFonts w:ascii="仿宋_GB2312" w:hAnsi="仿宋" w:eastAsia="仿宋_GB2312" w:cs="宋体"/>
          <w:sz w:val="32"/>
          <w:szCs w:val="32"/>
        </w:rPr>
      </w:pPr>
    </w:p>
    <w:p w14:paraId="084CED33">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 xml:space="preserve">第一部分  报告封面 </w:t>
      </w:r>
    </w:p>
    <w:p w14:paraId="1BC83381">
      <w:pPr>
        <w:spacing w:after="0" w:line="560" w:lineRule="exact"/>
        <w:rPr>
          <w:rFonts w:ascii="仿宋_GB2312" w:hAnsi="宋体" w:eastAsia="仿宋_GB2312" w:cs="宋体"/>
          <w:sz w:val="32"/>
          <w:szCs w:val="32"/>
        </w:rPr>
      </w:pPr>
    </w:p>
    <w:p w14:paraId="22FCA268">
      <w:pPr>
        <w:spacing w:after="0" w:line="560" w:lineRule="exact"/>
        <w:rPr>
          <w:rFonts w:ascii="仿宋_GB2312" w:hAnsi="宋体" w:eastAsia="仿宋_GB2312" w:cs="宋体"/>
          <w:sz w:val="32"/>
          <w:szCs w:val="32"/>
        </w:rPr>
      </w:pPr>
    </w:p>
    <w:p w14:paraId="50F8D69C">
      <w:pPr>
        <w:spacing w:after="0" w:line="560" w:lineRule="exact"/>
        <w:rPr>
          <w:rFonts w:ascii="仿宋_GB2312" w:hAnsi="宋体" w:eastAsia="仿宋_GB2312" w:cs="宋体"/>
          <w:sz w:val="32"/>
          <w:szCs w:val="32"/>
        </w:rPr>
      </w:pPr>
    </w:p>
    <w:p w14:paraId="0C3CCC56">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 (重点碳排放单位名称)</w:t>
      </w:r>
    </w:p>
    <w:p w14:paraId="51F615E4">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****年度</w:t>
      </w:r>
    </w:p>
    <w:p w14:paraId="2881C1F5">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二氧化碳排放核查报告</w:t>
      </w:r>
    </w:p>
    <w:p w14:paraId="2BC88D30">
      <w:pPr>
        <w:spacing w:after="0" w:line="560" w:lineRule="exact"/>
        <w:rPr>
          <w:rFonts w:ascii="仿宋_GB2312" w:hAnsi="仿宋" w:eastAsia="仿宋_GB2312" w:cs="宋体"/>
          <w:sz w:val="32"/>
          <w:szCs w:val="32"/>
        </w:rPr>
      </w:pPr>
    </w:p>
    <w:p w14:paraId="58B32EA8">
      <w:pPr>
        <w:spacing w:after="0" w:line="560" w:lineRule="exact"/>
        <w:rPr>
          <w:rFonts w:ascii="仿宋_GB2312" w:hAnsi="仿宋" w:eastAsia="仿宋_GB2312" w:cs="宋体"/>
          <w:sz w:val="32"/>
          <w:szCs w:val="32"/>
        </w:rPr>
      </w:pPr>
    </w:p>
    <w:p w14:paraId="25137607">
      <w:pPr>
        <w:spacing w:after="0" w:line="560" w:lineRule="exact"/>
        <w:rPr>
          <w:rFonts w:ascii="仿宋_GB2312" w:hAnsi="仿宋" w:eastAsia="仿宋_GB2312" w:cs="宋体"/>
          <w:sz w:val="32"/>
          <w:szCs w:val="32"/>
        </w:rPr>
      </w:pPr>
    </w:p>
    <w:p w14:paraId="6BC346CC">
      <w:pPr>
        <w:spacing w:after="0" w:line="560" w:lineRule="exact"/>
        <w:rPr>
          <w:rFonts w:ascii="仿宋_GB2312" w:hAnsi="仿宋" w:eastAsia="仿宋_GB2312" w:cs="宋体"/>
          <w:sz w:val="32"/>
          <w:szCs w:val="32"/>
        </w:rPr>
      </w:pPr>
    </w:p>
    <w:p w14:paraId="21F1445E">
      <w:pPr>
        <w:spacing w:after="0" w:line="560" w:lineRule="exact"/>
        <w:rPr>
          <w:rFonts w:ascii="仿宋_GB2312" w:hAnsi="仿宋" w:eastAsia="仿宋_GB2312" w:cs="宋体"/>
          <w:sz w:val="32"/>
          <w:szCs w:val="32"/>
        </w:rPr>
      </w:pPr>
    </w:p>
    <w:p w14:paraId="6684B8BB">
      <w:pPr>
        <w:spacing w:after="0" w:line="560" w:lineRule="exact"/>
        <w:rPr>
          <w:rFonts w:ascii="仿宋_GB2312" w:hAnsi="仿宋" w:eastAsia="仿宋_GB2312" w:cs="宋体"/>
          <w:sz w:val="32"/>
          <w:szCs w:val="32"/>
        </w:rPr>
      </w:pPr>
    </w:p>
    <w:p w14:paraId="07FA59AD">
      <w:pPr>
        <w:spacing w:after="0" w:line="560" w:lineRule="exact"/>
        <w:rPr>
          <w:rFonts w:ascii="仿宋_GB2312" w:hAnsi="仿宋" w:eastAsia="仿宋_GB2312" w:cs="宋体"/>
          <w:sz w:val="32"/>
          <w:szCs w:val="32"/>
        </w:rPr>
      </w:pPr>
    </w:p>
    <w:p w14:paraId="69A82EF6">
      <w:pPr>
        <w:spacing w:after="0" w:line="560" w:lineRule="exact"/>
        <w:rPr>
          <w:rFonts w:ascii="仿宋_GB2312" w:hAnsi="仿宋" w:eastAsia="仿宋_GB2312" w:cs="宋体"/>
          <w:sz w:val="32"/>
          <w:szCs w:val="32"/>
          <w:u w:val="single"/>
        </w:rPr>
      </w:pPr>
      <w:r>
        <w:rPr>
          <w:rFonts w:hint="eastAsia" w:ascii="仿宋_GB2312" w:hAnsi="仿宋" w:eastAsia="仿宋_GB2312" w:cs="宋体"/>
          <w:sz w:val="32"/>
          <w:szCs w:val="32"/>
        </w:rPr>
        <w:t xml:space="preserve">    核查机构名称（公章）：</w:t>
      </w:r>
    </w:p>
    <w:p w14:paraId="56BAA976">
      <w:pPr>
        <w:spacing w:after="0" w:line="560" w:lineRule="exact"/>
        <w:ind w:firstLine="567"/>
        <w:rPr>
          <w:rFonts w:ascii="仿宋_GB2312" w:hAnsi="仿宋" w:eastAsia="仿宋_GB2312" w:cs="宋体"/>
          <w:b/>
          <w:bCs/>
          <w:sz w:val="32"/>
          <w:szCs w:val="32"/>
        </w:rPr>
      </w:pPr>
      <w:r>
        <w:rPr>
          <w:rFonts w:hint="eastAsia" w:ascii="仿宋_GB2312" w:hAnsi="仿宋" w:eastAsia="仿宋_GB2312" w:cs="宋体"/>
          <w:sz w:val="32"/>
          <w:szCs w:val="32"/>
        </w:rPr>
        <w:t>报告日期:</w:t>
      </w: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第二部分  报告扉页</w:t>
      </w:r>
    </w:p>
    <w:tbl>
      <w:tblPr>
        <w:tblStyle w:val="35"/>
        <w:tblW w:w="9498" w:type="dxa"/>
        <w:tblInd w:w="-176" w:type="dxa"/>
        <w:tblLayout w:type="fixed"/>
        <w:tblCellMar>
          <w:top w:w="0" w:type="dxa"/>
          <w:left w:w="108" w:type="dxa"/>
          <w:bottom w:w="0" w:type="dxa"/>
          <w:right w:w="108" w:type="dxa"/>
        </w:tblCellMar>
      </w:tblPr>
      <w:tblGrid>
        <w:gridCol w:w="1844"/>
        <w:gridCol w:w="409"/>
        <w:gridCol w:w="1639"/>
        <w:gridCol w:w="78"/>
        <w:gridCol w:w="850"/>
        <w:gridCol w:w="15"/>
        <w:gridCol w:w="2112"/>
        <w:gridCol w:w="47"/>
        <w:gridCol w:w="236"/>
        <w:gridCol w:w="709"/>
        <w:gridCol w:w="1559"/>
      </w:tblGrid>
      <w:tr w14:paraId="01DAB9F7">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37BFD2B7">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委托方名称</w:t>
            </w:r>
          </w:p>
        </w:tc>
        <w:tc>
          <w:tcPr>
            <w:tcW w:w="2582" w:type="dxa"/>
            <w:gridSpan w:val="4"/>
            <w:tcBorders>
              <w:top w:val="single" w:color="000000" w:sz="4" w:space="0"/>
              <w:left w:val="nil"/>
              <w:bottom w:val="single" w:color="000000" w:sz="4" w:space="0"/>
              <w:right w:val="single" w:color="000000" w:sz="4" w:space="0"/>
            </w:tcBorders>
            <w:vAlign w:val="center"/>
          </w:tcPr>
          <w:p w14:paraId="16657FDF">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1F795E55">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14:paraId="53ABAD69">
            <w:pPr>
              <w:spacing w:after="0" w:line="360" w:lineRule="auto"/>
              <w:rPr>
                <w:rFonts w:ascii="仿宋_GB2312" w:hAnsi="仿宋" w:eastAsia="仿宋_GB2312"/>
                <w:bCs/>
                <w:sz w:val="24"/>
                <w:szCs w:val="24"/>
              </w:rPr>
            </w:pPr>
          </w:p>
        </w:tc>
      </w:tr>
      <w:tr w14:paraId="7DFE3867">
        <w:tblPrEx>
          <w:tblCellMar>
            <w:top w:w="0" w:type="dxa"/>
            <w:left w:w="108" w:type="dxa"/>
            <w:bottom w:w="0" w:type="dxa"/>
            <w:right w:w="108" w:type="dxa"/>
          </w:tblCellMar>
        </w:tblPrEx>
        <w:trPr>
          <w:trHeight w:val="336"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750CC625">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14:paraId="6F2558E7">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4E151DEE">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14:paraId="6B527EE0">
            <w:pPr>
              <w:spacing w:after="0" w:line="360" w:lineRule="auto"/>
              <w:jc w:val="center"/>
              <w:rPr>
                <w:rFonts w:ascii="仿宋_GB2312" w:hAnsi="仿宋" w:eastAsia="仿宋_GB2312"/>
                <w:bCs/>
                <w:sz w:val="24"/>
                <w:szCs w:val="24"/>
              </w:rPr>
            </w:pPr>
          </w:p>
        </w:tc>
      </w:tr>
      <w:tr w14:paraId="468A2D50">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4A0E14A4">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核查机构名称</w:t>
            </w:r>
          </w:p>
        </w:tc>
        <w:tc>
          <w:tcPr>
            <w:tcW w:w="2582" w:type="dxa"/>
            <w:gridSpan w:val="4"/>
            <w:tcBorders>
              <w:top w:val="single" w:color="000000" w:sz="4" w:space="0"/>
              <w:left w:val="nil"/>
              <w:bottom w:val="single" w:color="000000" w:sz="4" w:space="0"/>
              <w:right w:val="single" w:color="000000" w:sz="4" w:space="0"/>
            </w:tcBorders>
            <w:vAlign w:val="center"/>
          </w:tcPr>
          <w:p w14:paraId="612A5A19">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08CAFF5E">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14:paraId="2E81F731">
            <w:pPr>
              <w:spacing w:after="0" w:line="360" w:lineRule="auto"/>
              <w:rPr>
                <w:rFonts w:ascii="仿宋_GB2312" w:hAnsi="仿宋" w:eastAsia="仿宋_GB2312"/>
                <w:bCs/>
                <w:sz w:val="24"/>
                <w:szCs w:val="24"/>
              </w:rPr>
            </w:pPr>
          </w:p>
        </w:tc>
      </w:tr>
      <w:tr w14:paraId="72B3CDCB">
        <w:tblPrEx>
          <w:tblCellMar>
            <w:top w:w="0" w:type="dxa"/>
            <w:left w:w="108" w:type="dxa"/>
            <w:bottom w:w="0" w:type="dxa"/>
            <w:right w:w="108" w:type="dxa"/>
          </w:tblCellMar>
        </w:tblPrEx>
        <w:trPr>
          <w:trHeight w:val="318"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14:paraId="637B14F3">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14:paraId="56FF2C3A">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14:paraId="55BE2475">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14:paraId="49E114B0">
            <w:pPr>
              <w:spacing w:after="0" w:line="360" w:lineRule="auto"/>
              <w:jc w:val="center"/>
              <w:rPr>
                <w:rFonts w:ascii="仿宋_GB2312" w:hAnsi="仿宋" w:eastAsia="仿宋_GB2312"/>
                <w:bCs/>
                <w:sz w:val="24"/>
                <w:szCs w:val="24"/>
              </w:rPr>
            </w:pPr>
          </w:p>
        </w:tc>
      </w:tr>
      <w:tr w14:paraId="486EEC3B">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67B9EDB5">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(初始)版本/日期</w:t>
            </w:r>
          </w:p>
        </w:tc>
        <w:tc>
          <w:tcPr>
            <w:tcW w:w="5528" w:type="dxa"/>
            <w:gridSpan w:val="7"/>
            <w:tcBorders>
              <w:top w:val="single" w:color="000000" w:sz="4" w:space="0"/>
              <w:left w:val="nil"/>
              <w:bottom w:val="single" w:color="000000" w:sz="4" w:space="0"/>
              <w:right w:val="single" w:color="000000" w:sz="4" w:space="0"/>
            </w:tcBorders>
            <w:vAlign w:val="center"/>
          </w:tcPr>
          <w:p w14:paraId="7BEAA45F">
            <w:pPr>
              <w:spacing w:after="0" w:line="360" w:lineRule="auto"/>
              <w:rPr>
                <w:rFonts w:ascii="仿宋_GB2312" w:hAnsi="仿宋" w:eastAsia="仿宋_GB2312" w:cs="宋体"/>
                <w:bCs/>
                <w:sz w:val="24"/>
                <w:szCs w:val="24"/>
              </w:rPr>
            </w:pPr>
          </w:p>
        </w:tc>
      </w:tr>
      <w:tr w14:paraId="621B1651">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17364965">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(最终)版本/日期</w:t>
            </w:r>
          </w:p>
        </w:tc>
        <w:tc>
          <w:tcPr>
            <w:tcW w:w="5528" w:type="dxa"/>
            <w:gridSpan w:val="7"/>
            <w:tcBorders>
              <w:top w:val="single" w:color="000000" w:sz="4" w:space="0"/>
              <w:left w:val="nil"/>
              <w:bottom w:val="single" w:color="000000" w:sz="4" w:space="0"/>
              <w:right w:val="single" w:color="000000" w:sz="4" w:space="0"/>
            </w:tcBorders>
            <w:vAlign w:val="center"/>
          </w:tcPr>
          <w:p w14:paraId="50C6BD43">
            <w:pPr>
              <w:spacing w:after="0" w:line="360" w:lineRule="auto"/>
              <w:rPr>
                <w:rFonts w:ascii="仿宋_GB2312" w:hAnsi="仿宋" w:eastAsia="仿宋_GB2312" w:cs="宋体"/>
                <w:bCs/>
                <w:sz w:val="24"/>
                <w:szCs w:val="24"/>
              </w:rPr>
            </w:pPr>
          </w:p>
        </w:tc>
      </w:tr>
      <w:tr w14:paraId="5B4A2D9C">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6B78DDB9">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二氧化碳排放报告期</w:t>
            </w:r>
          </w:p>
        </w:tc>
        <w:tc>
          <w:tcPr>
            <w:tcW w:w="5528" w:type="dxa"/>
            <w:gridSpan w:val="7"/>
            <w:tcBorders>
              <w:top w:val="single" w:color="000000" w:sz="4" w:space="0"/>
              <w:left w:val="nil"/>
              <w:bottom w:val="single" w:color="000000" w:sz="4" w:space="0"/>
              <w:right w:val="single" w:color="000000" w:sz="4" w:space="0"/>
            </w:tcBorders>
            <w:vAlign w:val="center"/>
          </w:tcPr>
          <w:p w14:paraId="622A0C1C">
            <w:pPr>
              <w:spacing w:after="0" w:line="360" w:lineRule="auto"/>
              <w:rPr>
                <w:rFonts w:ascii="仿宋_GB2312" w:hAnsi="仿宋" w:eastAsia="仿宋_GB2312" w:cs="宋体"/>
                <w:bCs/>
                <w:sz w:val="24"/>
                <w:szCs w:val="24"/>
              </w:rPr>
            </w:pPr>
          </w:p>
        </w:tc>
      </w:tr>
      <w:tr w14:paraId="713C14A5">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6056C289">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w:t>
            </w:r>
            <w:r>
              <w:rPr>
                <w:rFonts w:ascii="仿宋_GB2312" w:hAnsi="仿宋" w:eastAsia="仿宋_GB2312" w:cs="宋体"/>
                <w:sz w:val="24"/>
                <w:szCs w:val="24"/>
              </w:rPr>
              <w:t>报告边界</w:t>
            </w:r>
          </w:p>
        </w:tc>
        <w:tc>
          <w:tcPr>
            <w:tcW w:w="5528" w:type="dxa"/>
            <w:gridSpan w:val="7"/>
            <w:tcBorders>
              <w:top w:val="single" w:color="000000" w:sz="4" w:space="0"/>
              <w:left w:val="nil"/>
              <w:bottom w:val="single" w:color="000000" w:sz="4" w:space="0"/>
              <w:right w:val="single" w:color="000000" w:sz="4" w:space="0"/>
            </w:tcBorders>
            <w:vAlign w:val="center"/>
          </w:tcPr>
          <w:p w14:paraId="4E5F85FE">
            <w:pPr>
              <w:spacing w:after="0" w:line="360" w:lineRule="auto"/>
              <w:rPr>
                <w:rFonts w:ascii="仿宋_GB2312" w:hAnsi="仿宋" w:eastAsia="仿宋_GB2312" w:cs="宋体"/>
                <w:bCs/>
                <w:sz w:val="24"/>
                <w:szCs w:val="24"/>
              </w:rPr>
            </w:pPr>
          </w:p>
        </w:tc>
      </w:tr>
      <w:tr w14:paraId="25DE9378">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299953E8">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经核查后的二氧化碳排放量</w:t>
            </w:r>
          </w:p>
        </w:tc>
        <w:tc>
          <w:tcPr>
            <w:tcW w:w="5528" w:type="dxa"/>
            <w:gridSpan w:val="7"/>
            <w:tcBorders>
              <w:top w:val="single" w:color="000000" w:sz="4" w:space="0"/>
              <w:left w:val="nil"/>
              <w:bottom w:val="single" w:color="000000" w:sz="4" w:space="0"/>
              <w:right w:val="single" w:color="000000" w:sz="4" w:space="0"/>
            </w:tcBorders>
            <w:vAlign w:val="center"/>
          </w:tcPr>
          <w:p w14:paraId="1A22A042">
            <w:pPr>
              <w:spacing w:after="0" w:line="360" w:lineRule="auto"/>
              <w:rPr>
                <w:rFonts w:ascii="仿宋_GB2312" w:hAnsi="仿宋" w:eastAsia="仿宋_GB2312" w:cs="宋体"/>
                <w:bCs/>
                <w:sz w:val="24"/>
                <w:szCs w:val="24"/>
              </w:rPr>
            </w:pPr>
          </w:p>
        </w:tc>
      </w:tr>
      <w:tr w14:paraId="55679BEE">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4FCAD685">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新增设施的排放量及排放强度</w:t>
            </w:r>
          </w:p>
        </w:tc>
        <w:tc>
          <w:tcPr>
            <w:tcW w:w="5528" w:type="dxa"/>
            <w:gridSpan w:val="7"/>
            <w:tcBorders>
              <w:top w:val="single" w:color="000000" w:sz="4" w:space="0"/>
              <w:left w:val="nil"/>
              <w:bottom w:val="single" w:color="000000" w:sz="4" w:space="0"/>
              <w:right w:val="single" w:color="000000" w:sz="4" w:space="0"/>
            </w:tcBorders>
            <w:vAlign w:val="center"/>
          </w:tcPr>
          <w:p w14:paraId="1A1F5999">
            <w:pPr>
              <w:spacing w:after="0" w:line="360" w:lineRule="auto"/>
              <w:rPr>
                <w:rFonts w:ascii="仿宋_GB2312" w:hAnsi="仿宋" w:eastAsia="仿宋_GB2312" w:cs="宋体"/>
                <w:bCs/>
                <w:sz w:val="24"/>
                <w:szCs w:val="24"/>
              </w:rPr>
            </w:pPr>
          </w:p>
        </w:tc>
      </w:tr>
      <w:tr w14:paraId="2E00690C">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6FD55393">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既有</w:t>
            </w:r>
            <w:r>
              <w:rPr>
                <w:rFonts w:ascii="仿宋_GB2312" w:hAnsi="仿宋" w:eastAsia="仿宋_GB2312" w:cs="宋体"/>
                <w:sz w:val="24"/>
                <w:szCs w:val="24"/>
              </w:rPr>
              <w:t>设施退出的</w:t>
            </w:r>
            <w:r>
              <w:rPr>
                <w:rFonts w:hint="eastAsia" w:ascii="仿宋_GB2312" w:hAnsi="仿宋" w:eastAsia="仿宋_GB2312" w:cs="宋体"/>
                <w:sz w:val="24"/>
                <w:szCs w:val="24"/>
              </w:rPr>
              <w:t>基准年</w:t>
            </w:r>
            <w:r>
              <w:rPr>
                <w:rFonts w:ascii="仿宋_GB2312" w:hAnsi="仿宋" w:eastAsia="仿宋_GB2312" w:cs="宋体"/>
                <w:sz w:val="24"/>
                <w:szCs w:val="24"/>
              </w:rPr>
              <w:t>排放量及</w:t>
            </w:r>
            <w:r>
              <w:rPr>
                <w:rFonts w:hint="eastAsia" w:ascii="仿宋_GB2312" w:hAnsi="仿宋" w:eastAsia="仿宋_GB2312" w:cs="宋体"/>
                <w:sz w:val="24"/>
                <w:szCs w:val="24"/>
              </w:rPr>
              <w:t>排放</w:t>
            </w:r>
            <w:r>
              <w:rPr>
                <w:rFonts w:ascii="仿宋_GB2312" w:hAnsi="仿宋" w:eastAsia="仿宋_GB2312" w:cs="宋体"/>
                <w:sz w:val="24"/>
                <w:szCs w:val="24"/>
              </w:rPr>
              <w:t>强度</w:t>
            </w:r>
          </w:p>
        </w:tc>
        <w:tc>
          <w:tcPr>
            <w:tcW w:w="5528" w:type="dxa"/>
            <w:gridSpan w:val="7"/>
            <w:tcBorders>
              <w:top w:val="single" w:color="000000" w:sz="4" w:space="0"/>
              <w:left w:val="nil"/>
              <w:bottom w:val="single" w:color="000000" w:sz="4" w:space="0"/>
              <w:right w:val="single" w:color="000000" w:sz="4" w:space="0"/>
            </w:tcBorders>
            <w:vAlign w:val="center"/>
          </w:tcPr>
          <w:p w14:paraId="03E1E1A2">
            <w:pPr>
              <w:spacing w:after="0" w:line="360" w:lineRule="auto"/>
              <w:rPr>
                <w:rFonts w:ascii="仿宋_GB2312" w:hAnsi="仿宋" w:eastAsia="仿宋_GB2312" w:cs="宋体"/>
                <w:bCs/>
                <w:sz w:val="24"/>
                <w:szCs w:val="24"/>
              </w:rPr>
            </w:pPr>
          </w:p>
        </w:tc>
      </w:tr>
      <w:tr w14:paraId="46BCE0CA">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6F3AE15B">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替代既有设施的新增设施排放量</w:t>
            </w:r>
          </w:p>
        </w:tc>
        <w:tc>
          <w:tcPr>
            <w:tcW w:w="5528" w:type="dxa"/>
            <w:gridSpan w:val="7"/>
            <w:tcBorders>
              <w:top w:val="single" w:color="000000" w:sz="4" w:space="0"/>
              <w:left w:val="nil"/>
              <w:bottom w:val="single" w:color="000000" w:sz="4" w:space="0"/>
              <w:right w:val="single" w:color="000000" w:sz="4" w:space="0"/>
            </w:tcBorders>
            <w:vAlign w:val="center"/>
          </w:tcPr>
          <w:p w14:paraId="5E34EE36">
            <w:pPr>
              <w:spacing w:after="0" w:line="360" w:lineRule="auto"/>
              <w:rPr>
                <w:rFonts w:ascii="仿宋_GB2312" w:hAnsi="仿宋" w:eastAsia="仿宋_GB2312" w:cs="宋体"/>
                <w:bCs/>
                <w:sz w:val="24"/>
                <w:szCs w:val="24"/>
              </w:rPr>
            </w:pPr>
          </w:p>
        </w:tc>
      </w:tr>
      <w:tr w14:paraId="651D7BA7">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550204DB">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重点碳排放单位所属行业领域</w:t>
            </w:r>
          </w:p>
        </w:tc>
        <w:tc>
          <w:tcPr>
            <w:tcW w:w="5528" w:type="dxa"/>
            <w:gridSpan w:val="7"/>
            <w:tcBorders>
              <w:top w:val="single" w:color="000000" w:sz="4" w:space="0"/>
              <w:left w:val="nil"/>
              <w:bottom w:val="single" w:color="000000" w:sz="4" w:space="0"/>
              <w:right w:val="single" w:color="000000" w:sz="4" w:space="0"/>
            </w:tcBorders>
            <w:vAlign w:val="center"/>
          </w:tcPr>
          <w:p w14:paraId="31612B88">
            <w:pPr>
              <w:spacing w:after="0" w:line="360" w:lineRule="auto"/>
              <w:rPr>
                <w:rFonts w:ascii="仿宋_GB2312" w:hAnsi="仿宋" w:eastAsia="仿宋_GB2312" w:cs="宋体"/>
                <w:bCs/>
                <w:sz w:val="24"/>
                <w:szCs w:val="24"/>
              </w:rPr>
            </w:pPr>
          </w:p>
        </w:tc>
      </w:tr>
      <w:tr w14:paraId="50E74FEE">
        <w:tblPrEx>
          <w:tblCellMar>
            <w:top w:w="0" w:type="dxa"/>
            <w:left w:w="108" w:type="dxa"/>
            <w:bottom w:w="0" w:type="dxa"/>
            <w:right w:w="108" w:type="dxa"/>
          </w:tblCellMar>
        </w:tblPrEx>
        <w:trPr>
          <w:trHeight w:val="290"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14:paraId="7C9087D1">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标准及方法学</w:t>
            </w:r>
          </w:p>
        </w:tc>
        <w:tc>
          <w:tcPr>
            <w:tcW w:w="5528" w:type="dxa"/>
            <w:gridSpan w:val="7"/>
            <w:tcBorders>
              <w:top w:val="single" w:color="000000" w:sz="4" w:space="0"/>
              <w:left w:val="nil"/>
              <w:bottom w:val="single" w:color="000000" w:sz="4" w:space="0"/>
              <w:right w:val="single" w:color="000000" w:sz="4" w:space="0"/>
            </w:tcBorders>
            <w:vAlign w:val="center"/>
          </w:tcPr>
          <w:p w14:paraId="6F510DAF">
            <w:pPr>
              <w:spacing w:after="0" w:line="360" w:lineRule="auto"/>
              <w:rPr>
                <w:rFonts w:ascii="仿宋_GB2312" w:hAnsi="仿宋" w:eastAsia="仿宋_GB2312" w:cs="宋体"/>
                <w:bCs/>
                <w:sz w:val="24"/>
                <w:szCs w:val="24"/>
              </w:rPr>
            </w:pPr>
          </w:p>
        </w:tc>
      </w:tr>
      <w:tr w14:paraId="4E137966">
        <w:tblPrEx>
          <w:tblCellMar>
            <w:top w:w="0" w:type="dxa"/>
            <w:left w:w="108" w:type="dxa"/>
            <w:bottom w:w="0" w:type="dxa"/>
            <w:right w:w="108" w:type="dxa"/>
          </w:tblCellMar>
        </w:tblPrEx>
        <w:tc>
          <w:tcPr>
            <w:tcW w:w="9498" w:type="dxa"/>
            <w:gridSpan w:val="11"/>
            <w:tcBorders>
              <w:top w:val="single" w:color="000000" w:sz="4" w:space="0"/>
              <w:left w:val="single" w:color="000000" w:sz="4" w:space="0"/>
              <w:bottom w:val="single" w:color="000000" w:sz="4" w:space="0"/>
              <w:right w:val="single" w:color="000000" w:sz="4" w:space="0"/>
            </w:tcBorders>
            <w:vAlign w:val="center"/>
          </w:tcPr>
          <w:p w14:paraId="5EE4E155">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核查结论</w:t>
            </w:r>
          </w:p>
          <w:p w14:paraId="5822D385">
            <w:pPr>
              <w:pStyle w:val="58"/>
              <w:spacing w:line="360" w:lineRule="auto"/>
              <w:ind w:firstLine="326"/>
              <w:rPr>
                <w:rFonts w:ascii="仿宋_GB2312" w:hAnsi="仿宋" w:eastAsia="仿宋_GB2312" w:cs="宋体"/>
                <w:color w:val="000000"/>
                <w:spacing w:val="-8"/>
                <w:sz w:val="24"/>
                <w:szCs w:val="24"/>
              </w:rPr>
            </w:pPr>
            <w:r>
              <w:rPr>
                <w:rFonts w:hint="eastAsia" w:ascii="仿宋_GB2312" w:hAnsi="仿宋" w:eastAsia="仿宋_GB2312"/>
                <w:sz w:val="24"/>
                <w:szCs w:val="24"/>
              </w:rPr>
              <w:t>详见附件</w:t>
            </w:r>
            <w:r>
              <w:rPr>
                <w:rFonts w:ascii="仿宋_GB2312" w:hAnsi="仿宋" w:eastAsia="仿宋_GB2312"/>
                <w:sz w:val="24"/>
                <w:szCs w:val="24"/>
              </w:rPr>
              <w:t>的核查结论模板</w:t>
            </w:r>
          </w:p>
        </w:tc>
      </w:tr>
      <w:tr w14:paraId="6331C614">
        <w:tblPrEx>
          <w:tblCellMar>
            <w:top w:w="0" w:type="dxa"/>
            <w:left w:w="108" w:type="dxa"/>
            <w:bottom w:w="0" w:type="dxa"/>
            <w:right w:w="108" w:type="dxa"/>
          </w:tblCellMar>
        </w:tblPrEx>
        <w:trPr>
          <w:trHeight w:val="359" w:hRule="atLeast"/>
        </w:trPr>
        <w:tc>
          <w:tcPr>
            <w:tcW w:w="1844" w:type="dxa"/>
            <w:tcBorders>
              <w:top w:val="single" w:color="000000" w:sz="4" w:space="0"/>
              <w:left w:val="single" w:color="000000" w:sz="4" w:space="0"/>
              <w:bottom w:val="single" w:color="000000" w:sz="4" w:space="0"/>
              <w:right w:val="single" w:color="000000" w:sz="4" w:space="0"/>
            </w:tcBorders>
            <w:vAlign w:val="center"/>
          </w:tcPr>
          <w:p w14:paraId="2E3872C2">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核查组组长</w:t>
            </w:r>
          </w:p>
        </w:tc>
        <w:tc>
          <w:tcPr>
            <w:tcW w:w="2048" w:type="dxa"/>
            <w:gridSpan w:val="2"/>
            <w:tcBorders>
              <w:top w:val="single" w:color="000000" w:sz="4" w:space="0"/>
              <w:left w:val="nil"/>
              <w:bottom w:val="single" w:color="000000" w:sz="4" w:space="0"/>
              <w:right w:val="single" w:color="000000" w:sz="4" w:space="0"/>
            </w:tcBorders>
            <w:vAlign w:val="center"/>
          </w:tcPr>
          <w:p w14:paraId="4F045AD2">
            <w:pPr>
              <w:spacing w:after="0" w:line="360" w:lineRule="auto"/>
              <w:rPr>
                <w:rFonts w:ascii="仿宋_GB2312" w:hAnsi="仿宋" w:eastAsia="仿宋_GB2312" w:cs="宋体"/>
                <w:sz w:val="24"/>
                <w:szCs w:val="24"/>
              </w:rPr>
            </w:pPr>
          </w:p>
        </w:tc>
        <w:tc>
          <w:tcPr>
            <w:tcW w:w="928" w:type="dxa"/>
            <w:gridSpan w:val="2"/>
            <w:tcBorders>
              <w:top w:val="single" w:color="000000" w:sz="4" w:space="0"/>
              <w:left w:val="nil"/>
              <w:bottom w:val="single" w:color="000000" w:sz="4" w:space="0"/>
              <w:right w:val="single" w:color="000000" w:sz="4" w:space="0"/>
            </w:tcBorders>
            <w:vAlign w:val="center"/>
          </w:tcPr>
          <w:p w14:paraId="6F602495">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27" w:type="dxa"/>
            <w:gridSpan w:val="2"/>
            <w:tcBorders>
              <w:top w:val="single" w:color="000000" w:sz="4" w:space="0"/>
              <w:left w:val="nil"/>
              <w:bottom w:val="single" w:color="000000" w:sz="4" w:space="0"/>
              <w:right w:val="single" w:color="000000" w:sz="4" w:space="0"/>
            </w:tcBorders>
            <w:vAlign w:val="center"/>
          </w:tcPr>
          <w:p w14:paraId="24629888">
            <w:pPr>
              <w:spacing w:after="0" w:line="360" w:lineRule="auto"/>
              <w:rPr>
                <w:rFonts w:ascii="仿宋_GB2312" w:hAnsi="仿宋" w:eastAsia="仿宋_GB2312" w:cs="宋体"/>
                <w:sz w:val="24"/>
                <w:szCs w:val="24"/>
              </w:rPr>
            </w:pPr>
          </w:p>
        </w:tc>
        <w:tc>
          <w:tcPr>
            <w:tcW w:w="992" w:type="dxa"/>
            <w:gridSpan w:val="3"/>
            <w:tcBorders>
              <w:top w:val="single" w:color="000000" w:sz="4" w:space="0"/>
              <w:left w:val="nil"/>
              <w:bottom w:val="single" w:color="000000" w:sz="4" w:space="0"/>
              <w:right w:val="single" w:color="000000" w:sz="4" w:space="0"/>
            </w:tcBorders>
            <w:vAlign w:val="center"/>
          </w:tcPr>
          <w:p w14:paraId="37D88211">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000000" w:sz="4" w:space="0"/>
              <w:left w:val="nil"/>
              <w:bottom w:val="single" w:color="000000" w:sz="4" w:space="0"/>
              <w:right w:val="single" w:color="000000" w:sz="4" w:space="0"/>
            </w:tcBorders>
          </w:tcPr>
          <w:p w14:paraId="11F78013">
            <w:pPr>
              <w:spacing w:after="0" w:line="360" w:lineRule="auto"/>
              <w:rPr>
                <w:rFonts w:ascii="仿宋_GB2312" w:hAnsi="仿宋" w:eastAsia="仿宋_GB2312" w:cs="宋体"/>
                <w:b/>
                <w:sz w:val="24"/>
                <w:szCs w:val="24"/>
              </w:rPr>
            </w:pPr>
          </w:p>
        </w:tc>
      </w:tr>
      <w:tr w14:paraId="0CD28D7A">
        <w:tblPrEx>
          <w:tblCellMar>
            <w:top w:w="0" w:type="dxa"/>
            <w:left w:w="108" w:type="dxa"/>
            <w:bottom w:w="0" w:type="dxa"/>
            <w:right w:w="108" w:type="dxa"/>
          </w:tblCellMar>
        </w:tblPrEx>
        <w:trPr>
          <w:trHeight w:val="257" w:hRule="atLeast"/>
        </w:trPr>
        <w:tc>
          <w:tcPr>
            <w:tcW w:w="1844" w:type="dxa"/>
            <w:tcBorders>
              <w:top w:val="single" w:color="000000" w:sz="4" w:space="0"/>
              <w:left w:val="single" w:color="000000" w:sz="4" w:space="0"/>
              <w:bottom w:val="single" w:color="auto" w:sz="4" w:space="0"/>
              <w:right w:val="single" w:color="000000" w:sz="4" w:space="0"/>
            </w:tcBorders>
            <w:vAlign w:val="center"/>
          </w:tcPr>
          <w:p w14:paraId="54147773">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核查组成员</w:t>
            </w:r>
          </w:p>
        </w:tc>
        <w:tc>
          <w:tcPr>
            <w:tcW w:w="7654" w:type="dxa"/>
            <w:gridSpan w:val="10"/>
            <w:tcBorders>
              <w:top w:val="single" w:color="000000" w:sz="4" w:space="0"/>
              <w:left w:val="nil"/>
              <w:bottom w:val="single" w:color="auto" w:sz="4" w:space="0"/>
              <w:right w:val="single" w:color="000000" w:sz="4" w:space="0"/>
            </w:tcBorders>
            <w:vAlign w:val="center"/>
          </w:tcPr>
          <w:p w14:paraId="25B890B0">
            <w:pPr>
              <w:spacing w:after="0" w:line="360" w:lineRule="auto"/>
              <w:rPr>
                <w:rFonts w:ascii="仿宋_GB2312" w:hAnsi="仿宋" w:eastAsia="仿宋_GB2312" w:cs="宋体"/>
                <w:sz w:val="24"/>
                <w:szCs w:val="24"/>
              </w:rPr>
            </w:pPr>
          </w:p>
        </w:tc>
      </w:tr>
      <w:tr w14:paraId="29842EB7">
        <w:tblPrEx>
          <w:tblCellMar>
            <w:top w:w="0" w:type="dxa"/>
            <w:left w:w="108" w:type="dxa"/>
            <w:bottom w:w="0" w:type="dxa"/>
            <w:right w:w="108" w:type="dxa"/>
          </w:tblCellMar>
        </w:tblPrEx>
        <w:trPr>
          <w:trHeight w:val="363" w:hRule="atLeast"/>
        </w:trPr>
        <w:tc>
          <w:tcPr>
            <w:tcW w:w="1844" w:type="dxa"/>
            <w:tcBorders>
              <w:top w:val="single" w:color="auto" w:sz="4" w:space="0"/>
              <w:left w:val="single" w:color="auto" w:sz="4" w:space="0"/>
              <w:bottom w:val="single" w:color="auto" w:sz="4" w:space="0"/>
              <w:right w:val="single" w:color="auto" w:sz="4" w:space="0"/>
            </w:tcBorders>
            <w:vAlign w:val="center"/>
          </w:tcPr>
          <w:p w14:paraId="5E0F51EE">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技术复核人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14:paraId="4DAE5789">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14:paraId="4C89CD38">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14:paraId="111085D2">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33DDD928">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14:paraId="66BAB8E7">
            <w:pPr>
              <w:spacing w:after="0" w:line="360" w:lineRule="auto"/>
              <w:rPr>
                <w:rFonts w:ascii="仿宋_GB2312" w:hAnsi="仿宋" w:eastAsia="仿宋_GB2312" w:cs="宋体"/>
                <w:b/>
                <w:sz w:val="24"/>
                <w:szCs w:val="24"/>
              </w:rPr>
            </w:pPr>
          </w:p>
        </w:tc>
      </w:tr>
      <w:tr w14:paraId="2B06191A">
        <w:tblPrEx>
          <w:tblCellMar>
            <w:top w:w="0" w:type="dxa"/>
            <w:left w:w="108" w:type="dxa"/>
            <w:bottom w:w="0" w:type="dxa"/>
            <w:right w:w="108" w:type="dxa"/>
          </w:tblCellMar>
        </w:tblPrEx>
        <w:trPr>
          <w:trHeight w:val="411" w:hRule="atLeast"/>
        </w:trPr>
        <w:tc>
          <w:tcPr>
            <w:tcW w:w="1844" w:type="dxa"/>
            <w:tcBorders>
              <w:top w:val="single" w:color="auto" w:sz="4" w:space="0"/>
              <w:left w:val="single" w:color="auto" w:sz="4" w:space="0"/>
              <w:bottom w:val="single" w:color="auto" w:sz="4" w:space="0"/>
              <w:right w:val="single" w:color="auto" w:sz="4" w:space="0"/>
            </w:tcBorders>
            <w:vAlign w:val="center"/>
          </w:tcPr>
          <w:p w14:paraId="74F2BB98">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批准人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14:paraId="19624439">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14:paraId="009BE7DF">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14:paraId="78FFCB2E">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3F709E24">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14:paraId="5717964D">
            <w:pPr>
              <w:spacing w:after="0" w:line="360" w:lineRule="auto"/>
              <w:rPr>
                <w:rFonts w:ascii="仿宋_GB2312" w:hAnsi="仿宋" w:eastAsia="仿宋_GB2312" w:cs="宋体"/>
                <w:b/>
                <w:sz w:val="24"/>
                <w:szCs w:val="24"/>
              </w:rPr>
            </w:pPr>
          </w:p>
        </w:tc>
      </w:tr>
    </w:tbl>
    <w:p w14:paraId="04F5FA30">
      <w:pPr>
        <w:spacing w:after="0" w:line="560" w:lineRule="exact"/>
        <w:rPr>
          <w:rFonts w:ascii="仿宋_GB2312" w:hAnsi="仿宋" w:eastAsia="仿宋_GB2312" w:cs="宋体"/>
          <w:sz w:val="32"/>
          <w:szCs w:val="32"/>
        </w:rPr>
      </w:pPr>
    </w:p>
    <w:p w14:paraId="2E598438">
      <w:pPr>
        <w:spacing w:after="0" w:line="560" w:lineRule="exact"/>
        <w:rPr>
          <w:rFonts w:ascii="仿宋_GB2312" w:hAnsi="仿宋" w:eastAsia="仿宋_GB2312" w:cs="宋体"/>
          <w:b/>
          <w:bCs/>
          <w:sz w:val="32"/>
          <w:szCs w:val="32"/>
        </w:rPr>
      </w:pP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第三部分  目录</w:t>
      </w:r>
    </w:p>
    <w:p w14:paraId="043E0AB1">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第四部分  核查报告正文（至少包括以下内容）</w:t>
      </w:r>
    </w:p>
    <w:p w14:paraId="645F4507">
      <w:pPr>
        <w:spacing w:after="0" w:line="560" w:lineRule="exact"/>
        <w:ind w:right="850"/>
        <w:outlineLvl w:val="0"/>
        <w:rPr>
          <w:rFonts w:ascii="仿宋_GB2312" w:hAnsi="仿宋" w:eastAsia="仿宋_GB2312" w:cs="Arial"/>
          <w:b/>
          <w:sz w:val="32"/>
          <w:szCs w:val="32"/>
        </w:rPr>
      </w:pPr>
      <w:r>
        <w:rPr>
          <w:rFonts w:hint="eastAsia" w:ascii="仿宋_GB2312" w:hAnsi="仿宋" w:eastAsia="仿宋_GB2312" w:cs="Arial"/>
          <w:b/>
          <w:caps/>
          <w:sz w:val="32"/>
          <w:szCs w:val="32"/>
        </w:rPr>
        <w:t>1. 概述</w:t>
      </w:r>
    </w:p>
    <w:p w14:paraId="7E39E9D3">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1.1. 核查目的</w:t>
      </w:r>
    </w:p>
    <w:p w14:paraId="3C1609F2">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1.2. 核查范围</w:t>
      </w:r>
    </w:p>
    <w:p w14:paraId="155FDFD6">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1.3. 核查准则</w:t>
      </w:r>
    </w:p>
    <w:p w14:paraId="2A335B22">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2. 核查过程和方法</w:t>
      </w:r>
    </w:p>
    <w:p w14:paraId="2F460159">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2.1. 核查组安排</w:t>
      </w:r>
    </w:p>
    <w:p w14:paraId="3ED354A2">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2.2. 文件评审</w:t>
      </w:r>
    </w:p>
    <w:p w14:paraId="733CAF88">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2.3. 现场访问</w:t>
      </w:r>
    </w:p>
    <w:p w14:paraId="146D5DEE">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2.4. 核查报告编写及内部技术复核</w:t>
      </w:r>
    </w:p>
    <w:p w14:paraId="075E7981">
      <w:pPr>
        <w:spacing w:after="0" w:line="560" w:lineRule="exact"/>
        <w:ind w:left="851" w:right="851" w:hanging="851"/>
        <w:rPr>
          <w:rFonts w:ascii="仿宋_GB2312" w:hAnsi="仿宋" w:eastAsia="仿宋_GB2312" w:cs="Arial"/>
          <w:b/>
          <w:sz w:val="32"/>
          <w:szCs w:val="32"/>
        </w:rPr>
      </w:pPr>
      <w:r>
        <w:rPr>
          <w:rFonts w:hint="eastAsia" w:ascii="仿宋_GB2312" w:hAnsi="仿宋" w:eastAsia="仿宋_GB2312" w:cs="Arial"/>
          <w:b/>
          <w:sz w:val="32"/>
          <w:szCs w:val="32"/>
        </w:rPr>
        <w:t>3 .核查发现</w:t>
      </w:r>
    </w:p>
    <w:p w14:paraId="0BF6EEA4">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3.1  重点碳排放单位的基本信息的核查</w:t>
      </w:r>
    </w:p>
    <w:p w14:paraId="3CAB4599">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3.2  重点碳排放单位的设施边界及排放源识别的核查</w:t>
      </w:r>
    </w:p>
    <w:p w14:paraId="038C3B60">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3.3  核算方法、数据与《企业(单位)二氧化碳核算与报告指南》的符合性的核查</w:t>
      </w:r>
    </w:p>
    <w:p w14:paraId="2ACF01BF">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3.4  测量设备校准的符合性的核查</w:t>
      </w:r>
    </w:p>
    <w:p w14:paraId="3F541C36">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3.5  二氧化碳排放量计算过程及结果的核查</w:t>
      </w:r>
    </w:p>
    <w:p w14:paraId="66A5C7E2">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3.6</w:t>
      </w:r>
      <w:r>
        <w:rPr>
          <w:rFonts w:hint="eastAsia" w:ascii="仿宋_GB2312" w:hAnsi="仿宋" w:eastAsia="仿宋_GB2312" w:cs="宋体"/>
          <w:sz w:val="32"/>
          <w:szCs w:val="32"/>
        </w:rPr>
        <w:tab/>
      </w:r>
      <w:r>
        <w:rPr>
          <w:rFonts w:hint="eastAsia" w:ascii="仿宋_GB2312" w:hAnsi="仿宋" w:eastAsia="仿宋_GB2312" w:cs="宋体"/>
          <w:sz w:val="32"/>
          <w:szCs w:val="32"/>
        </w:rPr>
        <w:t>新增排放设施及既有设施退出的核查</w:t>
      </w:r>
    </w:p>
    <w:p w14:paraId="3A2A2C5B">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3.7</w:t>
      </w:r>
      <w:r>
        <w:rPr>
          <w:rFonts w:hint="eastAsia" w:ascii="仿宋_GB2312" w:hAnsi="仿宋" w:eastAsia="仿宋_GB2312" w:cs="宋体"/>
          <w:sz w:val="32"/>
          <w:szCs w:val="32"/>
        </w:rPr>
        <w:tab/>
      </w:r>
      <w:r>
        <w:rPr>
          <w:rFonts w:hint="eastAsia" w:ascii="仿宋_GB2312" w:hAnsi="仿宋" w:eastAsia="仿宋_GB2312" w:cs="宋体"/>
          <w:sz w:val="32"/>
          <w:szCs w:val="32"/>
        </w:rPr>
        <w:t>未来二氧化碳控制措施的核查</w:t>
      </w:r>
    </w:p>
    <w:p w14:paraId="07326DC8">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3.8 对监测计划的核查</w:t>
      </w:r>
    </w:p>
    <w:p w14:paraId="00A70788">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3.9</w:t>
      </w:r>
      <w:r>
        <w:rPr>
          <w:rFonts w:hint="eastAsia" w:ascii="仿宋_GB2312" w:hAnsi="仿宋" w:eastAsia="仿宋_GB2312" w:cs="宋体"/>
          <w:sz w:val="32"/>
          <w:szCs w:val="32"/>
        </w:rPr>
        <w:tab/>
      </w:r>
      <w:r>
        <w:rPr>
          <w:rFonts w:hint="eastAsia" w:ascii="仿宋_GB2312" w:hAnsi="仿宋" w:eastAsia="仿宋_GB2312" w:cs="宋体"/>
          <w:sz w:val="32"/>
          <w:szCs w:val="32"/>
        </w:rPr>
        <w:t>京内移动设施和京外能源消费总量的核查</w:t>
      </w:r>
    </w:p>
    <w:p w14:paraId="390D7BD7">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3.10对数据质量管理的核查</w:t>
      </w:r>
    </w:p>
    <w:p w14:paraId="1F43232C">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4. 核查结论</w:t>
      </w:r>
    </w:p>
    <w:p w14:paraId="34FF7230">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4.1</w:t>
      </w:r>
      <w:r>
        <w:rPr>
          <w:rFonts w:hint="eastAsia" w:ascii="仿宋_GB2312" w:hAnsi="仿宋" w:eastAsia="仿宋_GB2312" w:cs="宋体"/>
          <w:sz w:val="32"/>
          <w:szCs w:val="32"/>
        </w:rPr>
        <w:tab/>
      </w:r>
      <w:r>
        <w:rPr>
          <w:rFonts w:hint="eastAsia" w:ascii="仿宋_GB2312" w:hAnsi="仿宋" w:eastAsia="仿宋_GB2312" w:cs="宋体"/>
          <w:sz w:val="32"/>
          <w:szCs w:val="32"/>
        </w:rPr>
        <w:t>核算、报告与方法学的符合性</w:t>
      </w:r>
    </w:p>
    <w:p w14:paraId="48F4E94E">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4.2</w:t>
      </w:r>
      <w:r>
        <w:rPr>
          <w:rFonts w:hint="eastAsia" w:ascii="仿宋_GB2312" w:hAnsi="仿宋" w:eastAsia="仿宋_GB2312" w:cs="宋体"/>
          <w:sz w:val="32"/>
          <w:szCs w:val="32"/>
        </w:rPr>
        <w:tab/>
      </w:r>
      <w:r>
        <w:rPr>
          <w:rFonts w:hint="eastAsia" w:ascii="仿宋_GB2312" w:hAnsi="仿宋" w:eastAsia="仿宋_GB2312" w:cs="宋体"/>
          <w:sz w:val="32"/>
          <w:szCs w:val="32"/>
        </w:rPr>
        <w:t>本年度排放量及活动水平</w:t>
      </w:r>
      <w:r>
        <w:rPr>
          <w:rFonts w:ascii="仿宋_GB2312" w:hAnsi="仿宋" w:eastAsia="仿宋_GB2312" w:cs="宋体"/>
          <w:sz w:val="32"/>
          <w:szCs w:val="32"/>
        </w:rPr>
        <w:t>数据</w:t>
      </w:r>
      <w:r>
        <w:rPr>
          <w:rFonts w:hint="eastAsia" w:ascii="仿宋_GB2312" w:hAnsi="仿宋" w:eastAsia="仿宋_GB2312" w:cs="宋体"/>
          <w:sz w:val="32"/>
          <w:szCs w:val="32"/>
        </w:rPr>
        <w:t>的声明</w:t>
      </w:r>
    </w:p>
    <w:p w14:paraId="1EEB3878">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4.3</w:t>
      </w:r>
      <w:r>
        <w:rPr>
          <w:rFonts w:hint="eastAsia" w:ascii="仿宋_GB2312" w:hAnsi="仿宋" w:eastAsia="仿宋_GB2312"/>
          <w:sz w:val="32"/>
          <w:szCs w:val="32"/>
        </w:rPr>
        <w:t>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14:paraId="6C399ABD">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4</w:t>
      </w:r>
      <w:r>
        <w:rPr>
          <w:rFonts w:hint="eastAsia" w:ascii="仿宋_GB2312" w:hAnsi="仿宋" w:eastAsia="仿宋_GB2312"/>
          <w:sz w:val="32"/>
          <w:szCs w:val="32"/>
        </w:rPr>
        <w:t>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14:paraId="4C0F7B66">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5</w:t>
      </w:r>
      <w:r>
        <w:rPr>
          <w:rFonts w:hint="eastAsia" w:ascii="仿宋_GB2312" w:hAnsi="仿宋" w:eastAsia="仿宋_GB2312" w:cs="宋体"/>
          <w:sz w:val="32"/>
          <w:szCs w:val="32"/>
        </w:rPr>
        <w:tab/>
      </w:r>
      <w:r>
        <w:rPr>
          <w:rFonts w:hint="eastAsia" w:ascii="仿宋_GB2312" w:hAnsi="仿宋" w:eastAsia="仿宋_GB2312" w:cs="宋体"/>
          <w:sz w:val="32"/>
          <w:szCs w:val="32"/>
        </w:rPr>
        <w:t>核查过程未覆盖到的问题的描述</w:t>
      </w:r>
    </w:p>
    <w:p w14:paraId="1DB96EDE">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5. 附件</w:t>
      </w:r>
    </w:p>
    <w:p w14:paraId="5E49A172">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附件1：不符合清单</w:t>
      </w:r>
    </w:p>
    <w:p w14:paraId="4ADD0C43">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附件2：对今后核算活动的建议</w:t>
      </w:r>
    </w:p>
    <w:p w14:paraId="516C6175">
      <w:pPr>
        <w:spacing w:after="0" w:line="560" w:lineRule="exact"/>
        <w:rPr>
          <w:rFonts w:ascii="仿宋_GB2312" w:hAnsi="仿宋" w:eastAsia="仿宋_GB2312" w:cs="宋体"/>
          <w:b/>
          <w:bCs/>
          <w:sz w:val="32"/>
          <w:szCs w:val="32"/>
        </w:rPr>
      </w:pPr>
    </w:p>
    <w:p w14:paraId="572DE62C">
      <w:pPr>
        <w:spacing w:after="0" w:line="560" w:lineRule="exact"/>
        <w:rPr>
          <w:rFonts w:ascii="仿宋_GB2312" w:hAnsi="仿宋" w:eastAsia="仿宋_GB2312" w:cs="Arial"/>
          <w:caps/>
          <w:sz w:val="32"/>
          <w:szCs w:val="32"/>
        </w:rPr>
      </w:pPr>
      <w:r>
        <w:rPr>
          <w:rFonts w:hint="eastAsia" w:ascii="仿宋_GB2312" w:hAnsi="仿宋" w:eastAsia="仿宋_GB2312" w:cs="宋体"/>
          <w:b/>
          <w:bCs/>
          <w:sz w:val="32"/>
          <w:szCs w:val="32"/>
        </w:rPr>
        <w:t>第五部分  参考文件</w:t>
      </w:r>
      <w:r>
        <w:rPr>
          <w:rFonts w:ascii="仿宋_GB2312" w:hAnsi="仿宋" w:eastAsia="仿宋_GB2312" w:cs="Arial"/>
          <w:caps/>
          <w:sz w:val="32"/>
          <w:szCs w:val="32"/>
        </w:rPr>
        <w:br w:type="page"/>
      </w:r>
    </w:p>
    <w:p w14:paraId="2F45A3CF">
      <w:pPr>
        <w:spacing w:after="0" w:line="560" w:lineRule="exact"/>
        <w:rPr>
          <w:rFonts w:ascii="黑体" w:hAnsi="黑体" w:eastAsia="黑体"/>
          <w:sz w:val="32"/>
          <w:szCs w:val="32"/>
        </w:rPr>
      </w:pPr>
      <w:r>
        <w:rPr>
          <w:rFonts w:hint="eastAsia" w:ascii="黑体" w:hAnsi="黑体" w:eastAsia="黑体"/>
          <w:sz w:val="32"/>
          <w:szCs w:val="32"/>
        </w:rPr>
        <w:t>附件2</w:t>
      </w:r>
    </w:p>
    <w:p w14:paraId="1226F730">
      <w:pPr>
        <w:spacing w:after="0" w:line="560" w:lineRule="exact"/>
        <w:ind w:right="850"/>
        <w:jc w:val="center"/>
        <w:rPr>
          <w:rFonts w:cs="Arial" w:asciiTheme="majorEastAsia" w:hAnsiTheme="majorEastAsia" w:eastAsiaTheme="majorEastAsia"/>
          <w:b/>
          <w:caps/>
          <w:sz w:val="44"/>
          <w:szCs w:val="44"/>
        </w:rPr>
      </w:pPr>
    </w:p>
    <w:p w14:paraId="7FC08758">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扉页核查结论模板</w:t>
      </w:r>
    </w:p>
    <w:p w14:paraId="72DBAF65">
      <w:pPr>
        <w:spacing w:after="0" w:line="560" w:lineRule="exac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核查结论</w:t>
      </w:r>
    </w:p>
    <w:p w14:paraId="4F219BC0">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二氧化碳排放重点排放单位（以下简称排放单位）委托</w:t>
      </w:r>
      <w:r>
        <w:rPr>
          <w:rFonts w:ascii="Times New Roman" w:hAnsi="Times New Roman" w:eastAsia="仿宋_GB2312"/>
          <w:color w:val="000000" w:themeColor="text1"/>
          <w:sz w:val="32"/>
          <w:szCs w:val="32"/>
        </w:rPr>
        <w:t>xxx单位（核查机构）</w:t>
      </w:r>
      <w:r>
        <w:rPr>
          <w:rFonts w:hint="eastAsia" w:ascii="Times New Roman" w:hAnsi="Times New Roman" w:eastAsia="仿宋_GB2312"/>
          <w:color w:val="000000" w:themeColor="text1"/>
          <w:sz w:val="32"/>
          <w:szCs w:val="32"/>
        </w:rPr>
        <w:t>开展</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年二氧化碳排放的核查工作。核查范围包括排放单位所有在北京市辖区内的固定设施和</w:t>
      </w:r>
      <w:r>
        <w:rPr>
          <w:rFonts w:hint="eastAsia" w:ascii="仿宋_GB2312" w:hAnsi="仿宋" w:eastAsia="仿宋_GB2312"/>
          <w:color w:val="000000" w:themeColor="text1"/>
          <w:sz w:val="32"/>
          <w:szCs w:val="32"/>
        </w:rPr>
        <w:t>以北京为注册地的交通运输行业的移动设施产生的二氧化碳直接排放和二氧化碳间接排放</w:t>
      </w:r>
    </w:p>
    <w:p w14:paraId="5D22D3EE">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通过文件评审、现场访问、核查报告编写及内部技术复核，核查组对排放单位</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年度二氧化碳排放报告形成如下核查结论：</w:t>
      </w:r>
    </w:p>
    <w:p w14:paraId="417FFFCE">
      <w:pPr>
        <w:pStyle w:val="50"/>
        <w:numPr>
          <w:ilvl w:val="0"/>
          <w:numId w:val="30"/>
        </w:numPr>
        <w:spacing w:after="0" w:line="560" w:lineRule="exact"/>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核算、报告与方法学的符合性</w:t>
      </w:r>
    </w:p>
    <w:p w14:paraId="12D7E45C">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核查组确认所有不符合已全部关闭，排放单位的核算与报告均符合地方标准或适用的核算和报告指南（名称）的要求，核查组对本排放报告出具肯定的核查结论。</w:t>
      </w:r>
    </w:p>
    <w:p w14:paraId="777CDE72">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本年度排放量及活动水平数据的声明</w:t>
      </w:r>
    </w:p>
    <w:p w14:paraId="4DA31F25">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经核查的直接和间接排放量与最终排放报告中数据一致。经核查的直接排放量为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吨，总排放量为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p>
    <w:p w14:paraId="7C2B02C4">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经核查活动水平数据</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（例如建筑面积）与最终排放报告中数据一致。经核查的建筑面积为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平方米。</w:t>
      </w:r>
    </w:p>
    <w:p w14:paraId="45104CD5">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年度排放量及活动水平波动的原因说明</w:t>
      </w:r>
    </w:p>
    <w:p w14:paraId="79712062">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本年度排放量与上一年度排放量相比增加（或减少）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，其中直接排放相比上一年度增加（或减少）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，原因为</w:t>
      </w:r>
      <w:r>
        <w:rPr>
          <w:rFonts w:ascii="Times New Roman" w:hAnsi="Times New Roman" w:eastAsia="仿宋_GB2312"/>
          <w:color w:val="000000" w:themeColor="text1"/>
          <w:sz w:val="32"/>
          <w:szCs w:val="32"/>
        </w:rPr>
        <w:t>xxxxxxx</w:t>
      </w:r>
      <w:r>
        <w:rPr>
          <w:rFonts w:hint="eastAsia" w:ascii="Times New Roman" w:hAnsi="Times New Roman" w:eastAsia="仿宋_GB2312"/>
          <w:color w:val="000000" w:themeColor="text1"/>
          <w:sz w:val="32"/>
          <w:szCs w:val="32"/>
        </w:rPr>
        <w:t>。</w:t>
      </w:r>
    </w:p>
    <w:p w14:paraId="4ADCF53A">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本年度排放量相比历史基准年份排放量相比增加（或减少）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本年度排放量相比上一年度增加（或减少）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w:t>
      </w:r>
    </w:p>
    <w:p w14:paraId="20A47960">
      <w:pPr>
        <w:spacing w:after="0" w:line="560" w:lineRule="exact"/>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0565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14:paraId="65CF1B5F">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vAlign w:val="center"/>
          </w:tcPr>
          <w:p w14:paraId="442AC5DB">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14:paraId="5AB25AB5">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14:paraId="134A5F3F">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2F5E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2113A2E1">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144" w:type="dxa"/>
            <w:noWrap/>
            <w:vAlign w:val="center"/>
          </w:tcPr>
          <w:p w14:paraId="0D55E9A2">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500.00</w:t>
            </w:r>
          </w:p>
        </w:tc>
        <w:tc>
          <w:tcPr>
            <w:tcW w:w="2243" w:type="dxa"/>
            <w:noWrap/>
            <w:vAlign w:val="center"/>
          </w:tcPr>
          <w:p w14:paraId="63E2E6A9">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14297.00</w:t>
            </w:r>
          </w:p>
        </w:tc>
        <w:tc>
          <w:tcPr>
            <w:tcW w:w="2270" w:type="dxa"/>
            <w:vAlign w:val="center"/>
          </w:tcPr>
          <w:p w14:paraId="7750DA3A">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14797.00</w:t>
            </w:r>
          </w:p>
        </w:tc>
      </w:tr>
      <w:tr w14:paraId="5E1F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57A4DBF7">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144" w:type="dxa"/>
            <w:noWrap/>
            <w:vAlign w:val="center"/>
          </w:tcPr>
          <w:p w14:paraId="21781F98">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3000.00</w:t>
            </w:r>
          </w:p>
        </w:tc>
        <w:tc>
          <w:tcPr>
            <w:tcW w:w="2243" w:type="dxa"/>
            <w:noWrap/>
            <w:vAlign w:val="center"/>
          </w:tcPr>
          <w:p w14:paraId="26381524">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13643.00</w:t>
            </w:r>
          </w:p>
        </w:tc>
        <w:tc>
          <w:tcPr>
            <w:tcW w:w="2270" w:type="dxa"/>
            <w:vAlign w:val="center"/>
          </w:tcPr>
          <w:p w14:paraId="5FC6AEF7">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16643.00</w:t>
            </w:r>
          </w:p>
        </w:tc>
      </w:tr>
      <w:tr w14:paraId="1959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56214F39">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144" w:type="dxa"/>
            <w:noWrap/>
            <w:vAlign w:val="center"/>
          </w:tcPr>
          <w:p w14:paraId="7C577DEB">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3500.00</w:t>
            </w:r>
          </w:p>
        </w:tc>
        <w:tc>
          <w:tcPr>
            <w:tcW w:w="2243" w:type="dxa"/>
            <w:noWrap/>
            <w:vAlign w:val="center"/>
          </w:tcPr>
          <w:p w14:paraId="48B651ED">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13500.00</w:t>
            </w:r>
          </w:p>
        </w:tc>
        <w:tc>
          <w:tcPr>
            <w:tcW w:w="2270" w:type="dxa"/>
            <w:vAlign w:val="center"/>
          </w:tcPr>
          <w:p w14:paraId="0B69F342">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17000.00</w:t>
            </w:r>
          </w:p>
        </w:tc>
      </w:tr>
      <w:tr w14:paraId="411F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0897BC1D">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144" w:type="dxa"/>
            <w:noWrap/>
            <w:vAlign w:val="center"/>
          </w:tcPr>
          <w:p w14:paraId="48B3AC49">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243" w:type="dxa"/>
            <w:noWrap/>
            <w:vAlign w:val="center"/>
          </w:tcPr>
          <w:p w14:paraId="2F1166F0">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13600.00</w:t>
            </w:r>
          </w:p>
        </w:tc>
        <w:tc>
          <w:tcPr>
            <w:tcW w:w="2270" w:type="dxa"/>
            <w:vAlign w:val="center"/>
          </w:tcPr>
          <w:p w14:paraId="2379A8CA">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18100.00</w:t>
            </w:r>
          </w:p>
        </w:tc>
      </w:tr>
      <w:tr w14:paraId="1BD9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0E85DADE">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w:t>
            </w:r>
          </w:p>
        </w:tc>
        <w:tc>
          <w:tcPr>
            <w:tcW w:w="2144" w:type="dxa"/>
            <w:noWrap/>
            <w:vAlign w:val="center"/>
          </w:tcPr>
          <w:p w14:paraId="214C522C">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243" w:type="dxa"/>
            <w:noWrap/>
            <w:vAlign w:val="center"/>
          </w:tcPr>
          <w:p w14:paraId="47E76201">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14000.00</w:t>
            </w:r>
          </w:p>
        </w:tc>
        <w:tc>
          <w:tcPr>
            <w:tcW w:w="2270" w:type="dxa"/>
            <w:vAlign w:val="center"/>
          </w:tcPr>
          <w:p w14:paraId="357C0044">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18900.00</w:t>
            </w:r>
          </w:p>
        </w:tc>
      </w:tr>
    </w:tbl>
    <w:p w14:paraId="340DB4B0">
      <w:pPr>
        <w:ind w:firstLine="640" w:firstLineChars="200"/>
        <w:rPr>
          <w:rFonts w:ascii="Times New Roman" w:hAnsi="Times New Roman" w:eastAsia="仿宋_GB2312"/>
          <w:sz w:val="32"/>
          <w:szCs w:val="32"/>
        </w:rPr>
      </w:pPr>
    </w:p>
    <w:p w14:paraId="6BC44B13">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8F7FB2">
      <w:pPr>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图</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排放量变化趋势图（增加2</w:t>
      </w:r>
      <w:r>
        <w:rPr>
          <w:rFonts w:ascii="Times New Roman" w:hAnsi="Times New Roman" w:eastAsia="仿宋_GB2312"/>
          <w:color w:val="000000" w:themeColor="text1"/>
          <w:sz w:val="24"/>
        </w:rPr>
        <w:t>020年度）</w:t>
      </w:r>
    </w:p>
    <w:p w14:paraId="56F265DD">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列表说明从基准年一直到现在每年直接和间接排放量及其变化情况，并说出变化的原因，活动水平的变化等。</w:t>
      </w:r>
    </w:p>
    <w:p w14:paraId="774A49B1">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0B02AF84">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65C8448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排放单位核算和报告边界为北京市辖区内的xxxxx的厂区（或服务范围），与上一年度相比，增加（或减少）xxxx厂区（或服务范围）；与</w:t>
      </w:r>
      <w:r>
        <w:rPr>
          <w:rFonts w:hint="eastAsia" w:ascii="Times New Roman" w:hAnsi="Times New Roman" w:eastAsia="仿宋_GB2312"/>
          <w:sz w:val="32"/>
          <w:szCs w:val="32"/>
        </w:rPr>
        <w:t>历史</w:t>
      </w:r>
      <w:r>
        <w:rPr>
          <w:rFonts w:ascii="Times New Roman" w:hAnsi="Times New Roman" w:eastAsia="仿宋_GB2312"/>
          <w:sz w:val="32"/>
          <w:szCs w:val="32"/>
        </w:rPr>
        <w:t>基准年相比，增加（或减少）xxx厂区（或服务范围）。</w:t>
      </w:r>
    </w:p>
    <w:p w14:paraId="47374652">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4.2 </w:t>
      </w:r>
      <w:r>
        <w:rPr>
          <w:rFonts w:ascii="Times New Roman" w:hAnsi="Times New Roman" w:eastAsia="仿宋"/>
          <w:sz w:val="32"/>
          <w:szCs w:val="32"/>
        </w:rPr>
        <w:t>本年度排放设施的变化</w:t>
      </w:r>
    </w:p>
    <w:p w14:paraId="223FA0A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14:paraId="188EA501">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排放单位退出的既有设施（或服务范围）包括xxx。</w:t>
      </w:r>
    </w:p>
    <w:p w14:paraId="08580DD1">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756"/>
        <w:gridCol w:w="1095"/>
        <w:gridCol w:w="687"/>
        <w:gridCol w:w="922"/>
        <w:gridCol w:w="1083"/>
        <w:gridCol w:w="1181"/>
        <w:gridCol w:w="1181"/>
        <w:gridCol w:w="1181"/>
      </w:tblGrid>
      <w:tr w14:paraId="4979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14:paraId="57B1F82A">
            <w:pPr>
              <w:spacing w:after="0" w:line="240" w:lineRule="auto"/>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756" w:type="dxa"/>
            <w:vMerge w:val="restart"/>
            <w:vAlign w:val="center"/>
          </w:tcPr>
          <w:p w14:paraId="70ECDFDD">
            <w:pPr>
              <w:spacing w:after="0" w:line="240" w:lineRule="auto"/>
              <w:jc w:val="center"/>
              <w:rPr>
                <w:rFonts w:ascii="Times New Roman" w:hAnsi="Times New Roman" w:eastAsia="仿宋_GB2312"/>
                <w:sz w:val="24"/>
                <w:szCs w:val="24"/>
              </w:rPr>
            </w:pPr>
            <w:r>
              <w:rPr>
                <w:rFonts w:ascii="Times New Roman" w:hAnsi="Times New Roman" w:eastAsia="仿宋_GB2312"/>
                <w:sz w:val="24"/>
                <w:szCs w:val="24"/>
              </w:rPr>
              <w:t>既有设施名称</w:t>
            </w:r>
          </w:p>
        </w:tc>
        <w:tc>
          <w:tcPr>
            <w:tcW w:w="1095" w:type="dxa"/>
            <w:vMerge w:val="restart"/>
            <w:vAlign w:val="center"/>
          </w:tcPr>
          <w:p w14:paraId="10BF0524">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既有设施对应其它生产信息（如适用）</w:t>
            </w:r>
          </w:p>
        </w:tc>
        <w:tc>
          <w:tcPr>
            <w:tcW w:w="687" w:type="dxa"/>
            <w:vMerge w:val="restart"/>
            <w:vAlign w:val="center"/>
          </w:tcPr>
          <w:p w14:paraId="44DF4AF9">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退出时间</w:t>
            </w:r>
          </w:p>
        </w:tc>
        <w:tc>
          <w:tcPr>
            <w:tcW w:w="922" w:type="dxa"/>
            <w:vMerge w:val="restart"/>
            <w:vAlign w:val="center"/>
          </w:tcPr>
          <w:p w14:paraId="5F4B1F6A">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是否由新增设施替代</w:t>
            </w:r>
          </w:p>
        </w:tc>
        <w:tc>
          <w:tcPr>
            <w:tcW w:w="1083" w:type="dxa"/>
            <w:vMerge w:val="restart"/>
            <w:tcBorders>
              <w:right w:val="single" w:color="auto" w:sz="4" w:space="0"/>
            </w:tcBorders>
            <w:vAlign w:val="center"/>
          </w:tcPr>
          <w:p w14:paraId="2C997D60">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年度</w:t>
            </w:r>
          </w:p>
        </w:tc>
        <w:tc>
          <w:tcPr>
            <w:tcW w:w="3543" w:type="dxa"/>
            <w:gridSpan w:val="3"/>
            <w:tcBorders>
              <w:left w:val="single" w:color="auto" w:sz="4" w:space="0"/>
            </w:tcBorders>
            <w:vAlign w:val="center"/>
          </w:tcPr>
          <w:p w14:paraId="3260268F">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历史年度排放量</w:t>
            </w:r>
          </w:p>
        </w:tc>
      </w:tr>
      <w:tr w14:paraId="759C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62" w:type="dxa"/>
            <w:vMerge w:val="continue"/>
            <w:vAlign w:val="center"/>
          </w:tcPr>
          <w:p w14:paraId="05AE7F49">
            <w:pPr>
              <w:jc w:val="center"/>
              <w:rPr>
                <w:rFonts w:ascii="Times New Roman" w:hAnsi="Times New Roman" w:eastAsia="仿宋_GB2312"/>
                <w:sz w:val="24"/>
                <w:szCs w:val="24"/>
              </w:rPr>
            </w:pPr>
          </w:p>
        </w:tc>
        <w:tc>
          <w:tcPr>
            <w:tcW w:w="756" w:type="dxa"/>
            <w:vMerge w:val="continue"/>
            <w:vAlign w:val="center"/>
          </w:tcPr>
          <w:p w14:paraId="730ADE20">
            <w:pPr>
              <w:jc w:val="center"/>
              <w:rPr>
                <w:rFonts w:ascii="Times New Roman" w:hAnsi="Times New Roman" w:eastAsia="仿宋_GB2312"/>
                <w:sz w:val="24"/>
                <w:szCs w:val="24"/>
              </w:rPr>
            </w:pPr>
          </w:p>
        </w:tc>
        <w:tc>
          <w:tcPr>
            <w:tcW w:w="1095" w:type="dxa"/>
            <w:vMerge w:val="continue"/>
            <w:vAlign w:val="center"/>
          </w:tcPr>
          <w:p w14:paraId="469E1A3E">
            <w:pPr>
              <w:jc w:val="center"/>
              <w:rPr>
                <w:rFonts w:ascii="Times New Roman" w:hAnsi="Times New Roman" w:eastAsia="仿宋_GB2312"/>
                <w:sz w:val="24"/>
                <w:szCs w:val="24"/>
              </w:rPr>
            </w:pPr>
          </w:p>
        </w:tc>
        <w:tc>
          <w:tcPr>
            <w:tcW w:w="687" w:type="dxa"/>
            <w:vMerge w:val="continue"/>
            <w:vAlign w:val="center"/>
          </w:tcPr>
          <w:p w14:paraId="31D9AF15">
            <w:pPr>
              <w:jc w:val="center"/>
              <w:rPr>
                <w:rFonts w:ascii="Times New Roman" w:hAnsi="Times New Roman" w:eastAsia="仿宋_GB2312"/>
                <w:sz w:val="24"/>
                <w:szCs w:val="24"/>
              </w:rPr>
            </w:pPr>
          </w:p>
        </w:tc>
        <w:tc>
          <w:tcPr>
            <w:tcW w:w="922" w:type="dxa"/>
            <w:vMerge w:val="continue"/>
            <w:vAlign w:val="center"/>
          </w:tcPr>
          <w:p w14:paraId="6508E2C1">
            <w:pPr>
              <w:jc w:val="center"/>
              <w:rPr>
                <w:rFonts w:ascii="Times New Roman" w:hAnsi="Times New Roman" w:eastAsia="仿宋_GB2312"/>
                <w:sz w:val="24"/>
                <w:szCs w:val="24"/>
              </w:rPr>
            </w:pPr>
          </w:p>
        </w:tc>
        <w:tc>
          <w:tcPr>
            <w:tcW w:w="1083" w:type="dxa"/>
            <w:vMerge w:val="continue"/>
            <w:tcBorders>
              <w:right w:val="single" w:color="auto" w:sz="4" w:space="0"/>
            </w:tcBorders>
            <w:vAlign w:val="center"/>
          </w:tcPr>
          <w:p w14:paraId="3A284D99">
            <w:pPr>
              <w:jc w:val="center"/>
              <w:rPr>
                <w:rFonts w:ascii="Times New Roman" w:hAnsi="Times New Roman" w:eastAsia="仿宋_GB2312"/>
                <w:sz w:val="24"/>
                <w:szCs w:val="24"/>
              </w:rPr>
            </w:pPr>
          </w:p>
        </w:tc>
        <w:tc>
          <w:tcPr>
            <w:tcW w:w="1181" w:type="dxa"/>
            <w:tcBorders>
              <w:left w:val="single" w:color="auto" w:sz="4" w:space="0"/>
            </w:tcBorders>
            <w:vAlign w:val="center"/>
          </w:tcPr>
          <w:p w14:paraId="26325C70">
            <w:pPr>
              <w:jc w:val="center"/>
              <w:rPr>
                <w:rFonts w:ascii="Times New Roman" w:hAnsi="Times New Roman" w:eastAsia="仿宋_GB2312"/>
                <w:sz w:val="24"/>
                <w:szCs w:val="24"/>
              </w:rPr>
            </w:pPr>
            <w:r>
              <w:rPr>
                <w:rFonts w:hint="eastAsia" w:ascii="Times New Roman" w:hAnsi="Times New Roman" w:eastAsia="仿宋_GB2312"/>
                <w:sz w:val="24"/>
                <w:szCs w:val="24"/>
              </w:rPr>
              <w:t>直接排放量</w:t>
            </w:r>
          </w:p>
          <w:p w14:paraId="407890DE">
            <w:pPr>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181" w:type="dxa"/>
            <w:vAlign w:val="center"/>
          </w:tcPr>
          <w:p w14:paraId="646D603B">
            <w:pPr>
              <w:jc w:val="center"/>
              <w:rPr>
                <w:rFonts w:ascii="Times New Roman" w:hAnsi="Times New Roman" w:eastAsia="仿宋_GB2312"/>
                <w:sz w:val="24"/>
                <w:szCs w:val="24"/>
              </w:rPr>
            </w:pPr>
            <w:r>
              <w:rPr>
                <w:rFonts w:hint="eastAsia" w:ascii="Times New Roman" w:hAnsi="Times New Roman" w:eastAsia="仿宋_GB2312"/>
                <w:sz w:val="24"/>
                <w:szCs w:val="24"/>
              </w:rPr>
              <w:t>间接排放量（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181" w:type="dxa"/>
            <w:vAlign w:val="center"/>
          </w:tcPr>
          <w:p w14:paraId="4236A883">
            <w:pPr>
              <w:jc w:val="center"/>
              <w:rPr>
                <w:rFonts w:ascii="Times New Roman" w:hAnsi="Times New Roman" w:eastAsia="仿宋_GB2312"/>
                <w:sz w:val="24"/>
                <w:szCs w:val="24"/>
              </w:rPr>
            </w:pPr>
            <w:r>
              <w:rPr>
                <w:rFonts w:hint="eastAsia" w:ascii="Times New Roman" w:hAnsi="Times New Roman" w:eastAsia="仿宋_GB2312"/>
                <w:sz w:val="24"/>
                <w:szCs w:val="24"/>
              </w:rPr>
              <w:t>总排放量（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r>
      <w:tr w14:paraId="05D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62" w:type="dxa"/>
            <w:vMerge w:val="restart"/>
            <w:vAlign w:val="center"/>
          </w:tcPr>
          <w:p w14:paraId="14B391CB">
            <w:pPr>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vertAlign w:val="superscript"/>
              </w:rPr>
              <w:t>※</w:t>
            </w:r>
          </w:p>
        </w:tc>
        <w:tc>
          <w:tcPr>
            <w:tcW w:w="756" w:type="dxa"/>
            <w:vMerge w:val="restart"/>
            <w:vAlign w:val="center"/>
          </w:tcPr>
          <w:p w14:paraId="7AFB4FBD">
            <w:pPr>
              <w:jc w:val="center"/>
              <w:rPr>
                <w:rFonts w:ascii="Times New Roman" w:hAnsi="Times New Roman" w:eastAsia="仿宋_GB2312"/>
                <w:sz w:val="24"/>
                <w:szCs w:val="24"/>
              </w:rPr>
            </w:pPr>
          </w:p>
        </w:tc>
        <w:tc>
          <w:tcPr>
            <w:tcW w:w="1095" w:type="dxa"/>
            <w:vMerge w:val="restart"/>
            <w:vAlign w:val="center"/>
          </w:tcPr>
          <w:p w14:paraId="2E868FC8">
            <w:pPr>
              <w:jc w:val="center"/>
              <w:rPr>
                <w:rFonts w:ascii="Times New Roman" w:hAnsi="Times New Roman" w:eastAsia="仿宋_GB2312"/>
                <w:sz w:val="24"/>
                <w:szCs w:val="24"/>
              </w:rPr>
            </w:pPr>
          </w:p>
        </w:tc>
        <w:tc>
          <w:tcPr>
            <w:tcW w:w="687" w:type="dxa"/>
            <w:vMerge w:val="restart"/>
            <w:vAlign w:val="center"/>
          </w:tcPr>
          <w:p w14:paraId="0F0207BB">
            <w:pPr>
              <w:jc w:val="center"/>
              <w:rPr>
                <w:rFonts w:ascii="Times New Roman" w:hAnsi="Times New Roman" w:eastAsia="仿宋_GB2312"/>
                <w:sz w:val="24"/>
                <w:szCs w:val="24"/>
              </w:rPr>
            </w:pPr>
          </w:p>
        </w:tc>
        <w:tc>
          <w:tcPr>
            <w:tcW w:w="922" w:type="dxa"/>
            <w:vMerge w:val="restart"/>
          </w:tcPr>
          <w:p w14:paraId="4B002355">
            <w:pPr>
              <w:rPr>
                <w:rFonts w:ascii="Times New Roman" w:hAnsi="Times New Roman" w:eastAsia="仿宋_GB2312"/>
                <w:sz w:val="24"/>
                <w:szCs w:val="24"/>
              </w:rPr>
            </w:pPr>
          </w:p>
        </w:tc>
        <w:tc>
          <w:tcPr>
            <w:tcW w:w="1083" w:type="dxa"/>
            <w:tcBorders>
              <w:right w:val="single" w:color="auto" w:sz="4" w:space="0"/>
            </w:tcBorders>
          </w:tcPr>
          <w:p w14:paraId="46278E97">
            <w:pP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181" w:type="dxa"/>
            <w:tcBorders>
              <w:left w:val="single" w:color="auto" w:sz="4" w:space="0"/>
            </w:tcBorders>
          </w:tcPr>
          <w:p w14:paraId="7D6795EA">
            <w:pPr>
              <w:rPr>
                <w:rFonts w:ascii="Times New Roman" w:hAnsi="Times New Roman" w:eastAsia="仿宋_GB2312"/>
                <w:sz w:val="24"/>
                <w:szCs w:val="24"/>
              </w:rPr>
            </w:pPr>
          </w:p>
        </w:tc>
        <w:tc>
          <w:tcPr>
            <w:tcW w:w="1181" w:type="dxa"/>
          </w:tcPr>
          <w:p w14:paraId="2F263B3C">
            <w:pPr>
              <w:rPr>
                <w:rFonts w:ascii="Times New Roman" w:hAnsi="Times New Roman" w:eastAsia="仿宋_GB2312"/>
                <w:sz w:val="24"/>
                <w:szCs w:val="24"/>
              </w:rPr>
            </w:pPr>
          </w:p>
        </w:tc>
        <w:tc>
          <w:tcPr>
            <w:tcW w:w="1181" w:type="dxa"/>
          </w:tcPr>
          <w:p w14:paraId="110336BE">
            <w:pPr>
              <w:rPr>
                <w:rFonts w:ascii="Times New Roman" w:hAnsi="Times New Roman" w:eastAsia="仿宋_GB2312"/>
                <w:sz w:val="24"/>
                <w:szCs w:val="24"/>
              </w:rPr>
            </w:pPr>
          </w:p>
        </w:tc>
      </w:tr>
      <w:tr w14:paraId="51DE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14:paraId="319FAA55">
            <w:pPr>
              <w:rPr>
                <w:rFonts w:ascii="Times New Roman" w:hAnsi="Times New Roman" w:eastAsia="仿宋_GB2312"/>
                <w:sz w:val="24"/>
                <w:szCs w:val="24"/>
              </w:rPr>
            </w:pPr>
          </w:p>
        </w:tc>
        <w:tc>
          <w:tcPr>
            <w:tcW w:w="756" w:type="dxa"/>
            <w:vMerge w:val="continue"/>
          </w:tcPr>
          <w:p w14:paraId="27BD9D03">
            <w:pPr>
              <w:rPr>
                <w:rFonts w:ascii="Times New Roman" w:hAnsi="Times New Roman" w:eastAsia="仿宋_GB2312"/>
                <w:sz w:val="24"/>
                <w:szCs w:val="24"/>
              </w:rPr>
            </w:pPr>
          </w:p>
        </w:tc>
        <w:tc>
          <w:tcPr>
            <w:tcW w:w="1095" w:type="dxa"/>
            <w:vMerge w:val="continue"/>
          </w:tcPr>
          <w:p w14:paraId="3DAA8EFD">
            <w:pPr>
              <w:rPr>
                <w:rFonts w:ascii="Times New Roman" w:hAnsi="Times New Roman" w:eastAsia="仿宋_GB2312"/>
                <w:sz w:val="24"/>
                <w:szCs w:val="24"/>
              </w:rPr>
            </w:pPr>
          </w:p>
        </w:tc>
        <w:tc>
          <w:tcPr>
            <w:tcW w:w="687" w:type="dxa"/>
            <w:vMerge w:val="continue"/>
          </w:tcPr>
          <w:p w14:paraId="56C16A34">
            <w:pPr>
              <w:rPr>
                <w:rFonts w:ascii="Times New Roman" w:hAnsi="Times New Roman" w:eastAsia="仿宋_GB2312"/>
                <w:sz w:val="24"/>
                <w:szCs w:val="24"/>
              </w:rPr>
            </w:pPr>
          </w:p>
        </w:tc>
        <w:tc>
          <w:tcPr>
            <w:tcW w:w="922" w:type="dxa"/>
            <w:vMerge w:val="continue"/>
          </w:tcPr>
          <w:p w14:paraId="53947C88">
            <w:pPr>
              <w:rPr>
                <w:rFonts w:ascii="Times New Roman" w:hAnsi="Times New Roman" w:eastAsia="仿宋_GB2312"/>
                <w:sz w:val="24"/>
                <w:szCs w:val="24"/>
              </w:rPr>
            </w:pPr>
          </w:p>
        </w:tc>
        <w:tc>
          <w:tcPr>
            <w:tcW w:w="1083" w:type="dxa"/>
            <w:tcBorders>
              <w:right w:val="single" w:color="auto" w:sz="4" w:space="0"/>
            </w:tcBorders>
          </w:tcPr>
          <w:p w14:paraId="243FDDEB">
            <w:pP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181" w:type="dxa"/>
            <w:tcBorders>
              <w:left w:val="single" w:color="auto" w:sz="4" w:space="0"/>
            </w:tcBorders>
          </w:tcPr>
          <w:p w14:paraId="5DCF0CBA">
            <w:pPr>
              <w:rPr>
                <w:rFonts w:ascii="Times New Roman" w:hAnsi="Times New Roman" w:eastAsia="仿宋_GB2312"/>
                <w:sz w:val="24"/>
                <w:szCs w:val="24"/>
              </w:rPr>
            </w:pPr>
          </w:p>
        </w:tc>
        <w:tc>
          <w:tcPr>
            <w:tcW w:w="1181" w:type="dxa"/>
          </w:tcPr>
          <w:p w14:paraId="24D3AD68">
            <w:pPr>
              <w:rPr>
                <w:rFonts w:ascii="Times New Roman" w:hAnsi="Times New Roman" w:eastAsia="仿宋_GB2312"/>
                <w:sz w:val="24"/>
                <w:szCs w:val="24"/>
              </w:rPr>
            </w:pPr>
          </w:p>
        </w:tc>
        <w:tc>
          <w:tcPr>
            <w:tcW w:w="1181" w:type="dxa"/>
          </w:tcPr>
          <w:p w14:paraId="60EF1518">
            <w:pPr>
              <w:rPr>
                <w:rFonts w:ascii="Times New Roman" w:hAnsi="Times New Roman" w:eastAsia="仿宋_GB2312"/>
                <w:sz w:val="24"/>
                <w:szCs w:val="24"/>
              </w:rPr>
            </w:pPr>
          </w:p>
        </w:tc>
      </w:tr>
      <w:tr w14:paraId="54F6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14:paraId="57FBEAA0">
            <w:pPr>
              <w:rPr>
                <w:rFonts w:ascii="Times New Roman" w:hAnsi="Times New Roman" w:eastAsia="仿宋_GB2312"/>
                <w:sz w:val="24"/>
                <w:szCs w:val="24"/>
              </w:rPr>
            </w:pPr>
          </w:p>
        </w:tc>
        <w:tc>
          <w:tcPr>
            <w:tcW w:w="756" w:type="dxa"/>
            <w:vMerge w:val="continue"/>
          </w:tcPr>
          <w:p w14:paraId="71F8A0A8">
            <w:pPr>
              <w:rPr>
                <w:rFonts w:ascii="Times New Roman" w:hAnsi="Times New Roman" w:eastAsia="仿宋_GB2312"/>
                <w:sz w:val="24"/>
                <w:szCs w:val="24"/>
              </w:rPr>
            </w:pPr>
          </w:p>
        </w:tc>
        <w:tc>
          <w:tcPr>
            <w:tcW w:w="1095" w:type="dxa"/>
            <w:vMerge w:val="continue"/>
          </w:tcPr>
          <w:p w14:paraId="05E77F45">
            <w:pPr>
              <w:rPr>
                <w:rFonts w:ascii="Times New Roman" w:hAnsi="Times New Roman" w:eastAsia="仿宋_GB2312"/>
                <w:sz w:val="24"/>
                <w:szCs w:val="24"/>
              </w:rPr>
            </w:pPr>
          </w:p>
        </w:tc>
        <w:tc>
          <w:tcPr>
            <w:tcW w:w="687" w:type="dxa"/>
            <w:vMerge w:val="continue"/>
          </w:tcPr>
          <w:p w14:paraId="2E28954E">
            <w:pPr>
              <w:rPr>
                <w:rFonts w:ascii="Times New Roman" w:hAnsi="Times New Roman" w:eastAsia="仿宋_GB2312"/>
                <w:sz w:val="24"/>
                <w:szCs w:val="24"/>
              </w:rPr>
            </w:pPr>
          </w:p>
        </w:tc>
        <w:tc>
          <w:tcPr>
            <w:tcW w:w="922" w:type="dxa"/>
            <w:vMerge w:val="continue"/>
          </w:tcPr>
          <w:p w14:paraId="348B05B9">
            <w:pPr>
              <w:rPr>
                <w:rFonts w:ascii="Times New Roman" w:hAnsi="Times New Roman" w:eastAsia="仿宋_GB2312"/>
                <w:sz w:val="24"/>
                <w:szCs w:val="24"/>
              </w:rPr>
            </w:pPr>
          </w:p>
        </w:tc>
        <w:tc>
          <w:tcPr>
            <w:tcW w:w="1083" w:type="dxa"/>
            <w:tcBorders>
              <w:right w:val="single" w:color="auto" w:sz="4" w:space="0"/>
            </w:tcBorders>
          </w:tcPr>
          <w:p w14:paraId="7326E83E">
            <w:pPr>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181" w:type="dxa"/>
            <w:tcBorders>
              <w:left w:val="single" w:color="auto" w:sz="4" w:space="0"/>
            </w:tcBorders>
          </w:tcPr>
          <w:p w14:paraId="3B1AE9D1">
            <w:pPr>
              <w:rPr>
                <w:rFonts w:ascii="Times New Roman" w:hAnsi="Times New Roman" w:eastAsia="仿宋_GB2312"/>
                <w:sz w:val="24"/>
                <w:szCs w:val="24"/>
              </w:rPr>
            </w:pPr>
          </w:p>
        </w:tc>
        <w:tc>
          <w:tcPr>
            <w:tcW w:w="1181" w:type="dxa"/>
          </w:tcPr>
          <w:p w14:paraId="190C23F0">
            <w:pPr>
              <w:rPr>
                <w:rFonts w:ascii="Times New Roman" w:hAnsi="Times New Roman" w:eastAsia="仿宋_GB2312"/>
                <w:sz w:val="24"/>
                <w:szCs w:val="24"/>
              </w:rPr>
            </w:pPr>
          </w:p>
        </w:tc>
        <w:tc>
          <w:tcPr>
            <w:tcW w:w="1181" w:type="dxa"/>
          </w:tcPr>
          <w:p w14:paraId="5539D7D8">
            <w:pPr>
              <w:rPr>
                <w:rFonts w:ascii="Times New Roman" w:hAnsi="Times New Roman" w:eastAsia="仿宋_GB2312"/>
                <w:sz w:val="24"/>
                <w:szCs w:val="24"/>
              </w:rPr>
            </w:pPr>
          </w:p>
        </w:tc>
      </w:tr>
      <w:tr w14:paraId="2B44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14:paraId="0D6906FB">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756" w:type="dxa"/>
            <w:vMerge w:val="restart"/>
            <w:vAlign w:val="center"/>
          </w:tcPr>
          <w:p w14:paraId="30A3807C">
            <w:pPr>
              <w:jc w:val="center"/>
              <w:rPr>
                <w:rFonts w:ascii="Times New Roman" w:hAnsi="Times New Roman" w:eastAsia="仿宋_GB2312"/>
                <w:sz w:val="24"/>
                <w:szCs w:val="24"/>
              </w:rPr>
            </w:pPr>
          </w:p>
        </w:tc>
        <w:tc>
          <w:tcPr>
            <w:tcW w:w="1095" w:type="dxa"/>
            <w:vMerge w:val="restart"/>
            <w:vAlign w:val="center"/>
          </w:tcPr>
          <w:p w14:paraId="522CD211">
            <w:pPr>
              <w:jc w:val="center"/>
              <w:rPr>
                <w:rFonts w:ascii="Times New Roman" w:hAnsi="Times New Roman" w:eastAsia="仿宋_GB2312"/>
                <w:sz w:val="24"/>
                <w:szCs w:val="24"/>
              </w:rPr>
            </w:pPr>
          </w:p>
        </w:tc>
        <w:tc>
          <w:tcPr>
            <w:tcW w:w="687" w:type="dxa"/>
            <w:vMerge w:val="restart"/>
            <w:vAlign w:val="center"/>
          </w:tcPr>
          <w:p w14:paraId="2EB4E873">
            <w:pPr>
              <w:jc w:val="center"/>
              <w:rPr>
                <w:rFonts w:ascii="Times New Roman" w:hAnsi="Times New Roman" w:eastAsia="仿宋_GB2312"/>
                <w:sz w:val="24"/>
                <w:szCs w:val="24"/>
              </w:rPr>
            </w:pPr>
          </w:p>
        </w:tc>
        <w:tc>
          <w:tcPr>
            <w:tcW w:w="922" w:type="dxa"/>
            <w:vMerge w:val="restart"/>
          </w:tcPr>
          <w:p w14:paraId="7A61E4D1">
            <w:pPr>
              <w:rPr>
                <w:rFonts w:ascii="Times New Roman" w:hAnsi="Times New Roman" w:eastAsia="仿宋_GB2312"/>
                <w:sz w:val="24"/>
                <w:szCs w:val="24"/>
              </w:rPr>
            </w:pPr>
          </w:p>
        </w:tc>
        <w:tc>
          <w:tcPr>
            <w:tcW w:w="1083" w:type="dxa"/>
            <w:tcBorders>
              <w:right w:val="single" w:color="auto" w:sz="4" w:space="0"/>
            </w:tcBorders>
          </w:tcPr>
          <w:p w14:paraId="0FCE1150">
            <w:pP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181" w:type="dxa"/>
            <w:tcBorders>
              <w:left w:val="single" w:color="auto" w:sz="4" w:space="0"/>
            </w:tcBorders>
          </w:tcPr>
          <w:p w14:paraId="0D81BF56">
            <w:pPr>
              <w:rPr>
                <w:rFonts w:ascii="Times New Roman" w:hAnsi="Times New Roman" w:eastAsia="仿宋_GB2312"/>
                <w:sz w:val="24"/>
                <w:szCs w:val="24"/>
              </w:rPr>
            </w:pPr>
          </w:p>
        </w:tc>
        <w:tc>
          <w:tcPr>
            <w:tcW w:w="1181" w:type="dxa"/>
          </w:tcPr>
          <w:p w14:paraId="24E8FDFF">
            <w:pPr>
              <w:rPr>
                <w:rFonts w:ascii="Times New Roman" w:hAnsi="Times New Roman" w:eastAsia="仿宋_GB2312"/>
                <w:sz w:val="24"/>
                <w:szCs w:val="24"/>
              </w:rPr>
            </w:pPr>
          </w:p>
        </w:tc>
        <w:tc>
          <w:tcPr>
            <w:tcW w:w="1181" w:type="dxa"/>
          </w:tcPr>
          <w:p w14:paraId="1411596B">
            <w:pPr>
              <w:rPr>
                <w:rFonts w:ascii="Times New Roman" w:hAnsi="Times New Roman" w:eastAsia="仿宋_GB2312"/>
                <w:sz w:val="24"/>
                <w:szCs w:val="24"/>
              </w:rPr>
            </w:pPr>
          </w:p>
        </w:tc>
      </w:tr>
      <w:tr w14:paraId="41B9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continue"/>
          </w:tcPr>
          <w:p w14:paraId="704EAB6D">
            <w:pPr>
              <w:rPr>
                <w:rFonts w:ascii="Times New Roman" w:hAnsi="Times New Roman" w:eastAsia="仿宋_GB2312"/>
                <w:sz w:val="24"/>
                <w:szCs w:val="24"/>
              </w:rPr>
            </w:pPr>
          </w:p>
        </w:tc>
        <w:tc>
          <w:tcPr>
            <w:tcW w:w="756" w:type="dxa"/>
            <w:vMerge w:val="continue"/>
          </w:tcPr>
          <w:p w14:paraId="5E1BB070">
            <w:pPr>
              <w:rPr>
                <w:rFonts w:ascii="Times New Roman" w:hAnsi="Times New Roman" w:eastAsia="仿宋_GB2312"/>
                <w:sz w:val="24"/>
                <w:szCs w:val="24"/>
              </w:rPr>
            </w:pPr>
          </w:p>
        </w:tc>
        <w:tc>
          <w:tcPr>
            <w:tcW w:w="1095" w:type="dxa"/>
            <w:vMerge w:val="continue"/>
          </w:tcPr>
          <w:p w14:paraId="4D10886E">
            <w:pPr>
              <w:rPr>
                <w:rFonts w:ascii="Times New Roman" w:hAnsi="Times New Roman" w:eastAsia="仿宋_GB2312"/>
                <w:sz w:val="24"/>
                <w:szCs w:val="24"/>
              </w:rPr>
            </w:pPr>
          </w:p>
        </w:tc>
        <w:tc>
          <w:tcPr>
            <w:tcW w:w="687" w:type="dxa"/>
            <w:vMerge w:val="continue"/>
          </w:tcPr>
          <w:p w14:paraId="7AB683C0">
            <w:pPr>
              <w:rPr>
                <w:rFonts w:ascii="Times New Roman" w:hAnsi="Times New Roman" w:eastAsia="仿宋_GB2312"/>
                <w:sz w:val="24"/>
                <w:szCs w:val="24"/>
              </w:rPr>
            </w:pPr>
          </w:p>
        </w:tc>
        <w:tc>
          <w:tcPr>
            <w:tcW w:w="922" w:type="dxa"/>
            <w:vMerge w:val="continue"/>
          </w:tcPr>
          <w:p w14:paraId="6416131B">
            <w:pPr>
              <w:rPr>
                <w:rFonts w:ascii="Times New Roman" w:hAnsi="Times New Roman" w:eastAsia="仿宋_GB2312"/>
                <w:sz w:val="24"/>
                <w:szCs w:val="24"/>
              </w:rPr>
            </w:pPr>
          </w:p>
        </w:tc>
        <w:tc>
          <w:tcPr>
            <w:tcW w:w="1083" w:type="dxa"/>
            <w:tcBorders>
              <w:right w:val="single" w:color="auto" w:sz="4" w:space="0"/>
            </w:tcBorders>
          </w:tcPr>
          <w:p w14:paraId="010EDD85">
            <w:pP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181" w:type="dxa"/>
            <w:tcBorders>
              <w:left w:val="single" w:color="auto" w:sz="4" w:space="0"/>
            </w:tcBorders>
          </w:tcPr>
          <w:p w14:paraId="31CA6F22">
            <w:pPr>
              <w:rPr>
                <w:rFonts w:ascii="Times New Roman" w:hAnsi="Times New Roman" w:eastAsia="仿宋_GB2312"/>
                <w:sz w:val="24"/>
                <w:szCs w:val="24"/>
              </w:rPr>
            </w:pPr>
          </w:p>
        </w:tc>
        <w:tc>
          <w:tcPr>
            <w:tcW w:w="1181" w:type="dxa"/>
          </w:tcPr>
          <w:p w14:paraId="3B71C285">
            <w:pPr>
              <w:rPr>
                <w:rFonts w:ascii="Times New Roman" w:hAnsi="Times New Roman" w:eastAsia="仿宋_GB2312"/>
                <w:sz w:val="24"/>
                <w:szCs w:val="24"/>
              </w:rPr>
            </w:pPr>
          </w:p>
        </w:tc>
        <w:tc>
          <w:tcPr>
            <w:tcW w:w="1181" w:type="dxa"/>
          </w:tcPr>
          <w:p w14:paraId="01C71C09">
            <w:pPr>
              <w:rPr>
                <w:rFonts w:ascii="Times New Roman" w:hAnsi="Times New Roman" w:eastAsia="仿宋_GB2312"/>
                <w:sz w:val="24"/>
                <w:szCs w:val="24"/>
              </w:rPr>
            </w:pPr>
          </w:p>
        </w:tc>
      </w:tr>
      <w:tr w14:paraId="3410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2" w:type="dxa"/>
            <w:vMerge w:val="continue"/>
          </w:tcPr>
          <w:p w14:paraId="2AEEE76D">
            <w:pPr>
              <w:rPr>
                <w:rFonts w:ascii="Times New Roman" w:hAnsi="Times New Roman" w:eastAsia="仿宋_GB2312"/>
                <w:sz w:val="24"/>
                <w:szCs w:val="24"/>
              </w:rPr>
            </w:pPr>
          </w:p>
        </w:tc>
        <w:tc>
          <w:tcPr>
            <w:tcW w:w="756" w:type="dxa"/>
            <w:vMerge w:val="continue"/>
          </w:tcPr>
          <w:p w14:paraId="7D05BAD4">
            <w:pPr>
              <w:rPr>
                <w:rFonts w:ascii="Times New Roman" w:hAnsi="Times New Roman" w:eastAsia="仿宋_GB2312"/>
                <w:sz w:val="24"/>
                <w:szCs w:val="24"/>
              </w:rPr>
            </w:pPr>
          </w:p>
        </w:tc>
        <w:tc>
          <w:tcPr>
            <w:tcW w:w="1095" w:type="dxa"/>
            <w:vMerge w:val="continue"/>
          </w:tcPr>
          <w:p w14:paraId="3617660A">
            <w:pPr>
              <w:rPr>
                <w:rFonts w:ascii="Times New Roman" w:hAnsi="Times New Roman" w:eastAsia="仿宋_GB2312"/>
                <w:sz w:val="24"/>
                <w:szCs w:val="24"/>
              </w:rPr>
            </w:pPr>
          </w:p>
        </w:tc>
        <w:tc>
          <w:tcPr>
            <w:tcW w:w="687" w:type="dxa"/>
            <w:vMerge w:val="continue"/>
          </w:tcPr>
          <w:p w14:paraId="47C1798F">
            <w:pPr>
              <w:rPr>
                <w:rFonts w:ascii="Times New Roman" w:hAnsi="Times New Roman" w:eastAsia="仿宋_GB2312"/>
                <w:sz w:val="24"/>
                <w:szCs w:val="24"/>
              </w:rPr>
            </w:pPr>
          </w:p>
        </w:tc>
        <w:tc>
          <w:tcPr>
            <w:tcW w:w="922" w:type="dxa"/>
            <w:vMerge w:val="continue"/>
          </w:tcPr>
          <w:p w14:paraId="024D2E48">
            <w:pPr>
              <w:rPr>
                <w:rFonts w:ascii="Times New Roman" w:hAnsi="Times New Roman" w:eastAsia="仿宋_GB2312"/>
                <w:sz w:val="24"/>
                <w:szCs w:val="24"/>
              </w:rPr>
            </w:pPr>
          </w:p>
        </w:tc>
        <w:tc>
          <w:tcPr>
            <w:tcW w:w="1083" w:type="dxa"/>
            <w:tcBorders>
              <w:right w:val="single" w:color="auto" w:sz="4" w:space="0"/>
            </w:tcBorders>
          </w:tcPr>
          <w:p w14:paraId="2BB8F3F6">
            <w:pPr>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181" w:type="dxa"/>
            <w:tcBorders>
              <w:left w:val="single" w:color="auto" w:sz="4" w:space="0"/>
            </w:tcBorders>
          </w:tcPr>
          <w:p w14:paraId="6A98FC9E">
            <w:pPr>
              <w:rPr>
                <w:rFonts w:ascii="Times New Roman" w:hAnsi="Times New Roman" w:eastAsia="仿宋_GB2312"/>
                <w:sz w:val="24"/>
                <w:szCs w:val="24"/>
              </w:rPr>
            </w:pPr>
          </w:p>
        </w:tc>
        <w:tc>
          <w:tcPr>
            <w:tcW w:w="1181" w:type="dxa"/>
          </w:tcPr>
          <w:p w14:paraId="0A1446E1">
            <w:pPr>
              <w:rPr>
                <w:rFonts w:ascii="Times New Roman" w:hAnsi="Times New Roman" w:eastAsia="仿宋_GB2312"/>
                <w:sz w:val="24"/>
                <w:szCs w:val="24"/>
              </w:rPr>
            </w:pPr>
          </w:p>
        </w:tc>
        <w:tc>
          <w:tcPr>
            <w:tcW w:w="1181" w:type="dxa"/>
          </w:tcPr>
          <w:p w14:paraId="73538D03">
            <w:pPr>
              <w:rPr>
                <w:rFonts w:ascii="Times New Roman" w:hAnsi="Times New Roman" w:eastAsia="仿宋_GB2312"/>
                <w:sz w:val="24"/>
                <w:szCs w:val="24"/>
              </w:rPr>
            </w:pPr>
          </w:p>
        </w:tc>
      </w:tr>
    </w:tbl>
    <w:p w14:paraId="20CCFAEC">
      <w:pPr>
        <w:rPr>
          <w:rFonts w:ascii="Times New Roman" w:hAnsi="Times New Roman"/>
        </w:rPr>
      </w:pPr>
      <w:r>
        <w:rPr>
          <w:rFonts w:ascii="Times New Roman" w:hAnsi="Times New Roman"/>
          <w:vertAlign w:val="superscript"/>
        </w:rPr>
        <w:t>※</w:t>
      </w:r>
      <w:r>
        <w:rPr>
          <w:rFonts w:ascii="Times New Roman" w:hAnsi="Times New Roman"/>
        </w:rPr>
        <w:t>注1：若有多个既有设施退出，请自行添加。</w:t>
      </w:r>
    </w:p>
    <w:p w14:paraId="7CC89D3E">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排放单位新增设施（或新增服务范围）主要包括xxx。其中，xx替代了既有设施xx，新增设施及其排放量如下：</w:t>
      </w:r>
    </w:p>
    <w:p w14:paraId="45B2EDF5">
      <w:pPr>
        <w:spacing w:after="0"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217"/>
        <w:gridCol w:w="1666"/>
        <w:gridCol w:w="1562"/>
        <w:gridCol w:w="1562"/>
        <w:gridCol w:w="1568"/>
      </w:tblGrid>
      <w:tr w14:paraId="4B87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1C9E7A91">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序号</w:t>
            </w:r>
          </w:p>
        </w:tc>
        <w:tc>
          <w:tcPr>
            <w:tcW w:w="714" w:type="pct"/>
            <w:vAlign w:val="center"/>
          </w:tcPr>
          <w:p w14:paraId="483A03C7">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设施新增年份</w:t>
            </w:r>
          </w:p>
        </w:tc>
        <w:tc>
          <w:tcPr>
            <w:tcW w:w="978" w:type="pct"/>
            <w:vAlign w:val="center"/>
          </w:tcPr>
          <w:p w14:paraId="0B9B3CC9">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新增设施类型</w:t>
            </w:r>
          </w:p>
        </w:tc>
        <w:tc>
          <w:tcPr>
            <w:tcW w:w="917" w:type="pct"/>
            <w:vAlign w:val="center"/>
          </w:tcPr>
          <w:p w14:paraId="6FBA7A54">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是否替代既有设施，被替代既有设施类型</w:t>
            </w:r>
          </w:p>
        </w:tc>
        <w:tc>
          <w:tcPr>
            <w:tcW w:w="917" w:type="pct"/>
            <w:vAlign w:val="center"/>
          </w:tcPr>
          <w:p w14:paraId="4C657B14">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新增设施排放量（吨）</w:t>
            </w:r>
          </w:p>
        </w:tc>
        <w:tc>
          <w:tcPr>
            <w:tcW w:w="917" w:type="pct"/>
            <w:vAlign w:val="center"/>
          </w:tcPr>
          <w:p w14:paraId="204820AB">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替代既有设施的新增排放量</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吨</w:t>
            </w:r>
            <w:r>
              <w:rPr>
                <w:rFonts w:ascii="Times New Roman" w:hAnsi="Times New Roman" w:eastAsia="仿宋_GB2312"/>
                <w:color w:val="000000"/>
                <w:sz w:val="24"/>
                <w:szCs w:val="24"/>
              </w:rPr>
              <w:t>)</w:t>
            </w:r>
          </w:p>
        </w:tc>
      </w:tr>
      <w:tr w14:paraId="7F64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0B3A819C">
            <w:pPr>
              <w:spacing w:after="0" w:line="240" w:lineRule="auto"/>
              <w:jc w:val="center"/>
              <w:rPr>
                <w:rFonts w:ascii="Times New Roman" w:hAnsi="Times New Roman" w:eastAsia="仿宋"/>
                <w:sz w:val="24"/>
                <w:szCs w:val="24"/>
              </w:rPr>
            </w:pPr>
            <w:r>
              <w:rPr>
                <w:rFonts w:ascii="Times New Roman" w:hAnsi="Times New Roman" w:eastAsia="仿宋_GB2312"/>
                <w:color w:val="000000"/>
                <w:sz w:val="24"/>
                <w:szCs w:val="24"/>
              </w:rPr>
              <w:t>1</w:t>
            </w:r>
          </w:p>
        </w:tc>
        <w:tc>
          <w:tcPr>
            <w:tcW w:w="714" w:type="pct"/>
          </w:tcPr>
          <w:p w14:paraId="2F0D88EA">
            <w:pPr>
              <w:spacing w:after="0" w:line="240" w:lineRule="auto"/>
              <w:rPr>
                <w:rFonts w:ascii="Times New Roman" w:hAnsi="Times New Roman" w:eastAsia="仿宋"/>
                <w:sz w:val="24"/>
                <w:szCs w:val="24"/>
              </w:rPr>
            </w:pPr>
          </w:p>
        </w:tc>
        <w:tc>
          <w:tcPr>
            <w:tcW w:w="978" w:type="pct"/>
          </w:tcPr>
          <w:p w14:paraId="14E50C2B">
            <w:pPr>
              <w:spacing w:after="0" w:line="240" w:lineRule="auto"/>
              <w:rPr>
                <w:rFonts w:ascii="Times New Roman" w:hAnsi="Times New Roman" w:eastAsia="仿宋"/>
                <w:sz w:val="24"/>
                <w:szCs w:val="24"/>
              </w:rPr>
            </w:pPr>
          </w:p>
        </w:tc>
        <w:tc>
          <w:tcPr>
            <w:tcW w:w="917" w:type="pct"/>
          </w:tcPr>
          <w:p w14:paraId="1C60B8EE">
            <w:pPr>
              <w:spacing w:after="0" w:line="240" w:lineRule="auto"/>
              <w:rPr>
                <w:rFonts w:ascii="Times New Roman" w:hAnsi="Times New Roman" w:eastAsia="仿宋"/>
                <w:sz w:val="24"/>
                <w:szCs w:val="24"/>
              </w:rPr>
            </w:pPr>
          </w:p>
        </w:tc>
        <w:tc>
          <w:tcPr>
            <w:tcW w:w="917" w:type="pct"/>
          </w:tcPr>
          <w:p w14:paraId="333C0189">
            <w:pPr>
              <w:spacing w:after="0" w:line="240" w:lineRule="auto"/>
              <w:rPr>
                <w:rFonts w:ascii="Times New Roman" w:hAnsi="Times New Roman" w:eastAsia="仿宋"/>
                <w:sz w:val="24"/>
                <w:szCs w:val="24"/>
              </w:rPr>
            </w:pPr>
          </w:p>
        </w:tc>
        <w:tc>
          <w:tcPr>
            <w:tcW w:w="917" w:type="pct"/>
          </w:tcPr>
          <w:p w14:paraId="59B67368">
            <w:pPr>
              <w:spacing w:after="0" w:line="240" w:lineRule="auto"/>
              <w:rPr>
                <w:rFonts w:ascii="Times New Roman" w:hAnsi="Times New Roman" w:eastAsia="仿宋"/>
                <w:sz w:val="24"/>
                <w:szCs w:val="24"/>
              </w:rPr>
            </w:pPr>
          </w:p>
        </w:tc>
      </w:tr>
      <w:tr w14:paraId="7837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6375155F">
            <w:pPr>
              <w:spacing w:after="0" w:line="240" w:lineRule="auto"/>
              <w:jc w:val="center"/>
              <w:rPr>
                <w:rFonts w:ascii="Times New Roman" w:hAnsi="Times New Roman" w:eastAsia="仿宋"/>
                <w:sz w:val="24"/>
                <w:szCs w:val="24"/>
              </w:rPr>
            </w:pPr>
            <w:r>
              <w:rPr>
                <w:rFonts w:hint="eastAsia" w:ascii="Times New Roman" w:hAnsi="Times New Roman" w:eastAsia="仿宋_GB2312"/>
                <w:color w:val="000000"/>
                <w:sz w:val="24"/>
                <w:szCs w:val="24"/>
              </w:rPr>
              <w:t>合计</w:t>
            </w:r>
          </w:p>
        </w:tc>
        <w:tc>
          <w:tcPr>
            <w:tcW w:w="714" w:type="pct"/>
          </w:tcPr>
          <w:p w14:paraId="77546474">
            <w:pPr>
              <w:spacing w:after="0" w:line="240" w:lineRule="auto"/>
              <w:rPr>
                <w:rFonts w:ascii="Times New Roman" w:hAnsi="Times New Roman" w:eastAsia="仿宋"/>
                <w:sz w:val="24"/>
                <w:szCs w:val="24"/>
              </w:rPr>
            </w:pPr>
          </w:p>
        </w:tc>
        <w:tc>
          <w:tcPr>
            <w:tcW w:w="978" w:type="pct"/>
          </w:tcPr>
          <w:p w14:paraId="35366289">
            <w:pPr>
              <w:spacing w:after="0" w:line="240" w:lineRule="auto"/>
              <w:rPr>
                <w:rFonts w:ascii="Times New Roman" w:hAnsi="Times New Roman" w:eastAsia="仿宋"/>
                <w:sz w:val="24"/>
                <w:szCs w:val="24"/>
              </w:rPr>
            </w:pPr>
          </w:p>
        </w:tc>
        <w:tc>
          <w:tcPr>
            <w:tcW w:w="917" w:type="pct"/>
          </w:tcPr>
          <w:p w14:paraId="4580E9E1">
            <w:pPr>
              <w:spacing w:after="0" w:line="240" w:lineRule="auto"/>
              <w:rPr>
                <w:rFonts w:ascii="Times New Roman" w:hAnsi="Times New Roman" w:eastAsia="仿宋"/>
                <w:sz w:val="24"/>
                <w:szCs w:val="24"/>
              </w:rPr>
            </w:pPr>
          </w:p>
        </w:tc>
        <w:tc>
          <w:tcPr>
            <w:tcW w:w="917" w:type="pct"/>
          </w:tcPr>
          <w:p w14:paraId="73241149">
            <w:pPr>
              <w:spacing w:after="0" w:line="240" w:lineRule="auto"/>
              <w:rPr>
                <w:rFonts w:ascii="Times New Roman" w:hAnsi="Times New Roman" w:eastAsia="仿宋"/>
                <w:sz w:val="24"/>
                <w:szCs w:val="24"/>
              </w:rPr>
            </w:pPr>
          </w:p>
        </w:tc>
        <w:tc>
          <w:tcPr>
            <w:tcW w:w="917" w:type="pct"/>
          </w:tcPr>
          <w:p w14:paraId="33D23311">
            <w:pPr>
              <w:spacing w:after="0" w:line="240" w:lineRule="auto"/>
              <w:rPr>
                <w:rFonts w:ascii="Times New Roman" w:hAnsi="Times New Roman" w:eastAsia="仿宋"/>
                <w:sz w:val="24"/>
                <w:szCs w:val="24"/>
              </w:rPr>
            </w:pPr>
          </w:p>
        </w:tc>
      </w:tr>
      <w:tr w14:paraId="1947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01F4CC36">
            <w:pPr>
              <w:spacing w:after="0" w:line="240" w:lineRule="auto"/>
              <w:rPr>
                <w:rFonts w:ascii="Times New Roman" w:hAnsi="Times New Roman" w:eastAsia="仿宋"/>
                <w:sz w:val="24"/>
                <w:szCs w:val="24"/>
              </w:rPr>
            </w:pPr>
            <w:r>
              <w:rPr>
                <w:rFonts w:hint="eastAsia" w:ascii="Times New Roman" w:hAnsi="Times New Roman" w:eastAsia="仿宋"/>
                <w:sz w:val="24"/>
                <w:szCs w:val="24"/>
              </w:rPr>
              <w:t>备注：</w:t>
            </w:r>
          </w:p>
        </w:tc>
      </w:tr>
    </w:tbl>
    <w:p w14:paraId="34FD42F8">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新增设施排放量为xxxx.xx吨，是基准年份排放量的xx.xx%，新增设施对应的活动水平为xxx（例如新增建筑面积xxx平方米），此信息供新增设施配额发放参考。</w:t>
      </w:r>
    </w:p>
    <w:p w14:paraId="40191BCA">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14:paraId="2FFC078B">
      <w:pPr>
        <w:spacing w:after="0" w:line="560" w:lineRule="exact"/>
        <w:ind w:firstLine="640" w:firstLineChars="200"/>
        <w:rPr>
          <w:rFonts w:ascii="Times New Roman" w:hAnsi="Times New Roman"/>
        </w:rPr>
      </w:pPr>
      <w:r>
        <w:rPr>
          <w:rFonts w:ascii="Times New Roman" w:hAnsi="Times New Roman" w:eastAsia="仿宋_GB2312"/>
          <w:sz w:val="32"/>
          <w:szCs w:val="32"/>
        </w:rPr>
        <w:t>本次核查中，由于xx原因，xxxx方面未覆盖。</w:t>
      </w:r>
      <w:r>
        <w:rPr>
          <w:rFonts w:ascii="Times New Roman" w:hAnsi="Times New Roman"/>
        </w:rPr>
        <w:br w:type="page"/>
      </w:r>
    </w:p>
    <w:p w14:paraId="0E752E62">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热力生产和供应企业</w:t>
      </w:r>
    </w:p>
    <w:p w14:paraId="034A299F">
      <w:pPr>
        <w:spacing w:after="0" w:line="560" w:lineRule="exact"/>
        <w:rPr>
          <w:rFonts w:ascii="Times New Roman" w:hAnsi="Times New Roman" w:eastAsia="仿宋"/>
          <w:sz w:val="32"/>
          <w:szCs w:val="32"/>
        </w:rPr>
      </w:pPr>
      <w:r>
        <w:rPr>
          <w:rFonts w:ascii="Times New Roman" w:hAnsi="Times New Roman" w:eastAsia="仿宋"/>
          <w:sz w:val="32"/>
          <w:szCs w:val="32"/>
        </w:rPr>
        <w:t>核查结论</w:t>
      </w:r>
    </w:p>
    <w:p w14:paraId="77F58E82">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xxxx公司（以下简称排放单位）委托xxx公司开展XXXX年二氧化碳排放的核查工作。核查范围包括排放单位所有在北京市辖区内固定设施导致的二氧化碳直接排放和二氧化碳间接排放。</w:t>
      </w:r>
    </w:p>
    <w:p w14:paraId="7AC7A087">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通过文件评审、现场访问、核查报告编写及内部技术复核，核查组对排放单位XXXX年度二氧化碳排放报告形成如下核查结论：</w:t>
      </w:r>
    </w:p>
    <w:p w14:paraId="3D87BC00">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1. 核算、报告与方法学的符合性</w:t>
      </w:r>
    </w:p>
    <w:p w14:paraId="5CC275D4">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核查组确认所有不符合已全部关闭，排放单位的核算与报告均符合方法学</w:t>
      </w:r>
      <w:r>
        <w:rPr>
          <w:rFonts w:hint="eastAsia" w:ascii="Times New Roman" w:hAnsi="Times New Roman" w:eastAsia="仿宋"/>
          <w:sz w:val="32"/>
          <w:szCs w:val="32"/>
        </w:rPr>
        <w:t>《二氧化碳排放核算和报告要求热力生产和供应业》（DB11/T 1784-2020）</w:t>
      </w:r>
      <w:r>
        <w:rPr>
          <w:rFonts w:ascii="Times New Roman" w:hAnsi="Times New Roman" w:eastAsia="仿宋"/>
          <w:sz w:val="32"/>
          <w:szCs w:val="32"/>
        </w:rPr>
        <w:t>的要求，核查组对本排放报告出具肯定的核查结论。</w:t>
      </w:r>
    </w:p>
    <w:p w14:paraId="37D012F5">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2. 本年度排放量及活动水平数据的声明</w:t>
      </w:r>
    </w:p>
    <w:p w14:paraId="4F061CCD">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经核查的直接和间接排放量与最终排放报告中数据一致。经核查的直接排放量为310424.18</w:t>
      </w:r>
      <w:r>
        <w:rPr>
          <w:rFonts w:ascii="Times New Roman" w:hAnsi="Times New Roman" w:eastAsia="仿宋"/>
          <w:color w:val="000000"/>
          <w:sz w:val="32"/>
          <w:szCs w:val="32"/>
        </w:rPr>
        <w:t>吨，间接排放量为36779.13吨，总排放量为347203.31吨</w:t>
      </w:r>
      <w:r>
        <w:rPr>
          <w:rFonts w:ascii="Times New Roman" w:hAnsi="Times New Roman" w:eastAsia="仿宋"/>
          <w:sz w:val="32"/>
          <w:szCs w:val="32"/>
        </w:rPr>
        <w:t>。</w:t>
      </w:r>
    </w:p>
    <w:p w14:paraId="77E400BF">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供热量与最终排放报告中数据一致。其中燃气锅炉直供的建筑物供热量为xxxxTJ，燃气锅炉间供的热力站一次侧输入热源产生热量为xxxxTJ，燃煤锅炉直供的建筑供热量为xxxxTJ，燃煤锅炉间供的热力站一次侧输入热源产生热量为xxxxTJ，电锅炉所供的建筑供热量为xxxxTJ，燃油锅炉所供的建筑供热量为xxxxTJ，地源热泵所供的建筑供热量为xxxxTJ，其他供热方式所供的建筑物供热量为xxxxTJ；热力站一次侧输入热量为xxxTJ。</w:t>
      </w:r>
    </w:p>
    <w:p w14:paraId="620D48FC">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3. 年度</w:t>
      </w:r>
      <w:r>
        <w:rPr>
          <w:rFonts w:hint="eastAsia" w:ascii="Times New Roman" w:hAnsi="Times New Roman" w:eastAsia="仿宋"/>
          <w:sz w:val="32"/>
          <w:szCs w:val="32"/>
        </w:rPr>
        <w:t>排放量及活动水平</w:t>
      </w:r>
      <w:r>
        <w:rPr>
          <w:rFonts w:ascii="Times New Roman" w:hAnsi="Times New Roman" w:eastAsia="仿宋"/>
          <w:sz w:val="32"/>
          <w:szCs w:val="32"/>
        </w:rPr>
        <w:t>波动的原因说明</w:t>
      </w:r>
    </w:p>
    <w:p w14:paraId="5F5F4D6E">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本年度排放量与上年度排放量相比增加</w:t>
      </w:r>
      <w:r>
        <w:rPr>
          <w:rFonts w:ascii="Times New Roman" w:hAnsi="Times New Roman" w:eastAsia="仿宋"/>
          <w:color w:val="000000"/>
          <w:sz w:val="32"/>
          <w:szCs w:val="32"/>
        </w:rPr>
        <w:t>71782.51吨/26.06%</w:t>
      </w:r>
      <w:r>
        <w:rPr>
          <w:rFonts w:ascii="Times New Roman" w:hAnsi="Times New Roman" w:eastAsia="仿宋"/>
          <w:sz w:val="32"/>
          <w:szCs w:val="32"/>
        </w:rPr>
        <w:t>，</w:t>
      </w:r>
      <w:bookmarkStart w:id="17" w:name="OLE_LINK2"/>
      <w:bookmarkStart w:id="18" w:name="OLE_LINK3"/>
      <w:r>
        <w:rPr>
          <w:rFonts w:ascii="Times New Roman" w:hAnsi="Times New Roman" w:eastAsia="仿宋"/>
          <w:sz w:val="32"/>
          <w:szCs w:val="32"/>
        </w:rPr>
        <w:t>其中直接排放相比上一年度增加66006.69吨/27.01%，间接排放相比上一年度增加</w:t>
      </w:r>
      <w:bookmarkEnd w:id="17"/>
      <w:bookmarkEnd w:id="18"/>
      <w:r>
        <w:rPr>
          <w:rFonts w:ascii="Times New Roman" w:hAnsi="Times New Roman" w:eastAsia="仿宋"/>
          <w:sz w:val="32"/>
          <w:szCs w:val="32"/>
        </w:rPr>
        <w:t>5775.82吨/18.63%，原因为排放单位2019年通过新建、划转和收购增加了xx个热源厂，供热量明显增加，热力站耗电量也相应有所提高。</w:t>
      </w:r>
    </w:p>
    <w:p w14:paraId="7EC1697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本年度排放量相比历史基准年份排放量相比上升71782.51吨，上升比例为26.06%，原因为排放单位增加了xx个热源厂含xx座燃气锅炉、xx座燃煤锅炉</w:t>
      </w:r>
      <w:r>
        <w:rPr>
          <w:rFonts w:hint="eastAsia" w:ascii="Times New Roman" w:hAnsi="Times New Roman" w:eastAsia="仿宋_GB2312"/>
          <w:sz w:val="32"/>
          <w:szCs w:val="32"/>
        </w:rPr>
        <w:t>、xx座燃油锅炉、xx座电锅炉</w:t>
      </w:r>
      <w:r>
        <w:rPr>
          <w:rFonts w:ascii="Times New Roman" w:hAnsi="Times New Roman" w:eastAsia="仿宋_GB2312"/>
          <w:sz w:val="32"/>
          <w:szCs w:val="32"/>
        </w:rPr>
        <w:t>，增加了xx个热力站，供热面积增加了xxx平方米，供热量增加了xxxxTJ；相比上一年度增加了XXX，原因是XXX</w:t>
      </w:r>
    </w:p>
    <w:p w14:paraId="0137C88C">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38BE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60" w:type="dxa"/>
            <w:vAlign w:val="center"/>
          </w:tcPr>
          <w:p w14:paraId="294735B2">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vAlign w:val="center"/>
          </w:tcPr>
          <w:p w14:paraId="0A17E850">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14:paraId="64FE8A89">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14:paraId="3A10F476">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2A7A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21B1561B">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144" w:type="dxa"/>
            <w:noWrap/>
            <w:vAlign w:val="center"/>
          </w:tcPr>
          <w:p w14:paraId="232028F5">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229417.49</w:t>
            </w:r>
          </w:p>
        </w:tc>
        <w:tc>
          <w:tcPr>
            <w:tcW w:w="2243" w:type="dxa"/>
            <w:noWrap/>
            <w:vAlign w:val="center"/>
          </w:tcPr>
          <w:p w14:paraId="7936F0E9">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29003.31</w:t>
            </w:r>
          </w:p>
        </w:tc>
        <w:tc>
          <w:tcPr>
            <w:tcW w:w="2270" w:type="dxa"/>
            <w:vAlign w:val="center"/>
          </w:tcPr>
          <w:p w14:paraId="0CA68620">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258420.80</w:t>
            </w:r>
          </w:p>
        </w:tc>
      </w:tr>
      <w:tr w14:paraId="6190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73B79F0B">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144" w:type="dxa"/>
            <w:noWrap/>
            <w:vAlign w:val="center"/>
          </w:tcPr>
          <w:p w14:paraId="13E115C9">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234417.49</w:t>
            </w:r>
          </w:p>
        </w:tc>
        <w:tc>
          <w:tcPr>
            <w:tcW w:w="2243" w:type="dxa"/>
            <w:noWrap/>
            <w:vAlign w:val="center"/>
          </w:tcPr>
          <w:p w14:paraId="39CF8282">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30203.31</w:t>
            </w:r>
          </w:p>
        </w:tc>
        <w:tc>
          <w:tcPr>
            <w:tcW w:w="2270" w:type="dxa"/>
            <w:vAlign w:val="center"/>
          </w:tcPr>
          <w:p w14:paraId="14B93520">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264620.80</w:t>
            </w:r>
          </w:p>
        </w:tc>
      </w:tr>
      <w:tr w14:paraId="7F5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71EF4189">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144" w:type="dxa"/>
            <w:noWrap/>
            <w:vAlign w:val="center"/>
          </w:tcPr>
          <w:p w14:paraId="71771078">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244417.49</w:t>
            </w:r>
          </w:p>
        </w:tc>
        <w:tc>
          <w:tcPr>
            <w:tcW w:w="2243" w:type="dxa"/>
            <w:noWrap/>
            <w:vAlign w:val="center"/>
          </w:tcPr>
          <w:p w14:paraId="05E1D7AE">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31003.31</w:t>
            </w:r>
          </w:p>
        </w:tc>
        <w:tc>
          <w:tcPr>
            <w:tcW w:w="2270" w:type="dxa"/>
            <w:vAlign w:val="center"/>
          </w:tcPr>
          <w:p w14:paraId="7EF1A829">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275420.80</w:t>
            </w:r>
          </w:p>
        </w:tc>
      </w:tr>
      <w:tr w14:paraId="7A9D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34F3B7AF">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144" w:type="dxa"/>
            <w:noWrap/>
            <w:vAlign w:val="center"/>
          </w:tcPr>
          <w:p w14:paraId="0F47D052">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243" w:type="dxa"/>
            <w:noWrap/>
            <w:vAlign w:val="center"/>
          </w:tcPr>
          <w:p w14:paraId="717D9DA8">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270" w:type="dxa"/>
            <w:vAlign w:val="center"/>
          </w:tcPr>
          <w:p w14:paraId="372BCBA5">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r w14:paraId="6B6E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4B1B6B23">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w:t>
            </w:r>
          </w:p>
        </w:tc>
        <w:tc>
          <w:tcPr>
            <w:tcW w:w="2144" w:type="dxa"/>
            <w:noWrap/>
            <w:vAlign w:val="center"/>
          </w:tcPr>
          <w:p w14:paraId="715566D7">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243" w:type="dxa"/>
            <w:noWrap/>
            <w:vAlign w:val="center"/>
          </w:tcPr>
          <w:p w14:paraId="1720A9B1">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270" w:type="dxa"/>
            <w:vAlign w:val="center"/>
          </w:tcPr>
          <w:p w14:paraId="044667BF">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bl>
    <w:p w14:paraId="5C498012">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BE7487">
      <w:pPr>
        <w:spacing w:after="0"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图1  排放量变化趋势图（增加</w:t>
      </w:r>
      <w:r>
        <w:rPr>
          <w:rFonts w:hint="eastAsia" w:ascii="Times New Roman" w:hAnsi="Times New Roman" w:eastAsia="仿宋_GB2312"/>
          <w:sz w:val="32"/>
          <w:szCs w:val="32"/>
        </w:rPr>
        <w:t>2</w:t>
      </w:r>
      <w:r>
        <w:rPr>
          <w:rFonts w:ascii="Times New Roman" w:hAnsi="Times New Roman" w:eastAsia="仿宋_GB2312"/>
          <w:sz w:val="32"/>
          <w:szCs w:val="32"/>
        </w:rPr>
        <w:t>020年度）</w:t>
      </w:r>
    </w:p>
    <w:p w14:paraId="3D8C223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2658CBF7">
      <w:pPr>
        <w:spacing w:after="0" w:line="560" w:lineRule="exact"/>
        <w:ind w:firstLine="640" w:firstLineChars="200"/>
        <w:rPr>
          <w:rFonts w:ascii="Times New Roman" w:hAnsi="Times New Roman" w:eastAsia="仿宋_GB2312"/>
          <w:sz w:val="32"/>
          <w:szCs w:val="32"/>
        </w:rPr>
      </w:pPr>
      <w:r>
        <w:rPr>
          <w:rFonts w:ascii="Times New Roman" w:hAnsi="Times New Roman" w:eastAsia="仿宋"/>
          <w:sz w:val="32"/>
          <w:szCs w:val="32"/>
        </w:rPr>
        <w:t>4.1 本年度</w:t>
      </w:r>
      <w:r>
        <w:rPr>
          <w:rFonts w:ascii="Times New Roman" w:hAnsi="Times New Roman" w:eastAsia="仿宋_GB2312"/>
          <w:sz w:val="32"/>
          <w:szCs w:val="32"/>
        </w:rPr>
        <w:t>场所边界的变化</w:t>
      </w:r>
    </w:p>
    <w:p w14:paraId="7BD57724">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排放单位核算和报告边界为北京市辖区内所涉及的热源厂xxx个，热力站xxx座，热力管网xxx公里，总供热面积xxx亿平方米，此外，还包括位于xxx的办公楼。</w:t>
      </w:r>
    </w:p>
    <w:p w14:paraId="42AAB5FA">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相比上年度，增加xxx个热源厂、xxx座热力站，增加供热面积xxx平方米。</w:t>
      </w:r>
    </w:p>
    <w:p w14:paraId="51E6E7F5">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相比基准年，增加xxx个热源厂、xxx座热力站，增加供热面积xxx平方米。</w:t>
      </w:r>
    </w:p>
    <w:p w14:paraId="3F81FEF1">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4.2本年度排放设施的变化</w:t>
      </w:r>
    </w:p>
    <w:p w14:paraId="1F5B6362">
      <w:pPr>
        <w:spacing w:after="0" w:line="560" w:lineRule="exact"/>
        <w:ind w:firstLine="465"/>
        <w:rPr>
          <w:rFonts w:ascii="Times New Roman" w:hAnsi="Times New Roman" w:eastAsia="仿宋"/>
          <w:sz w:val="32"/>
          <w:szCs w:val="32"/>
        </w:rPr>
      </w:pPr>
      <w:r>
        <w:rPr>
          <w:rFonts w:ascii="Times New Roman" w:hAnsi="Times New Roman" w:eastAsia="仿宋"/>
          <w:sz w:val="32"/>
          <w:szCs w:val="32"/>
        </w:rPr>
        <w:t>排放单位不涉及既有设施配额调整。</w:t>
      </w:r>
    </w:p>
    <w:p w14:paraId="60BC747E">
      <w:pPr>
        <w:spacing w:after="0" w:line="560" w:lineRule="exact"/>
        <w:ind w:firstLine="465"/>
        <w:rPr>
          <w:rFonts w:ascii="Times New Roman" w:hAnsi="Times New Roman" w:eastAsia="仿宋"/>
          <w:bCs/>
          <w:sz w:val="32"/>
          <w:szCs w:val="32"/>
        </w:rPr>
      </w:pPr>
      <w:r>
        <w:rPr>
          <w:rFonts w:ascii="Times New Roman" w:hAnsi="Times New Roman" w:eastAsia="仿宋"/>
          <w:bCs/>
          <w:sz w:val="32"/>
          <w:szCs w:val="32"/>
        </w:rPr>
        <w:t>排放单位退出的既有设施包括xx热源厂的2台燃气锅炉。</w:t>
      </w:r>
    </w:p>
    <w:p w14:paraId="506168E1">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2"/>
        <w:gridCol w:w="1090"/>
        <w:gridCol w:w="708"/>
        <w:gridCol w:w="916"/>
        <w:gridCol w:w="1078"/>
        <w:gridCol w:w="1174"/>
        <w:gridCol w:w="1174"/>
        <w:gridCol w:w="1174"/>
      </w:tblGrid>
      <w:tr w14:paraId="394F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05947901">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14:paraId="02AEA451">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14:paraId="7F25B7EC">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14:paraId="4CCD9DF2">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14:paraId="2C7403F0">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14:paraId="39EB536B">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14:paraId="14C81F69">
            <w:pPr>
              <w:jc w:val="center"/>
              <w:rPr>
                <w:rFonts w:ascii="Times New Roman" w:hAnsi="Times New Roman" w:eastAsia="仿宋_GB2312"/>
                <w:sz w:val="24"/>
              </w:rPr>
            </w:pPr>
            <w:r>
              <w:rPr>
                <w:rFonts w:ascii="Times New Roman" w:hAnsi="Times New Roman" w:eastAsia="仿宋_GB2312"/>
                <w:sz w:val="24"/>
              </w:rPr>
              <w:t>历史年度排放量</w:t>
            </w:r>
          </w:p>
        </w:tc>
      </w:tr>
      <w:tr w14:paraId="5183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3293C961">
            <w:pPr>
              <w:jc w:val="center"/>
              <w:rPr>
                <w:rFonts w:ascii="Times New Roman" w:hAnsi="Times New Roman" w:eastAsia="仿宋_GB2312"/>
                <w:sz w:val="24"/>
              </w:rPr>
            </w:pPr>
          </w:p>
        </w:tc>
        <w:tc>
          <w:tcPr>
            <w:tcW w:w="786" w:type="dxa"/>
            <w:vMerge w:val="continue"/>
            <w:vAlign w:val="center"/>
          </w:tcPr>
          <w:p w14:paraId="6EC8FDC0">
            <w:pPr>
              <w:jc w:val="center"/>
              <w:rPr>
                <w:rFonts w:ascii="Times New Roman" w:hAnsi="Times New Roman" w:eastAsia="仿宋_GB2312"/>
                <w:sz w:val="24"/>
              </w:rPr>
            </w:pPr>
          </w:p>
        </w:tc>
        <w:tc>
          <w:tcPr>
            <w:tcW w:w="1134" w:type="dxa"/>
            <w:vMerge w:val="continue"/>
            <w:vAlign w:val="center"/>
          </w:tcPr>
          <w:p w14:paraId="7DA099C6">
            <w:pPr>
              <w:jc w:val="center"/>
              <w:rPr>
                <w:rFonts w:ascii="Times New Roman" w:hAnsi="Times New Roman" w:eastAsia="仿宋_GB2312"/>
                <w:sz w:val="24"/>
              </w:rPr>
            </w:pPr>
          </w:p>
        </w:tc>
        <w:tc>
          <w:tcPr>
            <w:tcW w:w="709" w:type="dxa"/>
            <w:vMerge w:val="continue"/>
            <w:vAlign w:val="center"/>
          </w:tcPr>
          <w:p w14:paraId="67A16D0C">
            <w:pPr>
              <w:jc w:val="center"/>
              <w:rPr>
                <w:rFonts w:ascii="Times New Roman" w:hAnsi="Times New Roman" w:eastAsia="仿宋_GB2312"/>
                <w:sz w:val="24"/>
              </w:rPr>
            </w:pPr>
          </w:p>
        </w:tc>
        <w:tc>
          <w:tcPr>
            <w:tcW w:w="968" w:type="dxa"/>
            <w:vMerge w:val="continue"/>
            <w:vAlign w:val="center"/>
          </w:tcPr>
          <w:p w14:paraId="4A28D192">
            <w:pPr>
              <w:jc w:val="center"/>
              <w:rPr>
                <w:rFonts w:ascii="Times New Roman" w:hAnsi="Times New Roman" w:eastAsia="仿宋_GB2312"/>
                <w:sz w:val="24"/>
              </w:rPr>
            </w:pPr>
          </w:p>
        </w:tc>
        <w:tc>
          <w:tcPr>
            <w:tcW w:w="1121" w:type="dxa"/>
            <w:vMerge w:val="continue"/>
            <w:tcBorders>
              <w:right w:val="single" w:color="auto" w:sz="4" w:space="0"/>
            </w:tcBorders>
            <w:vAlign w:val="center"/>
          </w:tcPr>
          <w:p w14:paraId="2D6C201F">
            <w:pPr>
              <w:jc w:val="center"/>
              <w:rPr>
                <w:rFonts w:ascii="Times New Roman" w:hAnsi="Times New Roman" w:eastAsia="仿宋_GB2312"/>
                <w:sz w:val="24"/>
              </w:rPr>
            </w:pPr>
          </w:p>
        </w:tc>
        <w:tc>
          <w:tcPr>
            <w:tcW w:w="1116" w:type="dxa"/>
            <w:tcBorders>
              <w:left w:val="single" w:color="auto" w:sz="4" w:space="0"/>
            </w:tcBorders>
            <w:vAlign w:val="center"/>
          </w:tcPr>
          <w:p w14:paraId="264E2E4C">
            <w:pPr>
              <w:jc w:val="center"/>
              <w:rPr>
                <w:rFonts w:ascii="Times New Roman" w:hAnsi="Times New Roman" w:eastAsia="仿宋_GB2312"/>
                <w:sz w:val="24"/>
              </w:rPr>
            </w:pPr>
            <w:r>
              <w:rPr>
                <w:rFonts w:ascii="Times New Roman" w:hAnsi="Times New Roman" w:eastAsia="仿宋_GB2312"/>
                <w:sz w:val="24"/>
              </w:rPr>
              <w:t>直接排放量</w:t>
            </w:r>
          </w:p>
          <w:p w14:paraId="6BEFC23C">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171D0D07">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3D283046">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31BB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26E0E42B">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14:paraId="592F2975">
            <w:pPr>
              <w:jc w:val="center"/>
              <w:rPr>
                <w:rFonts w:ascii="Times New Roman" w:hAnsi="Times New Roman" w:eastAsia="仿宋_GB2312"/>
                <w:sz w:val="24"/>
              </w:rPr>
            </w:pPr>
            <w:r>
              <w:rPr>
                <w:rFonts w:ascii="Times New Roman" w:hAnsi="Times New Roman" w:eastAsia="仿宋_GB2312"/>
                <w:sz w:val="24"/>
              </w:rPr>
              <w:t>燃气锅炉</w:t>
            </w:r>
          </w:p>
        </w:tc>
        <w:tc>
          <w:tcPr>
            <w:tcW w:w="1134" w:type="dxa"/>
            <w:vMerge w:val="restart"/>
            <w:vAlign w:val="center"/>
          </w:tcPr>
          <w:p w14:paraId="7384D05C">
            <w:pPr>
              <w:jc w:val="center"/>
              <w:rPr>
                <w:rFonts w:ascii="Times New Roman" w:hAnsi="Times New Roman" w:eastAsia="仿宋_GB2312"/>
                <w:sz w:val="24"/>
              </w:rPr>
            </w:pPr>
          </w:p>
        </w:tc>
        <w:tc>
          <w:tcPr>
            <w:tcW w:w="709" w:type="dxa"/>
            <w:vMerge w:val="restart"/>
            <w:vAlign w:val="center"/>
          </w:tcPr>
          <w:p w14:paraId="4318D6C4">
            <w:pPr>
              <w:jc w:val="center"/>
              <w:rPr>
                <w:rFonts w:ascii="Times New Roman" w:hAnsi="Times New Roman" w:eastAsia="仿宋_GB2312"/>
                <w:sz w:val="24"/>
              </w:rPr>
            </w:pPr>
            <w:r>
              <w:rPr>
                <w:rFonts w:ascii="Times New Roman" w:hAnsi="Times New Roman" w:eastAsia="仿宋_GB2312"/>
                <w:sz w:val="24"/>
              </w:rPr>
              <w:t>2017</w:t>
            </w:r>
          </w:p>
        </w:tc>
        <w:tc>
          <w:tcPr>
            <w:tcW w:w="968" w:type="dxa"/>
            <w:vMerge w:val="restart"/>
            <w:vAlign w:val="center"/>
          </w:tcPr>
          <w:p w14:paraId="77E83C15">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14:paraId="352406A7">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14:paraId="7AF3974E">
            <w:pPr>
              <w:rPr>
                <w:rFonts w:ascii="Times New Roman" w:hAnsi="Times New Roman" w:eastAsia="仿宋_GB2312"/>
                <w:sz w:val="24"/>
              </w:rPr>
            </w:pPr>
            <w:r>
              <w:rPr>
                <w:rFonts w:ascii="Times New Roman" w:hAnsi="Times New Roman" w:eastAsia="仿宋_GB2312"/>
                <w:sz w:val="24"/>
              </w:rPr>
              <w:t>2000.00</w:t>
            </w:r>
          </w:p>
        </w:tc>
        <w:tc>
          <w:tcPr>
            <w:tcW w:w="1116" w:type="dxa"/>
          </w:tcPr>
          <w:p w14:paraId="0630361B">
            <w:pPr>
              <w:rPr>
                <w:rFonts w:ascii="Times New Roman" w:hAnsi="Times New Roman" w:eastAsia="仿宋_GB2312"/>
                <w:sz w:val="24"/>
              </w:rPr>
            </w:pPr>
            <w:r>
              <w:rPr>
                <w:rFonts w:ascii="Times New Roman" w:hAnsi="Times New Roman" w:eastAsia="仿宋_GB2312"/>
                <w:sz w:val="24"/>
              </w:rPr>
              <w:t>30.00</w:t>
            </w:r>
          </w:p>
        </w:tc>
        <w:tc>
          <w:tcPr>
            <w:tcW w:w="1116" w:type="dxa"/>
          </w:tcPr>
          <w:p w14:paraId="0D83D6D9">
            <w:pPr>
              <w:rPr>
                <w:rFonts w:ascii="Times New Roman" w:hAnsi="Times New Roman" w:eastAsia="仿宋_GB2312"/>
                <w:sz w:val="24"/>
              </w:rPr>
            </w:pPr>
            <w:r>
              <w:rPr>
                <w:rFonts w:ascii="Times New Roman" w:hAnsi="Times New Roman" w:eastAsia="仿宋_GB2312"/>
                <w:sz w:val="24"/>
              </w:rPr>
              <w:t>2030.00</w:t>
            </w:r>
          </w:p>
        </w:tc>
      </w:tr>
      <w:tr w14:paraId="2156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09383118">
            <w:pPr>
              <w:rPr>
                <w:rFonts w:ascii="Times New Roman" w:hAnsi="Times New Roman" w:eastAsia="仿宋_GB2312"/>
                <w:sz w:val="24"/>
              </w:rPr>
            </w:pPr>
          </w:p>
        </w:tc>
        <w:tc>
          <w:tcPr>
            <w:tcW w:w="786" w:type="dxa"/>
            <w:vMerge w:val="continue"/>
          </w:tcPr>
          <w:p w14:paraId="65EBB565">
            <w:pPr>
              <w:rPr>
                <w:rFonts w:ascii="Times New Roman" w:hAnsi="Times New Roman" w:eastAsia="仿宋_GB2312"/>
                <w:sz w:val="24"/>
              </w:rPr>
            </w:pPr>
          </w:p>
        </w:tc>
        <w:tc>
          <w:tcPr>
            <w:tcW w:w="1134" w:type="dxa"/>
            <w:vMerge w:val="continue"/>
          </w:tcPr>
          <w:p w14:paraId="064E48DB">
            <w:pPr>
              <w:rPr>
                <w:rFonts w:ascii="Times New Roman" w:hAnsi="Times New Roman" w:eastAsia="仿宋_GB2312"/>
                <w:sz w:val="24"/>
              </w:rPr>
            </w:pPr>
          </w:p>
        </w:tc>
        <w:tc>
          <w:tcPr>
            <w:tcW w:w="709" w:type="dxa"/>
            <w:vMerge w:val="continue"/>
          </w:tcPr>
          <w:p w14:paraId="40462E69">
            <w:pPr>
              <w:rPr>
                <w:rFonts w:ascii="Times New Roman" w:hAnsi="Times New Roman" w:eastAsia="仿宋_GB2312"/>
                <w:sz w:val="24"/>
              </w:rPr>
            </w:pPr>
          </w:p>
        </w:tc>
        <w:tc>
          <w:tcPr>
            <w:tcW w:w="968" w:type="dxa"/>
            <w:vMerge w:val="continue"/>
          </w:tcPr>
          <w:p w14:paraId="3A525E97">
            <w:pPr>
              <w:rPr>
                <w:rFonts w:ascii="Times New Roman" w:hAnsi="Times New Roman" w:eastAsia="仿宋_GB2312"/>
                <w:sz w:val="24"/>
              </w:rPr>
            </w:pPr>
          </w:p>
        </w:tc>
        <w:tc>
          <w:tcPr>
            <w:tcW w:w="1121" w:type="dxa"/>
            <w:tcBorders>
              <w:right w:val="single" w:color="auto" w:sz="4" w:space="0"/>
            </w:tcBorders>
          </w:tcPr>
          <w:p w14:paraId="77D86B49">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14:paraId="66C4D4A0">
            <w:pPr>
              <w:rPr>
                <w:rFonts w:ascii="Times New Roman" w:hAnsi="Times New Roman" w:eastAsia="仿宋_GB2312"/>
                <w:sz w:val="24"/>
              </w:rPr>
            </w:pPr>
            <w:r>
              <w:rPr>
                <w:rFonts w:ascii="Times New Roman" w:hAnsi="Times New Roman" w:eastAsia="仿宋_GB2312"/>
                <w:sz w:val="24"/>
              </w:rPr>
              <w:t>800.00</w:t>
            </w:r>
          </w:p>
        </w:tc>
        <w:tc>
          <w:tcPr>
            <w:tcW w:w="1116" w:type="dxa"/>
          </w:tcPr>
          <w:p w14:paraId="70F0556B">
            <w:pPr>
              <w:rPr>
                <w:rFonts w:ascii="Times New Roman" w:hAnsi="Times New Roman" w:eastAsia="仿宋_GB2312"/>
                <w:sz w:val="24"/>
              </w:rPr>
            </w:pPr>
            <w:r>
              <w:rPr>
                <w:rFonts w:ascii="Times New Roman" w:hAnsi="Times New Roman" w:eastAsia="仿宋_GB2312"/>
                <w:sz w:val="24"/>
              </w:rPr>
              <w:t>10.00</w:t>
            </w:r>
          </w:p>
        </w:tc>
        <w:tc>
          <w:tcPr>
            <w:tcW w:w="1116" w:type="dxa"/>
          </w:tcPr>
          <w:p w14:paraId="5BBEECA7">
            <w:pPr>
              <w:rPr>
                <w:rFonts w:ascii="Times New Roman" w:hAnsi="Times New Roman" w:eastAsia="仿宋_GB2312"/>
                <w:sz w:val="24"/>
              </w:rPr>
            </w:pPr>
            <w:r>
              <w:rPr>
                <w:rFonts w:ascii="Times New Roman" w:hAnsi="Times New Roman" w:eastAsia="仿宋_GB2312"/>
                <w:sz w:val="24"/>
              </w:rPr>
              <w:t>810.00</w:t>
            </w:r>
          </w:p>
        </w:tc>
      </w:tr>
      <w:tr w14:paraId="691F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74B54850">
            <w:pPr>
              <w:rPr>
                <w:rFonts w:ascii="Times New Roman" w:hAnsi="Times New Roman" w:eastAsia="仿宋_GB2312"/>
                <w:sz w:val="24"/>
              </w:rPr>
            </w:pPr>
          </w:p>
        </w:tc>
        <w:tc>
          <w:tcPr>
            <w:tcW w:w="786" w:type="dxa"/>
            <w:vMerge w:val="continue"/>
          </w:tcPr>
          <w:p w14:paraId="263FFDD8">
            <w:pPr>
              <w:rPr>
                <w:rFonts w:ascii="Times New Roman" w:hAnsi="Times New Roman" w:eastAsia="仿宋_GB2312"/>
                <w:sz w:val="24"/>
              </w:rPr>
            </w:pPr>
          </w:p>
        </w:tc>
        <w:tc>
          <w:tcPr>
            <w:tcW w:w="1134" w:type="dxa"/>
            <w:vMerge w:val="continue"/>
          </w:tcPr>
          <w:p w14:paraId="01CB0B8F">
            <w:pPr>
              <w:rPr>
                <w:rFonts w:ascii="Times New Roman" w:hAnsi="Times New Roman" w:eastAsia="仿宋_GB2312"/>
                <w:sz w:val="24"/>
              </w:rPr>
            </w:pPr>
          </w:p>
        </w:tc>
        <w:tc>
          <w:tcPr>
            <w:tcW w:w="709" w:type="dxa"/>
            <w:vMerge w:val="continue"/>
          </w:tcPr>
          <w:p w14:paraId="377FC9B0">
            <w:pPr>
              <w:rPr>
                <w:rFonts w:ascii="Times New Roman" w:hAnsi="Times New Roman" w:eastAsia="仿宋_GB2312"/>
                <w:sz w:val="24"/>
              </w:rPr>
            </w:pPr>
          </w:p>
        </w:tc>
        <w:tc>
          <w:tcPr>
            <w:tcW w:w="968" w:type="dxa"/>
            <w:vMerge w:val="continue"/>
          </w:tcPr>
          <w:p w14:paraId="1BD571B5">
            <w:pPr>
              <w:rPr>
                <w:rFonts w:ascii="Times New Roman" w:hAnsi="Times New Roman" w:eastAsia="仿宋_GB2312"/>
                <w:sz w:val="24"/>
              </w:rPr>
            </w:pPr>
          </w:p>
        </w:tc>
        <w:tc>
          <w:tcPr>
            <w:tcW w:w="1121" w:type="dxa"/>
            <w:tcBorders>
              <w:right w:val="single" w:color="auto" w:sz="4" w:space="0"/>
            </w:tcBorders>
          </w:tcPr>
          <w:p w14:paraId="3847347B">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vAlign w:val="center"/>
          </w:tcPr>
          <w:p w14:paraId="09ED2B6F">
            <w:pPr>
              <w:jc w:val="center"/>
              <w:rPr>
                <w:rFonts w:ascii="Times New Roman" w:hAnsi="Times New Roman" w:eastAsia="仿宋_GB2312"/>
                <w:sz w:val="24"/>
              </w:rPr>
            </w:pPr>
            <w:r>
              <w:rPr>
                <w:rFonts w:ascii="Times New Roman" w:hAnsi="Times New Roman" w:eastAsia="仿宋_GB2312"/>
                <w:sz w:val="24"/>
              </w:rPr>
              <w:t>/</w:t>
            </w:r>
          </w:p>
        </w:tc>
        <w:tc>
          <w:tcPr>
            <w:tcW w:w="1116" w:type="dxa"/>
            <w:vAlign w:val="center"/>
          </w:tcPr>
          <w:p w14:paraId="1B414DE3">
            <w:pPr>
              <w:jc w:val="center"/>
              <w:rPr>
                <w:rFonts w:ascii="Times New Roman" w:hAnsi="Times New Roman" w:eastAsia="仿宋_GB2312"/>
                <w:sz w:val="24"/>
              </w:rPr>
            </w:pPr>
            <w:r>
              <w:rPr>
                <w:rFonts w:ascii="Times New Roman" w:hAnsi="Times New Roman" w:eastAsia="仿宋_GB2312"/>
                <w:sz w:val="24"/>
              </w:rPr>
              <w:t>/</w:t>
            </w:r>
          </w:p>
        </w:tc>
        <w:tc>
          <w:tcPr>
            <w:tcW w:w="1116" w:type="dxa"/>
            <w:vAlign w:val="center"/>
          </w:tcPr>
          <w:p w14:paraId="5B09837C">
            <w:pPr>
              <w:tabs>
                <w:tab w:val="left" w:pos="420"/>
              </w:tabs>
              <w:jc w:val="center"/>
              <w:rPr>
                <w:rFonts w:ascii="Times New Roman" w:hAnsi="Times New Roman" w:eastAsia="仿宋_GB2312"/>
                <w:sz w:val="24"/>
              </w:rPr>
            </w:pPr>
            <w:r>
              <w:rPr>
                <w:rFonts w:ascii="Times New Roman" w:hAnsi="Times New Roman" w:eastAsia="仿宋_GB2312"/>
                <w:sz w:val="24"/>
              </w:rPr>
              <w:t>/</w:t>
            </w:r>
          </w:p>
        </w:tc>
      </w:tr>
    </w:tbl>
    <w:p w14:paraId="496DCF87">
      <w:pPr>
        <w:spacing w:after="0" w:line="560" w:lineRule="exact"/>
        <w:ind w:firstLine="465"/>
        <w:rPr>
          <w:rFonts w:ascii="Times New Roman" w:hAnsi="Times New Roman" w:eastAsia="仿宋"/>
          <w:sz w:val="32"/>
          <w:szCs w:val="32"/>
        </w:rPr>
      </w:pPr>
      <w:r>
        <w:rPr>
          <w:rFonts w:ascii="Times New Roman" w:hAnsi="Times New Roman" w:eastAsia="仿宋"/>
          <w:bCs/>
          <w:sz w:val="32"/>
          <w:szCs w:val="32"/>
        </w:rPr>
        <w:t>排放单位新增设施主要包括新建、划转及收购的热源厂的锅炉以及原有热源厂新增的排放设施，新增设施及其排放量信息具体如下，</w:t>
      </w:r>
      <w:r>
        <w:rPr>
          <w:rFonts w:ascii="Times New Roman" w:hAnsi="Times New Roman" w:eastAsia="仿宋"/>
          <w:sz w:val="32"/>
          <w:szCs w:val="32"/>
        </w:rPr>
        <w:t>信息供新增设施配额发放参考。</w:t>
      </w:r>
    </w:p>
    <w:p w14:paraId="4C151E21">
      <w:pPr>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24"/>
        <w:gridCol w:w="3805"/>
        <w:gridCol w:w="1129"/>
        <w:gridCol w:w="1301"/>
        <w:gridCol w:w="826"/>
      </w:tblGrid>
      <w:tr w14:paraId="2804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14:paraId="480BBB1C">
            <w:pPr>
              <w:jc w:val="center"/>
              <w:rPr>
                <w:rFonts w:ascii="Times New Roman" w:hAnsi="Times New Roman" w:eastAsia="仿宋"/>
                <w:bCs/>
                <w:sz w:val="24"/>
              </w:rPr>
            </w:pPr>
            <w:r>
              <w:rPr>
                <w:rFonts w:ascii="Times New Roman" w:hAnsi="Times New Roman" w:eastAsia="仿宋"/>
                <w:bCs/>
                <w:sz w:val="24"/>
              </w:rPr>
              <w:t>序号</w:t>
            </w:r>
          </w:p>
        </w:tc>
        <w:tc>
          <w:tcPr>
            <w:tcW w:w="542" w:type="pct"/>
          </w:tcPr>
          <w:p w14:paraId="391C26AB">
            <w:pPr>
              <w:jc w:val="center"/>
              <w:rPr>
                <w:rFonts w:ascii="Times New Roman" w:hAnsi="Times New Roman" w:eastAsia="仿宋"/>
                <w:bCs/>
                <w:sz w:val="24"/>
              </w:rPr>
            </w:pPr>
            <w:r>
              <w:rPr>
                <w:rFonts w:ascii="Times New Roman" w:hAnsi="Times New Roman" w:eastAsia="仿宋"/>
                <w:bCs/>
                <w:sz w:val="24"/>
              </w:rPr>
              <w:t>设施新增年份</w:t>
            </w:r>
          </w:p>
        </w:tc>
        <w:tc>
          <w:tcPr>
            <w:tcW w:w="2234" w:type="pct"/>
          </w:tcPr>
          <w:p w14:paraId="22BFB2CC">
            <w:pPr>
              <w:jc w:val="center"/>
              <w:rPr>
                <w:rFonts w:ascii="Times New Roman" w:hAnsi="Times New Roman" w:eastAsia="仿宋"/>
                <w:bCs/>
                <w:sz w:val="24"/>
              </w:rPr>
            </w:pPr>
            <w:r>
              <w:rPr>
                <w:rFonts w:ascii="Times New Roman" w:hAnsi="Times New Roman" w:eastAsia="仿宋"/>
                <w:bCs/>
                <w:sz w:val="24"/>
              </w:rPr>
              <w:t>新增设施类型</w:t>
            </w:r>
          </w:p>
        </w:tc>
        <w:tc>
          <w:tcPr>
            <w:tcW w:w="663" w:type="pct"/>
          </w:tcPr>
          <w:p w14:paraId="1410D0B7">
            <w:pPr>
              <w:ind w:left="-110" w:leftChars="-50" w:right="-110" w:rightChars="-50"/>
              <w:jc w:val="center"/>
              <w:rPr>
                <w:rFonts w:ascii="Times New Roman" w:hAnsi="Times New Roman" w:eastAsia="仿宋"/>
                <w:bCs/>
                <w:sz w:val="24"/>
              </w:rPr>
            </w:pPr>
            <w:r>
              <w:rPr>
                <w:rFonts w:ascii="Times New Roman" w:hAnsi="Times New Roman" w:eastAsia="仿宋"/>
                <w:bCs/>
                <w:sz w:val="24"/>
              </w:rPr>
              <w:t>是否替代既有设施，</w:t>
            </w:r>
            <w:r>
              <w:rPr>
                <w:rFonts w:ascii="Times New Roman" w:hAnsi="Times New Roman" w:eastAsia="仿宋_GB2312"/>
                <w:color w:val="000000"/>
                <w:sz w:val="24"/>
              </w:rPr>
              <w:t>被替代既有设施类型</w:t>
            </w:r>
          </w:p>
        </w:tc>
        <w:tc>
          <w:tcPr>
            <w:tcW w:w="764" w:type="pct"/>
          </w:tcPr>
          <w:p w14:paraId="23673633">
            <w:pPr>
              <w:jc w:val="center"/>
              <w:rPr>
                <w:rFonts w:ascii="Times New Roman" w:hAnsi="Times New Roman" w:eastAsia="仿宋"/>
                <w:bCs/>
                <w:sz w:val="24"/>
              </w:rPr>
            </w:pPr>
            <w:r>
              <w:rPr>
                <w:rFonts w:ascii="Times New Roman" w:hAnsi="Times New Roman" w:eastAsia="仿宋"/>
                <w:bCs/>
                <w:sz w:val="24"/>
              </w:rPr>
              <w:t>新增设施排放量（吨）</w:t>
            </w:r>
          </w:p>
        </w:tc>
        <w:tc>
          <w:tcPr>
            <w:tcW w:w="485" w:type="pct"/>
          </w:tcPr>
          <w:p w14:paraId="4D7C7684">
            <w:pPr>
              <w:ind w:left="-110" w:leftChars="-50" w:right="-110" w:rightChars="-50"/>
              <w:jc w:val="center"/>
              <w:rPr>
                <w:rFonts w:ascii="Times New Roman" w:hAnsi="Times New Roman" w:eastAsia="仿宋"/>
                <w:bCs/>
                <w:sz w:val="24"/>
              </w:rPr>
            </w:pPr>
            <w:r>
              <w:rPr>
                <w:rFonts w:hint="eastAsia" w:ascii="Times New Roman" w:hAnsi="Times New Roman" w:eastAsia="仿宋"/>
                <w:bCs/>
                <w:sz w:val="24"/>
              </w:rPr>
              <w:t>替代既有设施的新增排放量(吨)</w:t>
            </w:r>
          </w:p>
        </w:tc>
      </w:tr>
      <w:tr w14:paraId="7A38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6D493EB7">
            <w:pPr>
              <w:jc w:val="center"/>
              <w:rPr>
                <w:rFonts w:ascii="Times New Roman" w:hAnsi="Times New Roman" w:eastAsia="仿宋"/>
                <w:bCs/>
                <w:sz w:val="24"/>
              </w:rPr>
            </w:pPr>
            <w:r>
              <w:rPr>
                <w:rFonts w:ascii="Times New Roman" w:hAnsi="Times New Roman" w:eastAsia="仿宋"/>
                <w:bCs/>
                <w:sz w:val="24"/>
              </w:rPr>
              <w:t>1</w:t>
            </w:r>
          </w:p>
        </w:tc>
        <w:tc>
          <w:tcPr>
            <w:tcW w:w="542" w:type="pct"/>
            <w:vAlign w:val="center"/>
          </w:tcPr>
          <w:p w14:paraId="0248C43A">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4EC73B3E">
            <w:pPr>
              <w:jc w:val="center"/>
              <w:rPr>
                <w:rFonts w:ascii="Times New Roman" w:hAnsi="Times New Roman" w:eastAsia="仿宋"/>
                <w:bCs/>
                <w:sz w:val="24"/>
              </w:rPr>
            </w:pPr>
            <w:r>
              <w:rPr>
                <w:rFonts w:ascii="Times New Roman" w:hAnsi="Times New Roman" w:eastAsia="仿宋"/>
                <w:bCs/>
                <w:sz w:val="24"/>
              </w:rPr>
              <w:t>燃气锅炉x</w:t>
            </w:r>
            <w:r>
              <w:rPr>
                <w:rFonts w:hint="eastAsia" w:ascii="Times New Roman" w:hAnsi="Times New Roman" w:eastAsia="仿宋"/>
                <w:bCs/>
                <w:sz w:val="24"/>
              </w:rPr>
              <w:t>x</w:t>
            </w:r>
            <w:r>
              <w:rPr>
                <w:rFonts w:ascii="Times New Roman" w:hAnsi="Times New Roman" w:eastAsia="仿宋"/>
                <w:bCs/>
                <w:sz w:val="24"/>
              </w:rPr>
              <w:t>台：</w:t>
            </w:r>
            <w:r>
              <w:rPr>
                <w:rFonts w:ascii="Times New Roman" w:hAnsi="Times New Roman" w:eastAsia="仿宋"/>
                <w:sz w:val="24"/>
              </w:rPr>
              <w:t>xxx、xxx、xxx</w:t>
            </w:r>
          </w:p>
        </w:tc>
        <w:tc>
          <w:tcPr>
            <w:tcW w:w="663" w:type="pct"/>
            <w:vAlign w:val="center"/>
          </w:tcPr>
          <w:p w14:paraId="59E209FD">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02D7CF6D">
            <w:pPr>
              <w:jc w:val="center"/>
              <w:textAlignment w:val="center"/>
              <w:rPr>
                <w:rFonts w:ascii="Times New Roman" w:hAnsi="Times New Roman" w:eastAsia="仿宋"/>
                <w:bCs/>
                <w:sz w:val="24"/>
              </w:rPr>
            </w:pPr>
            <w:r>
              <w:rPr>
                <w:rFonts w:ascii="Times New Roman" w:hAnsi="Times New Roman" w:eastAsia="仿宋"/>
                <w:color w:val="000000"/>
                <w:sz w:val="24"/>
              </w:rPr>
              <w:t xml:space="preserve">58000.00 </w:t>
            </w:r>
          </w:p>
        </w:tc>
        <w:tc>
          <w:tcPr>
            <w:tcW w:w="485" w:type="pct"/>
            <w:vAlign w:val="center"/>
          </w:tcPr>
          <w:p w14:paraId="662AB1B9">
            <w:pPr>
              <w:jc w:val="center"/>
              <w:rPr>
                <w:rFonts w:ascii="Times New Roman" w:hAnsi="Times New Roman" w:eastAsia="仿宋"/>
                <w:bCs/>
                <w:sz w:val="24"/>
              </w:rPr>
            </w:pPr>
            <w:r>
              <w:rPr>
                <w:rFonts w:ascii="Times New Roman" w:hAnsi="Times New Roman" w:eastAsia="仿宋"/>
                <w:bCs/>
                <w:sz w:val="24"/>
              </w:rPr>
              <w:t>/</w:t>
            </w:r>
          </w:p>
        </w:tc>
      </w:tr>
      <w:tr w14:paraId="1EF1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443FFE65">
            <w:pPr>
              <w:jc w:val="center"/>
              <w:rPr>
                <w:rFonts w:ascii="Times New Roman" w:hAnsi="Times New Roman" w:eastAsia="仿宋"/>
                <w:bCs/>
                <w:sz w:val="24"/>
              </w:rPr>
            </w:pPr>
            <w:r>
              <w:rPr>
                <w:rFonts w:ascii="Times New Roman" w:hAnsi="Times New Roman" w:eastAsia="仿宋"/>
                <w:bCs/>
                <w:sz w:val="24"/>
              </w:rPr>
              <w:t>2</w:t>
            </w:r>
          </w:p>
        </w:tc>
        <w:tc>
          <w:tcPr>
            <w:tcW w:w="542" w:type="pct"/>
            <w:vAlign w:val="center"/>
          </w:tcPr>
          <w:p w14:paraId="153F707A">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09559AFE">
            <w:pPr>
              <w:jc w:val="center"/>
              <w:rPr>
                <w:rFonts w:ascii="Times New Roman" w:hAnsi="Times New Roman" w:eastAsia="仿宋"/>
                <w:bCs/>
                <w:sz w:val="24"/>
              </w:rPr>
            </w:pPr>
            <w:r>
              <w:rPr>
                <w:rFonts w:ascii="Times New Roman" w:hAnsi="Times New Roman" w:eastAsia="仿宋"/>
                <w:bCs/>
                <w:sz w:val="24"/>
              </w:rPr>
              <w:t>燃煤锅炉</w:t>
            </w:r>
            <w:r>
              <w:rPr>
                <w:rFonts w:hint="eastAsia" w:ascii="Times New Roman" w:hAnsi="Times New Roman" w:eastAsia="仿宋"/>
                <w:bCs/>
                <w:sz w:val="24"/>
              </w:rPr>
              <w:t>x</w:t>
            </w:r>
            <w:r>
              <w:rPr>
                <w:rFonts w:ascii="Times New Roman" w:hAnsi="Times New Roman" w:eastAsia="仿宋"/>
                <w:bCs/>
                <w:sz w:val="24"/>
              </w:rPr>
              <w:t>x台：</w:t>
            </w:r>
            <w:r>
              <w:rPr>
                <w:rFonts w:ascii="Times New Roman" w:hAnsi="Times New Roman" w:eastAsia="仿宋"/>
                <w:sz w:val="24"/>
              </w:rPr>
              <w:t>xxx、xxx、xxx</w:t>
            </w:r>
          </w:p>
        </w:tc>
        <w:tc>
          <w:tcPr>
            <w:tcW w:w="663" w:type="pct"/>
            <w:vAlign w:val="center"/>
          </w:tcPr>
          <w:p w14:paraId="68E9A568">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094967E3">
            <w:pPr>
              <w:jc w:val="center"/>
              <w:textAlignment w:val="center"/>
              <w:rPr>
                <w:rFonts w:ascii="Times New Roman" w:hAnsi="Times New Roman" w:eastAsia="仿宋"/>
                <w:bCs/>
                <w:sz w:val="24"/>
              </w:rPr>
            </w:pPr>
            <w:r>
              <w:rPr>
                <w:rFonts w:ascii="Times New Roman" w:hAnsi="Times New Roman" w:eastAsia="仿宋"/>
                <w:color w:val="000000"/>
                <w:sz w:val="24"/>
              </w:rPr>
              <w:t xml:space="preserve">4000.00 </w:t>
            </w:r>
          </w:p>
        </w:tc>
        <w:tc>
          <w:tcPr>
            <w:tcW w:w="485" w:type="pct"/>
            <w:vAlign w:val="center"/>
          </w:tcPr>
          <w:p w14:paraId="724F2825">
            <w:pPr>
              <w:jc w:val="center"/>
              <w:rPr>
                <w:rFonts w:ascii="Times New Roman" w:hAnsi="Times New Roman" w:eastAsia="仿宋"/>
                <w:bCs/>
                <w:sz w:val="24"/>
              </w:rPr>
            </w:pPr>
            <w:r>
              <w:rPr>
                <w:rFonts w:ascii="Times New Roman" w:hAnsi="Times New Roman" w:eastAsia="仿宋"/>
                <w:bCs/>
                <w:sz w:val="24"/>
              </w:rPr>
              <w:t>/</w:t>
            </w:r>
          </w:p>
        </w:tc>
      </w:tr>
      <w:tr w14:paraId="5F1E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5404618C">
            <w:pPr>
              <w:jc w:val="center"/>
              <w:rPr>
                <w:rFonts w:ascii="Times New Roman" w:hAnsi="Times New Roman" w:eastAsia="仿宋"/>
                <w:bCs/>
                <w:sz w:val="24"/>
              </w:rPr>
            </w:pPr>
            <w:r>
              <w:rPr>
                <w:rFonts w:ascii="Times New Roman" w:hAnsi="Times New Roman" w:eastAsia="仿宋"/>
                <w:bCs/>
                <w:sz w:val="24"/>
              </w:rPr>
              <w:t>3</w:t>
            </w:r>
          </w:p>
        </w:tc>
        <w:tc>
          <w:tcPr>
            <w:tcW w:w="542" w:type="pct"/>
            <w:vAlign w:val="center"/>
          </w:tcPr>
          <w:p w14:paraId="237C2BEE">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649BC208">
            <w:pPr>
              <w:jc w:val="center"/>
              <w:rPr>
                <w:rFonts w:ascii="Times New Roman" w:hAnsi="Times New Roman" w:eastAsia="仿宋"/>
                <w:bCs/>
                <w:sz w:val="24"/>
              </w:rPr>
            </w:pPr>
            <w:r>
              <w:rPr>
                <w:rFonts w:ascii="Times New Roman" w:hAnsi="Times New Roman" w:eastAsia="仿宋"/>
                <w:bCs/>
                <w:sz w:val="24"/>
              </w:rPr>
              <w:t>燃油锅炉xx台：</w:t>
            </w:r>
            <w:r>
              <w:rPr>
                <w:rFonts w:ascii="Times New Roman" w:hAnsi="Times New Roman" w:eastAsia="仿宋"/>
                <w:sz w:val="24"/>
              </w:rPr>
              <w:t>xxx、xxx、xxx</w:t>
            </w:r>
          </w:p>
        </w:tc>
        <w:tc>
          <w:tcPr>
            <w:tcW w:w="663" w:type="pct"/>
            <w:vAlign w:val="center"/>
          </w:tcPr>
          <w:p w14:paraId="766C6F19">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0038BE1B">
            <w:pPr>
              <w:jc w:val="center"/>
              <w:textAlignment w:val="center"/>
              <w:rPr>
                <w:rFonts w:ascii="Times New Roman" w:hAnsi="Times New Roman" w:eastAsia="仿宋"/>
                <w:bCs/>
                <w:sz w:val="24"/>
              </w:rPr>
            </w:pPr>
            <w:r>
              <w:rPr>
                <w:rFonts w:ascii="Times New Roman" w:hAnsi="Times New Roman" w:eastAsia="仿宋"/>
                <w:color w:val="000000"/>
                <w:sz w:val="24"/>
              </w:rPr>
              <w:t>2000.00</w:t>
            </w:r>
          </w:p>
        </w:tc>
        <w:tc>
          <w:tcPr>
            <w:tcW w:w="485" w:type="pct"/>
            <w:vAlign w:val="center"/>
          </w:tcPr>
          <w:p w14:paraId="4E90ADBC">
            <w:pPr>
              <w:jc w:val="center"/>
              <w:rPr>
                <w:rFonts w:ascii="Times New Roman" w:hAnsi="Times New Roman" w:eastAsia="仿宋"/>
                <w:bCs/>
                <w:sz w:val="24"/>
              </w:rPr>
            </w:pPr>
            <w:r>
              <w:rPr>
                <w:rFonts w:ascii="Times New Roman" w:hAnsi="Times New Roman" w:eastAsia="仿宋"/>
                <w:bCs/>
                <w:sz w:val="24"/>
              </w:rPr>
              <w:t>/</w:t>
            </w:r>
          </w:p>
        </w:tc>
      </w:tr>
      <w:tr w14:paraId="3469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1783DAC2">
            <w:pPr>
              <w:jc w:val="center"/>
              <w:rPr>
                <w:rFonts w:ascii="Times New Roman" w:hAnsi="Times New Roman" w:eastAsia="仿宋"/>
                <w:bCs/>
                <w:sz w:val="24"/>
              </w:rPr>
            </w:pPr>
            <w:r>
              <w:rPr>
                <w:rFonts w:ascii="Times New Roman" w:hAnsi="Times New Roman" w:eastAsia="仿宋"/>
                <w:bCs/>
                <w:sz w:val="24"/>
              </w:rPr>
              <w:t>4</w:t>
            </w:r>
          </w:p>
        </w:tc>
        <w:tc>
          <w:tcPr>
            <w:tcW w:w="542" w:type="pct"/>
            <w:vAlign w:val="center"/>
          </w:tcPr>
          <w:p w14:paraId="7F2E856E">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14:paraId="02B66BF0">
            <w:pPr>
              <w:jc w:val="center"/>
              <w:rPr>
                <w:rFonts w:ascii="Times New Roman" w:hAnsi="Times New Roman" w:eastAsia="仿宋"/>
                <w:bCs/>
                <w:sz w:val="24"/>
              </w:rPr>
            </w:pPr>
            <w:r>
              <w:rPr>
                <w:rFonts w:ascii="Times New Roman" w:hAnsi="Times New Roman" w:eastAsia="仿宋"/>
                <w:bCs/>
                <w:sz w:val="24"/>
              </w:rPr>
              <w:t>电锅炉xx台：</w:t>
            </w:r>
            <w:r>
              <w:rPr>
                <w:rFonts w:ascii="Times New Roman" w:hAnsi="Times New Roman" w:eastAsia="仿宋"/>
                <w:sz w:val="24"/>
              </w:rPr>
              <w:t>xxx、xxx、xxx</w:t>
            </w:r>
          </w:p>
        </w:tc>
        <w:tc>
          <w:tcPr>
            <w:tcW w:w="663" w:type="pct"/>
            <w:vAlign w:val="center"/>
          </w:tcPr>
          <w:p w14:paraId="40EA2331">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14:paraId="53028722">
            <w:pPr>
              <w:jc w:val="center"/>
              <w:textAlignment w:val="center"/>
              <w:rPr>
                <w:rFonts w:ascii="Times New Roman" w:hAnsi="Times New Roman" w:eastAsia="仿宋"/>
                <w:bCs/>
                <w:sz w:val="24"/>
              </w:rPr>
            </w:pPr>
            <w:r>
              <w:rPr>
                <w:rFonts w:ascii="Times New Roman" w:hAnsi="Times New Roman" w:eastAsia="仿宋"/>
                <w:color w:val="000000"/>
                <w:sz w:val="24"/>
              </w:rPr>
              <w:t>600.00</w:t>
            </w:r>
          </w:p>
        </w:tc>
        <w:tc>
          <w:tcPr>
            <w:tcW w:w="485" w:type="pct"/>
            <w:vAlign w:val="center"/>
          </w:tcPr>
          <w:p w14:paraId="16FA7BEF">
            <w:pPr>
              <w:jc w:val="center"/>
              <w:rPr>
                <w:rFonts w:ascii="Times New Roman" w:hAnsi="Times New Roman" w:eastAsia="仿宋"/>
                <w:bCs/>
                <w:sz w:val="24"/>
              </w:rPr>
            </w:pPr>
            <w:r>
              <w:rPr>
                <w:rFonts w:ascii="Times New Roman" w:hAnsi="Times New Roman" w:eastAsia="仿宋"/>
                <w:bCs/>
                <w:sz w:val="24"/>
              </w:rPr>
              <w:t>/</w:t>
            </w:r>
          </w:p>
        </w:tc>
      </w:tr>
      <w:tr w14:paraId="7C0C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59C33D9F">
            <w:pPr>
              <w:jc w:val="center"/>
              <w:rPr>
                <w:rFonts w:ascii="Times New Roman" w:hAnsi="Times New Roman" w:eastAsia="仿宋"/>
                <w:bCs/>
                <w:sz w:val="24"/>
              </w:rPr>
            </w:pPr>
            <w:r>
              <w:rPr>
                <w:rFonts w:hint="eastAsia" w:ascii="Times New Roman" w:hAnsi="Times New Roman" w:eastAsia="仿宋"/>
                <w:bCs/>
                <w:sz w:val="24"/>
              </w:rPr>
              <w:t>5</w:t>
            </w:r>
          </w:p>
        </w:tc>
        <w:tc>
          <w:tcPr>
            <w:tcW w:w="542" w:type="pct"/>
            <w:vAlign w:val="center"/>
          </w:tcPr>
          <w:p w14:paraId="05C3F85B">
            <w:pPr>
              <w:jc w:val="center"/>
              <w:rPr>
                <w:rFonts w:ascii="Times New Roman" w:hAnsi="Times New Roman" w:eastAsia="仿宋"/>
                <w:bCs/>
                <w:sz w:val="24"/>
              </w:rPr>
            </w:pPr>
            <w:r>
              <w:rPr>
                <w:rFonts w:hint="eastAsia" w:ascii="Times New Roman" w:hAnsi="Times New Roman" w:eastAsia="仿宋"/>
                <w:bCs/>
                <w:sz w:val="24"/>
              </w:rPr>
              <w:t>2019</w:t>
            </w:r>
          </w:p>
        </w:tc>
        <w:tc>
          <w:tcPr>
            <w:tcW w:w="2234" w:type="pct"/>
            <w:vAlign w:val="center"/>
          </w:tcPr>
          <w:p w14:paraId="5EF47EEB">
            <w:pPr>
              <w:jc w:val="center"/>
              <w:rPr>
                <w:rFonts w:ascii="Times New Roman" w:hAnsi="Times New Roman" w:eastAsia="仿宋"/>
                <w:bCs/>
                <w:sz w:val="24"/>
              </w:rPr>
            </w:pPr>
            <w:r>
              <w:rPr>
                <w:rFonts w:hint="eastAsia" w:ascii="Times New Roman" w:hAnsi="Times New Roman" w:eastAsia="仿宋"/>
                <w:bCs/>
                <w:sz w:val="24"/>
              </w:rPr>
              <w:t>热力站：xx座</w:t>
            </w:r>
          </w:p>
        </w:tc>
        <w:tc>
          <w:tcPr>
            <w:tcW w:w="663" w:type="pct"/>
            <w:vAlign w:val="center"/>
          </w:tcPr>
          <w:p w14:paraId="6D51D2D6">
            <w:pPr>
              <w:jc w:val="center"/>
              <w:rPr>
                <w:rFonts w:ascii="Times New Roman" w:hAnsi="Times New Roman" w:eastAsia="仿宋"/>
                <w:bCs/>
                <w:sz w:val="24"/>
              </w:rPr>
            </w:pPr>
            <w:r>
              <w:rPr>
                <w:rFonts w:hint="eastAsia" w:ascii="Times New Roman" w:hAnsi="Times New Roman" w:eastAsia="仿宋"/>
                <w:bCs/>
                <w:sz w:val="24"/>
              </w:rPr>
              <w:t>否</w:t>
            </w:r>
          </w:p>
        </w:tc>
        <w:tc>
          <w:tcPr>
            <w:tcW w:w="764" w:type="pct"/>
            <w:vAlign w:val="center"/>
          </w:tcPr>
          <w:p w14:paraId="5DA89B90">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485" w:type="pct"/>
            <w:vAlign w:val="center"/>
          </w:tcPr>
          <w:p w14:paraId="3445DAF7">
            <w:pPr>
              <w:jc w:val="center"/>
              <w:rPr>
                <w:rFonts w:ascii="Times New Roman" w:hAnsi="Times New Roman" w:eastAsia="仿宋"/>
                <w:bCs/>
                <w:sz w:val="24"/>
              </w:rPr>
            </w:pPr>
          </w:p>
        </w:tc>
      </w:tr>
      <w:tr w14:paraId="1B6B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625C4CAE">
            <w:pPr>
              <w:jc w:val="center"/>
              <w:rPr>
                <w:rFonts w:ascii="Times New Roman" w:hAnsi="Times New Roman" w:eastAsia="仿宋"/>
                <w:bCs/>
                <w:sz w:val="24"/>
              </w:rPr>
            </w:pPr>
            <w:r>
              <w:rPr>
                <w:rFonts w:hint="eastAsia" w:ascii="Times New Roman" w:hAnsi="Times New Roman" w:eastAsia="仿宋"/>
                <w:bCs/>
                <w:sz w:val="24"/>
              </w:rPr>
              <w:t>6</w:t>
            </w:r>
          </w:p>
        </w:tc>
        <w:tc>
          <w:tcPr>
            <w:tcW w:w="542" w:type="pct"/>
            <w:vAlign w:val="center"/>
          </w:tcPr>
          <w:p w14:paraId="5A2F3480">
            <w:pPr>
              <w:jc w:val="center"/>
              <w:rPr>
                <w:rFonts w:ascii="Times New Roman" w:hAnsi="Times New Roman" w:eastAsia="仿宋"/>
                <w:bCs/>
                <w:sz w:val="24"/>
              </w:rPr>
            </w:pPr>
            <w:r>
              <w:rPr>
                <w:rFonts w:hint="eastAsia" w:ascii="Times New Roman" w:hAnsi="Times New Roman" w:eastAsia="仿宋"/>
                <w:bCs/>
                <w:sz w:val="24"/>
              </w:rPr>
              <w:t>2</w:t>
            </w:r>
            <w:r>
              <w:rPr>
                <w:rFonts w:ascii="Times New Roman" w:hAnsi="Times New Roman" w:eastAsia="仿宋"/>
                <w:bCs/>
                <w:sz w:val="24"/>
              </w:rPr>
              <w:t>020</w:t>
            </w:r>
          </w:p>
        </w:tc>
        <w:tc>
          <w:tcPr>
            <w:tcW w:w="2234" w:type="pct"/>
            <w:vAlign w:val="center"/>
          </w:tcPr>
          <w:p w14:paraId="1F909992">
            <w:pPr>
              <w:jc w:val="center"/>
              <w:rPr>
                <w:rFonts w:ascii="Times New Roman" w:hAnsi="Times New Roman" w:eastAsia="仿宋"/>
                <w:bCs/>
                <w:sz w:val="24"/>
              </w:rPr>
            </w:pPr>
            <w:r>
              <w:rPr>
                <w:rFonts w:hint="eastAsia" w:ascii="Times New Roman" w:hAnsi="Times New Roman" w:eastAsia="仿宋"/>
                <w:bCs/>
                <w:sz w:val="24"/>
              </w:rPr>
              <w:t>热力站：xx座</w:t>
            </w:r>
          </w:p>
        </w:tc>
        <w:tc>
          <w:tcPr>
            <w:tcW w:w="663" w:type="pct"/>
            <w:vAlign w:val="center"/>
          </w:tcPr>
          <w:p w14:paraId="0549BABB">
            <w:pPr>
              <w:jc w:val="center"/>
              <w:rPr>
                <w:rFonts w:ascii="Times New Roman" w:hAnsi="Times New Roman" w:eastAsia="仿宋"/>
                <w:bCs/>
                <w:sz w:val="24"/>
              </w:rPr>
            </w:pPr>
            <w:r>
              <w:rPr>
                <w:rFonts w:hint="eastAsia" w:ascii="Times New Roman" w:hAnsi="Times New Roman" w:eastAsia="仿宋"/>
                <w:bCs/>
                <w:sz w:val="24"/>
              </w:rPr>
              <w:t>否</w:t>
            </w:r>
          </w:p>
        </w:tc>
        <w:tc>
          <w:tcPr>
            <w:tcW w:w="764" w:type="pct"/>
            <w:vAlign w:val="center"/>
          </w:tcPr>
          <w:p w14:paraId="61B94C74">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485" w:type="pct"/>
            <w:vAlign w:val="center"/>
          </w:tcPr>
          <w:p w14:paraId="1FB87466">
            <w:pPr>
              <w:jc w:val="center"/>
              <w:rPr>
                <w:rFonts w:ascii="Times New Roman" w:hAnsi="Times New Roman" w:eastAsia="仿宋"/>
                <w:bCs/>
                <w:sz w:val="24"/>
              </w:rPr>
            </w:pPr>
            <w:r>
              <w:rPr>
                <w:rFonts w:ascii="Times New Roman" w:hAnsi="Times New Roman" w:eastAsia="仿宋"/>
                <w:bCs/>
                <w:sz w:val="24"/>
              </w:rPr>
              <w:t>/</w:t>
            </w:r>
          </w:p>
        </w:tc>
      </w:tr>
      <w:tr w14:paraId="3403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14:paraId="654219E7">
            <w:pPr>
              <w:ind w:left="-110" w:leftChars="-50" w:right="-110" w:rightChars="-50"/>
              <w:jc w:val="center"/>
              <w:rPr>
                <w:rFonts w:ascii="Times New Roman" w:hAnsi="Times New Roman" w:eastAsia="仿宋"/>
                <w:bCs/>
                <w:sz w:val="24"/>
              </w:rPr>
            </w:pPr>
            <w:r>
              <w:rPr>
                <w:rFonts w:ascii="Times New Roman" w:hAnsi="Times New Roman" w:eastAsia="仿宋"/>
                <w:bCs/>
                <w:sz w:val="24"/>
              </w:rPr>
              <w:t>合计</w:t>
            </w:r>
          </w:p>
        </w:tc>
        <w:tc>
          <w:tcPr>
            <w:tcW w:w="542" w:type="pct"/>
          </w:tcPr>
          <w:p w14:paraId="102FAA43">
            <w:pPr>
              <w:jc w:val="center"/>
              <w:rPr>
                <w:rFonts w:ascii="Times New Roman" w:hAnsi="Times New Roman" w:eastAsia="仿宋"/>
                <w:bCs/>
                <w:sz w:val="24"/>
              </w:rPr>
            </w:pPr>
          </w:p>
        </w:tc>
        <w:tc>
          <w:tcPr>
            <w:tcW w:w="2234" w:type="pct"/>
          </w:tcPr>
          <w:p w14:paraId="2B72B60B">
            <w:pPr>
              <w:jc w:val="center"/>
              <w:rPr>
                <w:rFonts w:ascii="Times New Roman" w:hAnsi="Times New Roman" w:eastAsia="仿宋"/>
                <w:bCs/>
                <w:sz w:val="24"/>
              </w:rPr>
            </w:pPr>
          </w:p>
        </w:tc>
        <w:tc>
          <w:tcPr>
            <w:tcW w:w="663" w:type="pct"/>
          </w:tcPr>
          <w:p w14:paraId="5A148A7C">
            <w:pPr>
              <w:jc w:val="center"/>
              <w:rPr>
                <w:rFonts w:ascii="Times New Roman" w:hAnsi="Times New Roman" w:eastAsia="仿宋"/>
                <w:bCs/>
                <w:sz w:val="24"/>
              </w:rPr>
            </w:pPr>
          </w:p>
        </w:tc>
        <w:tc>
          <w:tcPr>
            <w:tcW w:w="764" w:type="pct"/>
          </w:tcPr>
          <w:p w14:paraId="41A91748">
            <w:pPr>
              <w:jc w:val="center"/>
              <w:textAlignment w:val="top"/>
              <w:rPr>
                <w:rFonts w:ascii="Times New Roman" w:hAnsi="Times New Roman" w:eastAsia="仿宋"/>
                <w:bCs/>
                <w:sz w:val="24"/>
              </w:rPr>
            </w:pPr>
            <w:r>
              <w:rPr>
                <w:rFonts w:ascii="Times New Roman" w:hAnsi="Times New Roman" w:eastAsia="仿宋"/>
                <w:color w:val="000000"/>
                <w:sz w:val="24"/>
              </w:rPr>
              <w:t xml:space="preserve">70600.00 </w:t>
            </w:r>
          </w:p>
        </w:tc>
        <w:tc>
          <w:tcPr>
            <w:tcW w:w="485" w:type="pct"/>
            <w:vAlign w:val="center"/>
          </w:tcPr>
          <w:p w14:paraId="0C626C5B">
            <w:pPr>
              <w:jc w:val="center"/>
              <w:rPr>
                <w:rFonts w:ascii="Times New Roman" w:hAnsi="Times New Roman" w:eastAsia="仿宋"/>
                <w:bCs/>
                <w:sz w:val="24"/>
              </w:rPr>
            </w:pPr>
            <w:r>
              <w:rPr>
                <w:rFonts w:ascii="Times New Roman" w:hAnsi="Times New Roman" w:eastAsia="仿宋"/>
                <w:bCs/>
                <w:sz w:val="24"/>
              </w:rPr>
              <w:t>/</w:t>
            </w:r>
          </w:p>
        </w:tc>
      </w:tr>
    </w:tbl>
    <w:p w14:paraId="0F6D80D1">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新增设施排放量为70600.00吨，是基准年份排放量的XX%，新增燃气锅炉为直供，</w:t>
      </w:r>
      <w:r>
        <w:rPr>
          <w:rFonts w:ascii="Times New Roman" w:hAnsi="Times New Roman" w:eastAsia="仿宋"/>
          <w:sz w:val="32"/>
          <w:szCs w:val="32"/>
        </w:rPr>
        <w:t>建筑物供热量为xxxxTJ；新增燃煤锅炉为直供，建筑供热量为xxxxTJ；燃油锅炉所供的建筑供热量为xxxxTJ</w:t>
      </w:r>
      <w:r>
        <w:rPr>
          <w:rFonts w:ascii="Times New Roman" w:hAnsi="Times New Roman" w:eastAsia="仿宋_GB2312"/>
          <w:sz w:val="32"/>
          <w:szCs w:val="32"/>
        </w:rPr>
        <w:t>；</w:t>
      </w:r>
      <w:r>
        <w:rPr>
          <w:rFonts w:ascii="Times New Roman" w:hAnsi="Times New Roman" w:eastAsia="仿宋"/>
          <w:sz w:val="32"/>
          <w:szCs w:val="32"/>
        </w:rPr>
        <w:t>电锅炉所供的建筑供热量为xxxxTJ；新增设施对应的热力站一次侧输入热量为xxxxTJ。</w:t>
      </w:r>
      <w:r>
        <w:rPr>
          <w:rFonts w:ascii="Times New Roman" w:hAnsi="Times New Roman" w:eastAsia="仿宋_GB2312"/>
          <w:sz w:val="32"/>
          <w:szCs w:val="32"/>
        </w:rPr>
        <w:t>此信息供新增设施配额发放参考。</w:t>
      </w:r>
    </w:p>
    <w:p w14:paraId="074EC7DE">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5. 核查过程未覆盖的问题描述</w:t>
      </w:r>
    </w:p>
    <w:p w14:paraId="30034516">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由于天然气表和电表分别为燃气公司及电力公司管控，因此未能核查这些仪表的检定信息。</w:t>
      </w:r>
    </w:p>
    <w:p w14:paraId="77FD031E">
      <w:pPr>
        <w:rPr>
          <w:rFonts w:ascii="Times New Roman" w:hAnsi="Times New Roman"/>
        </w:rPr>
      </w:pPr>
      <w:r>
        <w:rPr>
          <w:rFonts w:ascii="Times New Roman" w:hAnsi="Times New Roman"/>
        </w:rPr>
        <w:br w:type="page"/>
      </w:r>
    </w:p>
    <w:p w14:paraId="5EE1DE83">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电力生产企业</w:t>
      </w:r>
    </w:p>
    <w:p w14:paraId="0CFB5336">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核查结论</w:t>
      </w:r>
    </w:p>
    <w:p w14:paraId="00FAE9E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15D283A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296DCF0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0DE4653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《二氧化碳排放核算和报告要求电力生产业》（DB11/T 1781-2020）</w:t>
      </w:r>
      <w:r>
        <w:rPr>
          <w:rFonts w:ascii="Times New Roman" w:hAnsi="Times New Roman" w:eastAsia="仿宋_GB2312"/>
          <w:sz w:val="32"/>
          <w:szCs w:val="32"/>
        </w:rPr>
        <w:t>的要求，核查组对本排放报告出具肯定的核查结论。</w:t>
      </w:r>
    </w:p>
    <w:p w14:paraId="00DF880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173AE1B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经核查的直接和间接排放量与最终排放报告中的数据一致。经核查的直接排放量为2799714.26吨，间接排放量为3888.38吨，总排放量为2803602.64吨。</w:t>
      </w:r>
    </w:p>
    <w:p w14:paraId="6038267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经核查的供电量、供热量与最终排放报告中数据一致。经核查的一期1#机组供电量为xxxMWh，供热量为xxxxTJ，供热比为xxx；二期2#机组供电量为xxxMWh，供热量为xxxxTJ，供热比为xxx；三期二拖一（</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#）机组供电量为xxxMWh，供热量为xxxxTJ，供热比为xxx</w:t>
      </w:r>
      <w:r>
        <w:rPr>
          <w:rFonts w:hint="eastAsia" w:ascii="Times New Roman" w:hAnsi="Times New Roman" w:eastAsia="仿宋_GB2312"/>
          <w:sz w:val="32"/>
          <w:szCs w:val="32"/>
        </w:rPr>
        <w:t>；</w:t>
      </w:r>
      <w:r>
        <w:rPr>
          <w:rFonts w:ascii="Times New Roman" w:hAnsi="Times New Roman" w:eastAsia="仿宋_GB2312"/>
          <w:sz w:val="32"/>
          <w:szCs w:val="32"/>
        </w:rPr>
        <w:t>燃气热水炉供热量为xxxxTJ。</w:t>
      </w:r>
    </w:p>
    <w:p w14:paraId="7E43A1F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14:paraId="37F2B2B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增加242659.68吨/9.48%，其中直接排放相比上年度增加242159.68吨/9.47%，间接排放相比上一年度增加500.00吨/14.76%。由于电网调控原因，供电量大幅上升，相比上一年度上升40.00%，其中一期燃机供电量增加，二期燃机供电量下降，三期燃机在11月开始投入使用；同时，周边企业的热能消耗需求基本保持不变，供热量变化不大。因此主要是由于供电量上升导致碳排放量大幅增加。</w:t>
      </w:r>
    </w:p>
    <w:p w14:paraId="7F22E18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本年度排放量相比历史基准年份排放量增加242659.68吨，上升比例为9.48%，受电网调控，供电量相比基准年增加40.00%，而供热量变化幅度不大，导致排放量上升。</w:t>
      </w:r>
    </w:p>
    <w:p w14:paraId="2C65458C">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Layout w:type="fixed"/>
        <w:tblCellMar>
          <w:top w:w="0" w:type="dxa"/>
          <w:left w:w="108" w:type="dxa"/>
          <w:bottom w:w="0" w:type="dxa"/>
          <w:right w:w="108" w:type="dxa"/>
        </w:tblCellMar>
      </w:tblPr>
      <w:tblGrid>
        <w:gridCol w:w="1260"/>
        <w:gridCol w:w="2144"/>
        <w:gridCol w:w="2243"/>
        <w:gridCol w:w="2270"/>
      </w:tblGrid>
      <w:tr w14:paraId="3D2B0155">
        <w:tblPrEx>
          <w:tblCellMar>
            <w:top w:w="0" w:type="dxa"/>
            <w:left w:w="108" w:type="dxa"/>
            <w:bottom w:w="0" w:type="dxa"/>
            <w:right w:w="108" w:type="dxa"/>
          </w:tblCellMar>
        </w:tblPrEx>
        <w:trPr>
          <w:trHeight w:val="1028" w:hRule="atLeast"/>
        </w:trPr>
        <w:tc>
          <w:tcPr>
            <w:tcW w:w="1260" w:type="dxa"/>
            <w:tcBorders>
              <w:top w:val="single" w:color="auto" w:sz="4" w:space="0"/>
              <w:left w:val="single" w:color="auto" w:sz="4" w:space="0"/>
              <w:bottom w:val="single" w:color="auto" w:sz="4" w:space="0"/>
              <w:right w:val="single" w:color="auto" w:sz="4" w:space="0"/>
            </w:tcBorders>
            <w:vAlign w:val="center"/>
          </w:tcPr>
          <w:p w14:paraId="388FB108">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tcBorders>
              <w:top w:val="single" w:color="auto" w:sz="4" w:space="0"/>
              <w:left w:val="nil"/>
              <w:bottom w:val="single" w:color="auto" w:sz="4" w:space="0"/>
              <w:right w:val="single" w:color="auto" w:sz="4" w:space="0"/>
            </w:tcBorders>
            <w:vAlign w:val="center"/>
          </w:tcPr>
          <w:p w14:paraId="0E4AFD2D">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tcBorders>
              <w:top w:val="single" w:color="auto" w:sz="4" w:space="0"/>
              <w:left w:val="nil"/>
              <w:bottom w:val="single" w:color="auto" w:sz="4" w:space="0"/>
              <w:right w:val="single" w:color="auto" w:sz="4" w:space="0"/>
            </w:tcBorders>
            <w:vAlign w:val="center"/>
          </w:tcPr>
          <w:p w14:paraId="256CCDA8">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tcBorders>
              <w:top w:val="single" w:color="auto" w:sz="4" w:space="0"/>
              <w:left w:val="nil"/>
              <w:bottom w:val="single" w:color="auto" w:sz="4" w:space="0"/>
              <w:right w:val="single" w:color="auto" w:sz="4" w:space="0"/>
            </w:tcBorders>
            <w:vAlign w:val="center"/>
          </w:tcPr>
          <w:p w14:paraId="3E019E2C">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542AB79A">
        <w:tblPrEx>
          <w:tblCellMar>
            <w:top w:w="0" w:type="dxa"/>
            <w:left w:w="108" w:type="dxa"/>
            <w:bottom w:w="0" w:type="dxa"/>
            <w:right w:w="108" w:type="dxa"/>
          </w:tblCellMar>
        </w:tblPrEx>
        <w:trPr>
          <w:trHeight w:val="547" w:hRule="atLeast"/>
        </w:trPr>
        <w:tc>
          <w:tcPr>
            <w:tcW w:w="1260" w:type="dxa"/>
            <w:tcBorders>
              <w:top w:val="nil"/>
              <w:left w:val="single" w:color="auto" w:sz="4" w:space="0"/>
              <w:bottom w:val="single" w:color="auto" w:sz="4" w:space="0"/>
              <w:right w:val="single" w:color="auto" w:sz="4" w:space="0"/>
            </w:tcBorders>
            <w:noWrap/>
            <w:vAlign w:val="center"/>
          </w:tcPr>
          <w:p w14:paraId="52C7DCE2">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tcBorders>
              <w:top w:val="nil"/>
              <w:left w:val="nil"/>
              <w:bottom w:val="single" w:color="auto" w:sz="4" w:space="0"/>
              <w:right w:val="single" w:color="auto" w:sz="4" w:space="0"/>
            </w:tcBorders>
            <w:noWrap/>
            <w:vAlign w:val="center"/>
          </w:tcPr>
          <w:p w14:paraId="02CB3C6D">
            <w:pPr>
              <w:jc w:val="center"/>
              <w:textAlignment w:val="center"/>
              <w:rPr>
                <w:rFonts w:ascii="Times New Roman" w:hAnsi="Times New Roman"/>
                <w:color w:val="000000"/>
                <w:sz w:val="24"/>
              </w:rPr>
            </w:pPr>
            <w:r>
              <w:rPr>
                <w:rFonts w:ascii="Times New Roman" w:hAnsi="Times New Roman" w:eastAsia="仿宋_GB2312"/>
                <w:color w:val="000000"/>
                <w:sz w:val="24"/>
              </w:rPr>
              <w:t>1571714.26</w:t>
            </w:r>
          </w:p>
        </w:tc>
        <w:tc>
          <w:tcPr>
            <w:tcW w:w="2243" w:type="dxa"/>
            <w:tcBorders>
              <w:top w:val="nil"/>
              <w:left w:val="nil"/>
              <w:bottom w:val="single" w:color="auto" w:sz="4" w:space="0"/>
              <w:right w:val="single" w:color="auto" w:sz="4" w:space="0"/>
            </w:tcBorders>
            <w:noWrap/>
            <w:vAlign w:val="center"/>
          </w:tcPr>
          <w:p w14:paraId="40FDCB00">
            <w:pPr>
              <w:jc w:val="center"/>
              <w:textAlignment w:val="center"/>
              <w:rPr>
                <w:rFonts w:ascii="Times New Roman" w:hAnsi="Times New Roman"/>
                <w:color w:val="000000"/>
                <w:sz w:val="24"/>
              </w:rPr>
            </w:pPr>
            <w:r>
              <w:rPr>
                <w:rFonts w:ascii="Times New Roman" w:hAnsi="Times New Roman" w:eastAsia="仿宋_GB2312"/>
                <w:color w:val="000000"/>
                <w:sz w:val="24"/>
              </w:rPr>
              <w:t>2688.38</w:t>
            </w:r>
          </w:p>
        </w:tc>
        <w:tc>
          <w:tcPr>
            <w:tcW w:w="2270" w:type="dxa"/>
            <w:tcBorders>
              <w:top w:val="nil"/>
              <w:left w:val="nil"/>
              <w:bottom w:val="single" w:color="auto" w:sz="4" w:space="0"/>
              <w:right w:val="single" w:color="auto" w:sz="4" w:space="0"/>
            </w:tcBorders>
            <w:vAlign w:val="center"/>
          </w:tcPr>
          <w:p w14:paraId="49423E18">
            <w:pPr>
              <w:jc w:val="center"/>
              <w:textAlignment w:val="center"/>
              <w:rPr>
                <w:rFonts w:ascii="Times New Roman" w:hAnsi="Times New Roman"/>
                <w:color w:val="000000"/>
                <w:sz w:val="24"/>
              </w:rPr>
            </w:pPr>
            <w:r>
              <w:rPr>
                <w:rFonts w:ascii="Times New Roman" w:hAnsi="Times New Roman" w:eastAsia="仿宋_GB2312"/>
                <w:color w:val="000000"/>
                <w:sz w:val="24"/>
              </w:rPr>
              <w:t>1574402.64</w:t>
            </w:r>
          </w:p>
        </w:tc>
      </w:tr>
      <w:tr w14:paraId="4A007E09">
        <w:tblPrEx>
          <w:tblCellMar>
            <w:top w:w="0" w:type="dxa"/>
            <w:left w:w="108" w:type="dxa"/>
            <w:bottom w:w="0" w:type="dxa"/>
            <w:right w:w="108" w:type="dxa"/>
          </w:tblCellMar>
        </w:tblPrEx>
        <w:trPr>
          <w:trHeight w:val="347" w:hRule="atLeast"/>
        </w:trPr>
        <w:tc>
          <w:tcPr>
            <w:tcW w:w="1260" w:type="dxa"/>
            <w:tcBorders>
              <w:top w:val="nil"/>
              <w:left w:val="single" w:color="auto" w:sz="4" w:space="0"/>
              <w:bottom w:val="single" w:color="auto" w:sz="4" w:space="0"/>
              <w:right w:val="single" w:color="auto" w:sz="4" w:space="0"/>
            </w:tcBorders>
            <w:noWrap/>
            <w:vAlign w:val="center"/>
          </w:tcPr>
          <w:p w14:paraId="7075571B">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tcBorders>
              <w:top w:val="nil"/>
              <w:left w:val="nil"/>
              <w:bottom w:val="single" w:color="auto" w:sz="4" w:space="0"/>
              <w:right w:val="single" w:color="auto" w:sz="4" w:space="0"/>
            </w:tcBorders>
            <w:noWrap/>
            <w:vAlign w:val="center"/>
          </w:tcPr>
          <w:p w14:paraId="34290656">
            <w:pPr>
              <w:jc w:val="center"/>
              <w:textAlignment w:val="center"/>
              <w:rPr>
                <w:rFonts w:ascii="Times New Roman" w:hAnsi="Times New Roman"/>
                <w:color w:val="000000"/>
                <w:sz w:val="24"/>
              </w:rPr>
            </w:pPr>
            <w:r>
              <w:rPr>
                <w:rFonts w:ascii="Times New Roman" w:hAnsi="Times New Roman" w:eastAsia="仿宋_GB2312"/>
                <w:color w:val="000000"/>
                <w:sz w:val="24"/>
              </w:rPr>
              <w:t>1619714.26</w:t>
            </w:r>
          </w:p>
        </w:tc>
        <w:tc>
          <w:tcPr>
            <w:tcW w:w="2243" w:type="dxa"/>
            <w:tcBorders>
              <w:top w:val="nil"/>
              <w:left w:val="nil"/>
              <w:bottom w:val="single" w:color="auto" w:sz="4" w:space="0"/>
              <w:right w:val="single" w:color="auto" w:sz="4" w:space="0"/>
            </w:tcBorders>
            <w:noWrap/>
            <w:vAlign w:val="center"/>
          </w:tcPr>
          <w:p w14:paraId="06D1726F">
            <w:pPr>
              <w:jc w:val="center"/>
              <w:textAlignment w:val="center"/>
              <w:rPr>
                <w:rFonts w:ascii="Times New Roman" w:hAnsi="Times New Roman"/>
                <w:color w:val="000000"/>
                <w:sz w:val="24"/>
              </w:rPr>
            </w:pPr>
            <w:r>
              <w:rPr>
                <w:rFonts w:ascii="Times New Roman" w:hAnsi="Times New Roman" w:eastAsia="仿宋_GB2312"/>
                <w:color w:val="000000"/>
                <w:sz w:val="24"/>
              </w:rPr>
              <w:t>2988.38</w:t>
            </w:r>
          </w:p>
        </w:tc>
        <w:tc>
          <w:tcPr>
            <w:tcW w:w="2270" w:type="dxa"/>
            <w:tcBorders>
              <w:top w:val="nil"/>
              <w:left w:val="nil"/>
              <w:bottom w:val="single" w:color="auto" w:sz="4" w:space="0"/>
              <w:right w:val="single" w:color="auto" w:sz="4" w:space="0"/>
            </w:tcBorders>
            <w:vAlign w:val="center"/>
          </w:tcPr>
          <w:p w14:paraId="0AECC670">
            <w:pPr>
              <w:jc w:val="center"/>
              <w:textAlignment w:val="center"/>
              <w:rPr>
                <w:rFonts w:ascii="Times New Roman" w:hAnsi="Times New Roman"/>
                <w:color w:val="000000"/>
                <w:sz w:val="24"/>
              </w:rPr>
            </w:pPr>
            <w:r>
              <w:rPr>
                <w:rFonts w:ascii="Times New Roman" w:hAnsi="Times New Roman" w:eastAsia="仿宋_GB2312"/>
                <w:color w:val="000000"/>
                <w:sz w:val="24"/>
              </w:rPr>
              <w:t>1622702.64</w:t>
            </w:r>
          </w:p>
        </w:tc>
      </w:tr>
      <w:tr w14:paraId="076EA2CD">
        <w:tblPrEx>
          <w:tblCellMar>
            <w:top w:w="0" w:type="dxa"/>
            <w:left w:w="108" w:type="dxa"/>
            <w:bottom w:w="0" w:type="dxa"/>
            <w:right w:w="108" w:type="dxa"/>
          </w:tblCellMar>
        </w:tblPrEx>
        <w:trPr>
          <w:trHeight w:val="347" w:hRule="atLeast"/>
        </w:trPr>
        <w:tc>
          <w:tcPr>
            <w:tcW w:w="1260" w:type="dxa"/>
            <w:tcBorders>
              <w:top w:val="nil"/>
              <w:left w:val="single" w:color="auto" w:sz="4" w:space="0"/>
              <w:bottom w:val="single" w:color="auto" w:sz="4" w:space="0"/>
              <w:right w:val="single" w:color="auto" w:sz="4" w:space="0"/>
            </w:tcBorders>
            <w:noWrap/>
            <w:vAlign w:val="center"/>
          </w:tcPr>
          <w:p w14:paraId="51725D3E">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tcBorders>
              <w:top w:val="nil"/>
              <w:left w:val="nil"/>
              <w:bottom w:val="single" w:color="auto" w:sz="4" w:space="0"/>
              <w:right w:val="single" w:color="auto" w:sz="4" w:space="0"/>
            </w:tcBorders>
            <w:noWrap/>
            <w:vAlign w:val="center"/>
          </w:tcPr>
          <w:p w14:paraId="19728443">
            <w:pPr>
              <w:jc w:val="center"/>
              <w:textAlignment w:val="center"/>
              <w:rPr>
                <w:rFonts w:ascii="Times New Roman" w:hAnsi="Times New Roman"/>
                <w:color w:val="000000"/>
                <w:sz w:val="24"/>
              </w:rPr>
            </w:pPr>
            <w:r>
              <w:rPr>
                <w:rFonts w:ascii="Times New Roman" w:hAnsi="Times New Roman" w:eastAsia="仿宋_GB2312"/>
                <w:color w:val="000000"/>
                <w:sz w:val="24"/>
              </w:rPr>
              <w:t>2557554.58</w:t>
            </w:r>
          </w:p>
        </w:tc>
        <w:tc>
          <w:tcPr>
            <w:tcW w:w="2243" w:type="dxa"/>
            <w:tcBorders>
              <w:top w:val="nil"/>
              <w:left w:val="nil"/>
              <w:bottom w:val="single" w:color="auto" w:sz="4" w:space="0"/>
              <w:right w:val="single" w:color="auto" w:sz="4" w:space="0"/>
            </w:tcBorders>
            <w:noWrap/>
            <w:vAlign w:val="center"/>
          </w:tcPr>
          <w:p w14:paraId="71BFFB0C">
            <w:pPr>
              <w:jc w:val="center"/>
              <w:textAlignment w:val="center"/>
              <w:rPr>
                <w:rFonts w:ascii="Times New Roman" w:hAnsi="Times New Roman"/>
                <w:color w:val="000000"/>
                <w:sz w:val="24"/>
              </w:rPr>
            </w:pPr>
            <w:r>
              <w:rPr>
                <w:rFonts w:ascii="Times New Roman" w:hAnsi="Times New Roman" w:eastAsia="仿宋_GB2312"/>
                <w:color w:val="000000"/>
                <w:sz w:val="24"/>
              </w:rPr>
              <w:t>3388.38</w:t>
            </w:r>
          </w:p>
        </w:tc>
        <w:tc>
          <w:tcPr>
            <w:tcW w:w="2270" w:type="dxa"/>
            <w:tcBorders>
              <w:top w:val="nil"/>
              <w:left w:val="nil"/>
              <w:bottom w:val="single" w:color="auto" w:sz="4" w:space="0"/>
              <w:right w:val="single" w:color="auto" w:sz="4" w:space="0"/>
            </w:tcBorders>
            <w:vAlign w:val="center"/>
          </w:tcPr>
          <w:p w14:paraId="61F48F8C">
            <w:pPr>
              <w:jc w:val="center"/>
              <w:textAlignment w:val="center"/>
              <w:rPr>
                <w:rFonts w:ascii="Times New Roman" w:hAnsi="Times New Roman"/>
                <w:color w:val="000000"/>
                <w:sz w:val="24"/>
              </w:rPr>
            </w:pPr>
            <w:r>
              <w:rPr>
                <w:rFonts w:ascii="Times New Roman" w:hAnsi="Times New Roman" w:eastAsia="仿宋_GB2312"/>
                <w:color w:val="000000"/>
                <w:sz w:val="24"/>
              </w:rPr>
              <w:t>2560942.96</w:t>
            </w:r>
          </w:p>
        </w:tc>
      </w:tr>
      <w:tr w14:paraId="6803D49A">
        <w:tblPrEx>
          <w:tblCellMar>
            <w:top w:w="0" w:type="dxa"/>
            <w:left w:w="108" w:type="dxa"/>
            <w:bottom w:w="0" w:type="dxa"/>
            <w:right w:w="108" w:type="dxa"/>
          </w:tblCellMar>
        </w:tblPrEx>
        <w:trPr>
          <w:trHeight w:val="347" w:hRule="atLeast"/>
        </w:trPr>
        <w:tc>
          <w:tcPr>
            <w:tcW w:w="1260" w:type="dxa"/>
            <w:tcBorders>
              <w:top w:val="single" w:color="auto" w:sz="4" w:space="0"/>
              <w:left w:val="single" w:color="auto" w:sz="4" w:space="0"/>
              <w:bottom w:val="single" w:color="auto" w:sz="4" w:space="0"/>
              <w:right w:val="single" w:color="auto" w:sz="4" w:space="0"/>
            </w:tcBorders>
            <w:noWrap/>
            <w:vAlign w:val="center"/>
          </w:tcPr>
          <w:p w14:paraId="7E9F5243">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tcBorders>
              <w:top w:val="single" w:color="auto" w:sz="4" w:space="0"/>
              <w:left w:val="nil"/>
              <w:bottom w:val="single" w:color="auto" w:sz="4" w:space="0"/>
              <w:right w:val="single" w:color="auto" w:sz="4" w:space="0"/>
            </w:tcBorders>
            <w:noWrap/>
            <w:vAlign w:val="center"/>
          </w:tcPr>
          <w:p w14:paraId="1C880D7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243" w:type="dxa"/>
            <w:tcBorders>
              <w:top w:val="single" w:color="auto" w:sz="4" w:space="0"/>
              <w:left w:val="nil"/>
              <w:bottom w:val="single" w:color="auto" w:sz="4" w:space="0"/>
              <w:right w:val="single" w:color="auto" w:sz="4" w:space="0"/>
            </w:tcBorders>
            <w:noWrap/>
            <w:vAlign w:val="center"/>
          </w:tcPr>
          <w:p w14:paraId="281C047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270" w:type="dxa"/>
            <w:tcBorders>
              <w:top w:val="single" w:color="auto" w:sz="4" w:space="0"/>
              <w:left w:val="nil"/>
              <w:bottom w:val="single" w:color="auto" w:sz="4" w:space="0"/>
              <w:right w:val="single" w:color="auto" w:sz="4" w:space="0"/>
            </w:tcBorders>
            <w:vAlign w:val="center"/>
          </w:tcPr>
          <w:p w14:paraId="39F4BFC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r w14:paraId="0BB56E6F">
        <w:tblPrEx>
          <w:tblCellMar>
            <w:top w:w="0" w:type="dxa"/>
            <w:left w:w="108" w:type="dxa"/>
            <w:bottom w:w="0" w:type="dxa"/>
            <w:right w:w="108" w:type="dxa"/>
          </w:tblCellMar>
        </w:tblPrEx>
        <w:trPr>
          <w:trHeight w:val="347" w:hRule="atLeast"/>
        </w:trPr>
        <w:tc>
          <w:tcPr>
            <w:tcW w:w="1260" w:type="dxa"/>
            <w:tcBorders>
              <w:top w:val="single" w:color="auto" w:sz="4" w:space="0"/>
              <w:left w:val="single" w:color="auto" w:sz="4" w:space="0"/>
              <w:bottom w:val="single" w:color="auto" w:sz="4" w:space="0"/>
              <w:right w:val="single" w:color="auto" w:sz="4" w:space="0"/>
            </w:tcBorders>
            <w:noWrap/>
            <w:vAlign w:val="center"/>
          </w:tcPr>
          <w:p w14:paraId="7827EF02">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tcBorders>
              <w:top w:val="single" w:color="auto" w:sz="4" w:space="0"/>
              <w:left w:val="nil"/>
              <w:bottom w:val="single" w:color="auto" w:sz="4" w:space="0"/>
              <w:right w:val="single" w:color="auto" w:sz="4" w:space="0"/>
            </w:tcBorders>
            <w:noWrap/>
            <w:vAlign w:val="center"/>
          </w:tcPr>
          <w:p w14:paraId="5250C316">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243" w:type="dxa"/>
            <w:tcBorders>
              <w:top w:val="single" w:color="auto" w:sz="4" w:space="0"/>
              <w:left w:val="nil"/>
              <w:bottom w:val="single" w:color="auto" w:sz="4" w:space="0"/>
              <w:right w:val="single" w:color="auto" w:sz="4" w:space="0"/>
            </w:tcBorders>
            <w:noWrap/>
            <w:vAlign w:val="center"/>
          </w:tcPr>
          <w:p w14:paraId="7E3DC557">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270" w:type="dxa"/>
            <w:tcBorders>
              <w:top w:val="single" w:color="auto" w:sz="4" w:space="0"/>
              <w:left w:val="nil"/>
              <w:bottom w:val="single" w:color="auto" w:sz="4" w:space="0"/>
              <w:right w:val="single" w:color="auto" w:sz="4" w:space="0"/>
            </w:tcBorders>
            <w:vAlign w:val="center"/>
          </w:tcPr>
          <w:p w14:paraId="43280B13">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bl>
    <w:p w14:paraId="752F920F">
      <w:pPr>
        <w:ind w:firstLine="440" w:firstLineChars="200"/>
        <w:jc w:val="center"/>
        <w:rPr>
          <w:rFonts w:ascii="Times New Roman" w:hAnsi="Times New Roman"/>
        </w:rPr>
      </w:pPr>
      <w:r>
        <w:rPr>
          <w:lang w:val="en-US"/>
        </w:rPr>
        <w:drawing>
          <wp:inline distT="0" distB="0" distL="0" distR="0">
            <wp:extent cx="4568825" cy="2740025"/>
            <wp:effectExtent l="0" t="0" r="3175" b="317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9C8AAB">
      <w:pPr>
        <w:spacing w:after="0" w:line="560" w:lineRule="exact"/>
        <w:jc w:val="center"/>
        <w:rPr>
          <w:rFonts w:ascii="Times New Roman" w:hAnsi="Times New Roman" w:eastAsia="仿宋_GB2312"/>
          <w:sz w:val="24"/>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14:paraId="45A66C5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4.核算和报告边界及变化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6610EA6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7F18F6F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w:t>
      </w:r>
      <w:r>
        <w:rPr>
          <w:rFonts w:hint="eastAsia" w:ascii="Times New Roman" w:hAnsi="Times New Roman" w:eastAsia="仿宋_GB2312"/>
          <w:sz w:val="32"/>
          <w:szCs w:val="32"/>
        </w:rPr>
        <w:t>包含一期的xxMW1#燃气机组、二期xxMW2#燃气机组，三期二拖一3#-5#燃机机组，以及xxMW燃气热水炉。</w:t>
      </w:r>
      <w:r>
        <w:rPr>
          <w:rFonts w:ascii="Times New Roman" w:hAnsi="Times New Roman" w:eastAsia="仿宋_GB2312"/>
          <w:sz w:val="32"/>
          <w:szCs w:val="32"/>
        </w:rPr>
        <w:t>与上年度相比，场所边界无变化；与基准年相比，场所边界无变化。</w:t>
      </w:r>
    </w:p>
    <w:p w14:paraId="7B1A5AF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06E92DBA">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排放单位不涉及既有设施配额调整。</w:t>
      </w:r>
    </w:p>
    <w:p w14:paraId="2493B16A">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14:paraId="6B8F82D0">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排放单位新增设施主要包括燃气机组及热水锅炉，均未替代既有设施。新增设施及其排放量信息如下：</w:t>
      </w:r>
    </w:p>
    <w:p w14:paraId="73EFFE87">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217"/>
        <w:gridCol w:w="1668"/>
        <w:gridCol w:w="1564"/>
        <w:gridCol w:w="1564"/>
        <w:gridCol w:w="1564"/>
      </w:tblGrid>
      <w:tr w14:paraId="4C2C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14:paraId="0EAAD225">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14:paraId="013049BC">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979" w:type="pct"/>
            <w:vAlign w:val="center"/>
          </w:tcPr>
          <w:p w14:paraId="648E891B">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新增设施类型/名称</w:t>
            </w:r>
          </w:p>
        </w:tc>
        <w:tc>
          <w:tcPr>
            <w:tcW w:w="918" w:type="pct"/>
            <w:vAlign w:val="center"/>
          </w:tcPr>
          <w:p w14:paraId="0A4651A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918" w:type="pct"/>
            <w:vAlign w:val="center"/>
          </w:tcPr>
          <w:p w14:paraId="08986A03">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918" w:type="pct"/>
            <w:vAlign w:val="center"/>
          </w:tcPr>
          <w:p w14:paraId="0C2F9C17">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6DF3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09CD8BCA">
            <w:pPr>
              <w:jc w:val="center"/>
              <w:rPr>
                <w:rFonts w:ascii="Times New Roman" w:hAnsi="Times New Roman" w:eastAsia="仿宋_GB2312"/>
                <w:sz w:val="24"/>
              </w:rPr>
            </w:pPr>
            <w:r>
              <w:rPr>
                <w:rFonts w:ascii="Times New Roman" w:hAnsi="Times New Roman" w:eastAsia="仿宋_GB2312"/>
                <w:color w:val="000000"/>
                <w:sz w:val="24"/>
              </w:rPr>
              <w:t>1</w:t>
            </w:r>
          </w:p>
        </w:tc>
        <w:tc>
          <w:tcPr>
            <w:tcW w:w="714" w:type="pct"/>
          </w:tcPr>
          <w:p w14:paraId="3CAC4AE4">
            <w:pPr>
              <w:jc w:val="center"/>
              <w:rPr>
                <w:rFonts w:ascii="Times New Roman" w:hAnsi="Times New Roman" w:eastAsia="仿宋_GB2312"/>
                <w:sz w:val="24"/>
              </w:rPr>
            </w:pPr>
            <w:r>
              <w:rPr>
                <w:rFonts w:ascii="Times New Roman" w:hAnsi="Times New Roman" w:eastAsia="仿宋_GB2312"/>
                <w:sz w:val="24"/>
              </w:rPr>
              <w:t>2019</w:t>
            </w:r>
          </w:p>
        </w:tc>
        <w:tc>
          <w:tcPr>
            <w:tcW w:w="979" w:type="pct"/>
          </w:tcPr>
          <w:p w14:paraId="7D404BFD">
            <w:pPr>
              <w:jc w:val="center"/>
              <w:rPr>
                <w:rFonts w:ascii="Times New Roman" w:hAnsi="Times New Roman" w:eastAsia="仿宋_GB2312"/>
                <w:sz w:val="24"/>
              </w:rPr>
            </w:pPr>
            <w:r>
              <w:rPr>
                <w:rFonts w:hint="eastAsia" w:ascii="Times New Roman" w:hAnsi="Times New Roman" w:eastAsia="仿宋_GB2312"/>
                <w:sz w:val="24"/>
              </w:rPr>
              <w:t>二拖一燃气机组（3#-5#）</w:t>
            </w:r>
          </w:p>
        </w:tc>
        <w:tc>
          <w:tcPr>
            <w:tcW w:w="918" w:type="pct"/>
          </w:tcPr>
          <w:p w14:paraId="6FDD84EC">
            <w:pPr>
              <w:jc w:val="center"/>
              <w:rPr>
                <w:rFonts w:ascii="Times New Roman" w:hAnsi="Times New Roman" w:eastAsia="仿宋_GB2312"/>
                <w:sz w:val="24"/>
              </w:rPr>
            </w:pPr>
            <w:r>
              <w:rPr>
                <w:rFonts w:ascii="Times New Roman" w:hAnsi="Times New Roman" w:eastAsia="仿宋_GB2312"/>
                <w:sz w:val="24"/>
              </w:rPr>
              <w:t>否</w:t>
            </w:r>
          </w:p>
        </w:tc>
        <w:tc>
          <w:tcPr>
            <w:tcW w:w="918" w:type="pct"/>
          </w:tcPr>
          <w:p w14:paraId="1C08CACF">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118000.00 </w:t>
            </w:r>
          </w:p>
        </w:tc>
        <w:tc>
          <w:tcPr>
            <w:tcW w:w="918" w:type="pct"/>
          </w:tcPr>
          <w:p w14:paraId="22D42682">
            <w:pPr>
              <w:jc w:val="center"/>
              <w:rPr>
                <w:rFonts w:ascii="Times New Roman" w:hAnsi="Times New Roman" w:eastAsia="仿宋_GB2312"/>
                <w:sz w:val="24"/>
              </w:rPr>
            </w:pPr>
            <w:r>
              <w:rPr>
                <w:rFonts w:ascii="Times New Roman" w:hAnsi="Times New Roman" w:eastAsia="仿宋_GB2312"/>
                <w:sz w:val="24"/>
              </w:rPr>
              <w:t>/</w:t>
            </w:r>
          </w:p>
        </w:tc>
      </w:tr>
      <w:tr w14:paraId="318E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7BF7BF2F">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714" w:type="pct"/>
          </w:tcPr>
          <w:p w14:paraId="39987290">
            <w:pPr>
              <w:jc w:val="center"/>
              <w:rPr>
                <w:rFonts w:ascii="Times New Roman" w:hAnsi="Times New Roman" w:eastAsia="仿宋_GB2312"/>
                <w:sz w:val="24"/>
              </w:rPr>
            </w:pPr>
            <w:r>
              <w:rPr>
                <w:rFonts w:ascii="Times New Roman" w:hAnsi="Times New Roman" w:eastAsia="仿宋_GB2312"/>
                <w:sz w:val="24"/>
              </w:rPr>
              <w:t>2019</w:t>
            </w:r>
          </w:p>
        </w:tc>
        <w:tc>
          <w:tcPr>
            <w:tcW w:w="979" w:type="pct"/>
          </w:tcPr>
          <w:p w14:paraId="5F1318A3">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918" w:type="pct"/>
          </w:tcPr>
          <w:p w14:paraId="30018040">
            <w:pPr>
              <w:jc w:val="center"/>
              <w:rPr>
                <w:rFonts w:ascii="Times New Roman" w:hAnsi="Times New Roman" w:eastAsia="仿宋_GB2312"/>
                <w:sz w:val="24"/>
              </w:rPr>
            </w:pPr>
            <w:r>
              <w:rPr>
                <w:rFonts w:ascii="Times New Roman" w:hAnsi="Times New Roman" w:eastAsia="仿宋_GB2312"/>
                <w:sz w:val="24"/>
              </w:rPr>
              <w:t>否</w:t>
            </w:r>
          </w:p>
        </w:tc>
        <w:tc>
          <w:tcPr>
            <w:tcW w:w="918" w:type="pct"/>
          </w:tcPr>
          <w:p w14:paraId="18F625AE">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60000.00 </w:t>
            </w:r>
          </w:p>
        </w:tc>
        <w:tc>
          <w:tcPr>
            <w:tcW w:w="918" w:type="pct"/>
          </w:tcPr>
          <w:p w14:paraId="107DFBA7">
            <w:pPr>
              <w:jc w:val="center"/>
              <w:rPr>
                <w:rFonts w:ascii="Times New Roman" w:hAnsi="Times New Roman" w:eastAsia="仿宋_GB2312"/>
                <w:sz w:val="24"/>
              </w:rPr>
            </w:pPr>
            <w:r>
              <w:rPr>
                <w:rFonts w:ascii="Times New Roman" w:hAnsi="Times New Roman" w:eastAsia="仿宋_GB2312"/>
                <w:sz w:val="24"/>
              </w:rPr>
              <w:t>/</w:t>
            </w:r>
          </w:p>
        </w:tc>
      </w:tr>
      <w:tr w14:paraId="2151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68C6E184">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tcPr>
          <w:p w14:paraId="705C8E1A">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979" w:type="pct"/>
          </w:tcPr>
          <w:p w14:paraId="2133D1A8">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918" w:type="pct"/>
          </w:tcPr>
          <w:p w14:paraId="3640E07B">
            <w:pPr>
              <w:jc w:val="center"/>
              <w:rPr>
                <w:rFonts w:ascii="Times New Roman" w:hAnsi="Times New Roman" w:eastAsia="仿宋_GB2312"/>
                <w:sz w:val="24"/>
              </w:rPr>
            </w:pPr>
            <w:r>
              <w:rPr>
                <w:rFonts w:ascii="Times New Roman" w:hAnsi="Times New Roman" w:eastAsia="仿宋_GB2312"/>
                <w:sz w:val="24"/>
              </w:rPr>
              <w:t>否</w:t>
            </w:r>
          </w:p>
        </w:tc>
        <w:tc>
          <w:tcPr>
            <w:tcW w:w="918" w:type="pct"/>
          </w:tcPr>
          <w:p w14:paraId="2882FFC2">
            <w:pPr>
              <w:jc w:val="center"/>
              <w:textAlignment w:val="top"/>
              <w:rPr>
                <w:rFonts w:ascii="Times New Roman" w:hAnsi="Times New Roman" w:eastAsia="仿宋_GB2312"/>
                <w:color w:val="000000"/>
                <w:sz w:val="24"/>
              </w:rPr>
            </w:pPr>
            <w:r>
              <w:rPr>
                <w:rFonts w:hint="eastAsia" w:ascii="Times New Roman" w:hAnsi="Times New Roman" w:eastAsia="仿宋_GB2312"/>
                <w:color w:val="000000"/>
                <w:sz w:val="24"/>
              </w:rPr>
              <w:t>X</w:t>
            </w:r>
            <w:r>
              <w:rPr>
                <w:rFonts w:ascii="Times New Roman" w:hAnsi="Times New Roman" w:eastAsia="仿宋_GB2312"/>
                <w:color w:val="000000"/>
                <w:sz w:val="24"/>
              </w:rPr>
              <w:t>XXX</w:t>
            </w:r>
          </w:p>
        </w:tc>
        <w:tc>
          <w:tcPr>
            <w:tcW w:w="918" w:type="pct"/>
          </w:tcPr>
          <w:p w14:paraId="496CC248">
            <w:pPr>
              <w:jc w:val="center"/>
              <w:rPr>
                <w:rFonts w:ascii="Times New Roman" w:hAnsi="Times New Roman" w:eastAsia="仿宋_GB2312"/>
                <w:sz w:val="24"/>
              </w:rPr>
            </w:pPr>
          </w:p>
        </w:tc>
      </w:tr>
      <w:tr w14:paraId="4E1D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14:paraId="6F312061">
            <w:pPr>
              <w:jc w:val="center"/>
              <w:rPr>
                <w:rFonts w:ascii="Times New Roman" w:hAnsi="Times New Roman" w:eastAsia="仿宋_GB2312"/>
                <w:color w:val="000000"/>
                <w:sz w:val="24"/>
              </w:rPr>
            </w:pPr>
            <w:r>
              <w:rPr>
                <w:rFonts w:ascii="Times New Roman" w:hAnsi="Times New Roman" w:eastAsia="仿宋_GB2312"/>
                <w:color w:val="000000"/>
                <w:sz w:val="24"/>
              </w:rPr>
              <w:t>合计</w:t>
            </w:r>
          </w:p>
        </w:tc>
        <w:tc>
          <w:tcPr>
            <w:tcW w:w="714" w:type="pct"/>
          </w:tcPr>
          <w:p w14:paraId="301E7B52">
            <w:pPr>
              <w:jc w:val="center"/>
              <w:rPr>
                <w:rFonts w:ascii="Times New Roman" w:hAnsi="Times New Roman" w:eastAsia="仿宋_GB2312"/>
                <w:sz w:val="24"/>
              </w:rPr>
            </w:pPr>
          </w:p>
        </w:tc>
        <w:tc>
          <w:tcPr>
            <w:tcW w:w="979" w:type="pct"/>
          </w:tcPr>
          <w:p w14:paraId="1B86EA4F">
            <w:pPr>
              <w:jc w:val="center"/>
              <w:rPr>
                <w:rFonts w:ascii="Times New Roman" w:hAnsi="Times New Roman" w:eastAsia="仿宋_GB2312"/>
                <w:sz w:val="24"/>
              </w:rPr>
            </w:pPr>
          </w:p>
        </w:tc>
        <w:tc>
          <w:tcPr>
            <w:tcW w:w="918" w:type="pct"/>
          </w:tcPr>
          <w:p w14:paraId="1AE540B3">
            <w:pPr>
              <w:jc w:val="center"/>
              <w:rPr>
                <w:rFonts w:ascii="Times New Roman" w:hAnsi="Times New Roman" w:eastAsia="仿宋_GB2312"/>
                <w:sz w:val="24"/>
              </w:rPr>
            </w:pPr>
          </w:p>
        </w:tc>
        <w:tc>
          <w:tcPr>
            <w:tcW w:w="918" w:type="pct"/>
            <w:vAlign w:val="center"/>
          </w:tcPr>
          <w:p w14:paraId="6F92B1A5">
            <w:pPr>
              <w:jc w:val="center"/>
              <w:textAlignment w:val="center"/>
              <w:rPr>
                <w:rFonts w:ascii="Times New Roman" w:hAnsi="Times New Roman" w:eastAsia="仿宋_GB2312"/>
                <w:sz w:val="24"/>
              </w:rPr>
            </w:pPr>
            <w:r>
              <w:rPr>
                <w:rFonts w:ascii="Times New Roman" w:hAnsi="Times New Roman"/>
                <w:color w:val="000000"/>
                <w:sz w:val="24"/>
              </w:rPr>
              <w:t xml:space="preserve">XXXX </w:t>
            </w:r>
          </w:p>
        </w:tc>
        <w:tc>
          <w:tcPr>
            <w:tcW w:w="918" w:type="pct"/>
          </w:tcPr>
          <w:p w14:paraId="19CEAB49">
            <w:pPr>
              <w:jc w:val="center"/>
              <w:rPr>
                <w:rFonts w:ascii="Times New Roman" w:hAnsi="Times New Roman" w:eastAsia="仿宋_GB2312"/>
                <w:sz w:val="24"/>
              </w:rPr>
            </w:pPr>
            <w:r>
              <w:rPr>
                <w:rFonts w:ascii="Times New Roman" w:hAnsi="Times New Roman" w:eastAsia="仿宋_GB2312"/>
                <w:sz w:val="24"/>
              </w:rPr>
              <w:t>/</w:t>
            </w:r>
          </w:p>
        </w:tc>
      </w:tr>
    </w:tbl>
    <w:p w14:paraId="7E45AFA4">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根据北京市配额核定方法，发电企业（热电联产）采用基准线法进行配额核定，无需核查新增设施的活动水平数据。</w:t>
      </w:r>
    </w:p>
    <w:p w14:paraId="0D51AC0E">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14:paraId="0F034929">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由于柴油流量计未进行校验而无法核对。核查准则中所要求的其他内容已在本次核查中全面覆盖。</w:t>
      </w:r>
    </w:p>
    <w:p w14:paraId="744D8836">
      <w:pPr>
        <w:pStyle w:val="4"/>
        <w:spacing w:before="0" w:after="0" w:line="560" w:lineRule="exact"/>
        <w:rPr>
          <w:rFonts w:ascii="Times New Roman" w:hAnsi="Times New Roman" w:eastAsia="仿宋_GB2312"/>
          <w:szCs w:val="32"/>
        </w:rPr>
        <w:sectPr>
          <w:pgSz w:w="11906" w:h="16838"/>
          <w:pgMar w:top="1440" w:right="1800" w:bottom="1440" w:left="1800" w:header="851" w:footer="992" w:gutter="0"/>
          <w:cols w:space="720" w:num="1"/>
          <w:docGrid w:type="lines" w:linePitch="312" w:charSpace="0"/>
        </w:sectPr>
      </w:pPr>
    </w:p>
    <w:p w14:paraId="7FA6CCF2">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水泥制造企业</w:t>
      </w:r>
    </w:p>
    <w:p w14:paraId="4E95432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0F4FB78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1EB5797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5D57A27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《二氧化碳排放核算和报告要求水泥制造业》（DB11/T 1782-2020）</w:t>
      </w:r>
      <w:r>
        <w:rPr>
          <w:rFonts w:ascii="Times New Roman" w:hAnsi="Times New Roman" w:eastAsia="仿宋_GB2312"/>
          <w:sz w:val="32"/>
          <w:szCs w:val="32"/>
        </w:rPr>
        <w:t>的要求，核查组对本排放报告出具肯定的核查结论。</w:t>
      </w:r>
    </w:p>
    <w:p w14:paraId="019850E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491062A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4500.00吨（其中化石燃料燃烧排放量为3200.00吨，工业生产过程排放量为500.00吨，废弃物处理排放量为800.00吨），间接排放量为13600.00吨，总排放量为18100.00吨。</w:t>
      </w:r>
    </w:p>
    <w:p w14:paraId="40CAEFC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协同处理废弃物的种类、数量、废弃物预处置及协同处置部分耗电量与最终排放报告中数据一致。经核查的协同处理废弃物种类为xxx，处理量为xxxx吨。废弃物的预处置部分的耗电量为xxxMWh，废弃物的协同处置部分的耗电量为xxxMWh。</w:t>
      </w:r>
    </w:p>
    <w:p w14:paraId="1EB9632D">
      <w:pPr>
        <w:spacing w:after="0" w:line="560" w:lineRule="exact"/>
        <w:ind w:firstLine="640" w:firstLineChars="200"/>
        <w:jc w:val="both"/>
        <w:rPr>
          <w:rFonts w:ascii="Times New Roman" w:hAnsi="Times New Roman" w:eastAsia="仿宋_GB2312"/>
          <w:b/>
          <w:bCs/>
          <w:sz w:val="32"/>
          <w:szCs w:val="32"/>
        </w:rPr>
      </w:pPr>
      <w:r>
        <w:rPr>
          <w:rFonts w:ascii="Times New Roman" w:hAnsi="Times New Roman" w:eastAsia="仿宋_GB2312"/>
          <w:sz w:val="32"/>
          <w:szCs w:val="32"/>
        </w:rPr>
        <w:t>3. 年度排放量及活动水平波动的原因说明</w:t>
      </w:r>
    </w:p>
    <w:p w14:paraId="3D68532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年度排放量与上一年度排放量相比增加了1100.00吨/6.47%，其中直接排放量增加了1000.00吨/28.57%，间接排放量增加了100.00吨/0.74%。原因为xxxxxx。</w:t>
      </w:r>
    </w:p>
    <w:p w14:paraId="3E31AAB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本年度排放量与历史基准年份排放量相比增加了1100.00吨，增加比例为6.47%。原因为xxxxxx。</w:t>
      </w:r>
    </w:p>
    <w:p w14:paraId="68A9BFEA">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5EEA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14:paraId="437652EE">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144" w:type="dxa"/>
            <w:vAlign w:val="center"/>
          </w:tcPr>
          <w:p w14:paraId="30187045">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14:paraId="643DE99C">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14:paraId="6838A799">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14:paraId="7118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3E321C54">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noWrap/>
            <w:vAlign w:val="center"/>
          </w:tcPr>
          <w:p w14:paraId="07F5F0E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1000.00 </w:t>
            </w:r>
          </w:p>
        </w:tc>
        <w:tc>
          <w:tcPr>
            <w:tcW w:w="2243" w:type="dxa"/>
            <w:noWrap/>
            <w:vAlign w:val="center"/>
          </w:tcPr>
          <w:p w14:paraId="1BFCA423">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c>
          <w:tcPr>
            <w:tcW w:w="2270" w:type="dxa"/>
            <w:vAlign w:val="center"/>
          </w:tcPr>
          <w:p w14:paraId="61AE40B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15000.00 </w:t>
            </w:r>
          </w:p>
        </w:tc>
      </w:tr>
      <w:tr w14:paraId="3400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199359EC">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noWrap/>
            <w:vAlign w:val="center"/>
          </w:tcPr>
          <w:p w14:paraId="12F66D51">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243" w:type="dxa"/>
            <w:noWrap/>
            <w:vAlign w:val="center"/>
          </w:tcPr>
          <w:p w14:paraId="55D1F31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13000.00 </w:t>
            </w:r>
          </w:p>
        </w:tc>
        <w:tc>
          <w:tcPr>
            <w:tcW w:w="2270" w:type="dxa"/>
            <w:vAlign w:val="center"/>
          </w:tcPr>
          <w:p w14:paraId="0B24B5E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16000.00 </w:t>
            </w:r>
          </w:p>
        </w:tc>
      </w:tr>
      <w:tr w14:paraId="696A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7B72F8FE">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noWrap/>
            <w:vAlign w:val="center"/>
          </w:tcPr>
          <w:p w14:paraId="0F2DF7A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243" w:type="dxa"/>
            <w:noWrap/>
            <w:vAlign w:val="center"/>
          </w:tcPr>
          <w:p w14:paraId="489CC90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270" w:type="dxa"/>
            <w:vAlign w:val="center"/>
          </w:tcPr>
          <w:p w14:paraId="5F7FAA9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14:paraId="6910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64BB82DE">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noWrap/>
            <w:vAlign w:val="center"/>
          </w:tcPr>
          <w:p w14:paraId="197171A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243" w:type="dxa"/>
            <w:noWrap/>
            <w:vAlign w:val="center"/>
          </w:tcPr>
          <w:p w14:paraId="4C466B2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270" w:type="dxa"/>
            <w:vAlign w:val="center"/>
          </w:tcPr>
          <w:p w14:paraId="5FF4E8B1">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r w14:paraId="1977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73FB8BF5">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noWrap/>
            <w:vAlign w:val="center"/>
          </w:tcPr>
          <w:p w14:paraId="7334D513">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243" w:type="dxa"/>
            <w:noWrap/>
            <w:vAlign w:val="center"/>
          </w:tcPr>
          <w:p w14:paraId="05593A05">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270" w:type="dxa"/>
            <w:vAlign w:val="center"/>
          </w:tcPr>
          <w:p w14:paraId="78D0F4F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bl>
    <w:p w14:paraId="7E4D3881">
      <w:pPr>
        <w:ind w:firstLine="640" w:firstLineChars="200"/>
        <w:rPr>
          <w:rFonts w:ascii="Times New Roman" w:hAnsi="Times New Roman" w:eastAsia="仿宋_GB2312"/>
          <w:sz w:val="32"/>
          <w:szCs w:val="32"/>
        </w:rPr>
      </w:pPr>
    </w:p>
    <w:p w14:paraId="78224D10">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A15A4E">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14:paraId="23F951D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00FF283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46541ED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排放单位核算和报告边界为位于xxx的生产厂区，有2条xxxx生产线，xx个废弃物预处理车间。与上一年度相比，场所边界无变化；与基准年相比，场所边界无变化。</w:t>
      </w:r>
    </w:p>
    <w:p w14:paraId="31E9EC1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3AF07A0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14:paraId="13D2E7DD">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14:paraId="59696317">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14:paraId="4C52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06379E84">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14:paraId="5B1F924B">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14:paraId="22E37979">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14:paraId="72BD0059">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14:paraId="1E034A35">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14:paraId="4F81CA23">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14:paraId="4A6CCE9B">
            <w:pPr>
              <w:jc w:val="center"/>
              <w:rPr>
                <w:rFonts w:ascii="Times New Roman" w:hAnsi="Times New Roman" w:eastAsia="仿宋_GB2312"/>
                <w:sz w:val="24"/>
              </w:rPr>
            </w:pPr>
            <w:r>
              <w:rPr>
                <w:rFonts w:ascii="Times New Roman" w:hAnsi="Times New Roman" w:eastAsia="仿宋_GB2312"/>
                <w:sz w:val="24"/>
              </w:rPr>
              <w:t>历史年度排放量</w:t>
            </w:r>
          </w:p>
        </w:tc>
      </w:tr>
      <w:tr w14:paraId="6281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3961C0CA">
            <w:pPr>
              <w:jc w:val="center"/>
              <w:rPr>
                <w:rFonts w:ascii="Times New Roman" w:hAnsi="Times New Roman" w:eastAsia="仿宋_GB2312"/>
                <w:sz w:val="24"/>
              </w:rPr>
            </w:pPr>
          </w:p>
        </w:tc>
        <w:tc>
          <w:tcPr>
            <w:tcW w:w="786" w:type="dxa"/>
            <w:vMerge w:val="continue"/>
            <w:vAlign w:val="center"/>
          </w:tcPr>
          <w:p w14:paraId="3A3B62F1">
            <w:pPr>
              <w:jc w:val="center"/>
              <w:rPr>
                <w:rFonts w:ascii="Times New Roman" w:hAnsi="Times New Roman" w:eastAsia="仿宋_GB2312"/>
                <w:sz w:val="24"/>
              </w:rPr>
            </w:pPr>
          </w:p>
        </w:tc>
        <w:tc>
          <w:tcPr>
            <w:tcW w:w="1134" w:type="dxa"/>
            <w:vMerge w:val="continue"/>
            <w:vAlign w:val="center"/>
          </w:tcPr>
          <w:p w14:paraId="39759998">
            <w:pPr>
              <w:jc w:val="center"/>
              <w:rPr>
                <w:rFonts w:ascii="Times New Roman" w:hAnsi="Times New Roman" w:eastAsia="仿宋_GB2312"/>
                <w:sz w:val="24"/>
              </w:rPr>
            </w:pPr>
          </w:p>
        </w:tc>
        <w:tc>
          <w:tcPr>
            <w:tcW w:w="709" w:type="dxa"/>
            <w:vMerge w:val="continue"/>
            <w:vAlign w:val="center"/>
          </w:tcPr>
          <w:p w14:paraId="0805A0E3">
            <w:pPr>
              <w:jc w:val="center"/>
              <w:rPr>
                <w:rFonts w:ascii="Times New Roman" w:hAnsi="Times New Roman" w:eastAsia="仿宋_GB2312"/>
                <w:sz w:val="24"/>
              </w:rPr>
            </w:pPr>
          </w:p>
        </w:tc>
        <w:tc>
          <w:tcPr>
            <w:tcW w:w="968" w:type="dxa"/>
            <w:vMerge w:val="continue"/>
            <w:vAlign w:val="center"/>
          </w:tcPr>
          <w:p w14:paraId="5561AD2C">
            <w:pPr>
              <w:jc w:val="center"/>
              <w:rPr>
                <w:rFonts w:ascii="Times New Roman" w:hAnsi="Times New Roman" w:eastAsia="仿宋_GB2312"/>
                <w:sz w:val="24"/>
              </w:rPr>
            </w:pPr>
          </w:p>
        </w:tc>
        <w:tc>
          <w:tcPr>
            <w:tcW w:w="1121" w:type="dxa"/>
            <w:vMerge w:val="continue"/>
            <w:tcBorders>
              <w:right w:val="single" w:color="auto" w:sz="4" w:space="0"/>
            </w:tcBorders>
            <w:vAlign w:val="center"/>
          </w:tcPr>
          <w:p w14:paraId="690CDEBF">
            <w:pPr>
              <w:jc w:val="center"/>
              <w:rPr>
                <w:rFonts w:ascii="Times New Roman" w:hAnsi="Times New Roman" w:eastAsia="仿宋_GB2312"/>
                <w:sz w:val="24"/>
              </w:rPr>
            </w:pPr>
          </w:p>
        </w:tc>
        <w:tc>
          <w:tcPr>
            <w:tcW w:w="1116" w:type="dxa"/>
            <w:tcBorders>
              <w:left w:val="single" w:color="auto" w:sz="4" w:space="0"/>
            </w:tcBorders>
            <w:vAlign w:val="center"/>
          </w:tcPr>
          <w:p w14:paraId="0772DFF6">
            <w:pPr>
              <w:jc w:val="center"/>
              <w:rPr>
                <w:rFonts w:ascii="Times New Roman" w:hAnsi="Times New Roman" w:eastAsia="仿宋_GB2312"/>
                <w:sz w:val="24"/>
              </w:rPr>
            </w:pPr>
            <w:r>
              <w:rPr>
                <w:rFonts w:ascii="Times New Roman" w:hAnsi="Times New Roman" w:eastAsia="仿宋_GB2312"/>
                <w:sz w:val="24"/>
              </w:rPr>
              <w:t>直接排放量</w:t>
            </w:r>
          </w:p>
          <w:p w14:paraId="35E90A72">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4F050448">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1F3EC1FD">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5EFD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0C2F2B92">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14:paraId="4F66B8B7">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14:paraId="7E5A9490">
            <w:pPr>
              <w:jc w:val="center"/>
              <w:rPr>
                <w:rFonts w:ascii="Times New Roman" w:hAnsi="Times New Roman" w:eastAsia="仿宋_GB2312"/>
                <w:sz w:val="24"/>
              </w:rPr>
            </w:pPr>
          </w:p>
        </w:tc>
        <w:tc>
          <w:tcPr>
            <w:tcW w:w="709" w:type="dxa"/>
            <w:vMerge w:val="restart"/>
            <w:vAlign w:val="center"/>
          </w:tcPr>
          <w:p w14:paraId="63D44982">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14:paraId="1F5C13E3">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14:paraId="36767A97">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vAlign w:val="center"/>
          </w:tcPr>
          <w:p w14:paraId="0D166516">
            <w:pPr>
              <w:jc w:val="center"/>
              <w:rPr>
                <w:rFonts w:ascii="Times New Roman" w:hAnsi="Times New Roman" w:eastAsia="仿宋_GB2312"/>
                <w:sz w:val="24"/>
              </w:rPr>
            </w:pPr>
            <w:r>
              <w:rPr>
                <w:rFonts w:ascii="Times New Roman" w:hAnsi="Times New Roman" w:eastAsia="仿宋_GB2312"/>
                <w:sz w:val="24"/>
              </w:rPr>
              <w:t>200.00</w:t>
            </w:r>
          </w:p>
        </w:tc>
        <w:tc>
          <w:tcPr>
            <w:tcW w:w="1116" w:type="dxa"/>
            <w:vAlign w:val="center"/>
          </w:tcPr>
          <w:p w14:paraId="695FC6AA">
            <w:pPr>
              <w:jc w:val="center"/>
              <w:rPr>
                <w:rFonts w:ascii="Times New Roman" w:hAnsi="Times New Roman" w:eastAsia="仿宋_GB2312"/>
                <w:sz w:val="24"/>
              </w:rPr>
            </w:pPr>
            <w:r>
              <w:rPr>
                <w:rFonts w:ascii="Times New Roman" w:hAnsi="Times New Roman" w:eastAsia="仿宋_GB2312"/>
                <w:sz w:val="24"/>
              </w:rPr>
              <w:t>60.00</w:t>
            </w:r>
          </w:p>
        </w:tc>
        <w:tc>
          <w:tcPr>
            <w:tcW w:w="1116" w:type="dxa"/>
            <w:vAlign w:val="center"/>
          </w:tcPr>
          <w:p w14:paraId="22DF097E">
            <w:pPr>
              <w:jc w:val="center"/>
              <w:rPr>
                <w:rFonts w:ascii="Times New Roman" w:hAnsi="Times New Roman" w:eastAsia="仿宋_GB2312"/>
                <w:sz w:val="24"/>
              </w:rPr>
            </w:pPr>
            <w:r>
              <w:rPr>
                <w:rFonts w:ascii="Times New Roman" w:hAnsi="Times New Roman" w:eastAsia="仿宋_GB2312"/>
                <w:sz w:val="24"/>
              </w:rPr>
              <w:t>260.00</w:t>
            </w:r>
          </w:p>
        </w:tc>
      </w:tr>
      <w:tr w14:paraId="14E6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7E825E3E">
            <w:pPr>
              <w:rPr>
                <w:rFonts w:ascii="Times New Roman" w:hAnsi="Times New Roman" w:eastAsia="仿宋_GB2312"/>
                <w:sz w:val="24"/>
              </w:rPr>
            </w:pPr>
          </w:p>
        </w:tc>
        <w:tc>
          <w:tcPr>
            <w:tcW w:w="786" w:type="dxa"/>
            <w:vMerge w:val="continue"/>
          </w:tcPr>
          <w:p w14:paraId="6DFA06DB">
            <w:pPr>
              <w:rPr>
                <w:rFonts w:ascii="Times New Roman" w:hAnsi="Times New Roman" w:eastAsia="仿宋_GB2312"/>
                <w:sz w:val="24"/>
              </w:rPr>
            </w:pPr>
          </w:p>
        </w:tc>
        <w:tc>
          <w:tcPr>
            <w:tcW w:w="1134" w:type="dxa"/>
            <w:vMerge w:val="continue"/>
          </w:tcPr>
          <w:p w14:paraId="2787F127">
            <w:pPr>
              <w:rPr>
                <w:rFonts w:ascii="Times New Roman" w:hAnsi="Times New Roman" w:eastAsia="仿宋_GB2312"/>
                <w:sz w:val="24"/>
              </w:rPr>
            </w:pPr>
          </w:p>
        </w:tc>
        <w:tc>
          <w:tcPr>
            <w:tcW w:w="709" w:type="dxa"/>
            <w:vMerge w:val="continue"/>
          </w:tcPr>
          <w:p w14:paraId="70D84898">
            <w:pPr>
              <w:rPr>
                <w:rFonts w:ascii="Times New Roman" w:hAnsi="Times New Roman" w:eastAsia="仿宋_GB2312"/>
                <w:sz w:val="24"/>
              </w:rPr>
            </w:pPr>
          </w:p>
        </w:tc>
        <w:tc>
          <w:tcPr>
            <w:tcW w:w="968" w:type="dxa"/>
            <w:vMerge w:val="continue"/>
          </w:tcPr>
          <w:p w14:paraId="6D4935DA">
            <w:pPr>
              <w:rPr>
                <w:rFonts w:ascii="Times New Roman" w:hAnsi="Times New Roman" w:eastAsia="仿宋_GB2312"/>
                <w:sz w:val="24"/>
              </w:rPr>
            </w:pPr>
          </w:p>
        </w:tc>
        <w:tc>
          <w:tcPr>
            <w:tcW w:w="1121" w:type="dxa"/>
            <w:tcBorders>
              <w:right w:val="single" w:color="auto" w:sz="4" w:space="0"/>
            </w:tcBorders>
          </w:tcPr>
          <w:p w14:paraId="326112B4">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vAlign w:val="center"/>
          </w:tcPr>
          <w:p w14:paraId="021A7BDA">
            <w:pPr>
              <w:jc w:val="center"/>
              <w:rPr>
                <w:rFonts w:ascii="Times New Roman" w:hAnsi="Times New Roman" w:eastAsia="仿宋_GB2312"/>
                <w:sz w:val="24"/>
              </w:rPr>
            </w:pPr>
            <w:r>
              <w:rPr>
                <w:rFonts w:ascii="Times New Roman" w:hAnsi="Times New Roman" w:eastAsia="仿宋_GB2312"/>
                <w:sz w:val="24"/>
              </w:rPr>
              <w:t>180.00</w:t>
            </w:r>
          </w:p>
        </w:tc>
        <w:tc>
          <w:tcPr>
            <w:tcW w:w="1116" w:type="dxa"/>
            <w:vAlign w:val="center"/>
          </w:tcPr>
          <w:p w14:paraId="071E4039">
            <w:pPr>
              <w:jc w:val="center"/>
              <w:rPr>
                <w:rFonts w:ascii="Times New Roman" w:hAnsi="Times New Roman" w:eastAsia="仿宋_GB2312"/>
                <w:sz w:val="24"/>
              </w:rPr>
            </w:pPr>
            <w:r>
              <w:rPr>
                <w:rFonts w:ascii="Times New Roman" w:hAnsi="Times New Roman" w:eastAsia="仿宋_GB2312"/>
                <w:sz w:val="24"/>
              </w:rPr>
              <w:t>65.00</w:t>
            </w:r>
          </w:p>
        </w:tc>
        <w:tc>
          <w:tcPr>
            <w:tcW w:w="1116" w:type="dxa"/>
            <w:vAlign w:val="center"/>
          </w:tcPr>
          <w:p w14:paraId="6A156BFE">
            <w:pPr>
              <w:jc w:val="center"/>
              <w:rPr>
                <w:rFonts w:ascii="Times New Roman" w:hAnsi="Times New Roman" w:eastAsia="仿宋_GB2312"/>
                <w:sz w:val="24"/>
              </w:rPr>
            </w:pPr>
            <w:r>
              <w:rPr>
                <w:rFonts w:ascii="Times New Roman" w:hAnsi="Times New Roman" w:eastAsia="仿宋_GB2312"/>
                <w:sz w:val="24"/>
              </w:rPr>
              <w:t>245.00</w:t>
            </w:r>
          </w:p>
        </w:tc>
      </w:tr>
      <w:tr w14:paraId="2101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4D8E94D9">
            <w:pPr>
              <w:rPr>
                <w:rFonts w:ascii="Times New Roman" w:hAnsi="Times New Roman" w:eastAsia="仿宋_GB2312"/>
                <w:sz w:val="24"/>
              </w:rPr>
            </w:pPr>
          </w:p>
        </w:tc>
        <w:tc>
          <w:tcPr>
            <w:tcW w:w="786" w:type="dxa"/>
            <w:vMerge w:val="continue"/>
          </w:tcPr>
          <w:p w14:paraId="399E193A">
            <w:pPr>
              <w:rPr>
                <w:rFonts w:ascii="Times New Roman" w:hAnsi="Times New Roman" w:eastAsia="仿宋_GB2312"/>
                <w:sz w:val="24"/>
              </w:rPr>
            </w:pPr>
          </w:p>
        </w:tc>
        <w:tc>
          <w:tcPr>
            <w:tcW w:w="1134" w:type="dxa"/>
            <w:vMerge w:val="continue"/>
          </w:tcPr>
          <w:p w14:paraId="7733DE88">
            <w:pPr>
              <w:rPr>
                <w:rFonts w:ascii="Times New Roman" w:hAnsi="Times New Roman" w:eastAsia="仿宋_GB2312"/>
                <w:sz w:val="24"/>
              </w:rPr>
            </w:pPr>
          </w:p>
        </w:tc>
        <w:tc>
          <w:tcPr>
            <w:tcW w:w="709" w:type="dxa"/>
            <w:vMerge w:val="continue"/>
          </w:tcPr>
          <w:p w14:paraId="0A3181AB">
            <w:pPr>
              <w:rPr>
                <w:rFonts w:ascii="Times New Roman" w:hAnsi="Times New Roman" w:eastAsia="仿宋_GB2312"/>
                <w:sz w:val="24"/>
              </w:rPr>
            </w:pPr>
          </w:p>
        </w:tc>
        <w:tc>
          <w:tcPr>
            <w:tcW w:w="968" w:type="dxa"/>
            <w:vMerge w:val="continue"/>
          </w:tcPr>
          <w:p w14:paraId="3DDE0F1A">
            <w:pPr>
              <w:rPr>
                <w:rFonts w:ascii="Times New Roman" w:hAnsi="Times New Roman" w:eastAsia="仿宋_GB2312"/>
                <w:sz w:val="24"/>
              </w:rPr>
            </w:pPr>
          </w:p>
        </w:tc>
        <w:tc>
          <w:tcPr>
            <w:tcW w:w="1121" w:type="dxa"/>
            <w:tcBorders>
              <w:right w:val="single" w:color="auto" w:sz="4" w:space="0"/>
            </w:tcBorders>
          </w:tcPr>
          <w:p w14:paraId="0AB0FBEA">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vAlign w:val="center"/>
          </w:tcPr>
          <w:p w14:paraId="5BC34764">
            <w:pPr>
              <w:jc w:val="center"/>
              <w:rPr>
                <w:rFonts w:ascii="Times New Roman" w:hAnsi="Times New Roman" w:eastAsia="仿宋_GB2312"/>
                <w:sz w:val="24"/>
              </w:rPr>
            </w:pPr>
            <w:r>
              <w:rPr>
                <w:rFonts w:ascii="Times New Roman" w:hAnsi="Times New Roman" w:eastAsia="仿宋_GB2312"/>
                <w:sz w:val="24"/>
              </w:rPr>
              <w:t>20.00</w:t>
            </w:r>
          </w:p>
        </w:tc>
        <w:tc>
          <w:tcPr>
            <w:tcW w:w="1116" w:type="dxa"/>
            <w:vAlign w:val="center"/>
          </w:tcPr>
          <w:p w14:paraId="05A4C16A">
            <w:pPr>
              <w:jc w:val="center"/>
              <w:rPr>
                <w:rFonts w:ascii="Times New Roman" w:hAnsi="Times New Roman" w:eastAsia="仿宋_GB2312"/>
                <w:sz w:val="24"/>
              </w:rPr>
            </w:pPr>
            <w:r>
              <w:rPr>
                <w:rFonts w:ascii="Times New Roman" w:hAnsi="Times New Roman" w:eastAsia="仿宋_GB2312"/>
                <w:sz w:val="24"/>
              </w:rPr>
              <w:t>5.00</w:t>
            </w:r>
          </w:p>
        </w:tc>
        <w:tc>
          <w:tcPr>
            <w:tcW w:w="1116" w:type="dxa"/>
            <w:vAlign w:val="center"/>
          </w:tcPr>
          <w:p w14:paraId="4C584FE5">
            <w:pPr>
              <w:jc w:val="center"/>
              <w:rPr>
                <w:rFonts w:ascii="Times New Roman" w:hAnsi="Times New Roman" w:eastAsia="仿宋_GB2312"/>
                <w:sz w:val="24"/>
              </w:rPr>
            </w:pPr>
            <w:r>
              <w:rPr>
                <w:rFonts w:ascii="Times New Roman" w:hAnsi="Times New Roman" w:eastAsia="仿宋_GB2312"/>
                <w:sz w:val="24"/>
              </w:rPr>
              <w:t>25.00</w:t>
            </w:r>
          </w:p>
        </w:tc>
      </w:tr>
    </w:tbl>
    <w:p w14:paraId="1709F498">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14:paraId="3DCB3537">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17"/>
        <w:gridCol w:w="2194"/>
        <w:gridCol w:w="1551"/>
        <w:gridCol w:w="1193"/>
        <w:gridCol w:w="1425"/>
      </w:tblGrid>
      <w:tr w14:paraId="59B3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6F390C97">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14:paraId="3AC9D337">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87" w:type="pct"/>
            <w:vAlign w:val="center"/>
          </w:tcPr>
          <w:p w14:paraId="778ACF5C">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0" w:type="pct"/>
            <w:vAlign w:val="center"/>
          </w:tcPr>
          <w:p w14:paraId="355F8BA2">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700" w:type="pct"/>
            <w:vAlign w:val="center"/>
          </w:tcPr>
          <w:p w14:paraId="1AEDAFA1">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835" w:type="pct"/>
            <w:vAlign w:val="center"/>
          </w:tcPr>
          <w:p w14:paraId="32AA0D6A">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5BFB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25478283">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714" w:type="pct"/>
            <w:vAlign w:val="center"/>
          </w:tcPr>
          <w:p w14:paraId="0392E94C">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287" w:type="pct"/>
            <w:vAlign w:val="center"/>
          </w:tcPr>
          <w:p w14:paraId="40E7742F">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w:t>
            </w:r>
          </w:p>
        </w:tc>
        <w:tc>
          <w:tcPr>
            <w:tcW w:w="910" w:type="pct"/>
            <w:vAlign w:val="center"/>
          </w:tcPr>
          <w:p w14:paraId="690CA2DB">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700" w:type="pct"/>
            <w:vAlign w:val="center"/>
          </w:tcPr>
          <w:p w14:paraId="58034DD7">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300.00</w:t>
            </w:r>
          </w:p>
        </w:tc>
        <w:tc>
          <w:tcPr>
            <w:tcW w:w="835" w:type="pct"/>
            <w:vAlign w:val="center"/>
          </w:tcPr>
          <w:p w14:paraId="65C2265F">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14:paraId="60A3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7EC0F9F7">
            <w:pPr>
              <w:jc w:val="center"/>
              <w:rPr>
                <w:rFonts w:ascii="Times New Roman" w:hAnsi="Times New Roman" w:eastAsia="仿宋_GB2312"/>
                <w:sz w:val="24"/>
              </w:rPr>
            </w:pPr>
            <w:r>
              <w:rPr>
                <w:rFonts w:ascii="Times New Roman" w:hAnsi="Times New Roman" w:eastAsia="仿宋_GB2312"/>
                <w:color w:val="000000"/>
                <w:sz w:val="24"/>
              </w:rPr>
              <w:t>2</w:t>
            </w:r>
          </w:p>
        </w:tc>
        <w:tc>
          <w:tcPr>
            <w:tcW w:w="714" w:type="pct"/>
            <w:vAlign w:val="center"/>
          </w:tcPr>
          <w:p w14:paraId="70FD8556">
            <w:pPr>
              <w:jc w:val="center"/>
              <w:rPr>
                <w:rFonts w:ascii="Times New Roman" w:hAnsi="Times New Roman" w:eastAsia="仿宋_GB2312"/>
                <w:sz w:val="24"/>
              </w:rPr>
            </w:pPr>
            <w:r>
              <w:rPr>
                <w:rFonts w:ascii="Times New Roman" w:hAnsi="Times New Roman" w:eastAsia="仿宋_GB2312"/>
                <w:sz w:val="24"/>
              </w:rPr>
              <w:t>2019</w:t>
            </w:r>
          </w:p>
        </w:tc>
        <w:tc>
          <w:tcPr>
            <w:tcW w:w="1287" w:type="pct"/>
            <w:vAlign w:val="center"/>
          </w:tcPr>
          <w:p w14:paraId="6A97BEC1">
            <w:pPr>
              <w:jc w:val="center"/>
              <w:rPr>
                <w:rFonts w:ascii="Times New Roman" w:hAnsi="Times New Roman" w:eastAsia="仿宋_GB2312"/>
                <w:sz w:val="24"/>
              </w:rPr>
            </w:pPr>
            <w:r>
              <w:rPr>
                <w:rFonts w:ascii="Times New Roman" w:hAnsi="Times New Roman" w:eastAsia="仿宋_GB2312"/>
                <w:sz w:val="24"/>
              </w:rPr>
              <w:t>xxx</w:t>
            </w:r>
          </w:p>
        </w:tc>
        <w:tc>
          <w:tcPr>
            <w:tcW w:w="910" w:type="pct"/>
            <w:vAlign w:val="center"/>
          </w:tcPr>
          <w:p w14:paraId="6084E350">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72E58957">
            <w:pPr>
              <w:jc w:val="center"/>
              <w:rPr>
                <w:rFonts w:ascii="Times New Roman" w:hAnsi="Times New Roman" w:eastAsia="仿宋_GB2312"/>
                <w:sz w:val="24"/>
              </w:rPr>
            </w:pPr>
            <w:r>
              <w:rPr>
                <w:rFonts w:ascii="Times New Roman" w:hAnsi="Times New Roman" w:eastAsia="仿宋_GB2312"/>
                <w:sz w:val="24"/>
              </w:rPr>
              <w:t>500.00</w:t>
            </w:r>
          </w:p>
        </w:tc>
        <w:tc>
          <w:tcPr>
            <w:tcW w:w="835" w:type="pct"/>
            <w:vAlign w:val="center"/>
          </w:tcPr>
          <w:p w14:paraId="326D2EA1">
            <w:pPr>
              <w:jc w:val="center"/>
              <w:rPr>
                <w:rFonts w:ascii="Times New Roman" w:hAnsi="Times New Roman" w:eastAsia="仿宋_GB2312"/>
                <w:sz w:val="24"/>
              </w:rPr>
            </w:pPr>
            <w:r>
              <w:rPr>
                <w:rFonts w:ascii="Times New Roman" w:hAnsi="Times New Roman" w:eastAsia="仿宋_GB2312"/>
                <w:sz w:val="24"/>
              </w:rPr>
              <w:t>/</w:t>
            </w:r>
          </w:p>
        </w:tc>
      </w:tr>
      <w:tr w14:paraId="497C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60BC4458">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vAlign w:val="center"/>
          </w:tcPr>
          <w:p w14:paraId="4B999588">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87" w:type="pct"/>
            <w:vAlign w:val="center"/>
          </w:tcPr>
          <w:p w14:paraId="06BCDF6C">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910" w:type="pct"/>
            <w:vAlign w:val="center"/>
          </w:tcPr>
          <w:p w14:paraId="65877FBC">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77A6289B">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835" w:type="pct"/>
            <w:vAlign w:val="center"/>
          </w:tcPr>
          <w:p w14:paraId="1D9800CE">
            <w:pPr>
              <w:jc w:val="center"/>
              <w:rPr>
                <w:rFonts w:ascii="Times New Roman" w:hAnsi="Times New Roman" w:eastAsia="仿宋_GB2312"/>
                <w:sz w:val="24"/>
              </w:rPr>
            </w:pPr>
          </w:p>
        </w:tc>
      </w:tr>
      <w:tr w14:paraId="2820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14:paraId="43780247">
            <w:pPr>
              <w:jc w:val="center"/>
              <w:rPr>
                <w:rFonts w:ascii="Times New Roman" w:hAnsi="Times New Roman" w:eastAsia="仿宋_GB2312"/>
                <w:sz w:val="24"/>
              </w:rPr>
            </w:pPr>
            <w:r>
              <w:rPr>
                <w:rFonts w:ascii="Times New Roman" w:hAnsi="Times New Roman" w:eastAsia="仿宋_GB2312"/>
                <w:color w:val="000000"/>
                <w:sz w:val="24"/>
              </w:rPr>
              <w:t>合计</w:t>
            </w:r>
          </w:p>
        </w:tc>
        <w:tc>
          <w:tcPr>
            <w:tcW w:w="714" w:type="pct"/>
          </w:tcPr>
          <w:p w14:paraId="74278188">
            <w:pPr>
              <w:rPr>
                <w:rFonts w:ascii="Times New Roman" w:hAnsi="Times New Roman" w:eastAsia="仿宋_GB2312"/>
                <w:sz w:val="24"/>
              </w:rPr>
            </w:pPr>
          </w:p>
        </w:tc>
        <w:tc>
          <w:tcPr>
            <w:tcW w:w="1287" w:type="pct"/>
          </w:tcPr>
          <w:p w14:paraId="20AAE27D">
            <w:pPr>
              <w:rPr>
                <w:rFonts w:ascii="Times New Roman" w:hAnsi="Times New Roman" w:eastAsia="仿宋_GB2312"/>
                <w:sz w:val="24"/>
              </w:rPr>
            </w:pPr>
          </w:p>
        </w:tc>
        <w:tc>
          <w:tcPr>
            <w:tcW w:w="910" w:type="pct"/>
          </w:tcPr>
          <w:p w14:paraId="14B83693">
            <w:pPr>
              <w:rPr>
                <w:rFonts w:ascii="Times New Roman" w:hAnsi="Times New Roman" w:eastAsia="仿宋_GB2312"/>
                <w:sz w:val="24"/>
              </w:rPr>
            </w:pPr>
          </w:p>
        </w:tc>
        <w:tc>
          <w:tcPr>
            <w:tcW w:w="700" w:type="pct"/>
            <w:vAlign w:val="center"/>
          </w:tcPr>
          <w:p w14:paraId="45D6E82B">
            <w:pPr>
              <w:jc w:val="center"/>
              <w:rPr>
                <w:rFonts w:ascii="Times New Roman" w:hAnsi="Times New Roman" w:eastAsia="仿宋_GB2312"/>
                <w:sz w:val="24"/>
              </w:rPr>
            </w:pPr>
            <w:r>
              <w:rPr>
                <w:rFonts w:ascii="Times New Roman" w:hAnsi="Times New Roman" w:eastAsia="仿宋_GB2312"/>
                <w:sz w:val="24"/>
              </w:rPr>
              <w:t>XXX</w:t>
            </w:r>
          </w:p>
        </w:tc>
        <w:tc>
          <w:tcPr>
            <w:tcW w:w="835" w:type="pct"/>
          </w:tcPr>
          <w:p w14:paraId="0D58396C">
            <w:pPr>
              <w:jc w:val="center"/>
              <w:rPr>
                <w:rFonts w:ascii="Times New Roman" w:hAnsi="Times New Roman" w:eastAsia="仿宋_GB2312"/>
                <w:sz w:val="24"/>
              </w:rPr>
            </w:pPr>
            <w:r>
              <w:rPr>
                <w:rFonts w:ascii="Times New Roman" w:hAnsi="Times New Roman" w:eastAsia="仿宋_GB2312"/>
                <w:sz w:val="24"/>
              </w:rPr>
              <w:t>/</w:t>
            </w:r>
          </w:p>
        </w:tc>
      </w:tr>
    </w:tbl>
    <w:p w14:paraId="23B31037">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排放单位2020年新增设施的总排放量为XXX吨，是基准年排放量的XXX%</w:t>
      </w:r>
      <w:r>
        <w:rPr>
          <w:rStyle w:val="39"/>
          <w:rFonts w:eastAsia="仿宋_GB2312"/>
          <w:sz w:val="32"/>
          <w:szCs w:val="32"/>
        </w:rPr>
        <w:t>，新增设施主要用于废弃物协同处置，对应的xx废弃物处理量为xxx吨</w:t>
      </w:r>
      <w:r>
        <w:rPr>
          <w:rFonts w:ascii="Times New Roman" w:hAnsi="Times New Roman" w:eastAsia="仿宋_GB2312"/>
          <w:sz w:val="32"/>
          <w:szCs w:val="32"/>
        </w:rPr>
        <w:t>。此信息供新增设施发放配额参考。</w:t>
      </w:r>
    </w:p>
    <w:p w14:paraId="0EBB44C0">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70929772">
      <w:pPr>
        <w:spacing w:after="0" w:line="560" w:lineRule="exact"/>
        <w:ind w:firstLine="640" w:firstLineChars="200"/>
        <w:rPr>
          <w:rFonts w:ascii="Times New Roman" w:hAnsi="Times New Roman"/>
        </w:rPr>
      </w:pPr>
      <w:r>
        <w:rPr>
          <w:rFonts w:ascii="Times New Roman" w:hAnsi="Times New Roman" w:eastAsia="仿宋_GB2312"/>
          <w:sz w:val="32"/>
          <w:szCs w:val="32"/>
        </w:rPr>
        <w:t>由于天然气表和电表分别为燃气公司及电力公司管控，因此未能核查这些仪表的检定信息。</w:t>
      </w:r>
    </w:p>
    <w:p w14:paraId="07A6A8A7">
      <w:pPr>
        <w:spacing w:after="0" w:line="560" w:lineRule="exact"/>
        <w:rPr>
          <w:rFonts w:ascii="Times New Roman" w:hAnsi="Times New Roman"/>
        </w:rPr>
        <w:sectPr>
          <w:pgSz w:w="11906" w:h="16838"/>
          <w:pgMar w:top="1440" w:right="1800" w:bottom="1440" w:left="1800" w:header="851" w:footer="992" w:gutter="0"/>
          <w:cols w:space="720" w:num="1"/>
          <w:docGrid w:type="lines" w:linePitch="312" w:charSpace="0"/>
        </w:sectPr>
      </w:pPr>
    </w:p>
    <w:p w14:paraId="20401A60">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石油化工生产企业</w:t>
      </w:r>
    </w:p>
    <w:p w14:paraId="51E30F9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二氧化碳排放的核查工作。核查范围包括排放单位所有在北京市行政辖区内固定设施导致的二氧化碳直接排放和二氧化碳间接排放。</w:t>
      </w:r>
    </w:p>
    <w:p w14:paraId="7A65C38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68708DF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29C0189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《二氧化碳排放核算和报告要求石油化工生产业》（DB11/T 1783-2020）</w:t>
      </w:r>
      <w:r>
        <w:rPr>
          <w:rFonts w:ascii="Times New Roman" w:hAnsi="Times New Roman" w:eastAsia="仿宋_GB2312"/>
          <w:sz w:val="32"/>
          <w:szCs w:val="32"/>
        </w:rPr>
        <w:t>的要求，核查组对本排放报告出具肯定的核查结论。</w:t>
      </w:r>
    </w:p>
    <w:p w14:paraId="09999FC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4CF9D65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经核查的直接和间接排放量与最终排放报告中的数据一致。经核查的直接排放量为2000.00吨（化石燃料燃烧排放量为1500.00吨，工业生产过程排放量为500.00吨），间接排放量为12000.00吨，总排放量为14000.00吨。</w:t>
      </w:r>
    </w:p>
    <w:p w14:paraId="5360BB48">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经核查的产品产量、产值与最终排放报告中数据一致。经核查的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w:t>
      </w:r>
      <w:r>
        <w:rPr>
          <w:rFonts w:hint="eastAsia" w:ascii="Times New Roman" w:hAnsi="Times New Roman" w:eastAsia="仿宋_GB2312"/>
          <w:sz w:val="32"/>
          <w:szCs w:val="32"/>
        </w:rPr>
        <w:t>吨，产值为</w:t>
      </w:r>
      <w:r>
        <w:rPr>
          <w:rFonts w:ascii="Times New Roman" w:hAnsi="Times New Roman" w:eastAsia="仿宋_GB2312"/>
          <w:sz w:val="32"/>
          <w:szCs w:val="32"/>
        </w:rPr>
        <w:t>xxx</w:t>
      </w:r>
      <w:r>
        <w:rPr>
          <w:rFonts w:hint="eastAsia" w:ascii="Times New Roman" w:hAnsi="Times New Roman" w:eastAsia="仿宋_GB2312"/>
          <w:sz w:val="32"/>
          <w:szCs w:val="32"/>
        </w:rPr>
        <w:t>万元。</w:t>
      </w:r>
    </w:p>
    <w:p w14:paraId="25A7D37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14:paraId="7239621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本年度排放量与上年度排放量相比下降了3000.00吨/17.65%，其中，直接排放量下降了1500.00吨/42.86%，间接排放量下降了1500.00吨/11.11%。原因为xxxxxx。</w:t>
      </w:r>
    </w:p>
    <w:p w14:paraId="16578D6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本年度排放量与历史基准年份排放量相比下降了3000.00吨，下降比例为17.65%。原因为xxxxxx。</w:t>
      </w:r>
    </w:p>
    <w:p w14:paraId="3122E3C6">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14:paraId="6E0C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14:paraId="7271BF23">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144" w:type="dxa"/>
            <w:vAlign w:val="center"/>
          </w:tcPr>
          <w:p w14:paraId="4BEA7231">
            <w:pPr>
              <w:jc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2243" w:type="dxa"/>
            <w:vAlign w:val="center"/>
          </w:tcPr>
          <w:p w14:paraId="3227E91E">
            <w:pPr>
              <w:jc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2270" w:type="dxa"/>
            <w:vAlign w:val="center"/>
          </w:tcPr>
          <w:p w14:paraId="136E6105">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14:paraId="2FD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14:paraId="63FB68CA">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noWrap/>
            <w:vAlign w:val="center"/>
          </w:tcPr>
          <w:p w14:paraId="5DCB6C6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5000.00 </w:t>
            </w:r>
          </w:p>
        </w:tc>
        <w:tc>
          <w:tcPr>
            <w:tcW w:w="2243" w:type="dxa"/>
            <w:noWrap/>
            <w:vAlign w:val="center"/>
          </w:tcPr>
          <w:p w14:paraId="5680650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14297.00 </w:t>
            </w:r>
          </w:p>
        </w:tc>
        <w:tc>
          <w:tcPr>
            <w:tcW w:w="2270" w:type="dxa"/>
            <w:vAlign w:val="center"/>
          </w:tcPr>
          <w:p w14:paraId="44F0D87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19297.00 </w:t>
            </w:r>
          </w:p>
        </w:tc>
      </w:tr>
      <w:tr w14:paraId="7396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66A23DC9">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noWrap/>
            <w:vAlign w:val="center"/>
          </w:tcPr>
          <w:p w14:paraId="4BE33A0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243" w:type="dxa"/>
            <w:noWrap/>
            <w:vAlign w:val="center"/>
          </w:tcPr>
          <w:p w14:paraId="6A71A8F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13643.00 </w:t>
            </w:r>
          </w:p>
        </w:tc>
        <w:tc>
          <w:tcPr>
            <w:tcW w:w="2270" w:type="dxa"/>
            <w:vAlign w:val="center"/>
          </w:tcPr>
          <w:p w14:paraId="518FD3F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16643.00 </w:t>
            </w:r>
          </w:p>
        </w:tc>
      </w:tr>
      <w:tr w14:paraId="3CB7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53B1B10F">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noWrap/>
            <w:vAlign w:val="center"/>
          </w:tcPr>
          <w:p w14:paraId="1DB80F4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243" w:type="dxa"/>
            <w:noWrap/>
            <w:vAlign w:val="center"/>
          </w:tcPr>
          <w:p w14:paraId="7D01D79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270" w:type="dxa"/>
            <w:vAlign w:val="center"/>
          </w:tcPr>
          <w:p w14:paraId="4E1772CA">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14:paraId="5C78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3794845E">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noWrap/>
            <w:vAlign w:val="center"/>
          </w:tcPr>
          <w:p w14:paraId="21B5F7EA">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243" w:type="dxa"/>
            <w:noWrap/>
            <w:vAlign w:val="center"/>
          </w:tcPr>
          <w:p w14:paraId="254B5E4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270" w:type="dxa"/>
            <w:vAlign w:val="center"/>
          </w:tcPr>
          <w:p w14:paraId="4367178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r w14:paraId="2EB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14:paraId="1D5C4C18">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noWrap/>
            <w:vAlign w:val="center"/>
          </w:tcPr>
          <w:p w14:paraId="0EB10B7A">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243" w:type="dxa"/>
            <w:noWrap/>
            <w:vAlign w:val="center"/>
          </w:tcPr>
          <w:p w14:paraId="5D7AFA35">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270" w:type="dxa"/>
            <w:vAlign w:val="center"/>
          </w:tcPr>
          <w:p w14:paraId="17ADA9B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bl>
    <w:p w14:paraId="1B393F72">
      <w:pPr>
        <w:ind w:firstLine="440" w:firstLineChars="200"/>
        <w:rPr>
          <w:rFonts w:ascii="Times New Roman" w:hAnsi="Times New Roman"/>
        </w:rPr>
      </w:pPr>
      <w:r>
        <w:rPr>
          <w:lang w:val="en-US"/>
        </w:rPr>
        <w:drawing>
          <wp:inline distT="0" distB="0" distL="0" distR="0">
            <wp:extent cx="4568825" cy="2740025"/>
            <wp:effectExtent l="0" t="0" r="3175" b="317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28DC2D">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14:paraId="356B8768">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4E0F3EB0">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763A7399">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排放单位核算和报告边界为位于xxx的生产厂区，有2条xxxx生产线。与上年度相比，场所边界无变化；与基准年相比，场所边界无变化。</w:t>
      </w:r>
    </w:p>
    <w:p w14:paraId="03C07DC4">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7FE3D164">
      <w:pPr>
        <w:spacing w:after="0"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排放单位不涉及既有设施排放配额调整。</w:t>
      </w:r>
    </w:p>
    <w:p w14:paraId="0C7B080D">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14:paraId="28427030">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14:paraId="1F5B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113935E7">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14:paraId="02832647">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14:paraId="085FE8F0">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14:paraId="2854ABB7">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14:paraId="14825723">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14:paraId="062BD8C7">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14:paraId="56819759">
            <w:pPr>
              <w:jc w:val="center"/>
              <w:rPr>
                <w:rFonts w:ascii="Times New Roman" w:hAnsi="Times New Roman" w:eastAsia="仿宋_GB2312"/>
                <w:sz w:val="24"/>
              </w:rPr>
            </w:pPr>
            <w:r>
              <w:rPr>
                <w:rFonts w:ascii="Times New Roman" w:hAnsi="Times New Roman" w:eastAsia="仿宋_GB2312"/>
                <w:sz w:val="24"/>
              </w:rPr>
              <w:t>历史年度排放量</w:t>
            </w:r>
          </w:p>
        </w:tc>
      </w:tr>
      <w:tr w14:paraId="540D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26476634">
            <w:pPr>
              <w:jc w:val="center"/>
              <w:rPr>
                <w:rFonts w:ascii="Times New Roman" w:hAnsi="Times New Roman" w:eastAsia="仿宋_GB2312"/>
                <w:sz w:val="24"/>
              </w:rPr>
            </w:pPr>
          </w:p>
        </w:tc>
        <w:tc>
          <w:tcPr>
            <w:tcW w:w="786" w:type="dxa"/>
            <w:vMerge w:val="continue"/>
            <w:vAlign w:val="center"/>
          </w:tcPr>
          <w:p w14:paraId="20EF357D">
            <w:pPr>
              <w:jc w:val="center"/>
              <w:rPr>
                <w:rFonts w:ascii="Times New Roman" w:hAnsi="Times New Roman" w:eastAsia="仿宋_GB2312"/>
                <w:sz w:val="24"/>
              </w:rPr>
            </w:pPr>
          </w:p>
        </w:tc>
        <w:tc>
          <w:tcPr>
            <w:tcW w:w="1134" w:type="dxa"/>
            <w:vMerge w:val="continue"/>
            <w:vAlign w:val="center"/>
          </w:tcPr>
          <w:p w14:paraId="3D06087F">
            <w:pPr>
              <w:jc w:val="center"/>
              <w:rPr>
                <w:rFonts w:ascii="Times New Roman" w:hAnsi="Times New Roman" w:eastAsia="仿宋_GB2312"/>
                <w:sz w:val="24"/>
              </w:rPr>
            </w:pPr>
          </w:p>
        </w:tc>
        <w:tc>
          <w:tcPr>
            <w:tcW w:w="709" w:type="dxa"/>
            <w:vMerge w:val="continue"/>
            <w:vAlign w:val="center"/>
          </w:tcPr>
          <w:p w14:paraId="68AF7E41">
            <w:pPr>
              <w:jc w:val="center"/>
              <w:rPr>
                <w:rFonts w:ascii="Times New Roman" w:hAnsi="Times New Roman" w:eastAsia="仿宋_GB2312"/>
                <w:sz w:val="24"/>
              </w:rPr>
            </w:pPr>
          </w:p>
        </w:tc>
        <w:tc>
          <w:tcPr>
            <w:tcW w:w="968" w:type="dxa"/>
            <w:vMerge w:val="continue"/>
            <w:vAlign w:val="center"/>
          </w:tcPr>
          <w:p w14:paraId="220B8F9C">
            <w:pPr>
              <w:jc w:val="center"/>
              <w:rPr>
                <w:rFonts w:ascii="Times New Roman" w:hAnsi="Times New Roman" w:eastAsia="仿宋_GB2312"/>
                <w:sz w:val="24"/>
              </w:rPr>
            </w:pPr>
          </w:p>
        </w:tc>
        <w:tc>
          <w:tcPr>
            <w:tcW w:w="1121" w:type="dxa"/>
            <w:vMerge w:val="continue"/>
            <w:tcBorders>
              <w:right w:val="single" w:color="auto" w:sz="4" w:space="0"/>
            </w:tcBorders>
            <w:vAlign w:val="center"/>
          </w:tcPr>
          <w:p w14:paraId="0ABB03D8">
            <w:pPr>
              <w:jc w:val="center"/>
              <w:rPr>
                <w:rFonts w:ascii="Times New Roman" w:hAnsi="Times New Roman" w:eastAsia="仿宋_GB2312"/>
                <w:sz w:val="24"/>
              </w:rPr>
            </w:pPr>
          </w:p>
        </w:tc>
        <w:tc>
          <w:tcPr>
            <w:tcW w:w="1116" w:type="dxa"/>
            <w:tcBorders>
              <w:left w:val="single" w:color="auto" w:sz="4" w:space="0"/>
            </w:tcBorders>
            <w:vAlign w:val="center"/>
          </w:tcPr>
          <w:p w14:paraId="00D1E292">
            <w:pPr>
              <w:jc w:val="center"/>
              <w:rPr>
                <w:rFonts w:ascii="Times New Roman" w:hAnsi="Times New Roman" w:eastAsia="仿宋_GB2312"/>
                <w:sz w:val="24"/>
              </w:rPr>
            </w:pPr>
            <w:r>
              <w:rPr>
                <w:rFonts w:ascii="Times New Roman" w:hAnsi="Times New Roman" w:eastAsia="仿宋_GB2312"/>
                <w:sz w:val="24"/>
              </w:rPr>
              <w:t>直接排放量</w:t>
            </w:r>
          </w:p>
          <w:p w14:paraId="0D11E7C8">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7BDB6652">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500F2982">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1393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66475DDA">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14:paraId="5A57CB79">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14:paraId="198076BD">
            <w:pPr>
              <w:jc w:val="center"/>
              <w:rPr>
                <w:rFonts w:ascii="Times New Roman" w:hAnsi="Times New Roman" w:eastAsia="仿宋_GB2312"/>
                <w:sz w:val="24"/>
              </w:rPr>
            </w:pPr>
          </w:p>
        </w:tc>
        <w:tc>
          <w:tcPr>
            <w:tcW w:w="709" w:type="dxa"/>
            <w:vMerge w:val="restart"/>
            <w:vAlign w:val="center"/>
          </w:tcPr>
          <w:p w14:paraId="13B72375">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14:paraId="32E3A734">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14:paraId="7110F8E2">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14:paraId="62559C81">
            <w:pPr>
              <w:rPr>
                <w:rFonts w:ascii="Times New Roman" w:hAnsi="Times New Roman" w:eastAsia="仿宋_GB2312"/>
                <w:sz w:val="24"/>
              </w:rPr>
            </w:pPr>
            <w:r>
              <w:rPr>
                <w:rFonts w:ascii="Times New Roman" w:hAnsi="Times New Roman" w:eastAsia="仿宋_GB2312"/>
                <w:sz w:val="24"/>
              </w:rPr>
              <w:t>100.00</w:t>
            </w:r>
          </w:p>
        </w:tc>
        <w:tc>
          <w:tcPr>
            <w:tcW w:w="1116" w:type="dxa"/>
          </w:tcPr>
          <w:p w14:paraId="48EED525">
            <w:pPr>
              <w:rPr>
                <w:rFonts w:ascii="Times New Roman" w:hAnsi="Times New Roman" w:eastAsia="仿宋_GB2312"/>
                <w:sz w:val="24"/>
              </w:rPr>
            </w:pPr>
            <w:r>
              <w:rPr>
                <w:rFonts w:ascii="Times New Roman" w:hAnsi="Times New Roman" w:eastAsia="仿宋_GB2312"/>
                <w:sz w:val="24"/>
              </w:rPr>
              <w:t>20.00</w:t>
            </w:r>
          </w:p>
        </w:tc>
        <w:tc>
          <w:tcPr>
            <w:tcW w:w="1116" w:type="dxa"/>
          </w:tcPr>
          <w:p w14:paraId="17D9FC91">
            <w:pPr>
              <w:rPr>
                <w:rFonts w:ascii="Times New Roman" w:hAnsi="Times New Roman" w:eastAsia="仿宋_GB2312"/>
                <w:sz w:val="24"/>
              </w:rPr>
            </w:pPr>
            <w:r>
              <w:rPr>
                <w:rFonts w:ascii="Times New Roman" w:hAnsi="Times New Roman" w:eastAsia="仿宋_GB2312"/>
                <w:sz w:val="24"/>
              </w:rPr>
              <w:t>120.00</w:t>
            </w:r>
          </w:p>
        </w:tc>
      </w:tr>
      <w:tr w14:paraId="48E4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6" w:type="dxa"/>
            <w:vMerge w:val="continue"/>
          </w:tcPr>
          <w:p w14:paraId="32C7CA10">
            <w:pPr>
              <w:rPr>
                <w:rFonts w:ascii="Times New Roman" w:hAnsi="Times New Roman" w:eastAsia="仿宋_GB2312"/>
                <w:sz w:val="24"/>
              </w:rPr>
            </w:pPr>
          </w:p>
        </w:tc>
        <w:tc>
          <w:tcPr>
            <w:tcW w:w="786" w:type="dxa"/>
            <w:vMerge w:val="continue"/>
          </w:tcPr>
          <w:p w14:paraId="5FA32A8F">
            <w:pPr>
              <w:rPr>
                <w:rFonts w:ascii="Times New Roman" w:hAnsi="Times New Roman" w:eastAsia="仿宋_GB2312"/>
                <w:sz w:val="24"/>
              </w:rPr>
            </w:pPr>
          </w:p>
        </w:tc>
        <w:tc>
          <w:tcPr>
            <w:tcW w:w="1134" w:type="dxa"/>
            <w:vMerge w:val="continue"/>
          </w:tcPr>
          <w:p w14:paraId="520DF4C6">
            <w:pPr>
              <w:rPr>
                <w:rFonts w:ascii="Times New Roman" w:hAnsi="Times New Roman" w:eastAsia="仿宋_GB2312"/>
                <w:sz w:val="24"/>
              </w:rPr>
            </w:pPr>
          </w:p>
        </w:tc>
        <w:tc>
          <w:tcPr>
            <w:tcW w:w="709" w:type="dxa"/>
            <w:vMerge w:val="continue"/>
          </w:tcPr>
          <w:p w14:paraId="6CDB17B1">
            <w:pPr>
              <w:rPr>
                <w:rFonts w:ascii="Times New Roman" w:hAnsi="Times New Roman" w:eastAsia="仿宋_GB2312"/>
                <w:sz w:val="24"/>
              </w:rPr>
            </w:pPr>
          </w:p>
        </w:tc>
        <w:tc>
          <w:tcPr>
            <w:tcW w:w="968" w:type="dxa"/>
            <w:vMerge w:val="continue"/>
          </w:tcPr>
          <w:p w14:paraId="12AEC33F">
            <w:pPr>
              <w:rPr>
                <w:rFonts w:ascii="Times New Roman" w:hAnsi="Times New Roman" w:eastAsia="仿宋_GB2312"/>
                <w:sz w:val="24"/>
              </w:rPr>
            </w:pPr>
          </w:p>
        </w:tc>
        <w:tc>
          <w:tcPr>
            <w:tcW w:w="1121" w:type="dxa"/>
            <w:tcBorders>
              <w:right w:val="single" w:color="auto" w:sz="4" w:space="0"/>
            </w:tcBorders>
          </w:tcPr>
          <w:p w14:paraId="792C532E">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14:paraId="1EF3180C">
            <w:pPr>
              <w:rPr>
                <w:rFonts w:ascii="Times New Roman" w:hAnsi="Times New Roman" w:eastAsia="仿宋_GB2312"/>
                <w:sz w:val="24"/>
              </w:rPr>
            </w:pPr>
            <w:r>
              <w:rPr>
                <w:rFonts w:ascii="Times New Roman" w:hAnsi="Times New Roman" w:eastAsia="仿宋_GB2312"/>
                <w:sz w:val="24"/>
              </w:rPr>
              <w:t>120.00</w:t>
            </w:r>
          </w:p>
        </w:tc>
        <w:tc>
          <w:tcPr>
            <w:tcW w:w="1116" w:type="dxa"/>
          </w:tcPr>
          <w:p w14:paraId="30AC1162">
            <w:pPr>
              <w:rPr>
                <w:rFonts w:ascii="Times New Roman" w:hAnsi="Times New Roman" w:eastAsia="仿宋_GB2312"/>
                <w:sz w:val="24"/>
              </w:rPr>
            </w:pPr>
            <w:r>
              <w:rPr>
                <w:rFonts w:ascii="Times New Roman" w:hAnsi="Times New Roman" w:eastAsia="仿宋_GB2312"/>
                <w:sz w:val="24"/>
              </w:rPr>
              <w:t>18.00</w:t>
            </w:r>
          </w:p>
        </w:tc>
        <w:tc>
          <w:tcPr>
            <w:tcW w:w="1116" w:type="dxa"/>
          </w:tcPr>
          <w:p w14:paraId="47CC9BEE">
            <w:pPr>
              <w:rPr>
                <w:rFonts w:ascii="Times New Roman" w:hAnsi="Times New Roman" w:eastAsia="仿宋_GB2312"/>
                <w:sz w:val="24"/>
              </w:rPr>
            </w:pPr>
            <w:r>
              <w:rPr>
                <w:rFonts w:ascii="Times New Roman" w:hAnsi="Times New Roman" w:eastAsia="仿宋_GB2312"/>
                <w:sz w:val="24"/>
              </w:rPr>
              <w:t>138.00</w:t>
            </w:r>
          </w:p>
        </w:tc>
      </w:tr>
      <w:tr w14:paraId="240D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4ABA0688">
            <w:pPr>
              <w:rPr>
                <w:rFonts w:ascii="Times New Roman" w:hAnsi="Times New Roman" w:eastAsia="仿宋_GB2312"/>
                <w:sz w:val="24"/>
              </w:rPr>
            </w:pPr>
          </w:p>
        </w:tc>
        <w:tc>
          <w:tcPr>
            <w:tcW w:w="786" w:type="dxa"/>
            <w:vMerge w:val="continue"/>
          </w:tcPr>
          <w:p w14:paraId="097DEDFC">
            <w:pPr>
              <w:rPr>
                <w:rFonts w:ascii="Times New Roman" w:hAnsi="Times New Roman" w:eastAsia="仿宋_GB2312"/>
                <w:sz w:val="24"/>
              </w:rPr>
            </w:pPr>
          </w:p>
        </w:tc>
        <w:tc>
          <w:tcPr>
            <w:tcW w:w="1134" w:type="dxa"/>
            <w:vMerge w:val="continue"/>
          </w:tcPr>
          <w:p w14:paraId="2857A095">
            <w:pPr>
              <w:rPr>
                <w:rFonts w:ascii="Times New Roman" w:hAnsi="Times New Roman" w:eastAsia="仿宋_GB2312"/>
                <w:sz w:val="24"/>
              </w:rPr>
            </w:pPr>
          </w:p>
        </w:tc>
        <w:tc>
          <w:tcPr>
            <w:tcW w:w="709" w:type="dxa"/>
            <w:vMerge w:val="continue"/>
          </w:tcPr>
          <w:p w14:paraId="0F124798">
            <w:pPr>
              <w:rPr>
                <w:rFonts w:ascii="Times New Roman" w:hAnsi="Times New Roman" w:eastAsia="仿宋_GB2312"/>
                <w:sz w:val="24"/>
              </w:rPr>
            </w:pPr>
          </w:p>
        </w:tc>
        <w:tc>
          <w:tcPr>
            <w:tcW w:w="968" w:type="dxa"/>
            <w:vMerge w:val="continue"/>
          </w:tcPr>
          <w:p w14:paraId="0CFBB4BB">
            <w:pPr>
              <w:rPr>
                <w:rFonts w:ascii="Times New Roman" w:hAnsi="Times New Roman" w:eastAsia="仿宋_GB2312"/>
                <w:sz w:val="24"/>
              </w:rPr>
            </w:pPr>
          </w:p>
        </w:tc>
        <w:tc>
          <w:tcPr>
            <w:tcW w:w="1121" w:type="dxa"/>
            <w:tcBorders>
              <w:right w:val="single" w:color="auto" w:sz="4" w:space="0"/>
            </w:tcBorders>
          </w:tcPr>
          <w:p w14:paraId="3191ADFE">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tcPr>
          <w:p w14:paraId="29357A33">
            <w:pPr>
              <w:rPr>
                <w:rFonts w:ascii="Times New Roman" w:hAnsi="Times New Roman" w:eastAsia="仿宋_GB2312"/>
                <w:sz w:val="24"/>
              </w:rPr>
            </w:pPr>
            <w:r>
              <w:rPr>
                <w:rFonts w:ascii="Times New Roman" w:hAnsi="Times New Roman" w:eastAsia="仿宋_GB2312"/>
                <w:sz w:val="24"/>
              </w:rPr>
              <w:t>60.00</w:t>
            </w:r>
          </w:p>
        </w:tc>
        <w:tc>
          <w:tcPr>
            <w:tcW w:w="1116" w:type="dxa"/>
          </w:tcPr>
          <w:p w14:paraId="4F1E8798">
            <w:pPr>
              <w:rPr>
                <w:rFonts w:ascii="Times New Roman" w:hAnsi="Times New Roman" w:eastAsia="仿宋_GB2312"/>
                <w:sz w:val="24"/>
              </w:rPr>
            </w:pPr>
            <w:r>
              <w:rPr>
                <w:rFonts w:ascii="Times New Roman" w:hAnsi="Times New Roman" w:eastAsia="仿宋_GB2312"/>
                <w:sz w:val="24"/>
              </w:rPr>
              <w:t>10.00</w:t>
            </w:r>
          </w:p>
        </w:tc>
        <w:tc>
          <w:tcPr>
            <w:tcW w:w="1116" w:type="dxa"/>
          </w:tcPr>
          <w:p w14:paraId="1605B610">
            <w:pPr>
              <w:rPr>
                <w:rFonts w:ascii="Times New Roman" w:hAnsi="Times New Roman" w:eastAsia="仿宋_GB2312"/>
                <w:sz w:val="24"/>
              </w:rPr>
            </w:pPr>
            <w:r>
              <w:rPr>
                <w:rFonts w:ascii="Times New Roman" w:hAnsi="Times New Roman" w:eastAsia="仿宋_GB2312"/>
                <w:sz w:val="24"/>
              </w:rPr>
              <w:t>70.00</w:t>
            </w:r>
          </w:p>
        </w:tc>
      </w:tr>
    </w:tbl>
    <w:p w14:paraId="4A0B0E0F">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14:paraId="452CEEFA">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217"/>
        <w:gridCol w:w="2194"/>
        <w:gridCol w:w="1552"/>
        <w:gridCol w:w="1193"/>
        <w:gridCol w:w="1423"/>
      </w:tblGrid>
      <w:tr w14:paraId="3337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558B895">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14:paraId="5342361F">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88" w:type="pct"/>
            <w:vAlign w:val="center"/>
          </w:tcPr>
          <w:p w14:paraId="5EC85BD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1" w:type="pct"/>
            <w:vAlign w:val="center"/>
          </w:tcPr>
          <w:p w14:paraId="64CB5E37">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700" w:type="pct"/>
            <w:vAlign w:val="center"/>
          </w:tcPr>
          <w:p w14:paraId="4F058496">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835" w:type="pct"/>
            <w:vAlign w:val="center"/>
          </w:tcPr>
          <w:p w14:paraId="4F29AB19">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2185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85DF6DA">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714" w:type="pct"/>
            <w:vAlign w:val="center"/>
          </w:tcPr>
          <w:p w14:paraId="7DC070FA">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288" w:type="pct"/>
            <w:vAlign w:val="center"/>
          </w:tcPr>
          <w:p w14:paraId="2D9AE323">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911" w:type="pct"/>
            <w:vAlign w:val="center"/>
          </w:tcPr>
          <w:p w14:paraId="58F18ACD">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700" w:type="pct"/>
            <w:vAlign w:val="center"/>
          </w:tcPr>
          <w:p w14:paraId="3464F2A2">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200.00</w:t>
            </w:r>
          </w:p>
        </w:tc>
        <w:tc>
          <w:tcPr>
            <w:tcW w:w="835" w:type="pct"/>
            <w:vAlign w:val="center"/>
          </w:tcPr>
          <w:p w14:paraId="714FD98F">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14:paraId="6C15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5EBCDF9">
            <w:pPr>
              <w:jc w:val="center"/>
              <w:rPr>
                <w:rFonts w:ascii="Times New Roman" w:hAnsi="Times New Roman" w:eastAsia="仿宋_GB2312"/>
                <w:sz w:val="24"/>
              </w:rPr>
            </w:pPr>
            <w:r>
              <w:rPr>
                <w:rFonts w:ascii="Times New Roman" w:hAnsi="Times New Roman" w:eastAsia="仿宋_GB2312"/>
                <w:color w:val="000000"/>
                <w:sz w:val="24"/>
              </w:rPr>
              <w:t>2</w:t>
            </w:r>
          </w:p>
        </w:tc>
        <w:tc>
          <w:tcPr>
            <w:tcW w:w="714" w:type="pct"/>
            <w:vAlign w:val="center"/>
          </w:tcPr>
          <w:p w14:paraId="6C032AFA">
            <w:pPr>
              <w:jc w:val="center"/>
              <w:rPr>
                <w:rFonts w:ascii="Times New Roman" w:hAnsi="Times New Roman" w:eastAsia="仿宋_GB2312"/>
                <w:sz w:val="24"/>
              </w:rPr>
            </w:pPr>
            <w:r>
              <w:rPr>
                <w:rFonts w:ascii="Times New Roman" w:hAnsi="Times New Roman" w:eastAsia="仿宋_GB2312"/>
                <w:sz w:val="24"/>
              </w:rPr>
              <w:t>2019</w:t>
            </w:r>
          </w:p>
        </w:tc>
        <w:tc>
          <w:tcPr>
            <w:tcW w:w="1288" w:type="pct"/>
            <w:vAlign w:val="center"/>
          </w:tcPr>
          <w:p w14:paraId="53688EC8">
            <w:pPr>
              <w:jc w:val="center"/>
              <w:rPr>
                <w:rFonts w:ascii="Times New Roman" w:hAnsi="Times New Roman" w:eastAsia="仿宋_GB2312"/>
                <w:sz w:val="24"/>
              </w:rPr>
            </w:pPr>
            <w:r>
              <w:rPr>
                <w:rFonts w:ascii="Times New Roman" w:hAnsi="Times New Roman" w:eastAsia="仿宋_GB2312"/>
                <w:color w:val="000000"/>
                <w:sz w:val="24"/>
              </w:rPr>
              <w:t>xxx设备</w:t>
            </w:r>
          </w:p>
        </w:tc>
        <w:tc>
          <w:tcPr>
            <w:tcW w:w="911" w:type="pct"/>
            <w:vAlign w:val="center"/>
          </w:tcPr>
          <w:p w14:paraId="2E03D476">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59224935">
            <w:pPr>
              <w:jc w:val="center"/>
              <w:rPr>
                <w:rFonts w:ascii="Times New Roman" w:hAnsi="Times New Roman" w:eastAsia="仿宋_GB2312"/>
                <w:sz w:val="24"/>
              </w:rPr>
            </w:pPr>
            <w:r>
              <w:rPr>
                <w:rFonts w:ascii="Times New Roman" w:hAnsi="Times New Roman" w:eastAsia="仿宋_GB2312"/>
                <w:sz w:val="24"/>
              </w:rPr>
              <w:t>800.00</w:t>
            </w:r>
          </w:p>
        </w:tc>
        <w:tc>
          <w:tcPr>
            <w:tcW w:w="835" w:type="pct"/>
            <w:vAlign w:val="center"/>
          </w:tcPr>
          <w:p w14:paraId="53587BEB">
            <w:pPr>
              <w:jc w:val="center"/>
              <w:rPr>
                <w:rFonts w:ascii="Times New Roman" w:hAnsi="Times New Roman" w:eastAsia="仿宋_GB2312"/>
                <w:sz w:val="24"/>
              </w:rPr>
            </w:pPr>
            <w:r>
              <w:rPr>
                <w:rFonts w:ascii="Times New Roman" w:hAnsi="Times New Roman" w:eastAsia="仿宋_GB2312"/>
                <w:sz w:val="24"/>
              </w:rPr>
              <w:t>/</w:t>
            </w:r>
          </w:p>
        </w:tc>
      </w:tr>
      <w:tr w14:paraId="3450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5CF4106">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vAlign w:val="center"/>
          </w:tcPr>
          <w:p w14:paraId="25F2AF07">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88" w:type="pct"/>
            <w:vAlign w:val="center"/>
          </w:tcPr>
          <w:p w14:paraId="0435C13D">
            <w:pPr>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911" w:type="pct"/>
            <w:vAlign w:val="center"/>
          </w:tcPr>
          <w:p w14:paraId="6EAD5EBA">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14:paraId="63D05163">
            <w:pPr>
              <w:jc w:val="center"/>
              <w:rPr>
                <w:rFonts w:ascii="Times New Roman" w:hAnsi="Times New Roman" w:eastAsia="仿宋_GB2312"/>
                <w:sz w:val="24"/>
              </w:rPr>
            </w:pPr>
            <w:r>
              <w:rPr>
                <w:rFonts w:ascii="Times New Roman" w:hAnsi="Times New Roman" w:eastAsia="仿宋_GB2312"/>
                <w:sz w:val="24"/>
              </w:rPr>
              <w:t>XXX</w:t>
            </w:r>
          </w:p>
        </w:tc>
        <w:tc>
          <w:tcPr>
            <w:tcW w:w="835" w:type="pct"/>
            <w:vAlign w:val="center"/>
          </w:tcPr>
          <w:p w14:paraId="240C1EAE">
            <w:pPr>
              <w:jc w:val="center"/>
              <w:rPr>
                <w:rFonts w:ascii="Times New Roman" w:hAnsi="Times New Roman" w:eastAsia="仿宋_GB2312"/>
                <w:sz w:val="24"/>
              </w:rPr>
            </w:pPr>
          </w:p>
        </w:tc>
      </w:tr>
      <w:tr w14:paraId="0C28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14:paraId="0D5B291A">
            <w:pPr>
              <w:jc w:val="center"/>
              <w:rPr>
                <w:rFonts w:ascii="Times New Roman" w:hAnsi="Times New Roman" w:eastAsia="仿宋_GB2312"/>
                <w:sz w:val="24"/>
              </w:rPr>
            </w:pPr>
            <w:r>
              <w:rPr>
                <w:rFonts w:ascii="Times New Roman" w:hAnsi="Times New Roman" w:eastAsia="仿宋_GB2312"/>
                <w:color w:val="000000"/>
                <w:sz w:val="24"/>
              </w:rPr>
              <w:t>合计</w:t>
            </w:r>
          </w:p>
        </w:tc>
        <w:tc>
          <w:tcPr>
            <w:tcW w:w="714" w:type="pct"/>
          </w:tcPr>
          <w:p w14:paraId="75EC8118">
            <w:pPr>
              <w:rPr>
                <w:rFonts w:ascii="Times New Roman" w:hAnsi="Times New Roman" w:eastAsia="仿宋_GB2312"/>
                <w:sz w:val="24"/>
              </w:rPr>
            </w:pPr>
          </w:p>
        </w:tc>
        <w:tc>
          <w:tcPr>
            <w:tcW w:w="1288" w:type="pct"/>
          </w:tcPr>
          <w:p w14:paraId="59554501">
            <w:pPr>
              <w:rPr>
                <w:rFonts w:ascii="Times New Roman" w:hAnsi="Times New Roman" w:eastAsia="仿宋_GB2312"/>
                <w:sz w:val="24"/>
              </w:rPr>
            </w:pPr>
          </w:p>
        </w:tc>
        <w:tc>
          <w:tcPr>
            <w:tcW w:w="911" w:type="pct"/>
          </w:tcPr>
          <w:p w14:paraId="09B51BEF">
            <w:pPr>
              <w:rPr>
                <w:rFonts w:ascii="Times New Roman" w:hAnsi="Times New Roman" w:eastAsia="仿宋_GB2312"/>
                <w:sz w:val="24"/>
              </w:rPr>
            </w:pPr>
          </w:p>
        </w:tc>
        <w:tc>
          <w:tcPr>
            <w:tcW w:w="700" w:type="pct"/>
            <w:vAlign w:val="center"/>
          </w:tcPr>
          <w:p w14:paraId="2802DE39">
            <w:pPr>
              <w:jc w:val="center"/>
              <w:rPr>
                <w:rFonts w:ascii="Times New Roman" w:hAnsi="Times New Roman" w:eastAsia="仿宋_GB2312"/>
                <w:sz w:val="24"/>
              </w:rPr>
            </w:pPr>
            <w:r>
              <w:rPr>
                <w:rFonts w:ascii="Times New Roman" w:hAnsi="Times New Roman" w:eastAsia="仿宋_GB2312"/>
                <w:sz w:val="24"/>
              </w:rPr>
              <w:t>XXX</w:t>
            </w:r>
          </w:p>
        </w:tc>
        <w:tc>
          <w:tcPr>
            <w:tcW w:w="835" w:type="pct"/>
          </w:tcPr>
          <w:p w14:paraId="500DD731">
            <w:pPr>
              <w:rPr>
                <w:rFonts w:ascii="Times New Roman" w:hAnsi="Times New Roman" w:eastAsia="仿宋_GB2312"/>
                <w:sz w:val="24"/>
              </w:rPr>
            </w:pPr>
          </w:p>
        </w:tc>
      </w:tr>
      <w:tr w14:paraId="421A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02E6EA30">
            <w:pPr>
              <w:rPr>
                <w:rFonts w:ascii="Times New Roman" w:hAnsi="Times New Roman" w:eastAsia="仿宋_GB2312"/>
                <w:sz w:val="24"/>
              </w:rPr>
            </w:pPr>
            <w:r>
              <w:rPr>
                <w:rFonts w:ascii="Times New Roman" w:hAnsi="Times New Roman" w:eastAsia="仿宋_GB2312"/>
                <w:sz w:val="24"/>
              </w:rPr>
              <w:t>备注：</w:t>
            </w:r>
          </w:p>
        </w:tc>
      </w:tr>
    </w:tbl>
    <w:p w14:paraId="71D22F88">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新增设施排放量为XXX吨，是基准年份排放量的XXX%，新增设施对应的产值为xxxx万元。此信息供新增设施发放配额参考。</w:t>
      </w:r>
    </w:p>
    <w:p w14:paraId="15E602B2">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762C4FA3">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14:paraId="51214394">
      <w:pPr>
        <w:spacing w:after="0" w:line="56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p>
    <w:p w14:paraId="58144E01">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道路运输业企业</w:t>
      </w:r>
    </w:p>
    <w:p w14:paraId="03C7C1A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度二氧化碳排放的核查工作。核查范围包括排放单位所有在北京市辖区内的运营系统以及直接为营运车辆服务的辅助系统导致的二氧化碳直接排放和二氧化碳间接排放。</w:t>
      </w:r>
    </w:p>
    <w:p w14:paraId="1CD0C4A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45FBDBA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19CE500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《二氧化碳排放核算和报告要求道路运输业》（DB11/T 1786-2020）</w:t>
      </w:r>
      <w:r>
        <w:rPr>
          <w:rFonts w:ascii="Times New Roman" w:hAnsi="Times New Roman" w:eastAsia="仿宋_GB2312"/>
          <w:sz w:val="32"/>
          <w:szCs w:val="32"/>
        </w:rPr>
        <w:t>的要求，核查组对本排放报告出具肯定的核查结论。</w:t>
      </w:r>
    </w:p>
    <w:p w14:paraId="079D5B8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2B991FD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经核查排放量与最终排放报告中的一致。经核查的排放量如下：</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894"/>
        <w:gridCol w:w="1667"/>
        <w:gridCol w:w="1753"/>
        <w:gridCol w:w="1688"/>
      </w:tblGrid>
      <w:tr w14:paraId="04BF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6D2B0182">
            <w:pPr>
              <w:jc w:val="center"/>
              <w:rPr>
                <w:rFonts w:ascii="Times New Roman" w:hAnsi="Times New Roman" w:eastAsia="仿宋_GB2312"/>
                <w:sz w:val="21"/>
                <w:szCs w:val="21"/>
              </w:rPr>
            </w:pPr>
            <w:r>
              <w:rPr>
                <w:rFonts w:hint="eastAsia" w:ascii="Times New Roman" w:hAnsi="Times New Roman" w:eastAsia="仿宋_GB2312"/>
                <w:sz w:val="21"/>
                <w:szCs w:val="21"/>
              </w:rPr>
              <w:t>排放设施</w:t>
            </w:r>
          </w:p>
        </w:tc>
        <w:tc>
          <w:tcPr>
            <w:tcW w:w="1111" w:type="pct"/>
            <w:vAlign w:val="center"/>
          </w:tcPr>
          <w:p w14:paraId="43CA9945">
            <w:pPr>
              <w:jc w:val="center"/>
              <w:rPr>
                <w:rFonts w:ascii="Times New Roman" w:hAnsi="Times New Roman" w:eastAsia="仿宋_GB2312"/>
                <w:sz w:val="21"/>
                <w:szCs w:val="21"/>
              </w:rPr>
            </w:pPr>
            <w:r>
              <w:rPr>
                <w:rFonts w:hint="eastAsia" w:ascii="Times New Roman" w:hAnsi="Times New Roman" w:eastAsia="仿宋_GB2312"/>
                <w:sz w:val="21"/>
                <w:szCs w:val="21"/>
              </w:rPr>
              <w:t>化石燃料燃烧排放量</w:t>
            </w:r>
          </w:p>
          <w:p w14:paraId="654F8BF3">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978" w:type="pct"/>
            <w:vAlign w:val="center"/>
          </w:tcPr>
          <w:p w14:paraId="31DB29E3">
            <w:pPr>
              <w:jc w:val="center"/>
              <w:rPr>
                <w:rFonts w:ascii="Times New Roman" w:hAnsi="Times New Roman" w:eastAsia="仿宋_GB2312"/>
                <w:sz w:val="21"/>
                <w:szCs w:val="21"/>
              </w:rPr>
            </w:pPr>
            <w:r>
              <w:rPr>
                <w:rFonts w:hint="eastAsia" w:ascii="Times New Roman" w:hAnsi="Times New Roman" w:eastAsia="仿宋_GB2312"/>
                <w:sz w:val="21"/>
                <w:szCs w:val="21"/>
              </w:rPr>
              <w:t>过程排放量</w:t>
            </w:r>
          </w:p>
          <w:p w14:paraId="3FA911BB">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028" w:type="pct"/>
            <w:vAlign w:val="center"/>
          </w:tcPr>
          <w:p w14:paraId="51240998">
            <w:pPr>
              <w:jc w:val="center"/>
              <w:rPr>
                <w:rFonts w:ascii="Times New Roman" w:hAnsi="Times New Roman" w:eastAsia="仿宋_GB2312"/>
                <w:sz w:val="21"/>
                <w:szCs w:val="21"/>
              </w:rPr>
            </w:pPr>
            <w:r>
              <w:rPr>
                <w:rFonts w:hint="eastAsia" w:ascii="Times New Roman" w:hAnsi="Times New Roman" w:eastAsia="仿宋_GB2312"/>
                <w:sz w:val="21"/>
                <w:szCs w:val="21"/>
              </w:rPr>
              <w:t>间接排放量</w:t>
            </w:r>
          </w:p>
          <w:p w14:paraId="7DE1BC2D">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990" w:type="pct"/>
            <w:vAlign w:val="center"/>
          </w:tcPr>
          <w:p w14:paraId="2525588B">
            <w:pPr>
              <w:jc w:val="center"/>
              <w:rPr>
                <w:rFonts w:ascii="Times New Roman" w:hAnsi="Times New Roman" w:eastAsia="仿宋_GB2312"/>
                <w:sz w:val="21"/>
                <w:szCs w:val="21"/>
              </w:rPr>
            </w:pPr>
            <w:r>
              <w:rPr>
                <w:rFonts w:hint="eastAsia" w:ascii="Times New Roman" w:hAnsi="Times New Roman" w:eastAsia="仿宋_GB2312"/>
                <w:sz w:val="21"/>
                <w:szCs w:val="21"/>
              </w:rPr>
              <w:t>总排放量</w:t>
            </w:r>
          </w:p>
          <w:p w14:paraId="4CBEDAB7">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r>
      <w:tr w14:paraId="0995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04F04D13">
            <w:pPr>
              <w:jc w:val="center"/>
              <w:rPr>
                <w:rFonts w:ascii="Times New Roman" w:hAnsi="Times New Roman" w:eastAsia="仿宋_GB2312"/>
                <w:sz w:val="24"/>
              </w:rPr>
            </w:pPr>
            <w:r>
              <w:rPr>
                <w:rFonts w:ascii="Times New Roman" w:hAnsi="Times New Roman" w:eastAsia="仿宋_GB2312"/>
                <w:sz w:val="24"/>
              </w:rPr>
              <w:t>移动设施</w:t>
            </w:r>
          </w:p>
        </w:tc>
        <w:tc>
          <w:tcPr>
            <w:tcW w:w="1894" w:type="dxa"/>
            <w:vAlign w:val="center"/>
          </w:tcPr>
          <w:p w14:paraId="48A9C079">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667" w:type="dxa"/>
            <w:vAlign w:val="center"/>
          </w:tcPr>
          <w:p w14:paraId="5D4BEA51">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753" w:type="dxa"/>
            <w:vAlign w:val="center"/>
          </w:tcPr>
          <w:p w14:paraId="1C087D4A">
            <w:pPr>
              <w:jc w:val="center"/>
              <w:textAlignment w:val="center"/>
              <w:rPr>
                <w:rFonts w:ascii="Times New Roman" w:hAnsi="Times New Roman" w:eastAsia="仿宋_GB2312"/>
                <w:sz w:val="24"/>
              </w:rPr>
            </w:pPr>
            <w:r>
              <w:rPr>
                <w:rFonts w:ascii="Times New Roman" w:hAnsi="Times New Roman"/>
                <w:color w:val="000000"/>
                <w:sz w:val="24"/>
              </w:rPr>
              <w:t xml:space="preserve">1000.00 </w:t>
            </w:r>
          </w:p>
        </w:tc>
        <w:tc>
          <w:tcPr>
            <w:tcW w:w="1688" w:type="dxa"/>
            <w:vAlign w:val="center"/>
          </w:tcPr>
          <w:p w14:paraId="39B654E5">
            <w:pPr>
              <w:jc w:val="center"/>
              <w:textAlignment w:val="center"/>
              <w:rPr>
                <w:rFonts w:ascii="Times New Roman" w:hAnsi="Times New Roman" w:eastAsia="仿宋_GB2312"/>
                <w:sz w:val="24"/>
              </w:rPr>
            </w:pPr>
            <w:r>
              <w:rPr>
                <w:rFonts w:ascii="Times New Roman" w:hAnsi="Times New Roman"/>
                <w:color w:val="000000"/>
                <w:sz w:val="24"/>
              </w:rPr>
              <w:t xml:space="preserve">35020.00 </w:t>
            </w:r>
          </w:p>
        </w:tc>
      </w:tr>
      <w:tr w14:paraId="48ED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0AAD3DD6">
            <w:pPr>
              <w:jc w:val="center"/>
              <w:rPr>
                <w:rFonts w:ascii="Times New Roman" w:hAnsi="Times New Roman" w:eastAsia="仿宋_GB2312"/>
                <w:sz w:val="24"/>
              </w:rPr>
            </w:pPr>
            <w:r>
              <w:rPr>
                <w:rFonts w:ascii="Times New Roman" w:hAnsi="Times New Roman" w:eastAsia="仿宋_GB2312"/>
                <w:sz w:val="24"/>
              </w:rPr>
              <w:t>固定设施</w:t>
            </w:r>
          </w:p>
        </w:tc>
        <w:tc>
          <w:tcPr>
            <w:tcW w:w="1894" w:type="dxa"/>
            <w:vAlign w:val="center"/>
          </w:tcPr>
          <w:p w14:paraId="4DC22E97">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667" w:type="dxa"/>
            <w:vAlign w:val="center"/>
          </w:tcPr>
          <w:p w14:paraId="40DEADCA">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753" w:type="dxa"/>
            <w:vAlign w:val="center"/>
          </w:tcPr>
          <w:p w14:paraId="0E86D63F">
            <w:pPr>
              <w:jc w:val="center"/>
              <w:textAlignment w:val="center"/>
              <w:rPr>
                <w:rFonts w:ascii="Times New Roman" w:hAnsi="Times New Roman" w:eastAsia="仿宋_GB2312"/>
                <w:sz w:val="24"/>
              </w:rPr>
            </w:pPr>
            <w:r>
              <w:rPr>
                <w:rFonts w:ascii="Times New Roman" w:hAnsi="Times New Roman"/>
                <w:color w:val="000000"/>
                <w:sz w:val="24"/>
              </w:rPr>
              <w:t xml:space="preserve">300.00 </w:t>
            </w:r>
          </w:p>
        </w:tc>
        <w:tc>
          <w:tcPr>
            <w:tcW w:w="1688" w:type="dxa"/>
            <w:vAlign w:val="center"/>
          </w:tcPr>
          <w:p w14:paraId="7253FC0A">
            <w:pPr>
              <w:jc w:val="center"/>
              <w:textAlignment w:val="center"/>
              <w:rPr>
                <w:rFonts w:ascii="Times New Roman" w:hAnsi="Times New Roman" w:eastAsia="仿宋_GB2312"/>
                <w:sz w:val="24"/>
              </w:rPr>
            </w:pPr>
            <w:r>
              <w:rPr>
                <w:rFonts w:ascii="Times New Roman" w:hAnsi="Times New Roman"/>
                <w:color w:val="000000"/>
                <w:sz w:val="24"/>
              </w:rPr>
              <w:t xml:space="preserve">322.20 </w:t>
            </w:r>
          </w:p>
        </w:tc>
      </w:tr>
      <w:tr w14:paraId="4547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14:paraId="2CBC0ABC">
            <w:pPr>
              <w:jc w:val="center"/>
              <w:rPr>
                <w:rFonts w:ascii="Times New Roman" w:hAnsi="Times New Roman" w:eastAsia="仿宋_GB2312"/>
                <w:sz w:val="24"/>
              </w:rPr>
            </w:pPr>
            <w:r>
              <w:rPr>
                <w:rFonts w:ascii="Times New Roman" w:hAnsi="Times New Roman" w:eastAsia="仿宋_GB2312"/>
                <w:sz w:val="24"/>
              </w:rPr>
              <w:t>合计</w:t>
            </w:r>
          </w:p>
        </w:tc>
        <w:tc>
          <w:tcPr>
            <w:tcW w:w="1894" w:type="dxa"/>
            <w:vAlign w:val="center"/>
          </w:tcPr>
          <w:p w14:paraId="5C792D5C">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667" w:type="dxa"/>
            <w:vAlign w:val="center"/>
          </w:tcPr>
          <w:p w14:paraId="6C2337CD">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753" w:type="dxa"/>
            <w:vAlign w:val="center"/>
          </w:tcPr>
          <w:p w14:paraId="37D4C57C">
            <w:pPr>
              <w:jc w:val="center"/>
              <w:textAlignment w:val="center"/>
              <w:rPr>
                <w:rFonts w:ascii="Times New Roman" w:hAnsi="Times New Roman" w:eastAsia="仿宋_GB2312"/>
                <w:sz w:val="24"/>
              </w:rPr>
            </w:pPr>
            <w:r>
              <w:rPr>
                <w:rFonts w:ascii="Times New Roman" w:hAnsi="Times New Roman"/>
                <w:color w:val="000000"/>
                <w:sz w:val="24"/>
              </w:rPr>
              <w:t xml:space="preserve">1300.00 </w:t>
            </w:r>
          </w:p>
        </w:tc>
        <w:tc>
          <w:tcPr>
            <w:tcW w:w="1688" w:type="dxa"/>
          </w:tcPr>
          <w:p w14:paraId="5A118CB3">
            <w:pPr>
              <w:jc w:val="center"/>
              <w:textAlignment w:val="top"/>
              <w:rPr>
                <w:rFonts w:ascii="Times New Roman" w:hAnsi="Times New Roman" w:eastAsia="仿宋_GB2312"/>
                <w:sz w:val="24"/>
              </w:rPr>
            </w:pPr>
            <w:r>
              <w:rPr>
                <w:rFonts w:ascii="Times New Roman" w:hAnsi="Times New Roman"/>
                <w:color w:val="000000"/>
                <w:sz w:val="24"/>
              </w:rPr>
              <w:t xml:space="preserve">35320.00 </w:t>
            </w:r>
          </w:p>
        </w:tc>
      </w:tr>
    </w:tbl>
    <w:p w14:paraId="0C49B265">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排放单位固定设施建筑面积和移动设施的运输总里程与最终排放报告中一致。经核查的固定设施建筑面积为xxxx平方米，移动设施运输总里程为xxxx万公里。</w:t>
      </w:r>
    </w:p>
    <w:p w14:paraId="2A94C92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3.排放量排放量及活动水平的原因说明</w:t>
      </w:r>
    </w:p>
    <w:p w14:paraId="28722E1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排放单位本年度排放量相比上年度排放量增加了4008.00吨/12.80%，其中</w:t>
      </w:r>
      <w:r>
        <w:rPr>
          <w:rFonts w:hint="eastAsia" w:ascii="Times New Roman" w:hAnsi="Times New Roman" w:eastAsia="仿宋_GB2312"/>
          <w:sz w:val="32"/>
          <w:szCs w:val="32"/>
        </w:rPr>
        <w:t>化石燃料燃烧</w:t>
      </w:r>
      <w:r>
        <w:rPr>
          <w:rFonts w:ascii="Times New Roman" w:hAnsi="Times New Roman" w:eastAsia="仿宋_GB2312"/>
          <w:sz w:val="32"/>
          <w:szCs w:val="32"/>
        </w:rPr>
        <w:t>排放量增加了3800.00吨/12.58%，过程排放量增加了8.00吨/66.67%</w:t>
      </w:r>
      <w:r>
        <w:rPr>
          <w:rFonts w:hint="eastAsia" w:ascii="Times New Roman" w:hAnsi="Times New Roman" w:eastAsia="仿宋_GB2312"/>
          <w:sz w:val="32"/>
          <w:szCs w:val="32"/>
        </w:rPr>
        <w:t>，</w:t>
      </w:r>
      <w:r>
        <w:rPr>
          <w:rFonts w:ascii="Times New Roman" w:hAnsi="Times New Roman" w:eastAsia="仿宋_GB2312"/>
          <w:sz w:val="32"/>
          <w:szCs w:val="32"/>
        </w:rPr>
        <w:t>间接排放量增加了200.00吨/18.18%。主要原因是排放单位客运里程数增加10.44%，增加了运营车辆的数量，导致排放量上升明显。</w:t>
      </w:r>
    </w:p>
    <w:p w14:paraId="1437A14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本年度排放量相比历史基准年份排放量相比增加4008.00吨，增加比例为12.80%，原因为客运里程数增加了xxx万公里。</w:t>
      </w:r>
    </w:p>
    <w:p w14:paraId="7DC11DF1">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4997" w:type="pct"/>
        <w:tblInd w:w="0" w:type="dxa"/>
        <w:tblLayout w:type="autofit"/>
        <w:tblCellMar>
          <w:top w:w="0" w:type="dxa"/>
          <w:left w:w="108" w:type="dxa"/>
          <w:bottom w:w="0" w:type="dxa"/>
          <w:right w:w="108" w:type="dxa"/>
        </w:tblCellMar>
      </w:tblPr>
      <w:tblGrid>
        <w:gridCol w:w="1243"/>
        <w:gridCol w:w="1577"/>
        <w:gridCol w:w="1799"/>
        <w:gridCol w:w="1949"/>
        <w:gridCol w:w="1949"/>
      </w:tblGrid>
      <w:tr w14:paraId="6A117B74">
        <w:tblPrEx>
          <w:tblCellMar>
            <w:top w:w="0" w:type="dxa"/>
            <w:left w:w="108" w:type="dxa"/>
            <w:bottom w:w="0" w:type="dxa"/>
            <w:right w:w="108" w:type="dxa"/>
          </w:tblCellMar>
        </w:tblPrEx>
        <w:trPr>
          <w:trHeight w:val="730" w:hRule="atLeast"/>
        </w:trPr>
        <w:tc>
          <w:tcPr>
            <w:tcW w:w="730" w:type="pct"/>
            <w:tcBorders>
              <w:top w:val="single" w:color="auto" w:sz="4" w:space="0"/>
              <w:left w:val="single" w:color="auto" w:sz="4" w:space="0"/>
              <w:bottom w:val="single" w:color="auto" w:sz="4" w:space="0"/>
              <w:right w:val="single" w:color="auto" w:sz="4" w:space="0"/>
            </w:tcBorders>
            <w:vAlign w:val="center"/>
          </w:tcPr>
          <w:p w14:paraId="472A2E42">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926" w:type="pct"/>
            <w:tcBorders>
              <w:top w:val="single" w:color="auto" w:sz="4" w:space="0"/>
              <w:left w:val="nil"/>
              <w:bottom w:val="single" w:color="auto" w:sz="4" w:space="0"/>
              <w:right w:val="single" w:color="auto" w:sz="4" w:space="0"/>
            </w:tcBorders>
            <w:vAlign w:val="center"/>
          </w:tcPr>
          <w:p w14:paraId="350640C4">
            <w:pPr>
              <w:jc w:val="center"/>
              <w:rPr>
                <w:rFonts w:ascii="Times New Roman" w:hAnsi="Times New Roman" w:eastAsia="仿宋_GB2312"/>
                <w:color w:val="000000"/>
                <w:sz w:val="24"/>
              </w:rPr>
            </w:pPr>
            <w:r>
              <w:rPr>
                <w:rFonts w:ascii="Times New Roman" w:hAnsi="Times New Roman" w:eastAsia="仿宋_GB2312"/>
                <w:color w:val="000000"/>
                <w:sz w:val="24"/>
              </w:rPr>
              <w:t>化石燃料燃烧排放量（tCO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056" w:type="pct"/>
            <w:tcBorders>
              <w:top w:val="single" w:color="auto" w:sz="4" w:space="0"/>
              <w:left w:val="nil"/>
              <w:bottom w:val="single" w:color="auto" w:sz="4" w:space="0"/>
              <w:right w:val="single" w:color="auto" w:sz="4" w:space="0"/>
            </w:tcBorders>
            <w:vAlign w:val="center"/>
          </w:tcPr>
          <w:p w14:paraId="2943E986">
            <w:pPr>
              <w:jc w:val="center"/>
              <w:rPr>
                <w:rFonts w:ascii="Times New Roman" w:hAnsi="Times New Roman" w:eastAsia="仿宋_GB2312"/>
                <w:color w:val="000000"/>
                <w:sz w:val="24"/>
              </w:rPr>
            </w:pPr>
            <w:r>
              <w:rPr>
                <w:rFonts w:ascii="Times New Roman" w:hAnsi="Times New Roman" w:eastAsia="仿宋_GB2312"/>
                <w:color w:val="000000"/>
                <w:sz w:val="24"/>
              </w:rPr>
              <w:t>过程排放量（tCO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144" w:type="pct"/>
            <w:tcBorders>
              <w:top w:val="single" w:color="auto" w:sz="4" w:space="0"/>
              <w:left w:val="nil"/>
              <w:bottom w:val="single" w:color="auto" w:sz="4" w:space="0"/>
              <w:right w:val="single" w:color="auto" w:sz="4" w:space="0"/>
            </w:tcBorders>
            <w:vAlign w:val="center"/>
          </w:tcPr>
          <w:p w14:paraId="5B0D0FE8">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144" w:type="pct"/>
            <w:tcBorders>
              <w:top w:val="single" w:color="auto" w:sz="4" w:space="0"/>
              <w:left w:val="nil"/>
              <w:bottom w:val="single" w:color="auto" w:sz="4" w:space="0"/>
              <w:right w:val="single" w:color="auto" w:sz="4" w:space="0"/>
            </w:tcBorders>
            <w:vAlign w:val="center"/>
          </w:tcPr>
          <w:p w14:paraId="4F431931">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14:paraId="0A95DED9">
        <w:tblPrEx>
          <w:tblCellMar>
            <w:top w:w="0" w:type="dxa"/>
            <w:left w:w="108" w:type="dxa"/>
            <w:bottom w:w="0" w:type="dxa"/>
            <w:right w:w="108" w:type="dxa"/>
          </w:tblCellMar>
        </w:tblPrEx>
        <w:trPr>
          <w:trHeight w:val="381"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583DD1B2">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926" w:type="pct"/>
            <w:tcBorders>
              <w:top w:val="nil"/>
              <w:left w:val="nil"/>
              <w:bottom w:val="single" w:color="auto" w:sz="4" w:space="0"/>
              <w:right w:val="single" w:color="auto" w:sz="4" w:space="0"/>
            </w:tcBorders>
            <w:noWrap/>
            <w:vAlign w:val="center"/>
          </w:tcPr>
          <w:p w14:paraId="7F2FCBC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29000.00 </w:t>
            </w:r>
          </w:p>
        </w:tc>
        <w:tc>
          <w:tcPr>
            <w:tcW w:w="1056" w:type="pct"/>
            <w:tcBorders>
              <w:top w:val="nil"/>
              <w:left w:val="nil"/>
              <w:bottom w:val="single" w:color="auto" w:sz="4" w:space="0"/>
              <w:right w:val="single" w:color="auto" w:sz="4" w:space="0"/>
            </w:tcBorders>
            <w:noWrap/>
            <w:vAlign w:val="center"/>
          </w:tcPr>
          <w:p w14:paraId="2773A97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4.00 </w:t>
            </w:r>
          </w:p>
        </w:tc>
        <w:tc>
          <w:tcPr>
            <w:tcW w:w="1144" w:type="pct"/>
            <w:tcBorders>
              <w:top w:val="nil"/>
              <w:left w:val="nil"/>
              <w:bottom w:val="single" w:color="auto" w:sz="4" w:space="0"/>
              <w:right w:val="single" w:color="auto" w:sz="4" w:space="0"/>
            </w:tcBorders>
            <w:vAlign w:val="center"/>
          </w:tcPr>
          <w:p w14:paraId="7B810FF7">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900</w:t>
            </w:r>
          </w:p>
        </w:tc>
        <w:tc>
          <w:tcPr>
            <w:tcW w:w="1144" w:type="pct"/>
            <w:tcBorders>
              <w:top w:val="nil"/>
              <w:left w:val="nil"/>
              <w:bottom w:val="single" w:color="auto" w:sz="4" w:space="0"/>
              <w:right w:val="single" w:color="auto" w:sz="4" w:space="0"/>
            </w:tcBorders>
            <w:vAlign w:val="center"/>
          </w:tcPr>
          <w:p w14:paraId="3A833D7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29904.00 </w:t>
            </w:r>
          </w:p>
        </w:tc>
      </w:tr>
      <w:tr w14:paraId="5DBD8222">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4707193A">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926" w:type="pct"/>
            <w:tcBorders>
              <w:top w:val="nil"/>
              <w:left w:val="nil"/>
              <w:bottom w:val="single" w:color="auto" w:sz="4" w:space="0"/>
              <w:right w:val="single" w:color="auto" w:sz="4" w:space="0"/>
            </w:tcBorders>
            <w:noWrap/>
            <w:vAlign w:val="center"/>
          </w:tcPr>
          <w:p w14:paraId="2820B111">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29800.00 </w:t>
            </w:r>
          </w:p>
        </w:tc>
        <w:tc>
          <w:tcPr>
            <w:tcW w:w="1056" w:type="pct"/>
            <w:tcBorders>
              <w:top w:val="nil"/>
              <w:left w:val="nil"/>
              <w:bottom w:val="single" w:color="auto" w:sz="4" w:space="0"/>
              <w:right w:val="single" w:color="auto" w:sz="4" w:space="0"/>
            </w:tcBorders>
            <w:noWrap/>
            <w:vAlign w:val="center"/>
          </w:tcPr>
          <w:p w14:paraId="62B1EABA">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 </w:t>
            </w:r>
          </w:p>
        </w:tc>
        <w:tc>
          <w:tcPr>
            <w:tcW w:w="1144" w:type="pct"/>
            <w:tcBorders>
              <w:top w:val="nil"/>
              <w:left w:val="nil"/>
              <w:bottom w:val="single" w:color="auto" w:sz="4" w:space="0"/>
              <w:right w:val="single" w:color="auto" w:sz="4" w:space="0"/>
            </w:tcBorders>
            <w:vAlign w:val="center"/>
          </w:tcPr>
          <w:p w14:paraId="00F37D8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1000</w:t>
            </w:r>
          </w:p>
        </w:tc>
        <w:tc>
          <w:tcPr>
            <w:tcW w:w="1144" w:type="pct"/>
            <w:tcBorders>
              <w:top w:val="nil"/>
              <w:left w:val="nil"/>
              <w:bottom w:val="single" w:color="auto" w:sz="4" w:space="0"/>
              <w:right w:val="single" w:color="auto" w:sz="4" w:space="0"/>
            </w:tcBorders>
            <w:vAlign w:val="center"/>
          </w:tcPr>
          <w:p w14:paraId="0D3D9A68">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30805.00 </w:t>
            </w:r>
          </w:p>
        </w:tc>
      </w:tr>
      <w:tr w14:paraId="75DB01D5">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0F7FAA8A">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926" w:type="pct"/>
            <w:tcBorders>
              <w:top w:val="nil"/>
              <w:left w:val="nil"/>
              <w:bottom w:val="single" w:color="auto" w:sz="4" w:space="0"/>
              <w:right w:val="single" w:color="auto" w:sz="4" w:space="0"/>
            </w:tcBorders>
            <w:noWrap/>
            <w:vAlign w:val="center"/>
          </w:tcPr>
          <w:p w14:paraId="0448D16B">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30200.00 </w:t>
            </w:r>
          </w:p>
        </w:tc>
        <w:tc>
          <w:tcPr>
            <w:tcW w:w="1056" w:type="pct"/>
            <w:tcBorders>
              <w:top w:val="nil"/>
              <w:left w:val="nil"/>
              <w:bottom w:val="single" w:color="auto" w:sz="4" w:space="0"/>
              <w:right w:val="single" w:color="auto" w:sz="4" w:space="0"/>
            </w:tcBorders>
            <w:noWrap/>
            <w:vAlign w:val="center"/>
          </w:tcPr>
          <w:p w14:paraId="1DA60856">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 </w:t>
            </w:r>
          </w:p>
        </w:tc>
        <w:tc>
          <w:tcPr>
            <w:tcW w:w="1144" w:type="pct"/>
            <w:tcBorders>
              <w:top w:val="nil"/>
              <w:left w:val="nil"/>
              <w:bottom w:val="single" w:color="auto" w:sz="4" w:space="0"/>
              <w:right w:val="single" w:color="auto" w:sz="4" w:space="0"/>
            </w:tcBorders>
            <w:vAlign w:val="center"/>
          </w:tcPr>
          <w:p w14:paraId="274C6B6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1100</w:t>
            </w:r>
          </w:p>
        </w:tc>
        <w:tc>
          <w:tcPr>
            <w:tcW w:w="1144" w:type="pct"/>
            <w:tcBorders>
              <w:top w:val="nil"/>
              <w:left w:val="nil"/>
              <w:bottom w:val="single" w:color="auto" w:sz="4" w:space="0"/>
              <w:right w:val="single" w:color="auto" w:sz="4" w:space="0"/>
            </w:tcBorders>
            <w:vAlign w:val="center"/>
          </w:tcPr>
          <w:p w14:paraId="77AEBB01">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31312.00 </w:t>
            </w:r>
          </w:p>
        </w:tc>
      </w:tr>
      <w:tr w14:paraId="0A3269F9">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3A771BF1">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926" w:type="pct"/>
            <w:tcBorders>
              <w:top w:val="single" w:color="auto" w:sz="4" w:space="0"/>
              <w:left w:val="single" w:color="auto" w:sz="4" w:space="0"/>
              <w:bottom w:val="single" w:color="auto" w:sz="4" w:space="0"/>
              <w:right w:val="single" w:color="auto" w:sz="4" w:space="0"/>
            </w:tcBorders>
            <w:noWrap/>
            <w:vAlign w:val="center"/>
          </w:tcPr>
          <w:p w14:paraId="38B1A29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056" w:type="pct"/>
            <w:tcBorders>
              <w:top w:val="single" w:color="auto" w:sz="4" w:space="0"/>
              <w:left w:val="single" w:color="auto" w:sz="4" w:space="0"/>
              <w:bottom w:val="single" w:color="auto" w:sz="4" w:space="0"/>
              <w:right w:val="single" w:color="auto" w:sz="4" w:space="0"/>
            </w:tcBorders>
            <w:noWrap/>
            <w:vAlign w:val="center"/>
          </w:tcPr>
          <w:p w14:paraId="47B8759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1144" w:type="pct"/>
            <w:tcBorders>
              <w:top w:val="single" w:color="auto" w:sz="4" w:space="0"/>
              <w:left w:val="single" w:color="auto" w:sz="4" w:space="0"/>
              <w:bottom w:val="single" w:color="auto" w:sz="4" w:space="0"/>
              <w:right w:val="single" w:color="auto" w:sz="4" w:space="0"/>
            </w:tcBorders>
            <w:vAlign w:val="center"/>
          </w:tcPr>
          <w:p w14:paraId="0851DB1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1144" w:type="pct"/>
            <w:tcBorders>
              <w:top w:val="single" w:color="auto" w:sz="4" w:space="0"/>
              <w:left w:val="single" w:color="auto" w:sz="4" w:space="0"/>
              <w:bottom w:val="single" w:color="auto" w:sz="4" w:space="0"/>
              <w:right w:val="single" w:color="auto" w:sz="4" w:space="0"/>
            </w:tcBorders>
            <w:vAlign w:val="center"/>
          </w:tcPr>
          <w:p w14:paraId="08905749">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r w14:paraId="1930B377">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14:paraId="38583F08">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926" w:type="pct"/>
            <w:tcBorders>
              <w:top w:val="single" w:color="auto" w:sz="4" w:space="0"/>
              <w:left w:val="single" w:color="auto" w:sz="4" w:space="0"/>
              <w:bottom w:val="single" w:color="auto" w:sz="4" w:space="0"/>
              <w:right w:val="single" w:color="auto" w:sz="4" w:space="0"/>
            </w:tcBorders>
            <w:noWrap/>
            <w:vAlign w:val="center"/>
          </w:tcPr>
          <w:p w14:paraId="5BC87202">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056" w:type="pct"/>
            <w:tcBorders>
              <w:top w:val="single" w:color="auto" w:sz="4" w:space="0"/>
              <w:left w:val="single" w:color="auto" w:sz="4" w:space="0"/>
              <w:bottom w:val="single" w:color="auto" w:sz="4" w:space="0"/>
              <w:right w:val="single" w:color="auto" w:sz="4" w:space="0"/>
            </w:tcBorders>
            <w:noWrap/>
            <w:vAlign w:val="center"/>
          </w:tcPr>
          <w:p w14:paraId="63906273">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1144" w:type="pct"/>
            <w:tcBorders>
              <w:top w:val="single" w:color="auto" w:sz="4" w:space="0"/>
              <w:left w:val="single" w:color="auto" w:sz="4" w:space="0"/>
              <w:bottom w:val="single" w:color="auto" w:sz="4" w:space="0"/>
              <w:right w:val="single" w:color="auto" w:sz="4" w:space="0"/>
            </w:tcBorders>
            <w:vAlign w:val="center"/>
          </w:tcPr>
          <w:p w14:paraId="7E26AE36">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1144" w:type="pct"/>
            <w:tcBorders>
              <w:top w:val="single" w:color="auto" w:sz="4" w:space="0"/>
              <w:left w:val="single" w:color="auto" w:sz="4" w:space="0"/>
              <w:bottom w:val="single" w:color="auto" w:sz="4" w:space="0"/>
              <w:right w:val="single" w:color="auto" w:sz="4" w:space="0"/>
            </w:tcBorders>
            <w:vAlign w:val="center"/>
          </w:tcPr>
          <w:p w14:paraId="4457C65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bl>
    <w:p w14:paraId="250203FC">
      <w:pPr>
        <w:rPr>
          <w:rFonts w:ascii="Times New Roman" w:hAnsi="Times New Roman"/>
        </w:rPr>
      </w:pPr>
      <w:r>
        <w:rPr>
          <w:lang w:val="en-US"/>
        </w:rPr>
        <w:drawing>
          <wp:inline distT="0" distB="0" distL="0" distR="0">
            <wp:extent cx="5282565" cy="2540000"/>
            <wp:effectExtent l="0" t="0" r="13335" b="1270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BDD1AA">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14:paraId="3DCAB6F1">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273259EE">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3200D31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排放单位核算和报告边界为北京市辖区内的服务范围，包括xx个公交场站，</w:t>
      </w:r>
      <w:r>
        <w:rPr>
          <w:rFonts w:hint="eastAsia" w:ascii="Times New Roman" w:hAnsi="Times New Roman" w:eastAsia="仿宋_GB2312"/>
          <w:sz w:val="32"/>
          <w:szCs w:val="32"/>
        </w:rPr>
        <w:t>汽油车xx辆，柴油车xx辆，电动车xx辆，LNG混合动力车xx辆，CNG混合动力车xx辆，</w:t>
      </w:r>
      <w:r>
        <w:rPr>
          <w:rFonts w:ascii="Times New Roman" w:hAnsi="Times New Roman" w:eastAsia="仿宋_GB2312"/>
          <w:sz w:val="32"/>
          <w:szCs w:val="32"/>
        </w:rPr>
        <w:t>xxx条运输线路。与上一年度相比，场所边界无变化；与基准年相比，场所边界无变化。</w:t>
      </w:r>
    </w:p>
    <w:p w14:paraId="40A6BE71">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1FC03A3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排放单位固定设施不涉及既有配额调整。</w:t>
      </w:r>
    </w:p>
    <w:p w14:paraId="0A7D8982">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排放单位无既有设施退出。</w:t>
      </w:r>
    </w:p>
    <w:p w14:paraId="42EFE59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根据交通企业配额调整办法，新增移动设施不需要申请配额调整，因此未对移动设施的排放量及对应的活动水平数据进行核查。排放单位新增设施详见下表：</w:t>
      </w:r>
    </w:p>
    <w:p w14:paraId="25AAEC9C">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797"/>
        <w:gridCol w:w="2087"/>
        <w:gridCol w:w="1562"/>
        <w:gridCol w:w="1562"/>
        <w:gridCol w:w="1565"/>
      </w:tblGrid>
      <w:tr w14:paraId="4AE2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10FC14D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468" w:type="pct"/>
            <w:vAlign w:val="center"/>
          </w:tcPr>
          <w:p w14:paraId="671071CB">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25" w:type="pct"/>
            <w:vAlign w:val="center"/>
          </w:tcPr>
          <w:p w14:paraId="278DD354">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7" w:type="pct"/>
            <w:vAlign w:val="center"/>
          </w:tcPr>
          <w:p w14:paraId="6DAAABD0">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917" w:type="pct"/>
            <w:vAlign w:val="center"/>
          </w:tcPr>
          <w:p w14:paraId="21614C13">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918" w:type="pct"/>
            <w:vAlign w:val="center"/>
          </w:tcPr>
          <w:p w14:paraId="39F9ED0F">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1B87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0DC703C6">
            <w:pPr>
              <w:jc w:val="center"/>
              <w:rPr>
                <w:rFonts w:ascii="Times New Roman" w:hAnsi="Times New Roman" w:eastAsia="仿宋_GB2312"/>
                <w:sz w:val="24"/>
              </w:rPr>
            </w:pPr>
            <w:r>
              <w:rPr>
                <w:rFonts w:ascii="Times New Roman" w:hAnsi="Times New Roman" w:eastAsia="仿宋_GB2312"/>
                <w:color w:val="000000"/>
                <w:sz w:val="24"/>
              </w:rPr>
              <w:t>1</w:t>
            </w:r>
          </w:p>
        </w:tc>
        <w:tc>
          <w:tcPr>
            <w:tcW w:w="468" w:type="pct"/>
            <w:vAlign w:val="center"/>
          </w:tcPr>
          <w:p w14:paraId="1C4E830F">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14:paraId="0124099E">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w:t>
            </w:r>
          </w:p>
        </w:tc>
        <w:tc>
          <w:tcPr>
            <w:tcW w:w="917" w:type="pct"/>
            <w:vAlign w:val="center"/>
          </w:tcPr>
          <w:p w14:paraId="05C8D2BB">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2C49B033">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62023DAD">
            <w:pPr>
              <w:jc w:val="center"/>
              <w:rPr>
                <w:rFonts w:ascii="Times New Roman" w:hAnsi="Times New Roman" w:eastAsia="仿宋_GB2312"/>
                <w:sz w:val="24"/>
              </w:rPr>
            </w:pPr>
            <w:r>
              <w:rPr>
                <w:rFonts w:ascii="Times New Roman" w:hAnsi="Times New Roman" w:eastAsia="仿宋_GB2312"/>
                <w:sz w:val="24"/>
              </w:rPr>
              <w:t>/</w:t>
            </w:r>
          </w:p>
        </w:tc>
      </w:tr>
      <w:tr w14:paraId="35CE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74B0BAC0">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468" w:type="pct"/>
            <w:vAlign w:val="center"/>
          </w:tcPr>
          <w:p w14:paraId="314B9D09">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14:paraId="6413C786">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移动设施：新增xx台LNG（xx）和CNG（xx）混合动力公交车，电动车xx台。</w:t>
            </w:r>
          </w:p>
        </w:tc>
        <w:tc>
          <w:tcPr>
            <w:tcW w:w="917" w:type="pct"/>
            <w:vAlign w:val="center"/>
          </w:tcPr>
          <w:p w14:paraId="1FB2786F">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3E1E9ED4">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46C05F06">
            <w:pPr>
              <w:jc w:val="center"/>
              <w:rPr>
                <w:rFonts w:ascii="Times New Roman" w:hAnsi="Times New Roman" w:eastAsia="仿宋_GB2312"/>
                <w:sz w:val="24"/>
              </w:rPr>
            </w:pPr>
            <w:r>
              <w:rPr>
                <w:rFonts w:ascii="Times New Roman" w:hAnsi="Times New Roman" w:eastAsia="仿宋_GB2312"/>
                <w:sz w:val="24"/>
              </w:rPr>
              <w:t>/</w:t>
            </w:r>
          </w:p>
        </w:tc>
      </w:tr>
      <w:tr w14:paraId="4C3F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0D6852F4">
            <w:pPr>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468" w:type="pct"/>
            <w:vAlign w:val="center"/>
          </w:tcPr>
          <w:p w14:paraId="2CD0CE23">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14:paraId="59AFCFA3">
            <w:pPr>
              <w:jc w:val="center"/>
              <w:rPr>
                <w:rFonts w:ascii="Times New Roman" w:hAnsi="Times New Roman" w:eastAsia="仿宋_GB2312"/>
                <w:sz w:val="24"/>
              </w:rPr>
            </w:pPr>
            <w:r>
              <w:rPr>
                <w:rFonts w:ascii="Times New Roman" w:hAnsi="Times New Roman" w:eastAsia="仿宋_GB2312"/>
                <w:sz w:val="24"/>
              </w:rPr>
              <w:t>移动设施：xx辆客车</w:t>
            </w:r>
          </w:p>
        </w:tc>
        <w:tc>
          <w:tcPr>
            <w:tcW w:w="917" w:type="pct"/>
            <w:vAlign w:val="center"/>
          </w:tcPr>
          <w:p w14:paraId="1175F68D">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2C6AA691">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34843B18">
            <w:pPr>
              <w:jc w:val="center"/>
              <w:rPr>
                <w:rFonts w:ascii="Times New Roman" w:hAnsi="Times New Roman" w:eastAsia="仿宋_GB2312"/>
                <w:sz w:val="24"/>
              </w:rPr>
            </w:pPr>
            <w:r>
              <w:rPr>
                <w:rFonts w:ascii="Times New Roman" w:hAnsi="Times New Roman" w:eastAsia="仿宋_GB2312"/>
                <w:sz w:val="24"/>
              </w:rPr>
              <w:t>/</w:t>
            </w:r>
          </w:p>
        </w:tc>
      </w:tr>
      <w:tr w14:paraId="3421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2F031A6A">
            <w:pPr>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468" w:type="pct"/>
            <w:vAlign w:val="center"/>
          </w:tcPr>
          <w:p w14:paraId="1B0A11FD">
            <w:pPr>
              <w:jc w:val="center"/>
              <w:rPr>
                <w:rFonts w:ascii="Times New Roman" w:hAnsi="Times New Roman" w:eastAsia="仿宋_GB2312"/>
                <w:sz w:val="24"/>
              </w:rPr>
            </w:pPr>
            <w:r>
              <w:rPr>
                <w:rFonts w:ascii="Times New Roman" w:hAnsi="Times New Roman" w:eastAsia="仿宋_GB2312"/>
                <w:sz w:val="24"/>
              </w:rPr>
              <w:t>2020</w:t>
            </w:r>
          </w:p>
        </w:tc>
        <w:tc>
          <w:tcPr>
            <w:tcW w:w="1225" w:type="pct"/>
            <w:vAlign w:val="center"/>
          </w:tcPr>
          <w:p w14:paraId="7B4D7BB8">
            <w:pPr>
              <w:jc w:val="center"/>
              <w:rPr>
                <w:rFonts w:ascii="Times New Roman" w:hAnsi="Times New Roman" w:eastAsia="仿宋_GB2312"/>
                <w:sz w:val="24"/>
              </w:rPr>
            </w:pPr>
            <w:r>
              <w:rPr>
                <w:rFonts w:ascii="Times New Roman" w:hAnsi="Times New Roman" w:eastAsia="仿宋_GB2312"/>
                <w:sz w:val="24"/>
              </w:rPr>
              <w:t>xx辆柴油/电混合动力客车</w:t>
            </w:r>
          </w:p>
        </w:tc>
        <w:tc>
          <w:tcPr>
            <w:tcW w:w="917" w:type="pct"/>
            <w:vAlign w:val="center"/>
          </w:tcPr>
          <w:p w14:paraId="74E4C01E">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14:paraId="64EE3F7E">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14:paraId="0F5B27C1">
            <w:pPr>
              <w:jc w:val="center"/>
              <w:rPr>
                <w:rFonts w:ascii="Times New Roman" w:hAnsi="Times New Roman" w:eastAsia="仿宋_GB2312"/>
                <w:sz w:val="24"/>
              </w:rPr>
            </w:pPr>
            <w:r>
              <w:rPr>
                <w:rFonts w:ascii="Times New Roman" w:hAnsi="Times New Roman" w:eastAsia="仿宋_GB2312"/>
                <w:sz w:val="24"/>
              </w:rPr>
              <w:t>/</w:t>
            </w:r>
          </w:p>
        </w:tc>
      </w:tr>
      <w:tr w14:paraId="4277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14:paraId="79093D00">
            <w:pPr>
              <w:jc w:val="center"/>
              <w:rPr>
                <w:rFonts w:ascii="Times New Roman" w:hAnsi="Times New Roman" w:eastAsia="仿宋_GB2312"/>
                <w:color w:val="000000"/>
                <w:sz w:val="24"/>
              </w:rPr>
            </w:pPr>
          </w:p>
        </w:tc>
        <w:tc>
          <w:tcPr>
            <w:tcW w:w="468" w:type="pct"/>
            <w:vAlign w:val="center"/>
          </w:tcPr>
          <w:p w14:paraId="69140C56">
            <w:pPr>
              <w:jc w:val="center"/>
              <w:rPr>
                <w:rFonts w:ascii="Times New Roman" w:hAnsi="Times New Roman" w:eastAsia="仿宋_GB2312"/>
                <w:sz w:val="24"/>
              </w:rPr>
            </w:pPr>
          </w:p>
        </w:tc>
        <w:tc>
          <w:tcPr>
            <w:tcW w:w="1225" w:type="pct"/>
            <w:vAlign w:val="center"/>
          </w:tcPr>
          <w:p w14:paraId="00272B9A">
            <w:pPr>
              <w:jc w:val="center"/>
              <w:rPr>
                <w:rFonts w:ascii="Times New Roman" w:hAnsi="Times New Roman" w:eastAsia="仿宋_GB2312"/>
                <w:sz w:val="24"/>
              </w:rPr>
            </w:pPr>
          </w:p>
        </w:tc>
        <w:tc>
          <w:tcPr>
            <w:tcW w:w="917" w:type="pct"/>
            <w:vAlign w:val="center"/>
          </w:tcPr>
          <w:p w14:paraId="0477CA02">
            <w:pPr>
              <w:jc w:val="center"/>
              <w:rPr>
                <w:rFonts w:ascii="Times New Roman" w:hAnsi="Times New Roman" w:eastAsia="仿宋_GB2312"/>
                <w:sz w:val="24"/>
              </w:rPr>
            </w:pPr>
          </w:p>
        </w:tc>
        <w:tc>
          <w:tcPr>
            <w:tcW w:w="917" w:type="pct"/>
            <w:vAlign w:val="center"/>
          </w:tcPr>
          <w:p w14:paraId="39BE6730">
            <w:pPr>
              <w:jc w:val="center"/>
              <w:rPr>
                <w:rFonts w:ascii="Times New Roman" w:hAnsi="Times New Roman" w:eastAsia="仿宋_GB2312"/>
                <w:sz w:val="24"/>
              </w:rPr>
            </w:pPr>
          </w:p>
        </w:tc>
        <w:tc>
          <w:tcPr>
            <w:tcW w:w="918" w:type="pct"/>
            <w:vAlign w:val="center"/>
          </w:tcPr>
          <w:p w14:paraId="50339357">
            <w:pPr>
              <w:jc w:val="center"/>
              <w:rPr>
                <w:rFonts w:ascii="Times New Roman" w:hAnsi="Times New Roman" w:eastAsia="仿宋_GB2312"/>
                <w:sz w:val="24"/>
              </w:rPr>
            </w:pPr>
          </w:p>
        </w:tc>
      </w:tr>
    </w:tbl>
    <w:p w14:paraId="609141E8">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14:paraId="705D3267">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由于排放单位食堂液化石油气消耗量较低，排放单位液化石油气消耗量依据消耗罐数进行估计，因此未能核查液化石油气计量设备信息。</w:t>
      </w:r>
    </w:p>
    <w:p w14:paraId="6B86DE20">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由于电表为电力公司管控，因此未能核查电表的检定信息。</w:t>
      </w:r>
    </w:p>
    <w:p w14:paraId="6BC06D60">
      <w:pPr>
        <w:ind w:firstLine="465"/>
        <w:rPr>
          <w:rFonts w:ascii="Times New Roman" w:hAnsi="Times New Roman" w:eastAsia="仿宋"/>
          <w:sz w:val="24"/>
        </w:rPr>
      </w:pPr>
    </w:p>
    <w:p w14:paraId="3F6BC71D">
      <w:pPr>
        <w:pStyle w:val="4"/>
        <w:rPr>
          <w:rFonts w:ascii="Times New Roman" w:hAnsi="Times New Roman"/>
        </w:rPr>
        <w:sectPr>
          <w:pgSz w:w="11906" w:h="16838"/>
          <w:pgMar w:top="1440" w:right="1800" w:bottom="1440" w:left="1800" w:header="851" w:footer="992" w:gutter="0"/>
          <w:cols w:space="720" w:num="1"/>
          <w:docGrid w:type="lines" w:linePitch="312" w:charSpace="0"/>
        </w:sectPr>
      </w:pPr>
    </w:p>
    <w:p w14:paraId="22ABD2A7">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通信</w:t>
      </w:r>
    </w:p>
    <w:p w14:paraId="1E3C72F6">
      <w:pPr>
        <w:spacing w:after="0" w:line="560" w:lineRule="exact"/>
        <w:rPr>
          <w:rFonts w:eastAsia="仿宋_GB2312"/>
          <w:sz w:val="32"/>
          <w:szCs w:val="32"/>
        </w:rPr>
      </w:pPr>
      <w:r>
        <w:rPr>
          <w:rFonts w:eastAsia="仿宋_GB2312"/>
          <w:sz w:val="32"/>
          <w:szCs w:val="32"/>
        </w:rPr>
        <w:t>核查结论</w:t>
      </w:r>
    </w:p>
    <w:p w14:paraId="44E1057F">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二氧化碳排放的核查工作。核查范围包括排放单位所有在北京市辖区内的固定设施导致的二氧化碳直接排放和二氧化碳间接排放。</w:t>
      </w:r>
    </w:p>
    <w:p w14:paraId="0EDF8021">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14:paraId="19049C4E">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14:paraId="53D91048">
      <w:pPr>
        <w:spacing w:after="0" w:line="560" w:lineRule="exact"/>
        <w:ind w:firstLine="640" w:firstLineChars="200"/>
        <w:jc w:val="both"/>
        <w:rPr>
          <w:rFonts w:eastAsia="仿宋_GB2312"/>
          <w:sz w:val="32"/>
          <w:szCs w:val="32"/>
        </w:rPr>
      </w:pPr>
      <w:r>
        <w:rPr>
          <w:rFonts w:eastAsia="仿宋_GB2312"/>
          <w:sz w:val="32"/>
          <w:szCs w:val="32"/>
        </w:rPr>
        <w:t>核查组确认所有不符合已全部关闭，排放单位的核算与报告均符合方法学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14:paraId="4B67941D">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14:paraId="7746C495">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经核查的直接和间接排放量与最终排放报告中数据一致。经核查的直接排放量为10616.72吨，间接排放量为1192094.66吨，总排放量为1202711.39吨。</w:t>
      </w:r>
    </w:p>
    <w:p w14:paraId="005BCAD0">
      <w:pPr>
        <w:spacing w:after="0" w:line="560" w:lineRule="exact"/>
        <w:ind w:firstLine="640" w:firstLineChars="200"/>
        <w:jc w:val="both"/>
        <w:rPr>
          <w:rFonts w:eastAsia="仿宋_GB2312"/>
          <w:sz w:val="32"/>
          <w:szCs w:val="32"/>
        </w:rPr>
      </w:pPr>
      <w:r>
        <w:rPr>
          <w:rFonts w:eastAsia="仿宋_GB2312"/>
          <w:sz w:val="32"/>
          <w:szCs w:val="32"/>
        </w:rPr>
        <w:t>经核查的电信业务总量与最终排放报告中数据一致。经核查的电信业务总量为xxxxx万元</w:t>
      </w:r>
      <w:r>
        <w:rPr>
          <w:rFonts w:hint="eastAsia" w:eastAsia="仿宋_GB2312"/>
          <w:sz w:val="32"/>
          <w:szCs w:val="32"/>
        </w:rPr>
        <w:t>，其中移动业务总量为xx万元（移动语音业务总量xx万元、移动数据与互联网业务总量xx万元、移动增值及其他业务总量xx万元），固网业务总量xx万元。排放单位含xx个大型数据中心，数据中心总用电量为xxMWh，IT设备用电量为xxMWh。</w:t>
      </w:r>
    </w:p>
    <w:p w14:paraId="3ECAD6D0">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14:paraId="08FF3591">
      <w:pPr>
        <w:spacing w:after="0" w:line="560" w:lineRule="exact"/>
        <w:ind w:firstLine="640" w:firstLineChars="200"/>
        <w:jc w:val="both"/>
        <w:rPr>
          <w:rFonts w:eastAsia="仿宋_GB2312"/>
          <w:sz w:val="32"/>
          <w:szCs w:val="32"/>
        </w:rPr>
      </w:pPr>
      <w:r>
        <w:rPr>
          <w:rFonts w:eastAsia="仿宋_GB2312"/>
          <w:sz w:val="32"/>
          <w:szCs w:val="32"/>
        </w:rPr>
        <w:t>本年度排放量与上一年度排放量相比增加28021.34吨/2.3</w:t>
      </w:r>
      <w:r>
        <w:rPr>
          <w:rFonts w:hint="eastAsia" w:eastAsia="仿宋_GB2312"/>
          <w:sz w:val="32"/>
          <w:szCs w:val="32"/>
        </w:rPr>
        <w:t>9</w:t>
      </w:r>
      <w:r>
        <w:rPr>
          <w:rFonts w:eastAsia="仿宋_GB2312"/>
          <w:sz w:val="32"/>
          <w:szCs w:val="32"/>
        </w:rPr>
        <w:t>%，其中直接排放相比上一年度减少335.</w:t>
      </w:r>
      <w:r>
        <w:rPr>
          <w:rFonts w:hint="eastAsia" w:eastAsia="仿宋_GB2312"/>
          <w:sz w:val="32"/>
          <w:szCs w:val="32"/>
        </w:rPr>
        <w:t>70</w:t>
      </w:r>
      <w:r>
        <w:rPr>
          <w:rFonts w:eastAsia="仿宋_GB2312"/>
          <w:sz w:val="32"/>
          <w:szCs w:val="32"/>
        </w:rPr>
        <w:t>吨/3.07%，间接排放相比上一年度增加28357.0</w:t>
      </w:r>
      <w:r>
        <w:rPr>
          <w:rFonts w:hint="eastAsia" w:eastAsia="仿宋_GB2312"/>
          <w:sz w:val="32"/>
          <w:szCs w:val="32"/>
        </w:rPr>
        <w:t>2</w:t>
      </w:r>
      <w:r>
        <w:rPr>
          <w:rFonts w:eastAsia="仿宋_GB2312"/>
          <w:sz w:val="32"/>
          <w:szCs w:val="32"/>
        </w:rPr>
        <w:t>吨/2.44%，</w:t>
      </w:r>
      <w:r>
        <w:rPr>
          <w:rFonts w:hint="eastAsia" w:eastAsia="仿宋_GB2312"/>
          <w:sz w:val="32"/>
          <w:szCs w:val="32"/>
        </w:rPr>
        <w:t>由于4G的普及、大王卡等业务营销，导致移动数据与互联网业务总量上涨，所需要的设施增加，导致排放量上升。</w:t>
      </w:r>
    </w:p>
    <w:p w14:paraId="11D765BB">
      <w:pPr>
        <w:spacing w:after="0" w:line="560" w:lineRule="exact"/>
        <w:ind w:firstLine="640" w:firstLineChars="200"/>
        <w:jc w:val="both"/>
        <w:rPr>
          <w:rFonts w:eastAsia="仿宋_GB2312"/>
          <w:sz w:val="32"/>
          <w:szCs w:val="32"/>
        </w:rPr>
      </w:pPr>
      <w:r>
        <w:rPr>
          <w:rFonts w:eastAsia="仿宋_GB2312"/>
          <w:sz w:val="32"/>
          <w:szCs w:val="32"/>
        </w:rPr>
        <w:t>本年度排放量与历史基准年度相比，增加了28021.34吨，增加比例为</w:t>
      </w:r>
      <w:r>
        <w:rPr>
          <w:rFonts w:hint="eastAsia" w:eastAsia="仿宋_GB2312"/>
          <w:sz w:val="32"/>
          <w:szCs w:val="32"/>
        </w:rPr>
        <w:t>2.39</w:t>
      </w:r>
      <w:r>
        <w:rPr>
          <w:rFonts w:eastAsia="仿宋_GB2312"/>
          <w:sz w:val="32"/>
          <w:szCs w:val="32"/>
        </w:rPr>
        <w:t>%</w:t>
      </w:r>
      <w:r>
        <w:rPr>
          <w:rFonts w:hint="eastAsia" w:eastAsia="仿宋_GB2312"/>
          <w:sz w:val="32"/>
          <w:szCs w:val="32"/>
        </w:rPr>
        <w:t>，用电设施增加导致排放量增加</w:t>
      </w:r>
      <w:r>
        <w:rPr>
          <w:rFonts w:eastAsia="仿宋_GB2312"/>
          <w:sz w:val="32"/>
          <w:szCs w:val="32"/>
        </w:rPr>
        <w:t>。</w:t>
      </w:r>
    </w:p>
    <w:p w14:paraId="662F2792">
      <w:pPr>
        <w:spacing w:after="0" w:line="560" w:lineRule="exact"/>
        <w:jc w:val="center"/>
        <w:rPr>
          <w:rFonts w:eastAsia="仿宋_GB2312"/>
          <w:sz w:val="32"/>
          <w:szCs w:val="32"/>
        </w:rPr>
      </w:pPr>
      <w:r>
        <w:rPr>
          <w:rFonts w:eastAsia="仿宋_GB2312"/>
          <w:sz w:val="24"/>
        </w:rPr>
        <w:t>表XX  排放量汇总表</w:t>
      </w:r>
    </w:p>
    <w:tbl>
      <w:tblPr>
        <w:tblStyle w:val="35"/>
        <w:tblW w:w="5000" w:type="pct"/>
        <w:tblInd w:w="0" w:type="dxa"/>
        <w:tblLayout w:type="autofit"/>
        <w:tblCellMar>
          <w:top w:w="0" w:type="dxa"/>
          <w:left w:w="108" w:type="dxa"/>
          <w:bottom w:w="0" w:type="dxa"/>
          <w:right w:w="108" w:type="dxa"/>
        </w:tblCellMar>
      </w:tblPr>
      <w:tblGrid>
        <w:gridCol w:w="1348"/>
        <w:gridCol w:w="2315"/>
        <w:gridCol w:w="2332"/>
        <w:gridCol w:w="2527"/>
      </w:tblGrid>
      <w:tr w14:paraId="63E90724">
        <w:tblPrEx>
          <w:tblCellMar>
            <w:top w:w="0" w:type="dxa"/>
            <w:left w:w="108" w:type="dxa"/>
            <w:bottom w:w="0" w:type="dxa"/>
            <w:right w:w="108" w:type="dxa"/>
          </w:tblCellMar>
        </w:tblPrEx>
        <w:trPr>
          <w:trHeight w:val="718" w:hRule="atLeast"/>
        </w:trPr>
        <w:tc>
          <w:tcPr>
            <w:tcW w:w="791" w:type="pct"/>
            <w:tcBorders>
              <w:top w:val="single" w:color="auto" w:sz="4" w:space="0"/>
              <w:left w:val="single" w:color="auto" w:sz="4" w:space="0"/>
              <w:bottom w:val="single" w:color="auto" w:sz="4" w:space="0"/>
              <w:right w:val="single" w:color="auto" w:sz="4" w:space="0"/>
            </w:tcBorders>
            <w:vAlign w:val="center"/>
          </w:tcPr>
          <w:p w14:paraId="38C5F43D">
            <w:pPr>
              <w:jc w:val="center"/>
              <w:rPr>
                <w:rFonts w:eastAsia="仿宋_GB2312"/>
                <w:color w:val="000000"/>
                <w:sz w:val="24"/>
              </w:rPr>
            </w:pPr>
            <w:r>
              <w:rPr>
                <w:rFonts w:eastAsia="仿宋_GB2312"/>
                <w:color w:val="000000"/>
                <w:sz w:val="24"/>
              </w:rPr>
              <w:t>年度</w:t>
            </w:r>
          </w:p>
        </w:tc>
        <w:tc>
          <w:tcPr>
            <w:tcW w:w="1358" w:type="pct"/>
            <w:tcBorders>
              <w:top w:val="single" w:color="auto" w:sz="4" w:space="0"/>
              <w:left w:val="nil"/>
              <w:bottom w:val="single" w:color="auto" w:sz="4" w:space="0"/>
              <w:right w:val="single" w:color="auto" w:sz="4" w:space="0"/>
            </w:tcBorders>
            <w:vAlign w:val="center"/>
          </w:tcPr>
          <w:p w14:paraId="559F2EC6">
            <w:pPr>
              <w:jc w:val="center"/>
              <w:rPr>
                <w:rFonts w:eastAsia="仿宋_GB2312"/>
                <w:color w:val="000000"/>
                <w:sz w:val="24"/>
              </w:rPr>
            </w:pPr>
            <w:r>
              <w:rPr>
                <w:rFonts w:eastAsia="仿宋_GB2312"/>
                <w:color w:val="000000"/>
                <w:sz w:val="24"/>
              </w:rPr>
              <w:t>直接排放量（tCO2）</w:t>
            </w:r>
          </w:p>
        </w:tc>
        <w:tc>
          <w:tcPr>
            <w:tcW w:w="1368" w:type="pct"/>
            <w:tcBorders>
              <w:top w:val="single" w:color="auto" w:sz="4" w:space="0"/>
              <w:left w:val="nil"/>
              <w:bottom w:val="single" w:color="auto" w:sz="4" w:space="0"/>
              <w:right w:val="single" w:color="auto" w:sz="4" w:space="0"/>
            </w:tcBorders>
            <w:vAlign w:val="center"/>
          </w:tcPr>
          <w:p w14:paraId="6250AF3E">
            <w:pPr>
              <w:jc w:val="center"/>
              <w:rPr>
                <w:rFonts w:eastAsia="仿宋_GB2312"/>
                <w:color w:val="000000"/>
                <w:sz w:val="24"/>
              </w:rPr>
            </w:pPr>
            <w:r>
              <w:rPr>
                <w:rFonts w:eastAsia="仿宋_GB2312"/>
                <w:color w:val="000000"/>
                <w:sz w:val="24"/>
              </w:rPr>
              <w:t>间接排放量（tCO2）</w:t>
            </w:r>
          </w:p>
        </w:tc>
        <w:tc>
          <w:tcPr>
            <w:tcW w:w="1482" w:type="pct"/>
            <w:tcBorders>
              <w:top w:val="single" w:color="auto" w:sz="4" w:space="0"/>
              <w:left w:val="nil"/>
              <w:bottom w:val="single" w:color="auto" w:sz="4" w:space="0"/>
              <w:right w:val="single" w:color="auto" w:sz="4" w:space="0"/>
            </w:tcBorders>
            <w:vAlign w:val="center"/>
          </w:tcPr>
          <w:p w14:paraId="5A58B6FA">
            <w:pPr>
              <w:jc w:val="center"/>
              <w:rPr>
                <w:rFonts w:eastAsia="仿宋_GB2312"/>
                <w:color w:val="000000"/>
                <w:sz w:val="24"/>
              </w:rPr>
            </w:pPr>
            <w:r>
              <w:rPr>
                <w:rFonts w:eastAsia="仿宋_GB2312"/>
                <w:color w:val="000000"/>
                <w:sz w:val="24"/>
              </w:rPr>
              <w:t>排放总量（tCO2）</w:t>
            </w:r>
          </w:p>
        </w:tc>
      </w:tr>
      <w:tr w14:paraId="70D06B10">
        <w:tblPrEx>
          <w:tblCellMar>
            <w:top w:w="0" w:type="dxa"/>
            <w:left w:w="108" w:type="dxa"/>
            <w:bottom w:w="0" w:type="dxa"/>
            <w:right w:w="108" w:type="dxa"/>
          </w:tblCellMar>
        </w:tblPrEx>
        <w:trPr>
          <w:trHeight w:val="403" w:hRule="atLeast"/>
        </w:trPr>
        <w:tc>
          <w:tcPr>
            <w:tcW w:w="791" w:type="pct"/>
            <w:tcBorders>
              <w:top w:val="nil"/>
              <w:left w:val="single" w:color="auto" w:sz="4" w:space="0"/>
              <w:bottom w:val="single" w:color="auto" w:sz="4" w:space="0"/>
              <w:right w:val="single" w:color="auto" w:sz="4" w:space="0"/>
            </w:tcBorders>
            <w:noWrap/>
            <w:vAlign w:val="center"/>
          </w:tcPr>
          <w:p w14:paraId="0EF23222">
            <w:pPr>
              <w:jc w:val="center"/>
              <w:rPr>
                <w:rFonts w:eastAsia="仿宋_GB2312"/>
                <w:color w:val="000000"/>
                <w:sz w:val="24"/>
              </w:rPr>
            </w:pPr>
            <w:r>
              <w:rPr>
                <w:rFonts w:eastAsia="仿宋_GB2312"/>
                <w:color w:val="000000"/>
                <w:sz w:val="24"/>
              </w:rPr>
              <w:t>2016</w:t>
            </w:r>
          </w:p>
        </w:tc>
        <w:tc>
          <w:tcPr>
            <w:tcW w:w="1358" w:type="pct"/>
            <w:tcBorders>
              <w:top w:val="nil"/>
              <w:left w:val="nil"/>
              <w:bottom w:val="single" w:color="auto" w:sz="4" w:space="0"/>
              <w:right w:val="single" w:color="auto" w:sz="4" w:space="0"/>
            </w:tcBorders>
            <w:noWrap/>
            <w:vAlign w:val="center"/>
          </w:tcPr>
          <w:p w14:paraId="2FD4F6BC">
            <w:pPr>
              <w:jc w:val="center"/>
              <w:rPr>
                <w:rFonts w:ascii="Times New Roman" w:hAnsi="Times New Roman"/>
              </w:rPr>
            </w:pPr>
            <w:r>
              <w:rPr>
                <w:rFonts w:ascii="Times New Roman" w:hAnsi="Times New Roman"/>
              </w:rPr>
              <w:t>8100.00</w:t>
            </w:r>
          </w:p>
        </w:tc>
        <w:tc>
          <w:tcPr>
            <w:tcW w:w="1368" w:type="pct"/>
            <w:tcBorders>
              <w:top w:val="nil"/>
              <w:left w:val="nil"/>
              <w:bottom w:val="single" w:color="auto" w:sz="4" w:space="0"/>
              <w:right w:val="single" w:color="auto" w:sz="4" w:space="0"/>
            </w:tcBorders>
            <w:noWrap/>
            <w:vAlign w:val="center"/>
          </w:tcPr>
          <w:p w14:paraId="7A2085BB">
            <w:pPr>
              <w:jc w:val="center"/>
              <w:rPr>
                <w:rFonts w:ascii="Times New Roman" w:hAnsi="Times New Roman"/>
              </w:rPr>
            </w:pPr>
            <w:r>
              <w:rPr>
                <w:rFonts w:ascii="Times New Roman" w:hAnsi="Times New Roman"/>
              </w:rPr>
              <w:t>1145500.00</w:t>
            </w:r>
          </w:p>
        </w:tc>
        <w:tc>
          <w:tcPr>
            <w:tcW w:w="1482" w:type="pct"/>
            <w:tcBorders>
              <w:top w:val="nil"/>
              <w:left w:val="nil"/>
              <w:bottom w:val="single" w:color="auto" w:sz="4" w:space="0"/>
              <w:right w:val="single" w:color="auto" w:sz="4" w:space="0"/>
            </w:tcBorders>
            <w:vAlign w:val="center"/>
          </w:tcPr>
          <w:p w14:paraId="01E97049">
            <w:pPr>
              <w:jc w:val="center"/>
              <w:rPr>
                <w:rFonts w:ascii="Times New Roman" w:hAnsi="Times New Roman"/>
              </w:rPr>
            </w:pPr>
            <w:r>
              <w:rPr>
                <w:rFonts w:ascii="Times New Roman" w:hAnsi="Times New Roman"/>
              </w:rPr>
              <w:t>1153600.00</w:t>
            </w:r>
          </w:p>
        </w:tc>
      </w:tr>
      <w:tr w14:paraId="64EC8568">
        <w:tblPrEx>
          <w:tblCellMar>
            <w:top w:w="0" w:type="dxa"/>
            <w:left w:w="108" w:type="dxa"/>
            <w:bottom w:w="0" w:type="dxa"/>
            <w:right w:w="108" w:type="dxa"/>
          </w:tblCellMar>
        </w:tblPrEx>
        <w:trPr>
          <w:trHeight w:val="347" w:hRule="atLeast"/>
        </w:trPr>
        <w:tc>
          <w:tcPr>
            <w:tcW w:w="791" w:type="pct"/>
            <w:tcBorders>
              <w:top w:val="nil"/>
              <w:left w:val="single" w:color="auto" w:sz="4" w:space="0"/>
              <w:bottom w:val="single" w:color="auto" w:sz="4" w:space="0"/>
              <w:right w:val="single" w:color="auto" w:sz="4" w:space="0"/>
            </w:tcBorders>
            <w:noWrap/>
            <w:vAlign w:val="center"/>
          </w:tcPr>
          <w:p w14:paraId="07E82486">
            <w:pPr>
              <w:jc w:val="center"/>
              <w:rPr>
                <w:rFonts w:eastAsia="仿宋_GB2312"/>
                <w:color w:val="000000"/>
                <w:sz w:val="24"/>
              </w:rPr>
            </w:pPr>
            <w:r>
              <w:rPr>
                <w:rFonts w:eastAsia="仿宋_GB2312"/>
                <w:color w:val="000000"/>
                <w:sz w:val="24"/>
              </w:rPr>
              <w:t>2017</w:t>
            </w:r>
          </w:p>
        </w:tc>
        <w:tc>
          <w:tcPr>
            <w:tcW w:w="1358" w:type="pct"/>
            <w:tcBorders>
              <w:top w:val="nil"/>
              <w:left w:val="nil"/>
              <w:bottom w:val="single" w:color="auto" w:sz="4" w:space="0"/>
              <w:right w:val="single" w:color="auto" w:sz="4" w:space="0"/>
            </w:tcBorders>
            <w:noWrap/>
            <w:vAlign w:val="center"/>
          </w:tcPr>
          <w:p w14:paraId="00328E3C">
            <w:pPr>
              <w:jc w:val="center"/>
              <w:rPr>
                <w:rFonts w:ascii="Times New Roman" w:hAnsi="Times New Roman"/>
              </w:rPr>
            </w:pPr>
            <w:r>
              <w:rPr>
                <w:rFonts w:ascii="Times New Roman" w:hAnsi="Times New Roman"/>
              </w:rPr>
              <w:t>10125.00</w:t>
            </w:r>
          </w:p>
        </w:tc>
        <w:tc>
          <w:tcPr>
            <w:tcW w:w="1368" w:type="pct"/>
            <w:tcBorders>
              <w:top w:val="nil"/>
              <w:left w:val="nil"/>
              <w:bottom w:val="single" w:color="auto" w:sz="4" w:space="0"/>
              <w:right w:val="single" w:color="auto" w:sz="4" w:space="0"/>
            </w:tcBorders>
            <w:noWrap/>
            <w:vAlign w:val="center"/>
          </w:tcPr>
          <w:p w14:paraId="653D313F">
            <w:pPr>
              <w:jc w:val="center"/>
              <w:rPr>
                <w:rFonts w:ascii="Times New Roman" w:hAnsi="Times New Roman"/>
              </w:rPr>
            </w:pPr>
            <w:r>
              <w:rPr>
                <w:rFonts w:ascii="Times New Roman" w:hAnsi="Times New Roman"/>
              </w:rPr>
              <w:t>1152750.00</w:t>
            </w:r>
          </w:p>
        </w:tc>
        <w:tc>
          <w:tcPr>
            <w:tcW w:w="1482" w:type="pct"/>
            <w:tcBorders>
              <w:top w:val="nil"/>
              <w:left w:val="nil"/>
              <w:bottom w:val="single" w:color="auto" w:sz="4" w:space="0"/>
              <w:right w:val="single" w:color="auto" w:sz="4" w:space="0"/>
            </w:tcBorders>
            <w:vAlign w:val="center"/>
          </w:tcPr>
          <w:p w14:paraId="12049059">
            <w:pPr>
              <w:jc w:val="center"/>
              <w:rPr>
                <w:rFonts w:ascii="Times New Roman" w:hAnsi="Times New Roman"/>
              </w:rPr>
            </w:pPr>
            <w:r>
              <w:rPr>
                <w:rFonts w:ascii="Times New Roman" w:hAnsi="Times New Roman"/>
              </w:rPr>
              <w:t>1162875.00</w:t>
            </w:r>
          </w:p>
        </w:tc>
      </w:tr>
      <w:tr w14:paraId="74602CC7">
        <w:tblPrEx>
          <w:tblCellMar>
            <w:top w:w="0" w:type="dxa"/>
            <w:left w:w="108" w:type="dxa"/>
            <w:bottom w:w="0" w:type="dxa"/>
            <w:right w:w="108" w:type="dxa"/>
          </w:tblCellMar>
        </w:tblPrEx>
        <w:trPr>
          <w:trHeight w:val="347" w:hRule="atLeast"/>
        </w:trPr>
        <w:tc>
          <w:tcPr>
            <w:tcW w:w="791" w:type="pct"/>
            <w:tcBorders>
              <w:top w:val="nil"/>
              <w:left w:val="single" w:color="auto" w:sz="4" w:space="0"/>
              <w:bottom w:val="single" w:color="auto" w:sz="4" w:space="0"/>
              <w:right w:val="single" w:color="auto" w:sz="4" w:space="0"/>
            </w:tcBorders>
            <w:noWrap/>
            <w:vAlign w:val="center"/>
          </w:tcPr>
          <w:p w14:paraId="31ECDD78">
            <w:pPr>
              <w:jc w:val="center"/>
              <w:rPr>
                <w:rFonts w:eastAsia="仿宋_GB2312"/>
                <w:color w:val="000000"/>
                <w:sz w:val="24"/>
              </w:rPr>
            </w:pPr>
            <w:r>
              <w:rPr>
                <w:rFonts w:eastAsia="仿宋_GB2312"/>
                <w:color w:val="000000"/>
                <w:sz w:val="24"/>
              </w:rPr>
              <w:t>2018</w:t>
            </w:r>
          </w:p>
        </w:tc>
        <w:tc>
          <w:tcPr>
            <w:tcW w:w="1358" w:type="pct"/>
            <w:tcBorders>
              <w:top w:val="nil"/>
              <w:left w:val="nil"/>
              <w:bottom w:val="single" w:color="auto" w:sz="4" w:space="0"/>
              <w:right w:val="single" w:color="auto" w:sz="4" w:space="0"/>
            </w:tcBorders>
            <w:noWrap/>
            <w:vAlign w:val="center"/>
          </w:tcPr>
          <w:p w14:paraId="1453F3AA">
            <w:pPr>
              <w:jc w:val="center"/>
              <w:rPr>
                <w:rFonts w:ascii="Times New Roman" w:hAnsi="Times New Roman"/>
              </w:rPr>
            </w:pPr>
            <w:r>
              <w:rPr>
                <w:rFonts w:ascii="Times New Roman" w:hAnsi="Times New Roman"/>
              </w:rPr>
              <w:t>10952.42</w:t>
            </w:r>
          </w:p>
        </w:tc>
        <w:tc>
          <w:tcPr>
            <w:tcW w:w="1368" w:type="pct"/>
            <w:tcBorders>
              <w:top w:val="nil"/>
              <w:left w:val="nil"/>
              <w:bottom w:val="single" w:color="auto" w:sz="4" w:space="0"/>
              <w:right w:val="single" w:color="auto" w:sz="4" w:space="0"/>
            </w:tcBorders>
            <w:noWrap/>
            <w:vAlign w:val="center"/>
          </w:tcPr>
          <w:p w14:paraId="41E6DC09">
            <w:pPr>
              <w:jc w:val="center"/>
              <w:rPr>
                <w:rFonts w:ascii="Times New Roman" w:hAnsi="Times New Roman"/>
              </w:rPr>
            </w:pPr>
            <w:r>
              <w:rPr>
                <w:rFonts w:ascii="Times New Roman" w:hAnsi="Times New Roman"/>
              </w:rPr>
              <w:t>1163737.64</w:t>
            </w:r>
          </w:p>
        </w:tc>
        <w:tc>
          <w:tcPr>
            <w:tcW w:w="1482" w:type="pct"/>
            <w:tcBorders>
              <w:top w:val="nil"/>
              <w:left w:val="nil"/>
              <w:bottom w:val="single" w:color="auto" w:sz="4" w:space="0"/>
              <w:right w:val="single" w:color="auto" w:sz="4" w:space="0"/>
            </w:tcBorders>
            <w:vAlign w:val="center"/>
          </w:tcPr>
          <w:p w14:paraId="5C7C25B1">
            <w:pPr>
              <w:jc w:val="center"/>
              <w:rPr>
                <w:rFonts w:ascii="Times New Roman" w:hAnsi="Times New Roman"/>
              </w:rPr>
            </w:pPr>
            <w:r>
              <w:rPr>
                <w:rFonts w:ascii="Times New Roman" w:hAnsi="Times New Roman"/>
              </w:rPr>
              <w:t>1174690.05</w:t>
            </w:r>
          </w:p>
        </w:tc>
      </w:tr>
      <w:tr w14:paraId="3A3DBB8B">
        <w:tblPrEx>
          <w:tblCellMar>
            <w:top w:w="0" w:type="dxa"/>
            <w:left w:w="108" w:type="dxa"/>
            <w:bottom w:w="0" w:type="dxa"/>
            <w:right w:w="108" w:type="dxa"/>
          </w:tblCellMar>
        </w:tblPrEx>
        <w:trPr>
          <w:trHeight w:val="347" w:hRule="atLeast"/>
        </w:trPr>
        <w:tc>
          <w:tcPr>
            <w:tcW w:w="791" w:type="pct"/>
            <w:tcBorders>
              <w:top w:val="single" w:color="auto" w:sz="4" w:space="0"/>
              <w:left w:val="single" w:color="auto" w:sz="4" w:space="0"/>
              <w:bottom w:val="single" w:color="auto" w:sz="4" w:space="0"/>
              <w:right w:val="single" w:color="auto" w:sz="4" w:space="0"/>
            </w:tcBorders>
            <w:noWrap/>
            <w:vAlign w:val="center"/>
          </w:tcPr>
          <w:p w14:paraId="274A0C26">
            <w:pPr>
              <w:jc w:val="center"/>
              <w:rPr>
                <w:rFonts w:eastAsia="仿宋_GB2312"/>
                <w:color w:val="000000"/>
                <w:sz w:val="24"/>
              </w:rPr>
            </w:pPr>
            <w:bookmarkStart w:id="19" w:name="_Hlk34842921"/>
            <w:r>
              <w:rPr>
                <w:rFonts w:eastAsia="仿宋_GB2312"/>
                <w:color w:val="000000"/>
                <w:sz w:val="24"/>
              </w:rPr>
              <w:t>2019</w:t>
            </w:r>
          </w:p>
        </w:tc>
        <w:tc>
          <w:tcPr>
            <w:tcW w:w="1358" w:type="pct"/>
            <w:tcBorders>
              <w:top w:val="single" w:color="auto" w:sz="4" w:space="0"/>
              <w:left w:val="nil"/>
              <w:bottom w:val="single" w:color="auto" w:sz="4" w:space="0"/>
              <w:right w:val="single" w:color="auto" w:sz="4" w:space="0"/>
            </w:tcBorders>
            <w:noWrap/>
            <w:vAlign w:val="center"/>
          </w:tcPr>
          <w:p w14:paraId="429A0565">
            <w:pPr>
              <w:jc w:val="center"/>
              <w:rPr>
                <w:rFonts w:ascii="Times New Roman" w:hAnsi="Times New Roman"/>
              </w:rPr>
            </w:pPr>
            <w:r>
              <w:rPr>
                <w:rFonts w:ascii="Times New Roman" w:hAnsi="Times New Roman"/>
              </w:rPr>
              <w:t>10616.72</w:t>
            </w:r>
          </w:p>
        </w:tc>
        <w:tc>
          <w:tcPr>
            <w:tcW w:w="1368" w:type="pct"/>
            <w:tcBorders>
              <w:top w:val="single" w:color="auto" w:sz="4" w:space="0"/>
              <w:left w:val="nil"/>
              <w:bottom w:val="single" w:color="auto" w:sz="4" w:space="0"/>
              <w:right w:val="single" w:color="auto" w:sz="4" w:space="0"/>
            </w:tcBorders>
            <w:noWrap/>
            <w:vAlign w:val="center"/>
          </w:tcPr>
          <w:p w14:paraId="0D6558BD">
            <w:pPr>
              <w:jc w:val="center"/>
              <w:rPr>
                <w:rFonts w:ascii="Times New Roman" w:hAnsi="Times New Roman"/>
              </w:rPr>
            </w:pPr>
            <w:r>
              <w:rPr>
                <w:rFonts w:ascii="Times New Roman" w:hAnsi="Times New Roman"/>
              </w:rPr>
              <w:t>1192094.66</w:t>
            </w:r>
          </w:p>
        </w:tc>
        <w:tc>
          <w:tcPr>
            <w:tcW w:w="1482" w:type="pct"/>
            <w:tcBorders>
              <w:top w:val="single" w:color="auto" w:sz="4" w:space="0"/>
              <w:left w:val="nil"/>
              <w:bottom w:val="single" w:color="auto" w:sz="4" w:space="0"/>
              <w:right w:val="single" w:color="auto" w:sz="4" w:space="0"/>
            </w:tcBorders>
            <w:vAlign w:val="center"/>
          </w:tcPr>
          <w:p w14:paraId="25F412F8">
            <w:pPr>
              <w:jc w:val="center"/>
              <w:rPr>
                <w:rFonts w:ascii="Times New Roman" w:hAnsi="Times New Roman"/>
              </w:rPr>
            </w:pPr>
            <w:r>
              <w:rPr>
                <w:rFonts w:ascii="Times New Roman" w:hAnsi="Times New Roman"/>
              </w:rPr>
              <w:t>1202711.39</w:t>
            </w:r>
          </w:p>
        </w:tc>
      </w:tr>
      <w:tr w14:paraId="39EB2127">
        <w:tblPrEx>
          <w:tblCellMar>
            <w:top w:w="0" w:type="dxa"/>
            <w:left w:w="108" w:type="dxa"/>
            <w:bottom w:w="0" w:type="dxa"/>
            <w:right w:w="108" w:type="dxa"/>
          </w:tblCellMar>
        </w:tblPrEx>
        <w:trPr>
          <w:trHeight w:val="347" w:hRule="atLeast"/>
        </w:trPr>
        <w:tc>
          <w:tcPr>
            <w:tcW w:w="791" w:type="pct"/>
            <w:tcBorders>
              <w:top w:val="single" w:color="auto" w:sz="4" w:space="0"/>
              <w:left w:val="single" w:color="auto" w:sz="4" w:space="0"/>
              <w:bottom w:val="single" w:color="auto" w:sz="4" w:space="0"/>
              <w:right w:val="single" w:color="auto" w:sz="4" w:space="0"/>
            </w:tcBorders>
            <w:noWrap/>
            <w:vAlign w:val="center"/>
          </w:tcPr>
          <w:p w14:paraId="5DD77BD9">
            <w:pPr>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358" w:type="pct"/>
            <w:tcBorders>
              <w:top w:val="single" w:color="auto" w:sz="4" w:space="0"/>
              <w:left w:val="nil"/>
              <w:bottom w:val="single" w:color="auto" w:sz="4" w:space="0"/>
              <w:right w:val="single" w:color="auto" w:sz="4" w:space="0"/>
            </w:tcBorders>
            <w:noWrap/>
            <w:vAlign w:val="center"/>
          </w:tcPr>
          <w:p w14:paraId="02C46D12">
            <w:pPr>
              <w:jc w:val="center"/>
              <w:rPr>
                <w:rFonts w:ascii="Times New Roman" w:hAnsi="Times New Roman"/>
              </w:rPr>
            </w:pPr>
            <w:r>
              <w:rPr>
                <w:rFonts w:ascii="Times New Roman" w:hAnsi="Times New Roman"/>
              </w:rPr>
              <w:t>10616.72</w:t>
            </w:r>
          </w:p>
        </w:tc>
        <w:tc>
          <w:tcPr>
            <w:tcW w:w="1368" w:type="pct"/>
            <w:tcBorders>
              <w:top w:val="single" w:color="auto" w:sz="4" w:space="0"/>
              <w:left w:val="nil"/>
              <w:bottom w:val="single" w:color="auto" w:sz="4" w:space="0"/>
              <w:right w:val="single" w:color="auto" w:sz="4" w:space="0"/>
            </w:tcBorders>
            <w:noWrap/>
            <w:vAlign w:val="center"/>
          </w:tcPr>
          <w:p w14:paraId="6ADDA49A">
            <w:pPr>
              <w:jc w:val="center"/>
              <w:rPr>
                <w:rFonts w:ascii="Times New Roman" w:hAnsi="Times New Roman"/>
              </w:rPr>
            </w:pPr>
            <w:r>
              <w:rPr>
                <w:rFonts w:ascii="Times New Roman" w:hAnsi="Times New Roman"/>
              </w:rPr>
              <w:t>1192094.66</w:t>
            </w:r>
          </w:p>
        </w:tc>
        <w:tc>
          <w:tcPr>
            <w:tcW w:w="1482" w:type="pct"/>
            <w:tcBorders>
              <w:top w:val="single" w:color="auto" w:sz="4" w:space="0"/>
              <w:left w:val="nil"/>
              <w:bottom w:val="single" w:color="auto" w:sz="4" w:space="0"/>
              <w:right w:val="single" w:color="auto" w:sz="4" w:space="0"/>
            </w:tcBorders>
            <w:vAlign w:val="center"/>
          </w:tcPr>
          <w:p w14:paraId="7E9021E6">
            <w:pPr>
              <w:jc w:val="center"/>
              <w:rPr>
                <w:rFonts w:ascii="Times New Roman" w:hAnsi="Times New Roman"/>
              </w:rPr>
            </w:pPr>
            <w:r>
              <w:rPr>
                <w:rFonts w:ascii="Times New Roman" w:hAnsi="Times New Roman"/>
              </w:rPr>
              <w:t>1202711.39</w:t>
            </w:r>
          </w:p>
        </w:tc>
      </w:tr>
      <w:bookmarkEnd w:id="19"/>
    </w:tbl>
    <w:p w14:paraId="12D1B2B6">
      <w:pPr>
        <w:ind w:firstLine="440" w:firstLineChars="200"/>
      </w:pPr>
    </w:p>
    <w:p w14:paraId="4B570AF3">
      <w:pPr>
        <w:jc w:val="center"/>
      </w:pPr>
      <w:r>
        <w:rPr>
          <w:lang w:val="en-US"/>
        </w:rPr>
        <w:drawing>
          <wp:inline distT="0" distB="0" distL="0" distR="0">
            <wp:extent cx="4568825" cy="2740025"/>
            <wp:effectExtent l="0" t="0" r="3175" b="317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DB1D96">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w:t>
      </w:r>
    </w:p>
    <w:p w14:paraId="61074873">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14:paraId="06DC4603">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14:paraId="3507FB12">
      <w:pPr>
        <w:spacing w:after="0" w:line="560" w:lineRule="exact"/>
        <w:ind w:firstLine="640" w:firstLineChars="200"/>
        <w:jc w:val="both"/>
        <w:rPr>
          <w:rFonts w:eastAsia="仿宋_GB2312"/>
          <w:sz w:val="32"/>
          <w:szCs w:val="32"/>
        </w:rPr>
      </w:pPr>
      <w:r>
        <w:rPr>
          <w:rFonts w:hint="eastAsia" w:eastAsia="仿宋_GB2312"/>
          <w:sz w:val="32"/>
          <w:szCs w:val="32"/>
        </w:rPr>
        <w:t>排放单位核算和报告边界为北京市辖区内的两个行政办公楼（xxx、x</w:t>
      </w:r>
      <w:r>
        <w:rPr>
          <w:rFonts w:eastAsia="仿宋_GB2312"/>
          <w:sz w:val="32"/>
          <w:szCs w:val="32"/>
        </w:rPr>
        <w:t>xx</w:t>
      </w:r>
      <w:r>
        <w:rPr>
          <w:rFonts w:hint="eastAsia" w:eastAsia="仿宋_GB2312"/>
          <w:sz w:val="32"/>
          <w:szCs w:val="32"/>
        </w:rPr>
        <w:t>）、xx个通信局所场所（办公楼、机房、基站、营业厅）以及xx个独立的营业厅、xx个基站、xx个大型数据中心。与上一年度相比，增加了2台燃气锅炉，xx个基站；与基准年相比，增加了2台燃气锅炉，xx个基站。</w:t>
      </w:r>
    </w:p>
    <w:p w14:paraId="606D1EFC">
      <w:pPr>
        <w:spacing w:after="0" w:line="560" w:lineRule="exact"/>
        <w:ind w:firstLine="640" w:firstLineChars="200"/>
        <w:rPr>
          <w:rFonts w:eastAsia="仿宋_GB2312"/>
          <w:sz w:val="32"/>
          <w:szCs w:val="32"/>
        </w:rPr>
      </w:pPr>
      <w:r>
        <w:rPr>
          <w:rFonts w:hint="eastAsia" w:eastAsia="仿宋_GB2312"/>
          <w:sz w:val="32"/>
          <w:szCs w:val="32"/>
        </w:rPr>
        <w:t>4.2</w:t>
      </w:r>
      <w:r>
        <w:rPr>
          <w:rFonts w:eastAsia="仿宋_GB2312"/>
          <w:sz w:val="32"/>
          <w:szCs w:val="32"/>
        </w:rPr>
        <w:t>本年度排放设施的变化</w:t>
      </w:r>
    </w:p>
    <w:p w14:paraId="682A0BD6">
      <w:pPr>
        <w:spacing w:after="0" w:line="560" w:lineRule="exact"/>
        <w:ind w:firstLine="465"/>
        <w:rPr>
          <w:rFonts w:eastAsia="仿宋_GB2312"/>
          <w:sz w:val="32"/>
          <w:szCs w:val="32"/>
        </w:rPr>
      </w:pPr>
      <w:r>
        <w:rPr>
          <w:rFonts w:eastAsia="仿宋_GB2312"/>
          <w:sz w:val="32"/>
          <w:szCs w:val="32"/>
        </w:rPr>
        <w:t>排放单位不涉及既有配额调整。</w:t>
      </w:r>
    </w:p>
    <w:p w14:paraId="50A45A68">
      <w:pPr>
        <w:spacing w:after="0" w:line="560" w:lineRule="exact"/>
        <w:ind w:firstLine="465"/>
        <w:jc w:val="both"/>
        <w:rPr>
          <w:rFonts w:eastAsia="仿宋_GB2312"/>
          <w:sz w:val="32"/>
          <w:szCs w:val="32"/>
        </w:rPr>
      </w:pPr>
      <w:r>
        <w:rPr>
          <w:rFonts w:eastAsia="仿宋_GB2312"/>
          <w:sz w:val="32"/>
          <w:szCs w:val="32"/>
        </w:rPr>
        <w:t>排放单位</w:t>
      </w:r>
      <w:r>
        <w:rPr>
          <w:rFonts w:hint="eastAsia" w:eastAsia="仿宋_GB2312"/>
          <w:sz w:val="32"/>
          <w:szCs w:val="32"/>
        </w:rPr>
        <w:t>XXXX年</w:t>
      </w:r>
      <w:r>
        <w:rPr>
          <w:rFonts w:eastAsia="仿宋_GB2312"/>
          <w:sz w:val="32"/>
          <w:szCs w:val="32"/>
        </w:rPr>
        <w:t>期间新增2台燃气锅炉，目前燃气锅炉为xx台。排放单位未对化石燃料设施替代进行统计，新增排放申请也未对化石燃料进行申请。新增设施主要包括通信网络设施及其配套空调、电源、监控等直接用于通信网络运营的设施。其中，直接用于通信网络运行的设施包括提供移动通信服务的室外站(2G/3G/4G) 、室内站(2G/3G/4G) 、室外站5G 和室内站5G；提供数据通信服务的IDC（数据中心）；提供传输、宽带、信息化、互联网等多种通信服务的各种固定网络设施等。上述设施均为新建设施，分布在市区及郊区的各类机房及基站内，不对原有设施替代。新增设施及其排放情况如下表所示：</w:t>
      </w:r>
    </w:p>
    <w:p w14:paraId="59C2C52A">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42"/>
        <w:gridCol w:w="1119"/>
        <w:gridCol w:w="2540"/>
        <w:gridCol w:w="1215"/>
        <w:gridCol w:w="1228"/>
        <w:gridCol w:w="989"/>
      </w:tblGrid>
      <w:tr w14:paraId="141D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trPr>
        <w:tc>
          <w:tcPr>
            <w:tcW w:w="285" w:type="pct"/>
            <w:vAlign w:val="center"/>
          </w:tcPr>
          <w:p w14:paraId="18F7C59D">
            <w:pPr>
              <w:tabs>
                <w:tab w:val="left" w:pos="1701"/>
              </w:tabs>
              <w:rPr>
                <w:rFonts w:eastAsia="仿宋_GB2312"/>
                <w:color w:val="000000"/>
                <w:sz w:val="24"/>
              </w:rPr>
            </w:pPr>
            <w:r>
              <w:rPr>
                <w:rFonts w:eastAsia="仿宋_GB2312"/>
                <w:color w:val="000000"/>
                <w:sz w:val="24"/>
              </w:rPr>
              <w:t>序号</w:t>
            </w:r>
          </w:p>
        </w:tc>
        <w:tc>
          <w:tcPr>
            <w:tcW w:w="553" w:type="pct"/>
            <w:vAlign w:val="center"/>
          </w:tcPr>
          <w:p w14:paraId="6F0A2CD3">
            <w:pPr>
              <w:tabs>
                <w:tab w:val="left" w:pos="1701"/>
              </w:tabs>
              <w:ind w:left="-110" w:leftChars="-50" w:right="-110" w:rightChars="-50"/>
              <w:rPr>
                <w:rFonts w:eastAsia="仿宋_GB2312"/>
                <w:color w:val="000000"/>
                <w:sz w:val="24"/>
              </w:rPr>
            </w:pPr>
            <w:r>
              <w:rPr>
                <w:rFonts w:hint="eastAsia" w:eastAsia="仿宋_GB2312"/>
                <w:color w:val="000000"/>
                <w:sz w:val="24"/>
              </w:rPr>
              <w:t>设施新增年份</w:t>
            </w:r>
          </w:p>
        </w:tc>
        <w:tc>
          <w:tcPr>
            <w:tcW w:w="2148" w:type="pct"/>
            <w:gridSpan w:val="2"/>
            <w:vAlign w:val="center"/>
          </w:tcPr>
          <w:p w14:paraId="42B16558">
            <w:pPr>
              <w:tabs>
                <w:tab w:val="left" w:pos="1701"/>
              </w:tabs>
              <w:ind w:left="-110" w:leftChars="-50" w:right="-110" w:rightChars="-50"/>
              <w:jc w:val="center"/>
              <w:rPr>
                <w:rFonts w:eastAsia="仿宋_GB2312"/>
                <w:color w:val="000000"/>
                <w:sz w:val="24"/>
              </w:rPr>
            </w:pPr>
            <w:r>
              <w:rPr>
                <w:rFonts w:eastAsia="仿宋_GB2312"/>
                <w:color w:val="000000"/>
                <w:sz w:val="24"/>
              </w:rPr>
              <w:t>新增</w:t>
            </w:r>
            <w:r>
              <w:rPr>
                <w:rFonts w:hint="eastAsia" w:eastAsia="仿宋_GB2312"/>
                <w:color w:val="000000"/>
                <w:sz w:val="24"/>
              </w:rPr>
              <w:t>设施</w:t>
            </w:r>
            <w:r>
              <w:rPr>
                <w:rFonts w:eastAsia="仿宋_GB2312"/>
                <w:color w:val="000000"/>
                <w:sz w:val="24"/>
              </w:rPr>
              <w:t>类型</w:t>
            </w:r>
            <w:r>
              <w:rPr>
                <w:rStyle w:val="40"/>
                <w:rFonts w:eastAsia="仿宋_GB2312"/>
                <w:color w:val="000000"/>
                <w:sz w:val="24"/>
              </w:rPr>
              <w:footnoteReference w:id="0"/>
            </w:r>
          </w:p>
          <w:p w14:paraId="5543F01E">
            <w:pPr>
              <w:tabs>
                <w:tab w:val="left" w:pos="1701"/>
              </w:tabs>
              <w:jc w:val="center"/>
              <w:rPr>
                <w:rFonts w:eastAsia="仿宋_GB2312"/>
                <w:color w:val="000000"/>
                <w:sz w:val="24"/>
              </w:rPr>
            </w:pPr>
          </w:p>
        </w:tc>
        <w:tc>
          <w:tcPr>
            <w:tcW w:w="713" w:type="pct"/>
            <w:vAlign w:val="center"/>
          </w:tcPr>
          <w:p w14:paraId="4CAB1AE5">
            <w:pPr>
              <w:tabs>
                <w:tab w:val="left" w:pos="1701"/>
              </w:tabs>
              <w:ind w:left="-110" w:leftChars="-50" w:right="-110" w:rightChars="-50"/>
              <w:rPr>
                <w:rFonts w:eastAsia="仿宋_GB2312"/>
                <w:color w:val="000000"/>
                <w:sz w:val="24"/>
              </w:rPr>
            </w:pPr>
            <w:r>
              <w:rPr>
                <w:rFonts w:eastAsia="仿宋_GB2312"/>
                <w:color w:val="000000"/>
                <w:sz w:val="24"/>
              </w:rPr>
              <w:t>是否替代既有设施，被替代既有设施类型</w:t>
            </w:r>
          </w:p>
        </w:tc>
        <w:tc>
          <w:tcPr>
            <w:tcW w:w="721" w:type="pct"/>
            <w:tcBorders>
              <w:bottom w:val="single" w:color="auto" w:sz="4" w:space="0"/>
            </w:tcBorders>
            <w:vAlign w:val="center"/>
          </w:tcPr>
          <w:p w14:paraId="6A958161">
            <w:pPr>
              <w:tabs>
                <w:tab w:val="left" w:pos="1701"/>
              </w:tabs>
              <w:rPr>
                <w:rFonts w:eastAsia="仿宋_GB2312"/>
                <w:color w:val="000000"/>
                <w:sz w:val="24"/>
              </w:rPr>
            </w:pPr>
            <w:r>
              <w:rPr>
                <w:rFonts w:hint="eastAsia" w:eastAsia="仿宋_GB2312"/>
                <w:color w:val="000000"/>
                <w:sz w:val="24"/>
              </w:rPr>
              <w:t>新增设施</w:t>
            </w:r>
            <w:r>
              <w:rPr>
                <w:rFonts w:eastAsia="仿宋_GB2312"/>
                <w:color w:val="000000"/>
                <w:sz w:val="24"/>
              </w:rPr>
              <w:t>排放量（吨）</w:t>
            </w:r>
          </w:p>
        </w:tc>
        <w:tc>
          <w:tcPr>
            <w:tcW w:w="577" w:type="pct"/>
            <w:vAlign w:val="center"/>
          </w:tcPr>
          <w:p w14:paraId="5396DE5D">
            <w:pPr>
              <w:tabs>
                <w:tab w:val="left" w:pos="1701"/>
              </w:tabs>
              <w:ind w:left="-110" w:leftChars="-50" w:right="-110" w:rightChars="-50"/>
              <w:rPr>
                <w:rFonts w:eastAsia="仿宋_GB2312"/>
                <w:color w:val="000000"/>
                <w:sz w:val="24"/>
              </w:rPr>
            </w:pPr>
            <w:r>
              <w:rPr>
                <w:rFonts w:hint="eastAsia" w:eastAsia="仿宋_GB2312"/>
                <w:color w:val="000000"/>
                <w:sz w:val="24"/>
              </w:rPr>
              <w:t>替代既有设施的新增排放量(吨)</w:t>
            </w:r>
          </w:p>
        </w:tc>
      </w:tr>
      <w:tr w14:paraId="2F82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85" w:type="pct"/>
            <w:vAlign w:val="center"/>
          </w:tcPr>
          <w:p w14:paraId="546F7DCB">
            <w:pPr>
              <w:tabs>
                <w:tab w:val="left" w:pos="1701"/>
              </w:tabs>
              <w:rPr>
                <w:rFonts w:eastAsia="仿宋_GB2312"/>
                <w:sz w:val="24"/>
              </w:rPr>
            </w:pPr>
            <w:r>
              <w:rPr>
                <w:rFonts w:eastAsia="仿宋_GB2312"/>
                <w:sz w:val="24"/>
              </w:rPr>
              <w:t>1</w:t>
            </w:r>
          </w:p>
        </w:tc>
        <w:tc>
          <w:tcPr>
            <w:tcW w:w="553" w:type="pct"/>
            <w:vAlign w:val="center"/>
          </w:tcPr>
          <w:p w14:paraId="01B87EBF">
            <w:pPr>
              <w:tabs>
                <w:tab w:val="left" w:pos="1701"/>
              </w:tabs>
              <w:rPr>
                <w:rFonts w:eastAsia="仿宋_GB2312"/>
                <w:sz w:val="24"/>
              </w:rPr>
            </w:pPr>
            <w:r>
              <w:rPr>
                <w:rFonts w:hint="eastAsia" w:eastAsia="仿宋_GB2312"/>
                <w:sz w:val="24"/>
              </w:rPr>
              <w:t>2019</w:t>
            </w:r>
          </w:p>
        </w:tc>
        <w:tc>
          <w:tcPr>
            <w:tcW w:w="657" w:type="pct"/>
            <w:vAlign w:val="center"/>
          </w:tcPr>
          <w:p w14:paraId="70757283">
            <w:pPr>
              <w:tabs>
                <w:tab w:val="left" w:pos="1701"/>
              </w:tabs>
              <w:rPr>
                <w:rFonts w:eastAsia="仿宋_GB2312"/>
                <w:sz w:val="24"/>
              </w:rPr>
            </w:pPr>
            <w:r>
              <w:rPr>
                <w:rFonts w:eastAsia="仿宋_GB2312"/>
                <w:sz w:val="24"/>
              </w:rPr>
              <w:t>数据中心</w:t>
            </w:r>
          </w:p>
        </w:tc>
        <w:tc>
          <w:tcPr>
            <w:tcW w:w="1491" w:type="pct"/>
            <w:vAlign w:val="center"/>
          </w:tcPr>
          <w:p w14:paraId="49EC69BF">
            <w:pPr>
              <w:tabs>
                <w:tab w:val="left" w:pos="1701"/>
              </w:tabs>
              <w:rPr>
                <w:rFonts w:eastAsia="仿宋_GB2312"/>
                <w:sz w:val="24"/>
              </w:rPr>
            </w:pPr>
            <w:r>
              <w:rPr>
                <w:rFonts w:eastAsia="仿宋_GB2312"/>
                <w:sz w:val="24"/>
              </w:rPr>
              <w:t>新增IDC机房设备</w:t>
            </w:r>
            <w:r>
              <w:rPr>
                <w:rFonts w:hint="eastAsia" w:eastAsia="仿宋_GB2312"/>
                <w:sz w:val="24"/>
              </w:rPr>
              <w:t>：xxxx个</w:t>
            </w:r>
          </w:p>
        </w:tc>
        <w:tc>
          <w:tcPr>
            <w:tcW w:w="713" w:type="pct"/>
            <w:vAlign w:val="center"/>
          </w:tcPr>
          <w:p w14:paraId="3C9E96EA">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7A5E9B4F">
            <w:pPr>
              <w:jc w:val="center"/>
              <w:rPr>
                <w:rFonts w:ascii="Times New Roman" w:hAnsi="Times New Roman" w:eastAsia="等线"/>
                <w:color w:val="000000"/>
              </w:rPr>
            </w:pPr>
            <w:r>
              <w:rPr>
                <w:rFonts w:ascii="Times New Roman" w:hAnsi="Times New Roman" w:eastAsia="等线"/>
                <w:color w:val="000000"/>
              </w:rPr>
              <w:t>124600.07</w:t>
            </w:r>
          </w:p>
        </w:tc>
        <w:tc>
          <w:tcPr>
            <w:tcW w:w="577" w:type="pct"/>
            <w:vAlign w:val="center"/>
          </w:tcPr>
          <w:p w14:paraId="1620E476">
            <w:pPr>
              <w:tabs>
                <w:tab w:val="left" w:pos="1701"/>
              </w:tabs>
              <w:jc w:val="center"/>
              <w:rPr>
                <w:rFonts w:eastAsia="仿宋_GB2312"/>
                <w:sz w:val="24"/>
              </w:rPr>
            </w:pPr>
            <w:r>
              <w:rPr>
                <w:rFonts w:eastAsia="仿宋_GB2312"/>
                <w:sz w:val="24"/>
              </w:rPr>
              <w:t>/</w:t>
            </w:r>
          </w:p>
        </w:tc>
      </w:tr>
      <w:tr w14:paraId="22BC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restart"/>
            <w:vAlign w:val="center"/>
          </w:tcPr>
          <w:p w14:paraId="64D51295">
            <w:pPr>
              <w:tabs>
                <w:tab w:val="left" w:pos="1701"/>
              </w:tabs>
              <w:rPr>
                <w:rFonts w:eastAsia="仿宋_GB2312"/>
                <w:sz w:val="24"/>
              </w:rPr>
            </w:pPr>
            <w:r>
              <w:rPr>
                <w:rFonts w:eastAsia="仿宋_GB2312"/>
                <w:sz w:val="24"/>
              </w:rPr>
              <w:t>2</w:t>
            </w:r>
          </w:p>
        </w:tc>
        <w:tc>
          <w:tcPr>
            <w:tcW w:w="553" w:type="pct"/>
            <w:vMerge w:val="restart"/>
            <w:vAlign w:val="center"/>
          </w:tcPr>
          <w:p w14:paraId="192A2767">
            <w:pPr>
              <w:tabs>
                <w:tab w:val="left" w:pos="1701"/>
              </w:tabs>
              <w:rPr>
                <w:rFonts w:eastAsia="仿宋_GB2312"/>
                <w:sz w:val="24"/>
              </w:rPr>
            </w:pPr>
            <w:r>
              <w:rPr>
                <w:rFonts w:hint="eastAsia" w:eastAsia="仿宋_GB2312"/>
                <w:sz w:val="24"/>
              </w:rPr>
              <w:t>2019</w:t>
            </w:r>
          </w:p>
        </w:tc>
        <w:tc>
          <w:tcPr>
            <w:tcW w:w="657" w:type="pct"/>
            <w:vMerge w:val="restart"/>
            <w:vAlign w:val="center"/>
          </w:tcPr>
          <w:p w14:paraId="7A874BB0">
            <w:pPr>
              <w:tabs>
                <w:tab w:val="left" w:pos="1701"/>
              </w:tabs>
              <w:rPr>
                <w:rFonts w:eastAsia="仿宋_GB2312"/>
                <w:sz w:val="24"/>
              </w:rPr>
            </w:pPr>
            <w:r>
              <w:rPr>
                <w:rFonts w:eastAsia="仿宋_GB2312"/>
                <w:sz w:val="24"/>
              </w:rPr>
              <w:t>移动通信设施</w:t>
            </w:r>
          </w:p>
        </w:tc>
        <w:tc>
          <w:tcPr>
            <w:tcW w:w="1491" w:type="pct"/>
            <w:vAlign w:val="center"/>
          </w:tcPr>
          <w:p w14:paraId="0CE62157">
            <w:pPr>
              <w:tabs>
                <w:tab w:val="left" w:pos="1701"/>
              </w:tabs>
              <w:rPr>
                <w:rFonts w:eastAsia="仿宋_GB2312"/>
                <w:sz w:val="24"/>
              </w:rPr>
            </w:pPr>
            <w:r>
              <w:rPr>
                <w:rFonts w:eastAsia="仿宋_GB2312"/>
                <w:sz w:val="24"/>
              </w:rPr>
              <w:t>室外站(2G/3G/4G)</w:t>
            </w:r>
            <w:r>
              <w:rPr>
                <w:rFonts w:hint="eastAsia" w:eastAsia="仿宋_GB2312"/>
                <w:sz w:val="24"/>
              </w:rPr>
              <w:t>：xxxx个</w:t>
            </w:r>
          </w:p>
        </w:tc>
        <w:tc>
          <w:tcPr>
            <w:tcW w:w="713" w:type="pct"/>
            <w:vAlign w:val="center"/>
          </w:tcPr>
          <w:p w14:paraId="1E498CA0">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5003814E">
            <w:pPr>
              <w:jc w:val="center"/>
              <w:rPr>
                <w:rFonts w:ascii="Times New Roman" w:hAnsi="Times New Roman" w:eastAsia="等线"/>
                <w:color w:val="000000"/>
              </w:rPr>
            </w:pPr>
            <w:r>
              <w:rPr>
                <w:rFonts w:ascii="Times New Roman" w:hAnsi="Times New Roman" w:eastAsia="等线"/>
                <w:color w:val="000000"/>
              </w:rPr>
              <w:t>195644.96</w:t>
            </w:r>
          </w:p>
        </w:tc>
        <w:tc>
          <w:tcPr>
            <w:tcW w:w="577" w:type="pct"/>
            <w:vAlign w:val="center"/>
          </w:tcPr>
          <w:p w14:paraId="68FD0EA7">
            <w:pPr>
              <w:tabs>
                <w:tab w:val="left" w:pos="1701"/>
              </w:tabs>
              <w:jc w:val="center"/>
              <w:rPr>
                <w:rFonts w:eastAsia="仿宋_GB2312"/>
                <w:sz w:val="24"/>
              </w:rPr>
            </w:pPr>
            <w:r>
              <w:rPr>
                <w:rFonts w:eastAsia="仿宋_GB2312"/>
                <w:sz w:val="24"/>
              </w:rPr>
              <w:t>/</w:t>
            </w:r>
          </w:p>
        </w:tc>
      </w:tr>
      <w:tr w14:paraId="25C8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14:paraId="69A6DD14">
            <w:pPr>
              <w:tabs>
                <w:tab w:val="left" w:pos="1701"/>
              </w:tabs>
              <w:rPr>
                <w:rFonts w:eastAsia="仿宋_GB2312"/>
                <w:sz w:val="24"/>
              </w:rPr>
            </w:pPr>
          </w:p>
        </w:tc>
        <w:tc>
          <w:tcPr>
            <w:tcW w:w="553" w:type="pct"/>
            <w:vMerge w:val="continue"/>
            <w:vAlign w:val="center"/>
          </w:tcPr>
          <w:p w14:paraId="02AD84B2">
            <w:pPr>
              <w:tabs>
                <w:tab w:val="left" w:pos="1701"/>
              </w:tabs>
              <w:rPr>
                <w:rFonts w:eastAsia="仿宋_GB2312"/>
                <w:sz w:val="24"/>
              </w:rPr>
            </w:pPr>
          </w:p>
        </w:tc>
        <w:tc>
          <w:tcPr>
            <w:tcW w:w="657" w:type="pct"/>
            <w:vMerge w:val="continue"/>
            <w:vAlign w:val="center"/>
          </w:tcPr>
          <w:p w14:paraId="06EA394F">
            <w:pPr>
              <w:tabs>
                <w:tab w:val="left" w:pos="1701"/>
              </w:tabs>
              <w:rPr>
                <w:rFonts w:eastAsia="仿宋_GB2312"/>
                <w:sz w:val="24"/>
              </w:rPr>
            </w:pPr>
          </w:p>
        </w:tc>
        <w:tc>
          <w:tcPr>
            <w:tcW w:w="1491" w:type="pct"/>
            <w:vAlign w:val="center"/>
          </w:tcPr>
          <w:p w14:paraId="7B247871">
            <w:pPr>
              <w:tabs>
                <w:tab w:val="left" w:pos="1701"/>
              </w:tabs>
              <w:rPr>
                <w:rFonts w:eastAsia="仿宋_GB2312"/>
                <w:sz w:val="24"/>
              </w:rPr>
            </w:pPr>
            <w:r>
              <w:rPr>
                <w:rFonts w:eastAsia="仿宋_GB2312"/>
                <w:sz w:val="24"/>
              </w:rPr>
              <w:t>室内站(2G/3G/4G)</w:t>
            </w:r>
            <w:r>
              <w:rPr>
                <w:rFonts w:hint="eastAsia" w:eastAsia="仿宋_GB2312"/>
                <w:sz w:val="24"/>
              </w:rPr>
              <w:t>：xxxx个</w:t>
            </w:r>
          </w:p>
        </w:tc>
        <w:tc>
          <w:tcPr>
            <w:tcW w:w="713" w:type="pct"/>
            <w:vAlign w:val="center"/>
          </w:tcPr>
          <w:p w14:paraId="76A88E65">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6A52D960">
            <w:pPr>
              <w:jc w:val="center"/>
              <w:rPr>
                <w:rFonts w:ascii="Times New Roman" w:hAnsi="Times New Roman" w:eastAsia="等线"/>
                <w:color w:val="000000"/>
              </w:rPr>
            </w:pPr>
            <w:r>
              <w:rPr>
                <w:rFonts w:ascii="Times New Roman" w:hAnsi="Times New Roman" w:eastAsia="等线"/>
                <w:color w:val="000000"/>
              </w:rPr>
              <w:t>114072.95</w:t>
            </w:r>
          </w:p>
        </w:tc>
        <w:tc>
          <w:tcPr>
            <w:tcW w:w="577" w:type="pct"/>
            <w:vAlign w:val="center"/>
          </w:tcPr>
          <w:p w14:paraId="4FD437D0">
            <w:pPr>
              <w:tabs>
                <w:tab w:val="left" w:pos="1701"/>
              </w:tabs>
              <w:jc w:val="center"/>
              <w:rPr>
                <w:rFonts w:eastAsia="仿宋_GB2312"/>
                <w:sz w:val="24"/>
              </w:rPr>
            </w:pPr>
            <w:r>
              <w:rPr>
                <w:rFonts w:eastAsia="仿宋_GB2312"/>
                <w:color w:val="000000"/>
                <w:sz w:val="24"/>
              </w:rPr>
              <w:t>/</w:t>
            </w:r>
          </w:p>
        </w:tc>
      </w:tr>
      <w:tr w14:paraId="5E76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5" w:type="pct"/>
            <w:vMerge w:val="continue"/>
            <w:vAlign w:val="center"/>
          </w:tcPr>
          <w:p w14:paraId="2EC1F5A9">
            <w:pPr>
              <w:tabs>
                <w:tab w:val="left" w:pos="1701"/>
              </w:tabs>
              <w:rPr>
                <w:rFonts w:eastAsia="仿宋_GB2312"/>
                <w:sz w:val="24"/>
              </w:rPr>
            </w:pPr>
          </w:p>
        </w:tc>
        <w:tc>
          <w:tcPr>
            <w:tcW w:w="553" w:type="pct"/>
            <w:vMerge w:val="continue"/>
            <w:vAlign w:val="center"/>
          </w:tcPr>
          <w:p w14:paraId="2176934F">
            <w:pPr>
              <w:tabs>
                <w:tab w:val="left" w:pos="1701"/>
              </w:tabs>
              <w:rPr>
                <w:rFonts w:eastAsia="仿宋_GB2312"/>
                <w:sz w:val="24"/>
              </w:rPr>
            </w:pPr>
          </w:p>
        </w:tc>
        <w:tc>
          <w:tcPr>
            <w:tcW w:w="657" w:type="pct"/>
            <w:vMerge w:val="continue"/>
            <w:vAlign w:val="center"/>
          </w:tcPr>
          <w:p w14:paraId="293EEF8D">
            <w:pPr>
              <w:tabs>
                <w:tab w:val="left" w:pos="1701"/>
              </w:tabs>
              <w:rPr>
                <w:rFonts w:eastAsia="仿宋_GB2312"/>
                <w:sz w:val="24"/>
              </w:rPr>
            </w:pPr>
          </w:p>
        </w:tc>
        <w:tc>
          <w:tcPr>
            <w:tcW w:w="1491" w:type="pct"/>
            <w:vAlign w:val="center"/>
          </w:tcPr>
          <w:p w14:paraId="03E1639B">
            <w:pPr>
              <w:tabs>
                <w:tab w:val="left" w:pos="1701"/>
              </w:tabs>
              <w:rPr>
                <w:rFonts w:eastAsia="仿宋_GB2312"/>
                <w:sz w:val="24"/>
              </w:rPr>
            </w:pPr>
            <w:r>
              <w:rPr>
                <w:rFonts w:eastAsia="仿宋_GB2312"/>
                <w:sz w:val="24"/>
              </w:rPr>
              <w:t>室外站5G</w:t>
            </w:r>
            <w:r>
              <w:rPr>
                <w:rFonts w:hint="eastAsia" w:eastAsia="仿宋_GB2312"/>
                <w:sz w:val="24"/>
              </w:rPr>
              <w:t>：xxxx个</w:t>
            </w:r>
          </w:p>
        </w:tc>
        <w:tc>
          <w:tcPr>
            <w:tcW w:w="713" w:type="pct"/>
            <w:vAlign w:val="center"/>
          </w:tcPr>
          <w:p w14:paraId="2371F9FF">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54FF9D32">
            <w:pPr>
              <w:jc w:val="center"/>
              <w:rPr>
                <w:rFonts w:ascii="Times New Roman" w:hAnsi="Times New Roman" w:eastAsia="等线"/>
                <w:color w:val="000000"/>
              </w:rPr>
            </w:pPr>
            <w:r>
              <w:rPr>
                <w:rFonts w:ascii="Times New Roman" w:hAnsi="Times New Roman" w:eastAsia="等线"/>
                <w:color w:val="000000"/>
              </w:rPr>
              <w:t>367.84</w:t>
            </w:r>
          </w:p>
        </w:tc>
        <w:tc>
          <w:tcPr>
            <w:tcW w:w="577" w:type="pct"/>
            <w:vAlign w:val="center"/>
          </w:tcPr>
          <w:p w14:paraId="6112CE54">
            <w:pPr>
              <w:tabs>
                <w:tab w:val="left" w:pos="1701"/>
              </w:tabs>
              <w:jc w:val="center"/>
              <w:rPr>
                <w:rFonts w:eastAsia="仿宋_GB2312"/>
                <w:sz w:val="24"/>
              </w:rPr>
            </w:pPr>
            <w:r>
              <w:rPr>
                <w:rFonts w:eastAsia="仿宋_GB2312"/>
                <w:color w:val="000000"/>
                <w:sz w:val="24"/>
              </w:rPr>
              <w:t>/</w:t>
            </w:r>
          </w:p>
        </w:tc>
      </w:tr>
      <w:tr w14:paraId="1202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85" w:type="pct"/>
            <w:vMerge w:val="continue"/>
            <w:vAlign w:val="center"/>
          </w:tcPr>
          <w:p w14:paraId="439E9D7A">
            <w:pPr>
              <w:tabs>
                <w:tab w:val="left" w:pos="1701"/>
              </w:tabs>
              <w:rPr>
                <w:rFonts w:eastAsia="仿宋_GB2312"/>
                <w:sz w:val="24"/>
              </w:rPr>
            </w:pPr>
          </w:p>
        </w:tc>
        <w:tc>
          <w:tcPr>
            <w:tcW w:w="553" w:type="pct"/>
            <w:vMerge w:val="continue"/>
            <w:vAlign w:val="center"/>
          </w:tcPr>
          <w:p w14:paraId="30EE46A6">
            <w:pPr>
              <w:tabs>
                <w:tab w:val="left" w:pos="1701"/>
              </w:tabs>
              <w:rPr>
                <w:rFonts w:eastAsia="仿宋_GB2312"/>
                <w:sz w:val="24"/>
              </w:rPr>
            </w:pPr>
          </w:p>
        </w:tc>
        <w:tc>
          <w:tcPr>
            <w:tcW w:w="657" w:type="pct"/>
            <w:vMerge w:val="continue"/>
            <w:vAlign w:val="center"/>
          </w:tcPr>
          <w:p w14:paraId="4528E9F1">
            <w:pPr>
              <w:tabs>
                <w:tab w:val="left" w:pos="1701"/>
              </w:tabs>
              <w:rPr>
                <w:rFonts w:eastAsia="仿宋_GB2312"/>
                <w:sz w:val="24"/>
              </w:rPr>
            </w:pPr>
          </w:p>
        </w:tc>
        <w:tc>
          <w:tcPr>
            <w:tcW w:w="1491" w:type="pct"/>
            <w:vAlign w:val="center"/>
          </w:tcPr>
          <w:p w14:paraId="3E7AF63A">
            <w:pPr>
              <w:tabs>
                <w:tab w:val="left" w:pos="1701"/>
              </w:tabs>
              <w:rPr>
                <w:rFonts w:eastAsia="仿宋_GB2312"/>
                <w:sz w:val="24"/>
              </w:rPr>
            </w:pPr>
            <w:r>
              <w:rPr>
                <w:rFonts w:eastAsia="仿宋_GB2312"/>
                <w:sz w:val="24"/>
              </w:rPr>
              <w:t>室内站5G</w:t>
            </w:r>
            <w:r>
              <w:rPr>
                <w:rFonts w:hint="eastAsia" w:eastAsia="仿宋_GB2312"/>
                <w:sz w:val="24"/>
              </w:rPr>
              <w:t>：xxxx个</w:t>
            </w:r>
          </w:p>
        </w:tc>
        <w:tc>
          <w:tcPr>
            <w:tcW w:w="713" w:type="pct"/>
            <w:vAlign w:val="center"/>
          </w:tcPr>
          <w:p w14:paraId="061C2AD6">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3775B5F4">
            <w:pPr>
              <w:jc w:val="center"/>
              <w:rPr>
                <w:rFonts w:ascii="Times New Roman" w:hAnsi="Times New Roman" w:eastAsia="等线"/>
                <w:color w:val="000000"/>
              </w:rPr>
            </w:pPr>
            <w:r>
              <w:rPr>
                <w:rFonts w:ascii="Times New Roman" w:hAnsi="Times New Roman" w:eastAsia="等线"/>
                <w:color w:val="000000"/>
              </w:rPr>
              <w:t>0.00</w:t>
            </w:r>
          </w:p>
        </w:tc>
        <w:tc>
          <w:tcPr>
            <w:tcW w:w="577" w:type="pct"/>
            <w:vAlign w:val="center"/>
          </w:tcPr>
          <w:p w14:paraId="05F478C8">
            <w:pPr>
              <w:tabs>
                <w:tab w:val="left" w:pos="1701"/>
              </w:tabs>
              <w:jc w:val="center"/>
              <w:rPr>
                <w:rFonts w:eastAsia="仿宋_GB2312"/>
                <w:sz w:val="24"/>
              </w:rPr>
            </w:pPr>
            <w:r>
              <w:rPr>
                <w:rFonts w:eastAsia="仿宋_GB2312"/>
                <w:color w:val="000000"/>
                <w:sz w:val="24"/>
              </w:rPr>
              <w:t>/</w:t>
            </w:r>
          </w:p>
        </w:tc>
      </w:tr>
      <w:tr w14:paraId="656C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restart"/>
            <w:vAlign w:val="center"/>
          </w:tcPr>
          <w:p w14:paraId="261CE847">
            <w:pPr>
              <w:tabs>
                <w:tab w:val="left" w:pos="1701"/>
              </w:tabs>
              <w:rPr>
                <w:rFonts w:eastAsia="仿宋_GB2312"/>
                <w:sz w:val="24"/>
              </w:rPr>
            </w:pPr>
            <w:r>
              <w:rPr>
                <w:rFonts w:eastAsia="仿宋_GB2312"/>
                <w:sz w:val="24"/>
              </w:rPr>
              <w:t>3</w:t>
            </w:r>
          </w:p>
        </w:tc>
        <w:tc>
          <w:tcPr>
            <w:tcW w:w="553" w:type="pct"/>
            <w:vMerge w:val="restart"/>
            <w:vAlign w:val="center"/>
          </w:tcPr>
          <w:p w14:paraId="5BFD11CE">
            <w:pPr>
              <w:tabs>
                <w:tab w:val="left" w:pos="1701"/>
              </w:tabs>
              <w:rPr>
                <w:rFonts w:eastAsia="仿宋_GB2312"/>
                <w:sz w:val="24"/>
              </w:rPr>
            </w:pPr>
            <w:r>
              <w:rPr>
                <w:rFonts w:hint="eastAsia" w:eastAsia="仿宋_GB2312"/>
                <w:sz w:val="24"/>
              </w:rPr>
              <w:t>20</w:t>
            </w:r>
            <w:r>
              <w:rPr>
                <w:rFonts w:eastAsia="仿宋_GB2312"/>
                <w:sz w:val="24"/>
              </w:rPr>
              <w:t>20</w:t>
            </w:r>
          </w:p>
        </w:tc>
        <w:tc>
          <w:tcPr>
            <w:tcW w:w="657" w:type="pct"/>
            <w:vMerge w:val="restart"/>
            <w:vAlign w:val="center"/>
          </w:tcPr>
          <w:p w14:paraId="293014D6">
            <w:pPr>
              <w:tabs>
                <w:tab w:val="left" w:pos="1701"/>
              </w:tabs>
              <w:rPr>
                <w:rFonts w:eastAsia="仿宋_GB2312"/>
                <w:sz w:val="24"/>
              </w:rPr>
            </w:pPr>
            <w:r>
              <w:rPr>
                <w:rFonts w:eastAsia="仿宋_GB2312"/>
                <w:sz w:val="24"/>
              </w:rPr>
              <w:t>固定及移动网络通信设施</w:t>
            </w:r>
          </w:p>
        </w:tc>
        <w:tc>
          <w:tcPr>
            <w:tcW w:w="1491" w:type="pct"/>
            <w:vAlign w:val="center"/>
          </w:tcPr>
          <w:p w14:paraId="0D685071">
            <w:pPr>
              <w:tabs>
                <w:tab w:val="left" w:pos="1701"/>
              </w:tabs>
              <w:rPr>
                <w:rFonts w:eastAsia="仿宋_GB2312"/>
                <w:sz w:val="24"/>
              </w:rPr>
            </w:pPr>
            <w:r>
              <w:rPr>
                <w:rFonts w:eastAsia="仿宋_GB2312"/>
                <w:sz w:val="24"/>
              </w:rPr>
              <w:t>固定网主要传输设备（包括ATM、DDN、DPN、FR、IPRNA、MSTP、OTN、PTN、SDH）</w:t>
            </w:r>
            <w:r>
              <w:rPr>
                <w:rFonts w:hint="eastAsia" w:eastAsia="仿宋_GB2312"/>
                <w:sz w:val="24"/>
              </w:rPr>
              <w:t>：xxxx个</w:t>
            </w:r>
          </w:p>
        </w:tc>
        <w:tc>
          <w:tcPr>
            <w:tcW w:w="713" w:type="pct"/>
            <w:vAlign w:val="center"/>
          </w:tcPr>
          <w:p w14:paraId="65BE579C">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52CF7D24">
            <w:pPr>
              <w:jc w:val="center"/>
              <w:rPr>
                <w:rFonts w:ascii="Times New Roman" w:hAnsi="Times New Roman" w:eastAsia="等线"/>
                <w:color w:val="000000"/>
              </w:rPr>
            </w:pPr>
            <w:r>
              <w:rPr>
                <w:rFonts w:ascii="Times New Roman" w:hAnsi="Times New Roman" w:eastAsia="等线"/>
                <w:color w:val="000000"/>
              </w:rPr>
              <w:t>22569.37</w:t>
            </w:r>
          </w:p>
        </w:tc>
        <w:tc>
          <w:tcPr>
            <w:tcW w:w="577" w:type="pct"/>
            <w:vAlign w:val="center"/>
          </w:tcPr>
          <w:p w14:paraId="3AE2EC08">
            <w:pPr>
              <w:tabs>
                <w:tab w:val="left" w:pos="1701"/>
              </w:tabs>
              <w:jc w:val="center"/>
              <w:rPr>
                <w:rFonts w:eastAsia="仿宋_GB2312"/>
                <w:sz w:val="24"/>
              </w:rPr>
            </w:pPr>
            <w:r>
              <w:rPr>
                <w:rFonts w:eastAsia="仿宋_GB2312"/>
                <w:color w:val="000000"/>
                <w:sz w:val="24"/>
              </w:rPr>
              <w:t>/</w:t>
            </w:r>
          </w:p>
        </w:tc>
      </w:tr>
      <w:tr w14:paraId="59EB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14:paraId="4B4B77A6">
            <w:pPr>
              <w:tabs>
                <w:tab w:val="left" w:pos="1701"/>
              </w:tabs>
              <w:rPr>
                <w:rFonts w:eastAsia="仿宋_GB2312"/>
                <w:sz w:val="24"/>
              </w:rPr>
            </w:pPr>
          </w:p>
        </w:tc>
        <w:tc>
          <w:tcPr>
            <w:tcW w:w="553" w:type="pct"/>
            <w:vMerge w:val="continue"/>
            <w:vAlign w:val="center"/>
          </w:tcPr>
          <w:p w14:paraId="31B3FD09">
            <w:pPr>
              <w:tabs>
                <w:tab w:val="left" w:pos="1701"/>
              </w:tabs>
              <w:rPr>
                <w:rFonts w:eastAsia="仿宋_GB2312"/>
                <w:sz w:val="24"/>
              </w:rPr>
            </w:pPr>
          </w:p>
        </w:tc>
        <w:tc>
          <w:tcPr>
            <w:tcW w:w="657" w:type="pct"/>
            <w:vMerge w:val="continue"/>
            <w:vAlign w:val="center"/>
          </w:tcPr>
          <w:p w14:paraId="722AF393">
            <w:pPr>
              <w:tabs>
                <w:tab w:val="left" w:pos="1701"/>
              </w:tabs>
              <w:rPr>
                <w:rFonts w:eastAsia="仿宋_GB2312"/>
                <w:sz w:val="24"/>
              </w:rPr>
            </w:pPr>
          </w:p>
        </w:tc>
        <w:tc>
          <w:tcPr>
            <w:tcW w:w="1491" w:type="pct"/>
            <w:vAlign w:val="center"/>
          </w:tcPr>
          <w:p w14:paraId="2B255D63">
            <w:pPr>
              <w:tabs>
                <w:tab w:val="left" w:pos="1701"/>
              </w:tabs>
              <w:rPr>
                <w:rFonts w:eastAsia="仿宋_GB2312"/>
                <w:sz w:val="24"/>
              </w:rPr>
            </w:pPr>
            <w:r>
              <w:rPr>
                <w:rFonts w:eastAsia="仿宋_GB2312"/>
                <w:sz w:val="24"/>
              </w:rPr>
              <w:t>固定网主要宽带设备（包括OLT、汇聚交换机、服务器、BRAS）</w:t>
            </w:r>
            <w:r>
              <w:rPr>
                <w:rFonts w:hint="eastAsia" w:eastAsia="仿宋_GB2312"/>
                <w:sz w:val="24"/>
              </w:rPr>
              <w:t>：xxxx个</w:t>
            </w:r>
          </w:p>
        </w:tc>
        <w:tc>
          <w:tcPr>
            <w:tcW w:w="713" w:type="pct"/>
            <w:vAlign w:val="center"/>
          </w:tcPr>
          <w:p w14:paraId="14F73EB4">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3C6759BA">
            <w:pPr>
              <w:jc w:val="center"/>
              <w:rPr>
                <w:rFonts w:ascii="Times New Roman" w:hAnsi="Times New Roman" w:eastAsia="等线"/>
                <w:color w:val="000000"/>
              </w:rPr>
            </w:pPr>
            <w:r>
              <w:rPr>
                <w:rFonts w:ascii="Times New Roman" w:hAnsi="Times New Roman" w:eastAsia="等线"/>
                <w:color w:val="000000"/>
              </w:rPr>
              <w:t>14792.26</w:t>
            </w:r>
          </w:p>
        </w:tc>
        <w:tc>
          <w:tcPr>
            <w:tcW w:w="577" w:type="pct"/>
            <w:vAlign w:val="center"/>
          </w:tcPr>
          <w:p w14:paraId="68684E59">
            <w:pPr>
              <w:tabs>
                <w:tab w:val="left" w:pos="1701"/>
              </w:tabs>
              <w:jc w:val="center"/>
              <w:rPr>
                <w:rFonts w:eastAsia="仿宋_GB2312"/>
                <w:sz w:val="24"/>
              </w:rPr>
            </w:pPr>
            <w:r>
              <w:rPr>
                <w:rFonts w:eastAsia="仿宋_GB2312"/>
                <w:color w:val="000000"/>
                <w:sz w:val="24"/>
              </w:rPr>
              <w:t>/</w:t>
            </w:r>
          </w:p>
        </w:tc>
      </w:tr>
      <w:tr w14:paraId="53E3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14:paraId="6AD41874">
            <w:pPr>
              <w:tabs>
                <w:tab w:val="left" w:pos="1701"/>
              </w:tabs>
              <w:rPr>
                <w:rFonts w:eastAsia="仿宋_GB2312"/>
                <w:sz w:val="24"/>
              </w:rPr>
            </w:pPr>
          </w:p>
        </w:tc>
        <w:tc>
          <w:tcPr>
            <w:tcW w:w="553" w:type="pct"/>
            <w:vMerge w:val="continue"/>
            <w:vAlign w:val="center"/>
          </w:tcPr>
          <w:p w14:paraId="0E942774">
            <w:pPr>
              <w:tabs>
                <w:tab w:val="left" w:pos="1701"/>
              </w:tabs>
              <w:rPr>
                <w:rFonts w:eastAsia="仿宋_GB2312"/>
                <w:sz w:val="24"/>
              </w:rPr>
            </w:pPr>
          </w:p>
        </w:tc>
        <w:tc>
          <w:tcPr>
            <w:tcW w:w="657" w:type="pct"/>
            <w:vMerge w:val="continue"/>
            <w:vAlign w:val="center"/>
          </w:tcPr>
          <w:p w14:paraId="558DF4B7">
            <w:pPr>
              <w:tabs>
                <w:tab w:val="left" w:pos="1701"/>
              </w:tabs>
              <w:rPr>
                <w:rFonts w:eastAsia="仿宋_GB2312"/>
                <w:sz w:val="24"/>
              </w:rPr>
            </w:pPr>
          </w:p>
        </w:tc>
        <w:tc>
          <w:tcPr>
            <w:tcW w:w="1491" w:type="pct"/>
            <w:vAlign w:val="center"/>
          </w:tcPr>
          <w:p w14:paraId="47AEE49E">
            <w:pPr>
              <w:tabs>
                <w:tab w:val="left" w:pos="1701"/>
              </w:tabs>
              <w:rPr>
                <w:rFonts w:eastAsia="仿宋_GB2312"/>
                <w:sz w:val="24"/>
              </w:rPr>
            </w:pPr>
            <w:r>
              <w:rPr>
                <w:rFonts w:eastAsia="仿宋_GB2312"/>
                <w:sz w:val="24"/>
              </w:rPr>
              <w:t>固定网主要信息化设备（包括PC服务器、SAN网交换机、带库、安全设备、磁盘阵列、光纤交换机、交换机、路由器、小型机）</w:t>
            </w:r>
            <w:r>
              <w:rPr>
                <w:rFonts w:hint="eastAsia" w:eastAsia="仿宋_GB2312"/>
                <w:sz w:val="24"/>
              </w:rPr>
              <w:t>：xxxx个</w:t>
            </w:r>
          </w:p>
        </w:tc>
        <w:tc>
          <w:tcPr>
            <w:tcW w:w="713" w:type="pct"/>
            <w:vAlign w:val="center"/>
          </w:tcPr>
          <w:p w14:paraId="5FFE2D52">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64C863DA">
            <w:pPr>
              <w:jc w:val="center"/>
              <w:rPr>
                <w:rFonts w:ascii="Times New Roman" w:hAnsi="Times New Roman" w:eastAsia="等线"/>
                <w:color w:val="000000"/>
              </w:rPr>
            </w:pPr>
            <w:r>
              <w:rPr>
                <w:rFonts w:ascii="Times New Roman" w:hAnsi="Times New Roman" w:eastAsia="等线"/>
                <w:color w:val="000000"/>
              </w:rPr>
              <w:t>78708.15</w:t>
            </w:r>
          </w:p>
        </w:tc>
        <w:tc>
          <w:tcPr>
            <w:tcW w:w="577" w:type="pct"/>
            <w:vAlign w:val="center"/>
          </w:tcPr>
          <w:p w14:paraId="35357049">
            <w:pPr>
              <w:tabs>
                <w:tab w:val="left" w:pos="1701"/>
              </w:tabs>
              <w:jc w:val="center"/>
              <w:rPr>
                <w:rFonts w:eastAsia="仿宋_GB2312"/>
                <w:color w:val="000000"/>
                <w:sz w:val="24"/>
              </w:rPr>
            </w:pPr>
            <w:r>
              <w:rPr>
                <w:rFonts w:eastAsia="仿宋_GB2312"/>
                <w:color w:val="000000"/>
                <w:sz w:val="24"/>
              </w:rPr>
              <w:t>/</w:t>
            </w:r>
          </w:p>
        </w:tc>
      </w:tr>
      <w:tr w14:paraId="7304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14:paraId="20D3A3C6">
            <w:pPr>
              <w:tabs>
                <w:tab w:val="left" w:pos="1701"/>
              </w:tabs>
              <w:rPr>
                <w:rFonts w:eastAsia="仿宋_GB2312"/>
                <w:sz w:val="24"/>
              </w:rPr>
            </w:pPr>
          </w:p>
        </w:tc>
        <w:tc>
          <w:tcPr>
            <w:tcW w:w="553" w:type="pct"/>
            <w:vMerge w:val="continue"/>
            <w:vAlign w:val="center"/>
          </w:tcPr>
          <w:p w14:paraId="71D85981">
            <w:pPr>
              <w:tabs>
                <w:tab w:val="left" w:pos="1701"/>
              </w:tabs>
              <w:rPr>
                <w:rFonts w:eastAsia="仿宋_GB2312"/>
                <w:sz w:val="24"/>
              </w:rPr>
            </w:pPr>
          </w:p>
        </w:tc>
        <w:tc>
          <w:tcPr>
            <w:tcW w:w="657" w:type="pct"/>
            <w:vMerge w:val="continue"/>
            <w:vAlign w:val="center"/>
          </w:tcPr>
          <w:p w14:paraId="5F02F2CC">
            <w:pPr>
              <w:tabs>
                <w:tab w:val="left" w:pos="1701"/>
              </w:tabs>
              <w:rPr>
                <w:rFonts w:eastAsia="仿宋_GB2312"/>
                <w:sz w:val="24"/>
              </w:rPr>
            </w:pPr>
          </w:p>
        </w:tc>
        <w:tc>
          <w:tcPr>
            <w:tcW w:w="1491" w:type="pct"/>
            <w:vAlign w:val="center"/>
          </w:tcPr>
          <w:p w14:paraId="3D90DDA6">
            <w:pPr>
              <w:tabs>
                <w:tab w:val="left" w:pos="1701"/>
              </w:tabs>
              <w:rPr>
                <w:rFonts w:eastAsia="仿宋_GB2312"/>
                <w:sz w:val="24"/>
              </w:rPr>
            </w:pPr>
            <w:r>
              <w:rPr>
                <w:rFonts w:eastAsia="仿宋_GB2312"/>
                <w:sz w:val="24"/>
              </w:rPr>
              <w:t>固定网主要互联网设备</w:t>
            </w:r>
            <w:r>
              <w:rPr>
                <w:rFonts w:hint="eastAsia" w:eastAsia="仿宋_GB2312"/>
                <w:sz w:val="24"/>
              </w:rPr>
              <w:t>：xxxx个</w:t>
            </w:r>
          </w:p>
        </w:tc>
        <w:tc>
          <w:tcPr>
            <w:tcW w:w="713" w:type="pct"/>
            <w:vAlign w:val="center"/>
          </w:tcPr>
          <w:p w14:paraId="1B513487">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14:paraId="2E93034C">
            <w:pPr>
              <w:jc w:val="center"/>
              <w:rPr>
                <w:rFonts w:ascii="Times New Roman" w:hAnsi="Times New Roman" w:eastAsia="等线"/>
                <w:color w:val="000000"/>
              </w:rPr>
            </w:pPr>
            <w:r>
              <w:rPr>
                <w:rFonts w:ascii="Times New Roman" w:hAnsi="Times New Roman" w:eastAsia="等线"/>
                <w:color w:val="000000"/>
              </w:rPr>
              <w:t>8048.60</w:t>
            </w:r>
          </w:p>
        </w:tc>
        <w:tc>
          <w:tcPr>
            <w:tcW w:w="577" w:type="pct"/>
            <w:vAlign w:val="center"/>
          </w:tcPr>
          <w:p w14:paraId="327298F4">
            <w:pPr>
              <w:tabs>
                <w:tab w:val="left" w:pos="1701"/>
              </w:tabs>
              <w:jc w:val="center"/>
              <w:rPr>
                <w:rFonts w:eastAsia="仿宋_GB2312"/>
                <w:color w:val="000000"/>
                <w:sz w:val="24"/>
              </w:rPr>
            </w:pPr>
            <w:r>
              <w:rPr>
                <w:rFonts w:eastAsia="仿宋_GB2312"/>
                <w:color w:val="000000"/>
                <w:sz w:val="24"/>
              </w:rPr>
              <w:t>/</w:t>
            </w:r>
          </w:p>
        </w:tc>
      </w:tr>
      <w:tr w14:paraId="29FE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Align w:val="center"/>
          </w:tcPr>
          <w:p w14:paraId="4A491FBF">
            <w:pPr>
              <w:tabs>
                <w:tab w:val="left" w:pos="1701"/>
              </w:tabs>
              <w:rPr>
                <w:rFonts w:eastAsia="仿宋_GB2312"/>
                <w:sz w:val="24"/>
              </w:rPr>
            </w:pPr>
            <w:r>
              <w:rPr>
                <w:rFonts w:eastAsia="仿宋_GB2312"/>
                <w:sz w:val="24"/>
              </w:rPr>
              <w:t>合计</w:t>
            </w:r>
          </w:p>
        </w:tc>
        <w:tc>
          <w:tcPr>
            <w:tcW w:w="553" w:type="pct"/>
            <w:vAlign w:val="center"/>
          </w:tcPr>
          <w:p w14:paraId="7E819474">
            <w:pPr>
              <w:tabs>
                <w:tab w:val="left" w:pos="1701"/>
              </w:tabs>
              <w:rPr>
                <w:rFonts w:eastAsia="仿宋_GB2312"/>
                <w:sz w:val="24"/>
              </w:rPr>
            </w:pPr>
          </w:p>
        </w:tc>
        <w:tc>
          <w:tcPr>
            <w:tcW w:w="657" w:type="pct"/>
            <w:vAlign w:val="center"/>
          </w:tcPr>
          <w:p w14:paraId="7C6254BF">
            <w:pPr>
              <w:tabs>
                <w:tab w:val="left" w:pos="1701"/>
              </w:tabs>
              <w:rPr>
                <w:rFonts w:eastAsia="仿宋_GB2312"/>
                <w:sz w:val="24"/>
              </w:rPr>
            </w:pPr>
          </w:p>
        </w:tc>
        <w:tc>
          <w:tcPr>
            <w:tcW w:w="1491" w:type="pct"/>
            <w:vAlign w:val="center"/>
          </w:tcPr>
          <w:p w14:paraId="7E6DBCAB">
            <w:pPr>
              <w:tabs>
                <w:tab w:val="left" w:pos="1701"/>
              </w:tabs>
              <w:rPr>
                <w:rFonts w:eastAsia="仿宋_GB2312"/>
                <w:sz w:val="24"/>
              </w:rPr>
            </w:pPr>
          </w:p>
        </w:tc>
        <w:tc>
          <w:tcPr>
            <w:tcW w:w="713" w:type="pct"/>
            <w:vAlign w:val="center"/>
          </w:tcPr>
          <w:p w14:paraId="39566B15">
            <w:pPr>
              <w:tabs>
                <w:tab w:val="left" w:pos="1701"/>
              </w:tabs>
              <w:rPr>
                <w:rFonts w:eastAsia="仿宋_GB2312"/>
                <w:sz w:val="24"/>
              </w:rPr>
            </w:pPr>
          </w:p>
        </w:tc>
        <w:tc>
          <w:tcPr>
            <w:tcW w:w="721" w:type="pct"/>
            <w:tcBorders>
              <w:top w:val="single" w:color="auto" w:sz="4" w:space="0"/>
              <w:left w:val="nil"/>
              <w:bottom w:val="single" w:color="auto" w:sz="4" w:space="0"/>
              <w:right w:val="nil"/>
            </w:tcBorders>
            <w:vAlign w:val="center"/>
          </w:tcPr>
          <w:p w14:paraId="6676F6AD">
            <w:pPr>
              <w:jc w:val="center"/>
              <w:rPr>
                <w:rFonts w:ascii="Times New Roman" w:hAnsi="Times New Roman" w:eastAsia="等线"/>
                <w:color w:val="000000"/>
              </w:rPr>
            </w:pPr>
            <w:r>
              <w:rPr>
                <w:rFonts w:ascii="Times New Roman" w:hAnsi="Times New Roman" w:eastAsia="等线"/>
                <w:color w:val="000000"/>
              </w:rPr>
              <w:t>558804.19</w:t>
            </w:r>
          </w:p>
        </w:tc>
        <w:tc>
          <w:tcPr>
            <w:tcW w:w="577" w:type="pct"/>
            <w:vAlign w:val="center"/>
          </w:tcPr>
          <w:p w14:paraId="252F3B91">
            <w:pPr>
              <w:tabs>
                <w:tab w:val="left" w:pos="1701"/>
              </w:tabs>
              <w:jc w:val="center"/>
              <w:rPr>
                <w:rFonts w:eastAsia="仿宋_GB2312"/>
                <w:color w:val="000000"/>
                <w:sz w:val="24"/>
              </w:rPr>
            </w:pPr>
          </w:p>
        </w:tc>
      </w:tr>
      <w:tr w14:paraId="546C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00" w:type="pct"/>
            <w:gridSpan w:val="7"/>
            <w:vAlign w:val="center"/>
          </w:tcPr>
          <w:p w14:paraId="6079F31B">
            <w:pPr>
              <w:rPr>
                <w:rFonts w:eastAsia="仿宋_GB2312"/>
                <w:color w:val="000000"/>
                <w:sz w:val="24"/>
              </w:rPr>
            </w:pPr>
            <w:r>
              <w:rPr>
                <w:rFonts w:eastAsia="仿宋_GB2312"/>
                <w:color w:val="000000"/>
                <w:sz w:val="24"/>
              </w:rPr>
              <w:t>备注：</w:t>
            </w:r>
          </w:p>
          <w:p w14:paraId="0DD74ED0">
            <w:pPr>
              <w:ind w:left="-110" w:leftChars="-50" w:right="-110" w:rightChars="-50"/>
              <w:rPr>
                <w:rFonts w:eastAsia="仿宋_GB2312"/>
                <w:sz w:val="24"/>
              </w:rPr>
            </w:pPr>
            <w:r>
              <w:rPr>
                <w:rFonts w:hint="eastAsia" w:eastAsia="仿宋_GB2312"/>
                <w:color w:val="000000"/>
                <w:sz w:val="24"/>
              </w:rPr>
              <w:t>1）</w:t>
            </w:r>
            <w:r>
              <w:rPr>
                <w:rFonts w:eastAsia="仿宋_GB2312"/>
                <w:sz w:val="24"/>
              </w:rPr>
              <w:t>室外站(2G/3G/4G)每月用电量为</w:t>
            </w:r>
            <w:r>
              <w:rPr>
                <w:rFonts w:hint="eastAsia" w:eastAsia="仿宋_GB2312"/>
                <w:sz w:val="24"/>
              </w:rPr>
              <w:t>xxx</w:t>
            </w:r>
            <w:r>
              <w:rPr>
                <w:rFonts w:eastAsia="仿宋_GB2312"/>
                <w:sz w:val="24"/>
              </w:rPr>
              <w:t>度，室内站(2G/3G/4G)每月用电量为</w:t>
            </w:r>
            <w:r>
              <w:rPr>
                <w:rFonts w:hint="eastAsia" w:eastAsia="仿宋_GB2312"/>
                <w:sz w:val="24"/>
              </w:rPr>
              <w:t>xxx</w:t>
            </w:r>
            <w:r>
              <w:rPr>
                <w:rFonts w:eastAsia="仿宋_GB2312"/>
                <w:sz w:val="24"/>
              </w:rPr>
              <w:t>度，室外站5G每月用电量为</w:t>
            </w:r>
            <w:r>
              <w:rPr>
                <w:rFonts w:hint="eastAsia" w:eastAsia="仿宋_GB2312"/>
                <w:sz w:val="24"/>
              </w:rPr>
              <w:t>xxxx</w:t>
            </w:r>
            <w:r>
              <w:rPr>
                <w:rFonts w:eastAsia="仿宋_GB2312"/>
                <w:sz w:val="24"/>
              </w:rPr>
              <w:t>度，室内站5G尚未通入使用，无法实测用电量。</w:t>
            </w:r>
          </w:p>
          <w:p w14:paraId="31A3C798">
            <w:pPr>
              <w:tabs>
                <w:tab w:val="left" w:pos="1701"/>
              </w:tabs>
              <w:ind w:left="-110" w:leftChars="-50" w:right="-110" w:rightChars="-50"/>
              <w:rPr>
                <w:rFonts w:eastAsia="仿宋_GB2312"/>
                <w:color w:val="000000"/>
                <w:sz w:val="24"/>
              </w:rPr>
            </w:pPr>
            <w:r>
              <w:rPr>
                <w:rFonts w:hint="eastAsia" w:eastAsia="仿宋_GB2312"/>
                <w:sz w:val="24"/>
              </w:rPr>
              <w:t>2）</w:t>
            </w:r>
            <w:r>
              <w:rPr>
                <w:rFonts w:eastAsia="仿宋_GB2312"/>
                <w:sz w:val="24"/>
              </w:rPr>
              <w:t>随着IDC的新建，新增设施的使用系数将进一步降低，核查组要求排放单位对2020年度的使用系数进行统计并更新，按照北京市数据中心IT设备实际负载率</w:t>
            </w:r>
            <w:r>
              <w:rPr>
                <w:rFonts w:hint="eastAsia" w:eastAsia="仿宋_GB2312"/>
                <w:sz w:val="24"/>
              </w:rPr>
              <w:t>xx</w:t>
            </w:r>
            <w:r>
              <w:rPr>
                <w:rFonts w:eastAsia="仿宋_GB2312"/>
                <w:sz w:val="24"/>
              </w:rPr>
              <w:t>%核定，因此2020年度IDC的使用系数符合排放单位的实际情况。</w:t>
            </w:r>
          </w:p>
        </w:tc>
      </w:tr>
    </w:tbl>
    <w:p w14:paraId="6249074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新增设施排放量为558804.19吨，是基准年份排放量的</w:t>
      </w:r>
      <w:r>
        <w:rPr>
          <w:rFonts w:hint="eastAsia" w:ascii="Times New Roman" w:hAnsi="Times New Roman" w:eastAsia="仿宋_GB2312"/>
          <w:sz w:val="32"/>
          <w:szCs w:val="32"/>
        </w:rPr>
        <w:t>47.57</w:t>
      </w:r>
      <w:r>
        <w:rPr>
          <w:rFonts w:ascii="Times New Roman" w:hAnsi="Times New Roman" w:eastAsia="仿宋_GB2312"/>
          <w:sz w:val="32"/>
          <w:szCs w:val="32"/>
        </w:rPr>
        <w:t>%，新增设施对应的</w:t>
      </w:r>
      <w:r>
        <w:rPr>
          <w:rFonts w:hint="eastAsia" w:eastAsia="仿宋_GB2312"/>
          <w:sz w:val="32"/>
          <w:szCs w:val="32"/>
        </w:rPr>
        <w:t>移动业务总量为xx万元（移动语音业务总量xx万元、移动数据与互联网业务总量xx万元、移动增值及其他业务总量xx万元），</w:t>
      </w:r>
      <w:r>
        <w:rPr>
          <w:rFonts w:ascii="Times New Roman" w:hAnsi="Times New Roman" w:eastAsia="仿宋_GB2312"/>
          <w:sz w:val="32"/>
          <w:szCs w:val="32"/>
        </w:rPr>
        <w:t>新增设施对应的</w:t>
      </w:r>
      <w:r>
        <w:rPr>
          <w:rFonts w:hint="eastAsia" w:eastAsia="仿宋_GB2312"/>
          <w:sz w:val="32"/>
          <w:szCs w:val="32"/>
        </w:rPr>
        <w:t>固网业务总量xx万元。新增设施的数据中心为大型数据中心，数据中心总用电量为xxMWh，IT设备用电量为xxMWh。</w:t>
      </w:r>
      <w:r>
        <w:rPr>
          <w:rFonts w:ascii="Times New Roman" w:hAnsi="Times New Roman" w:eastAsia="仿宋_GB2312"/>
          <w:sz w:val="32"/>
          <w:szCs w:val="32"/>
        </w:rPr>
        <w:t>此信息供新增设施配额发放参考。</w:t>
      </w:r>
    </w:p>
    <w:p w14:paraId="4B7D6C30">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14:paraId="380A8AF0">
      <w:pPr>
        <w:spacing w:after="0" w:line="560" w:lineRule="exact"/>
        <w:ind w:firstLine="465"/>
        <w:jc w:val="both"/>
        <w:rPr>
          <w:rFonts w:eastAsia="仿宋_GB2312"/>
          <w:sz w:val="32"/>
          <w:szCs w:val="32"/>
        </w:rPr>
      </w:pPr>
      <w:r>
        <w:rPr>
          <w:rFonts w:eastAsia="仿宋_GB2312"/>
          <w:sz w:val="32"/>
          <w:szCs w:val="32"/>
        </w:rPr>
        <w:t>由于天然气表和电表分别为燃气公司及电力公司管控，因此未能核查这些仪表的检定信息。</w:t>
      </w:r>
    </w:p>
    <w:p w14:paraId="6313513E">
      <w:pPr>
        <w:spacing w:after="0" w:line="560" w:lineRule="exact"/>
        <w:ind w:firstLine="465"/>
        <w:jc w:val="both"/>
        <w:rPr>
          <w:rFonts w:eastAsia="仿宋"/>
          <w:sz w:val="24"/>
        </w:rPr>
      </w:pPr>
      <w:r>
        <w:rPr>
          <w:rFonts w:eastAsia="仿宋_GB2312"/>
          <w:sz w:val="32"/>
          <w:szCs w:val="32"/>
        </w:rPr>
        <w:t>由于排放单位的新增设施台账属于保密信息，核查组未能获得完整的新增设施台账，通过现场抽查的方式确认排放单位的新增设施来源于财务入账系统和建设部门运维系统，但数量多达上万条，抽查的项目有限，因此核查过程未能完全覆盖新增设施的数量。</w:t>
      </w:r>
    </w:p>
    <w:p w14:paraId="34DFE23E">
      <w:pPr>
        <w:pStyle w:val="4"/>
        <w:spacing w:before="0" w:after="0" w:line="560" w:lineRule="exact"/>
        <w:sectPr>
          <w:pgSz w:w="11906" w:h="16838"/>
          <w:pgMar w:top="1440" w:right="1800" w:bottom="1440" w:left="1800" w:header="851" w:footer="992" w:gutter="0"/>
          <w:cols w:space="720" w:num="1"/>
          <w:docGrid w:type="lines" w:linePitch="312" w:charSpace="0"/>
        </w:sectPr>
      </w:pPr>
    </w:p>
    <w:p w14:paraId="5D664ADD">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银行</w:t>
      </w:r>
    </w:p>
    <w:p w14:paraId="244B825A">
      <w:pPr>
        <w:spacing w:after="0" w:line="560" w:lineRule="exact"/>
        <w:rPr>
          <w:rFonts w:eastAsia="仿宋_GB2312"/>
          <w:sz w:val="32"/>
          <w:szCs w:val="32"/>
        </w:rPr>
      </w:pPr>
      <w:r>
        <w:rPr>
          <w:rFonts w:eastAsia="仿宋_GB2312"/>
          <w:sz w:val="32"/>
          <w:szCs w:val="32"/>
        </w:rPr>
        <w:t>核查结论</w:t>
      </w:r>
    </w:p>
    <w:p w14:paraId="41712D65">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二氧化碳排放的核查工作。核查范围包括排放单位所有在北京市辖区内固定设施导致的二氧化碳直接排放和二氧化碳间接排放。</w:t>
      </w:r>
    </w:p>
    <w:p w14:paraId="14FB6146">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14:paraId="40CFA4EB">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14:paraId="34950C10">
      <w:pPr>
        <w:spacing w:after="0" w:line="560" w:lineRule="exact"/>
        <w:ind w:firstLine="640" w:firstLineChars="200"/>
        <w:jc w:val="both"/>
        <w:rPr>
          <w:rFonts w:eastAsia="仿宋_GB2312"/>
          <w:sz w:val="32"/>
          <w:szCs w:val="32"/>
        </w:rPr>
      </w:pPr>
      <w:r>
        <w:rPr>
          <w:rFonts w:eastAsia="仿宋_GB2312"/>
          <w:sz w:val="32"/>
          <w:szCs w:val="32"/>
        </w:rPr>
        <w:t>核查组确认排放单位的温室气体排放核算与报告均符合方法学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14:paraId="0B8CA636">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14:paraId="02D0DD64">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经核查的直接和间接排放量与最终排放报告中的一致。经核查的直接排放量为0吨，间接排放量为</w:t>
      </w:r>
      <w:r>
        <w:rPr>
          <w:rFonts w:eastAsia="仿宋_GB2312"/>
          <w:color w:val="000000"/>
          <w:sz w:val="32"/>
          <w:szCs w:val="32"/>
        </w:rPr>
        <w:t>15256.41</w:t>
      </w:r>
      <w:r>
        <w:rPr>
          <w:rFonts w:eastAsia="仿宋_GB2312"/>
          <w:sz w:val="32"/>
          <w:szCs w:val="32"/>
        </w:rPr>
        <w:t>吨，总排放量为</w:t>
      </w:r>
      <w:r>
        <w:rPr>
          <w:rFonts w:eastAsia="仿宋_GB2312"/>
          <w:color w:val="000000"/>
          <w:sz w:val="32"/>
          <w:szCs w:val="32"/>
        </w:rPr>
        <w:t>15256.41</w:t>
      </w:r>
      <w:r>
        <w:rPr>
          <w:rFonts w:eastAsia="仿宋_GB2312"/>
          <w:sz w:val="32"/>
          <w:szCs w:val="32"/>
        </w:rPr>
        <w:t>吨。</w:t>
      </w:r>
    </w:p>
    <w:p w14:paraId="60BB664A">
      <w:pPr>
        <w:spacing w:after="0" w:line="560" w:lineRule="exact"/>
        <w:ind w:firstLine="640" w:firstLineChars="200"/>
        <w:jc w:val="both"/>
        <w:rPr>
          <w:rFonts w:eastAsia="仿宋_GB2312"/>
          <w:sz w:val="32"/>
          <w:szCs w:val="32"/>
        </w:rPr>
      </w:pPr>
      <w:r>
        <w:rPr>
          <w:rFonts w:eastAsia="仿宋_GB2312"/>
          <w:sz w:val="32"/>
          <w:szCs w:val="32"/>
        </w:rPr>
        <w:t>经核查的非数据中心建筑面积、数据中心</w:t>
      </w:r>
      <w:r>
        <w:rPr>
          <w:rFonts w:hint="eastAsia" w:eastAsia="仿宋_GB2312"/>
          <w:sz w:val="32"/>
          <w:szCs w:val="32"/>
        </w:rPr>
        <w:t>总用电量、</w:t>
      </w:r>
      <w:r>
        <w:rPr>
          <w:rFonts w:eastAsia="仿宋_GB2312"/>
          <w:sz w:val="32"/>
          <w:szCs w:val="32"/>
        </w:rPr>
        <w:t>IT设备用电量与最终排放报告中数据一致。经核查的非数据中心建筑面积为xxx平方米</w:t>
      </w:r>
      <w:r>
        <w:rPr>
          <w:rFonts w:hint="eastAsia" w:eastAsia="仿宋_GB2312"/>
          <w:sz w:val="32"/>
          <w:szCs w:val="32"/>
        </w:rPr>
        <w:t>；xx个大型</w:t>
      </w:r>
      <w:r>
        <w:rPr>
          <w:rFonts w:eastAsia="仿宋_GB2312"/>
          <w:sz w:val="32"/>
          <w:szCs w:val="32"/>
        </w:rPr>
        <w:t>数据中心</w:t>
      </w:r>
      <w:r>
        <w:rPr>
          <w:rFonts w:hint="eastAsia" w:eastAsia="仿宋_GB2312"/>
          <w:sz w:val="32"/>
          <w:szCs w:val="32"/>
        </w:rPr>
        <w:t>总用电量为xxMWh，</w:t>
      </w:r>
      <w:r>
        <w:rPr>
          <w:rFonts w:eastAsia="仿宋_GB2312"/>
          <w:sz w:val="32"/>
          <w:szCs w:val="32"/>
        </w:rPr>
        <w:t>IT设备用电量为</w:t>
      </w:r>
      <w:r>
        <w:rPr>
          <w:rFonts w:hint="eastAsia" w:eastAsia="仿宋_GB2312"/>
          <w:sz w:val="32"/>
          <w:szCs w:val="32"/>
        </w:rPr>
        <w:t>xx</w:t>
      </w:r>
      <w:r>
        <w:rPr>
          <w:rFonts w:eastAsia="仿宋_GB2312"/>
          <w:sz w:val="32"/>
          <w:szCs w:val="32"/>
        </w:rPr>
        <w:t>MWh</w:t>
      </w:r>
      <w:r>
        <w:rPr>
          <w:rFonts w:hint="eastAsia" w:eastAsia="仿宋_GB2312"/>
          <w:sz w:val="32"/>
          <w:szCs w:val="32"/>
        </w:rPr>
        <w:t>；xx个中小型数据中心总用电量为xxMWh，IT设备用电量为xxMWh</w:t>
      </w:r>
      <w:r>
        <w:rPr>
          <w:rFonts w:eastAsia="仿宋_GB2312"/>
          <w:sz w:val="32"/>
          <w:szCs w:val="32"/>
        </w:rPr>
        <w:t>。</w:t>
      </w:r>
    </w:p>
    <w:p w14:paraId="1C319746">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14:paraId="22F74C41">
      <w:pPr>
        <w:spacing w:after="0" w:line="560" w:lineRule="exact"/>
        <w:ind w:firstLine="640" w:firstLineChars="200"/>
        <w:jc w:val="both"/>
        <w:rPr>
          <w:rFonts w:eastAsia="仿宋_GB2312"/>
          <w:sz w:val="32"/>
          <w:szCs w:val="32"/>
        </w:rPr>
      </w:pPr>
      <w:r>
        <w:rPr>
          <w:rFonts w:hint="eastAsia" w:eastAsia="仿宋_GB2312"/>
          <w:sz w:val="32"/>
          <w:szCs w:val="32"/>
        </w:rPr>
        <w:t>本年度</w:t>
      </w:r>
      <w:r>
        <w:rPr>
          <w:rFonts w:eastAsia="仿宋_GB2312"/>
          <w:sz w:val="32"/>
          <w:szCs w:val="32"/>
        </w:rPr>
        <w:t>排放量与上一年度排放量相比</w:t>
      </w:r>
      <w:r>
        <w:rPr>
          <w:rFonts w:hint="eastAsia" w:eastAsia="仿宋_GB2312"/>
          <w:sz w:val="32"/>
          <w:szCs w:val="32"/>
        </w:rPr>
        <w:t>增加</w:t>
      </w:r>
      <w:r>
        <w:rPr>
          <w:rFonts w:eastAsia="仿宋_GB2312"/>
          <w:sz w:val="32"/>
          <w:szCs w:val="32"/>
        </w:rPr>
        <w:t>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r>
        <w:rPr>
          <w:rFonts w:hint="eastAsia" w:eastAsia="仿宋_GB2312"/>
          <w:sz w:val="32"/>
          <w:szCs w:val="32"/>
        </w:rPr>
        <w:t>，导致排放量大幅上升。</w:t>
      </w:r>
    </w:p>
    <w:p w14:paraId="04120E48">
      <w:pPr>
        <w:spacing w:after="0" w:line="560" w:lineRule="exact"/>
        <w:ind w:firstLine="640" w:firstLineChars="200"/>
        <w:jc w:val="both"/>
        <w:rPr>
          <w:rFonts w:eastAsia="仿宋_GB2312"/>
          <w:sz w:val="32"/>
          <w:szCs w:val="32"/>
        </w:rPr>
      </w:pPr>
      <w:r>
        <w:rPr>
          <w:rFonts w:eastAsia="仿宋_GB2312"/>
          <w:sz w:val="32"/>
          <w:szCs w:val="32"/>
        </w:rPr>
        <w:t>本年度排放量与历史基准年份相比排放量增加5003.4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p>
    <w:p w14:paraId="3947E2C7">
      <w:pPr>
        <w:spacing w:after="0" w:line="560" w:lineRule="exact"/>
        <w:jc w:val="center"/>
        <w:rPr>
          <w:rFonts w:eastAsia="仿宋_GB2312"/>
          <w:sz w:val="32"/>
          <w:szCs w:val="32"/>
        </w:rPr>
      </w:pPr>
      <w:r>
        <w:rPr>
          <w:rFonts w:eastAsia="仿宋_GB2312"/>
          <w:sz w:val="24"/>
        </w:rPr>
        <w:t>表XX  排放量汇总表</w:t>
      </w:r>
    </w:p>
    <w:tbl>
      <w:tblPr>
        <w:tblStyle w:val="35"/>
        <w:tblW w:w="4999" w:type="pct"/>
        <w:tblInd w:w="0" w:type="dxa"/>
        <w:tblLayout w:type="autofit"/>
        <w:tblCellMar>
          <w:top w:w="0" w:type="dxa"/>
          <w:left w:w="108" w:type="dxa"/>
          <w:bottom w:w="0" w:type="dxa"/>
          <w:right w:w="108" w:type="dxa"/>
        </w:tblCellMar>
      </w:tblPr>
      <w:tblGrid>
        <w:gridCol w:w="1832"/>
        <w:gridCol w:w="1832"/>
        <w:gridCol w:w="2331"/>
        <w:gridCol w:w="2525"/>
      </w:tblGrid>
      <w:tr w14:paraId="057E88C7">
        <w:tblPrEx>
          <w:tblCellMar>
            <w:top w:w="0" w:type="dxa"/>
            <w:left w:w="108" w:type="dxa"/>
            <w:bottom w:w="0" w:type="dxa"/>
            <w:right w:w="108" w:type="dxa"/>
          </w:tblCellMar>
        </w:tblPrEx>
        <w:trPr>
          <w:trHeight w:val="1028" w:hRule="atLeast"/>
        </w:trPr>
        <w:tc>
          <w:tcPr>
            <w:tcW w:w="1075" w:type="pct"/>
            <w:tcBorders>
              <w:top w:val="single" w:color="auto" w:sz="4" w:space="0"/>
              <w:left w:val="single" w:color="auto" w:sz="4" w:space="0"/>
              <w:bottom w:val="single" w:color="auto" w:sz="4" w:space="0"/>
              <w:right w:val="single" w:color="auto" w:sz="4" w:space="0"/>
            </w:tcBorders>
            <w:vAlign w:val="center"/>
          </w:tcPr>
          <w:p w14:paraId="4DE4FA7D">
            <w:pPr>
              <w:jc w:val="center"/>
              <w:rPr>
                <w:rFonts w:eastAsia="仿宋_GB2312"/>
                <w:color w:val="000000"/>
                <w:sz w:val="24"/>
              </w:rPr>
            </w:pPr>
            <w:r>
              <w:rPr>
                <w:rFonts w:eastAsia="仿宋_GB2312"/>
                <w:color w:val="000000"/>
                <w:sz w:val="24"/>
              </w:rPr>
              <w:t>年度</w:t>
            </w:r>
          </w:p>
        </w:tc>
        <w:tc>
          <w:tcPr>
            <w:tcW w:w="1075" w:type="pct"/>
            <w:tcBorders>
              <w:top w:val="single" w:color="auto" w:sz="4" w:space="0"/>
              <w:left w:val="nil"/>
              <w:bottom w:val="single" w:color="auto" w:sz="4" w:space="0"/>
              <w:right w:val="single" w:color="auto" w:sz="4" w:space="0"/>
            </w:tcBorders>
            <w:vAlign w:val="center"/>
          </w:tcPr>
          <w:p w14:paraId="222C73E5">
            <w:pPr>
              <w:jc w:val="center"/>
              <w:rPr>
                <w:rFonts w:eastAsia="仿宋_GB2312"/>
                <w:color w:val="000000"/>
                <w:sz w:val="24"/>
              </w:rPr>
            </w:pPr>
            <w:r>
              <w:rPr>
                <w:rFonts w:eastAsia="仿宋_GB2312"/>
                <w:color w:val="000000"/>
                <w:sz w:val="24"/>
              </w:rPr>
              <w:t>直接排放量（tCO</w:t>
            </w:r>
            <w:r>
              <w:rPr>
                <w:rFonts w:eastAsia="仿宋_GB2312"/>
                <w:color w:val="000000"/>
                <w:sz w:val="24"/>
                <w:vertAlign w:val="subscript"/>
              </w:rPr>
              <w:t>2</w:t>
            </w:r>
            <w:r>
              <w:rPr>
                <w:rFonts w:eastAsia="仿宋_GB2312"/>
                <w:color w:val="000000"/>
                <w:sz w:val="24"/>
              </w:rPr>
              <w:t>）</w:t>
            </w:r>
          </w:p>
        </w:tc>
        <w:tc>
          <w:tcPr>
            <w:tcW w:w="1368" w:type="pct"/>
            <w:tcBorders>
              <w:top w:val="single" w:color="auto" w:sz="4" w:space="0"/>
              <w:left w:val="nil"/>
              <w:bottom w:val="single" w:color="auto" w:sz="4" w:space="0"/>
              <w:right w:val="single" w:color="auto" w:sz="4" w:space="0"/>
            </w:tcBorders>
            <w:vAlign w:val="center"/>
          </w:tcPr>
          <w:p w14:paraId="100C0FF1">
            <w:pPr>
              <w:jc w:val="center"/>
              <w:rPr>
                <w:rFonts w:eastAsia="仿宋_GB2312"/>
                <w:color w:val="000000"/>
                <w:sz w:val="24"/>
              </w:rPr>
            </w:pPr>
            <w:r>
              <w:rPr>
                <w:rFonts w:eastAsia="仿宋_GB2312"/>
                <w:color w:val="000000"/>
                <w:sz w:val="24"/>
              </w:rPr>
              <w:t>间接排放量（tCO</w:t>
            </w:r>
            <w:r>
              <w:rPr>
                <w:rFonts w:eastAsia="仿宋_GB2312"/>
                <w:color w:val="000000"/>
                <w:sz w:val="24"/>
                <w:vertAlign w:val="subscript"/>
              </w:rPr>
              <w:t>2</w:t>
            </w:r>
            <w:r>
              <w:rPr>
                <w:rFonts w:eastAsia="仿宋_GB2312"/>
                <w:color w:val="000000"/>
                <w:sz w:val="24"/>
              </w:rPr>
              <w:t>）</w:t>
            </w:r>
          </w:p>
        </w:tc>
        <w:tc>
          <w:tcPr>
            <w:tcW w:w="1482" w:type="pct"/>
            <w:tcBorders>
              <w:top w:val="single" w:color="auto" w:sz="4" w:space="0"/>
              <w:left w:val="nil"/>
              <w:bottom w:val="single" w:color="auto" w:sz="4" w:space="0"/>
              <w:right w:val="single" w:color="auto" w:sz="4" w:space="0"/>
            </w:tcBorders>
            <w:vAlign w:val="center"/>
          </w:tcPr>
          <w:p w14:paraId="5CFF17CB">
            <w:pPr>
              <w:jc w:val="center"/>
              <w:rPr>
                <w:rFonts w:eastAsia="仿宋_GB2312"/>
                <w:color w:val="000000"/>
                <w:sz w:val="24"/>
              </w:rPr>
            </w:pPr>
            <w:r>
              <w:rPr>
                <w:rFonts w:eastAsia="仿宋_GB2312"/>
                <w:color w:val="000000"/>
                <w:sz w:val="24"/>
              </w:rPr>
              <w:t>排放总量（tCO</w:t>
            </w:r>
            <w:r>
              <w:rPr>
                <w:rFonts w:eastAsia="仿宋_GB2312"/>
                <w:color w:val="000000"/>
                <w:sz w:val="24"/>
                <w:vertAlign w:val="subscript"/>
              </w:rPr>
              <w:t>2</w:t>
            </w:r>
            <w:r>
              <w:rPr>
                <w:rFonts w:eastAsia="仿宋_GB2312"/>
                <w:color w:val="000000"/>
                <w:sz w:val="24"/>
              </w:rPr>
              <w:t>）</w:t>
            </w:r>
          </w:p>
        </w:tc>
      </w:tr>
      <w:tr w14:paraId="4E8826BC">
        <w:tblPrEx>
          <w:tblCellMar>
            <w:top w:w="0" w:type="dxa"/>
            <w:left w:w="108" w:type="dxa"/>
            <w:bottom w:w="0" w:type="dxa"/>
            <w:right w:w="108" w:type="dxa"/>
          </w:tblCellMar>
        </w:tblPrEx>
        <w:trPr>
          <w:trHeight w:val="547" w:hRule="atLeast"/>
        </w:trPr>
        <w:tc>
          <w:tcPr>
            <w:tcW w:w="1075" w:type="pct"/>
            <w:tcBorders>
              <w:top w:val="nil"/>
              <w:left w:val="single" w:color="auto" w:sz="4" w:space="0"/>
              <w:bottom w:val="single" w:color="auto" w:sz="4" w:space="0"/>
              <w:right w:val="single" w:color="auto" w:sz="4" w:space="0"/>
            </w:tcBorders>
            <w:noWrap/>
            <w:vAlign w:val="center"/>
          </w:tcPr>
          <w:p w14:paraId="2CBEED2B">
            <w:pPr>
              <w:jc w:val="center"/>
              <w:rPr>
                <w:rFonts w:eastAsia="仿宋_GB2312"/>
                <w:color w:val="000000"/>
                <w:sz w:val="24"/>
              </w:rPr>
            </w:pPr>
            <w:r>
              <w:rPr>
                <w:rFonts w:eastAsia="仿宋_GB2312"/>
                <w:color w:val="000000"/>
                <w:sz w:val="24"/>
              </w:rPr>
              <w:t>2016</w:t>
            </w:r>
          </w:p>
        </w:tc>
        <w:tc>
          <w:tcPr>
            <w:tcW w:w="1075" w:type="pct"/>
            <w:tcBorders>
              <w:top w:val="nil"/>
              <w:left w:val="nil"/>
              <w:bottom w:val="single" w:color="auto" w:sz="4" w:space="0"/>
              <w:right w:val="single" w:color="auto" w:sz="4" w:space="0"/>
            </w:tcBorders>
            <w:noWrap/>
            <w:vAlign w:val="center"/>
          </w:tcPr>
          <w:p w14:paraId="2C134B36">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nil"/>
              <w:left w:val="nil"/>
              <w:bottom w:val="single" w:color="auto" w:sz="4" w:space="0"/>
              <w:right w:val="single" w:color="auto" w:sz="4" w:space="0"/>
            </w:tcBorders>
            <w:noWrap/>
            <w:vAlign w:val="center"/>
          </w:tcPr>
          <w:p w14:paraId="06AD51B1">
            <w:pPr>
              <w:jc w:val="center"/>
              <w:textAlignment w:val="center"/>
              <w:rPr>
                <w:rFonts w:eastAsia="仿宋_GB2312" w:cs="Calibri"/>
                <w:color w:val="000000"/>
                <w:sz w:val="24"/>
              </w:rPr>
            </w:pPr>
            <w:r>
              <w:rPr>
                <w:rFonts w:eastAsia="仿宋_GB2312" w:cs="Calibri"/>
                <w:color w:val="000000"/>
                <w:sz w:val="24"/>
              </w:rPr>
              <w:t>8248.15</w:t>
            </w:r>
          </w:p>
        </w:tc>
        <w:tc>
          <w:tcPr>
            <w:tcW w:w="1482" w:type="pct"/>
            <w:tcBorders>
              <w:top w:val="nil"/>
              <w:left w:val="nil"/>
              <w:bottom w:val="single" w:color="auto" w:sz="4" w:space="0"/>
              <w:right w:val="single" w:color="auto" w:sz="4" w:space="0"/>
            </w:tcBorders>
            <w:vAlign w:val="center"/>
          </w:tcPr>
          <w:p w14:paraId="4080B738">
            <w:pPr>
              <w:jc w:val="center"/>
              <w:textAlignment w:val="center"/>
              <w:rPr>
                <w:rFonts w:eastAsia="仿宋_GB2312" w:cs="Calibri"/>
                <w:color w:val="000000"/>
                <w:sz w:val="24"/>
              </w:rPr>
            </w:pPr>
            <w:r>
              <w:rPr>
                <w:rFonts w:eastAsia="仿宋_GB2312" w:cs="Calibri"/>
                <w:color w:val="000000"/>
                <w:sz w:val="24"/>
              </w:rPr>
              <w:t>8248.15</w:t>
            </w:r>
          </w:p>
        </w:tc>
      </w:tr>
      <w:tr w14:paraId="7735B249">
        <w:tblPrEx>
          <w:tblCellMar>
            <w:top w:w="0" w:type="dxa"/>
            <w:left w:w="108" w:type="dxa"/>
            <w:bottom w:w="0" w:type="dxa"/>
            <w:right w:w="108" w:type="dxa"/>
          </w:tblCellMar>
        </w:tblPrEx>
        <w:trPr>
          <w:trHeight w:val="347" w:hRule="atLeast"/>
        </w:trPr>
        <w:tc>
          <w:tcPr>
            <w:tcW w:w="1075" w:type="pct"/>
            <w:tcBorders>
              <w:top w:val="nil"/>
              <w:left w:val="single" w:color="auto" w:sz="4" w:space="0"/>
              <w:bottom w:val="single" w:color="auto" w:sz="4" w:space="0"/>
              <w:right w:val="single" w:color="auto" w:sz="4" w:space="0"/>
            </w:tcBorders>
            <w:noWrap/>
            <w:vAlign w:val="center"/>
          </w:tcPr>
          <w:p w14:paraId="02B6B46A">
            <w:pPr>
              <w:jc w:val="center"/>
              <w:rPr>
                <w:rFonts w:eastAsia="仿宋_GB2312"/>
                <w:color w:val="000000"/>
                <w:sz w:val="24"/>
              </w:rPr>
            </w:pPr>
            <w:r>
              <w:rPr>
                <w:rFonts w:eastAsia="仿宋_GB2312"/>
                <w:color w:val="000000"/>
                <w:sz w:val="24"/>
              </w:rPr>
              <w:t>2017</w:t>
            </w:r>
          </w:p>
        </w:tc>
        <w:tc>
          <w:tcPr>
            <w:tcW w:w="1075" w:type="pct"/>
            <w:tcBorders>
              <w:top w:val="nil"/>
              <w:left w:val="nil"/>
              <w:bottom w:val="single" w:color="auto" w:sz="4" w:space="0"/>
              <w:right w:val="single" w:color="auto" w:sz="4" w:space="0"/>
            </w:tcBorders>
            <w:noWrap/>
            <w:vAlign w:val="center"/>
          </w:tcPr>
          <w:p w14:paraId="0A58C211">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nil"/>
              <w:left w:val="nil"/>
              <w:bottom w:val="single" w:color="auto" w:sz="4" w:space="0"/>
              <w:right w:val="single" w:color="auto" w:sz="4" w:space="0"/>
            </w:tcBorders>
            <w:noWrap/>
            <w:vAlign w:val="center"/>
          </w:tcPr>
          <w:p w14:paraId="0BE21276">
            <w:pPr>
              <w:jc w:val="center"/>
              <w:textAlignment w:val="center"/>
              <w:rPr>
                <w:rFonts w:eastAsia="仿宋_GB2312" w:cs="Calibri"/>
                <w:color w:val="000000"/>
                <w:sz w:val="24"/>
              </w:rPr>
            </w:pPr>
            <w:r>
              <w:rPr>
                <w:rFonts w:eastAsia="仿宋_GB2312" w:cs="Calibri"/>
                <w:color w:val="000000"/>
                <w:sz w:val="24"/>
              </w:rPr>
              <w:t>8683.15</w:t>
            </w:r>
          </w:p>
        </w:tc>
        <w:tc>
          <w:tcPr>
            <w:tcW w:w="1482" w:type="pct"/>
            <w:tcBorders>
              <w:top w:val="nil"/>
              <w:left w:val="nil"/>
              <w:bottom w:val="single" w:color="auto" w:sz="4" w:space="0"/>
              <w:right w:val="single" w:color="auto" w:sz="4" w:space="0"/>
            </w:tcBorders>
            <w:vAlign w:val="center"/>
          </w:tcPr>
          <w:p w14:paraId="3A92B224">
            <w:pPr>
              <w:jc w:val="center"/>
              <w:textAlignment w:val="center"/>
              <w:rPr>
                <w:rFonts w:eastAsia="仿宋_GB2312" w:cs="Calibri"/>
                <w:color w:val="000000"/>
                <w:sz w:val="24"/>
              </w:rPr>
            </w:pPr>
            <w:r>
              <w:rPr>
                <w:rFonts w:eastAsia="仿宋_GB2312" w:cs="Calibri"/>
                <w:color w:val="000000"/>
                <w:sz w:val="24"/>
              </w:rPr>
              <w:t>8683.15</w:t>
            </w:r>
          </w:p>
        </w:tc>
      </w:tr>
      <w:tr w14:paraId="3BF1061E">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14:paraId="13E1F44E">
            <w:pPr>
              <w:jc w:val="center"/>
              <w:rPr>
                <w:rFonts w:eastAsia="仿宋_GB2312"/>
                <w:color w:val="000000"/>
                <w:sz w:val="24"/>
              </w:rPr>
            </w:pPr>
            <w:r>
              <w:rPr>
                <w:rFonts w:eastAsia="仿宋_GB2312"/>
                <w:color w:val="000000"/>
                <w:sz w:val="24"/>
              </w:rPr>
              <w:t>2018</w:t>
            </w:r>
          </w:p>
        </w:tc>
        <w:tc>
          <w:tcPr>
            <w:tcW w:w="1075" w:type="pct"/>
            <w:tcBorders>
              <w:top w:val="single" w:color="auto" w:sz="4" w:space="0"/>
              <w:left w:val="nil"/>
              <w:bottom w:val="single" w:color="auto" w:sz="4" w:space="0"/>
              <w:right w:val="single" w:color="auto" w:sz="4" w:space="0"/>
            </w:tcBorders>
            <w:noWrap/>
            <w:vAlign w:val="center"/>
          </w:tcPr>
          <w:p w14:paraId="37816E2A">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14:paraId="41FA83C3">
            <w:pPr>
              <w:jc w:val="center"/>
              <w:textAlignment w:val="center"/>
              <w:rPr>
                <w:rFonts w:eastAsia="仿宋_GB2312" w:cs="Calibri"/>
                <w:color w:val="000000"/>
                <w:sz w:val="24"/>
              </w:rPr>
            </w:pPr>
            <w:r>
              <w:rPr>
                <w:rFonts w:eastAsia="仿宋_GB2312" w:cs="Calibri"/>
                <w:color w:val="000000"/>
                <w:sz w:val="24"/>
              </w:rPr>
              <w:t>10252.96</w:t>
            </w:r>
          </w:p>
        </w:tc>
        <w:tc>
          <w:tcPr>
            <w:tcW w:w="1482" w:type="pct"/>
            <w:tcBorders>
              <w:top w:val="single" w:color="auto" w:sz="4" w:space="0"/>
              <w:left w:val="nil"/>
              <w:bottom w:val="single" w:color="auto" w:sz="4" w:space="0"/>
              <w:right w:val="single" w:color="auto" w:sz="4" w:space="0"/>
            </w:tcBorders>
            <w:vAlign w:val="center"/>
          </w:tcPr>
          <w:p w14:paraId="18423676">
            <w:pPr>
              <w:jc w:val="center"/>
              <w:textAlignment w:val="center"/>
              <w:rPr>
                <w:rFonts w:eastAsia="仿宋_GB2312" w:cs="Calibri"/>
                <w:color w:val="000000"/>
                <w:sz w:val="24"/>
              </w:rPr>
            </w:pPr>
            <w:r>
              <w:rPr>
                <w:rFonts w:eastAsia="仿宋_GB2312" w:cs="Calibri"/>
                <w:color w:val="000000"/>
                <w:sz w:val="24"/>
              </w:rPr>
              <w:t>10252.96</w:t>
            </w:r>
          </w:p>
        </w:tc>
      </w:tr>
      <w:tr w14:paraId="46AA4C85">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14:paraId="13208366">
            <w:pPr>
              <w:jc w:val="center"/>
              <w:rPr>
                <w:rFonts w:eastAsia="仿宋_GB2312"/>
                <w:color w:val="000000"/>
                <w:sz w:val="24"/>
              </w:rPr>
            </w:pPr>
            <w:r>
              <w:rPr>
                <w:rFonts w:eastAsia="仿宋_GB2312"/>
                <w:color w:val="000000"/>
                <w:sz w:val="24"/>
              </w:rPr>
              <w:t>2019</w:t>
            </w:r>
          </w:p>
        </w:tc>
        <w:tc>
          <w:tcPr>
            <w:tcW w:w="1075" w:type="pct"/>
            <w:tcBorders>
              <w:top w:val="single" w:color="auto" w:sz="4" w:space="0"/>
              <w:left w:val="nil"/>
              <w:bottom w:val="single" w:color="auto" w:sz="4" w:space="0"/>
              <w:right w:val="single" w:color="auto" w:sz="4" w:space="0"/>
            </w:tcBorders>
            <w:noWrap/>
            <w:vAlign w:val="center"/>
          </w:tcPr>
          <w:p w14:paraId="656CAE7B">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14:paraId="66FBD183">
            <w:pPr>
              <w:jc w:val="center"/>
              <w:textAlignment w:val="center"/>
              <w:rPr>
                <w:rFonts w:eastAsia="仿宋_GB2312" w:cs="Calibri"/>
                <w:color w:val="000000"/>
                <w:sz w:val="24"/>
              </w:rPr>
            </w:pPr>
            <w:bookmarkStart w:id="20" w:name="_Hlk34841875"/>
            <w:r>
              <w:rPr>
                <w:rFonts w:eastAsia="仿宋_GB2312" w:cs="Calibri"/>
                <w:color w:val="000000"/>
                <w:sz w:val="24"/>
              </w:rPr>
              <w:t>15256.41</w:t>
            </w:r>
            <w:bookmarkEnd w:id="20"/>
          </w:p>
        </w:tc>
        <w:tc>
          <w:tcPr>
            <w:tcW w:w="1482" w:type="pct"/>
            <w:tcBorders>
              <w:top w:val="single" w:color="auto" w:sz="4" w:space="0"/>
              <w:left w:val="nil"/>
              <w:bottom w:val="single" w:color="auto" w:sz="4" w:space="0"/>
              <w:right w:val="single" w:color="auto" w:sz="4" w:space="0"/>
            </w:tcBorders>
            <w:vAlign w:val="center"/>
          </w:tcPr>
          <w:p w14:paraId="181B79B2">
            <w:pPr>
              <w:jc w:val="center"/>
              <w:textAlignment w:val="center"/>
              <w:rPr>
                <w:rFonts w:eastAsia="仿宋_GB2312" w:cs="Calibri"/>
                <w:color w:val="000000"/>
                <w:sz w:val="24"/>
              </w:rPr>
            </w:pPr>
            <w:r>
              <w:rPr>
                <w:rFonts w:eastAsia="仿宋_GB2312" w:cs="Calibri"/>
                <w:color w:val="000000"/>
                <w:sz w:val="24"/>
              </w:rPr>
              <w:t>15256.41</w:t>
            </w:r>
          </w:p>
        </w:tc>
      </w:tr>
      <w:tr w14:paraId="60095ADD">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14:paraId="4C688140">
            <w:pPr>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075" w:type="pct"/>
            <w:tcBorders>
              <w:top w:val="single" w:color="auto" w:sz="4" w:space="0"/>
              <w:left w:val="nil"/>
              <w:bottom w:val="single" w:color="auto" w:sz="4" w:space="0"/>
              <w:right w:val="single" w:color="auto" w:sz="4" w:space="0"/>
            </w:tcBorders>
            <w:noWrap/>
            <w:vAlign w:val="center"/>
          </w:tcPr>
          <w:p w14:paraId="7927CA59">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14:paraId="6A64B4DA">
            <w:pPr>
              <w:jc w:val="center"/>
              <w:textAlignment w:val="center"/>
              <w:rPr>
                <w:rFonts w:eastAsia="仿宋_GB2312" w:cs="Calibri"/>
                <w:color w:val="000000"/>
                <w:sz w:val="24"/>
              </w:rPr>
            </w:pPr>
            <w:r>
              <w:rPr>
                <w:rFonts w:eastAsia="仿宋_GB2312" w:cs="Calibri"/>
                <w:color w:val="000000"/>
                <w:sz w:val="24"/>
              </w:rPr>
              <w:t>15256.41</w:t>
            </w:r>
          </w:p>
        </w:tc>
        <w:tc>
          <w:tcPr>
            <w:tcW w:w="1482" w:type="pct"/>
            <w:tcBorders>
              <w:top w:val="single" w:color="auto" w:sz="4" w:space="0"/>
              <w:left w:val="nil"/>
              <w:bottom w:val="single" w:color="auto" w:sz="4" w:space="0"/>
              <w:right w:val="single" w:color="auto" w:sz="4" w:space="0"/>
            </w:tcBorders>
            <w:vAlign w:val="center"/>
          </w:tcPr>
          <w:p w14:paraId="4CA8B7A6">
            <w:pPr>
              <w:jc w:val="center"/>
              <w:textAlignment w:val="center"/>
              <w:rPr>
                <w:rFonts w:eastAsia="仿宋_GB2312" w:cs="Calibri"/>
                <w:color w:val="000000"/>
                <w:sz w:val="24"/>
              </w:rPr>
            </w:pPr>
            <w:r>
              <w:rPr>
                <w:rFonts w:eastAsia="仿宋_GB2312" w:cs="Calibri"/>
                <w:color w:val="000000"/>
                <w:sz w:val="24"/>
              </w:rPr>
              <w:t>15256.41</w:t>
            </w:r>
          </w:p>
        </w:tc>
      </w:tr>
    </w:tbl>
    <w:p w14:paraId="15584EF5">
      <w:pPr>
        <w:jc w:val="center"/>
      </w:pPr>
      <w:r>
        <w:rPr>
          <w:lang w:val="en-US"/>
        </w:rPr>
        <w:drawing>
          <wp:inline distT="0" distB="0" distL="0" distR="0">
            <wp:extent cx="4568825" cy="2740025"/>
            <wp:effectExtent l="0" t="0" r="3175" b="317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EB0A04">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020年度）</w:t>
      </w:r>
    </w:p>
    <w:p w14:paraId="3CD26EBE">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14:paraId="2F1BD961">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14:paraId="67A886DE">
      <w:pPr>
        <w:spacing w:after="0" w:line="560" w:lineRule="exact"/>
        <w:ind w:firstLine="640" w:firstLineChars="200"/>
        <w:jc w:val="both"/>
        <w:rPr>
          <w:rFonts w:eastAsia="仿宋_GB2312"/>
          <w:sz w:val="32"/>
          <w:szCs w:val="32"/>
        </w:rPr>
      </w:pPr>
      <w:r>
        <w:rPr>
          <w:rFonts w:eastAsia="仿宋_GB2312"/>
          <w:sz w:val="32"/>
          <w:szCs w:val="32"/>
        </w:rPr>
        <w:t>排放单位核算和报告边界为北京市辖区内经营</w:t>
      </w:r>
      <w:r>
        <w:rPr>
          <w:rFonts w:hint="eastAsia" w:eastAsia="仿宋_GB2312"/>
          <w:sz w:val="32"/>
          <w:szCs w:val="32"/>
        </w:rPr>
        <w:t>的</w:t>
      </w:r>
      <w:r>
        <w:rPr>
          <w:rFonts w:eastAsia="仿宋_GB2312"/>
          <w:sz w:val="32"/>
          <w:szCs w:val="32"/>
        </w:rPr>
        <w:t>办公网点</w:t>
      </w:r>
      <w:r>
        <w:rPr>
          <w:rFonts w:hint="eastAsia" w:eastAsia="仿宋_GB2312"/>
          <w:sz w:val="32"/>
          <w:szCs w:val="32"/>
        </w:rPr>
        <w:t>，包括</w:t>
      </w:r>
      <w:r>
        <w:rPr>
          <w:rFonts w:eastAsia="仿宋_GB2312"/>
          <w:sz w:val="32"/>
          <w:szCs w:val="32"/>
        </w:rPr>
        <w:t>xxx</w:t>
      </w:r>
      <w:r>
        <w:rPr>
          <w:rFonts w:hint="eastAsia" w:eastAsia="仿宋_GB2312"/>
          <w:sz w:val="32"/>
          <w:szCs w:val="32"/>
        </w:rPr>
        <w:t>个支行及位于xx的办公大楼，建筑面积共计xxx平方米，还包括xx个大型数据中心，xx个中小型数据中心。与上年度相比，增加xx个支行及位于xxx的办公区域；与历史基准年相比，增加xx个支行及位于xxx的办公区域。</w:t>
      </w:r>
    </w:p>
    <w:p w14:paraId="78CFA2F5">
      <w:pPr>
        <w:spacing w:after="0" w:line="560" w:lineRule="exact"/>
        <w:ind w:left="440" w:leftChars="200"/>
        <w:jc w:val="both"/>
        <w:rPr>
          <w:rFonts w:eastAsia="仿宋_GB2312"/>
          <w:sz w:val="32"/>
          <w:szCs w:val="32"/>
        </w:rPr>
      </w:pPr>
      <w:r>
        <w:rPr>
          <w:rFonts w:hint="eastAsia" w:eastAsia="仿宋_GB2312"/>
          <w:sz w:val="32"/>
          <w:szCs w:val="32"/>
        </w:rPr>
        <w:t>4.2</w:t>
      </w:r>
      <w:r>
        <w:rPr>
          <w:rFonts w:eastAsia="仿宋_GB2312"/>
          <w:sz w:val="32"/>
          <w:szCs w:val="32"/>
        </w:rPr>
        <w:t>本年度排放设施的变化</w:t>
      </w:r>
    </w:p>
    <w:p w14:paraId="5B395BD8">
      <w:pPr>
        <w:spacing w:after="0" w:line="560" w:lineRule="exact"/>
        <w:ind w:firstLine="465"/>
        <w:jc w:val="both"/>
        <w:rPr>
          <w:rFonts w:eastAsia="仿宋_GB2312"/>
          <w:sz w:val="32"/>
          <w:szCs w:val="32"/>
        </w:rPr>
      </w:pPr>
      <w:r>
        <w:rPr>
          <w:rFonts w:eastAsia="仿宋_GB2312"/>
          <w:sz w:val="32"/>
          <w:szCs w:val="32"/>
        </w:rPr>
        <w:t>排放单位2018年存在</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xx支行3个支行截至2018年底运行时间均不足12个月，符合调整既有设施排放配额的申请条件，此信息供既有设施调整配额参考。</w:t>
      </w:r>
    </w:p>
    <w:p w14:paraId="7B475ABC">
      <w:pPr>
        <w:spacing w:after="0" w:line="560" w:lineRule="exact"/>
        <w:ind w:firstLine="465"/>
        <w:jc w:val="both"/>
        <w:rPr>
          <w:rFonts w:eastAsia="仿宋_GB2312"/>
          <w:sz w:val="32"/>
          <w:szCs w:val="32"/>
        </w:rPr>
      </w:pPr>
      <w:r>
        <w:rPr>
          <w:rFonts w:eastAsia="仿宋_GB2312"/>
          <w:sz w:val="32"/>
          <w:szCs w:val="32"/>
        </w:rPr>
        <w:t>本年度既有设施退出数量为1个，xxxx支行于2017年4月5日停止营业。</w:t>
      </w:r>
    </w:p>
    <w:p w14:paraId="659F9D1F">
      <w:pPr>
        <w:spacing w:after="0" w:line="560" w:lineRule="exact"/>
        <w:jc w:val="center"/>
        <w:rPr>
          <w:rFonts w:eastAsia="仿宋_GB2312"/>
          <w:sz w:val="24"/>
        </w:rPr>
      </w:pPr>
      <w:r>
        <w:rPr>
          <w:rFonts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73"/>
        <w:gridCol w:w="1112"/>
        <w:gridCol w:w="709"/>
        <w:gridCol w:w="943"/>
        <w:gridCol w:w="1100"/>
        <w:gridCol w:w="1143"/>
        <w:gridCol w:w="1143"/>
        <w:gridCol w:w="1143"/>
      </w:tblGrid>
      <w:tr w14:paraId="6DCC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7EF32652">
            <w:pPr>
              <w:jc w:val="center"/>
              <w:rPr>
                <w:rFonts w:eastAsia="仿宋_GB2312"/>
                <w:sz w:val="24"/>
              </w:rPr>
            </w:pPr>
            <w:r>
              <w:rPr>
                <w:rFonts w:eastAsia="仿宋_GB2312"/>
                <w:sz w:val="24"/>
              </w:rPr>
              <w:t>序号</w:t>
            </w:r>
          </w:p>
        </w:tc>
        <w:tc>
          <w:tcPr>
            <w:tcW w:w="773" w:type="dxa"/>
            <w:vMerge w:val="restart"/>
            <w:vAlign w:val="center"/>
          </w:tcPr>
          <w:p w14:paraId="0E259D8B">
            <w:pPr>
              <w:jc w:val="center"/>
              <w:rPr>
                <w:rFonts w:eastAsia="仿宋_GB2312"/>
                <w:sz w:val="24"/>
              </w:rPr>
            </w:pPr>
            <w:r>
              <w:rPr>
                <w:rFonts w:eastAsia="仿宋_GB2312"/>
                <w:sz w:val="24"/>
              </w:rPr>
              <w:t>既有设施名称</w:t>
            </w:r>
          </w:p>
        </w:tc>
        <w:tc>
          <w:tcPr>
            <w:tcW w:w="1112" w:type="dxa"/>
            <w:vMerge w:val="restart"/>
            <w:vAlign w:val="center"/>
          </w:tcPr>
          <w:p w14:paraId="21B4E257">
            <w:pPr>
              <w:jc w:val="center"/>
              <w:rPr>
                <w:rFonts w:eastAsia="仿宋_GB2312"/>
                <w:sz w:val="24"/>
              </w:rPr>
            </w:pPr>
            <w:r>
              <w:rPr>
                <w:rFonts w:eastAsia="仿宋_GB2312"/>
                <w:sz w:val="24"/>
              </w:rPr>
              <w:t>既有设施对应其它生产信息（如适用）</w:t>
            </w:r>
          </w:p>
        </w:tc>
        <w:tc>
          <w:tcPr>
            <w:tcW w:w="709" w:type="dxa"/>
            <w:vMerge w:val="restart"/>
            <w:vAlign w:val="center"/>
          </w:tcPr>
          <w:p w14:paraId="1E2DD680">
            <w:pPr>
              <w:jc w:val="center"/>
              <w:rPr>
                <w:rFonts w:eastAsia="仿宋_GB2312"/>
                <w:sz w:val="24"/>
              </w:rPr>
            </w:pPr>
            <w:r>
              <w:rPr>
                <w:rFonts w:eastAsia="仿宋_GB2312"/>
                <w:sz w:val="24"/>
              </w:rPr>
              <w:t>退出时间</w:t>
            </w:r>
          </w:p>
        </w:tc>
        <w:tc>
          <w:tcPr>
            <w:tcW w:w="943" w:type="dxa"/>
            <w:vMerge w:val="restart"/>
            <w:vAlign w:val="center"/>
          </w:tcPr>
          <w:p w14:paraId="2828AE37">
            <w:pPr>
              <w:jc w:val="center"/>
              <w:rPr>
                <w:rFonts w:eastAsia="仿宋_GB2312"/>
                <w:sz w:val="24"/>
              </w:rPr>
            </w:pPr>
            <w:r>
              <w:rPr>
                <w:rFonts w:eastAsia="仿宋_GB2312"/>
                <w:sz w:val="24"/>
              </w:rPr>
              <w:t>是否由新增设施替代</w:t>
            </w:r>
          </w:p>
        </w:tc>
        <w:tc>
          <w:tcPr>
            <w:tcW w:w="1100" w:type="dxa"/>
            <w:vMerge w:val="restart"/>
            <w:tcBorders>
              <w:right w:val="single" w:color="auto" w:sz="4" w:space="0"/>
            </w:tcBorders>
            <w:vAlign w:val="center"/>
          </w:tcPr>
          <w:p w14:paraId="3648FCD3">
            <w:pPr>
              <w:jc w:val="center"/>
              <w:rPr>
                <w:rFonts w:eastAsia="仿宋_GB2312"/>
                <w:sz w:val="24"/>
              </w:rPr>
            </w:pPr>
            <w:r>
              <w:rPr>
                <w:rFonts w:eastAsia="仿宋_GB2312"/>
                <w:sz w:val="24"/>
              </w:rPr>
              <w:t>年度</w:t>
            </w:r>
          </w:p>
        </w:tc>
        <w:tc>
          <w:tcPr>
            <w:tcW w:w="3429" w:type="dxa"/>
            <w:gridSpan w:val="3"/>
            <w:tcBorders>
              <w:left w:val="single" w:color="auto" w:sz="4" w:space="0"/>
            </w:tcBorders>
            <w:vAlign w:val="center"/>
          </w:tcPr>
          <w:p w14:paraId="70CF6747">
            <w:pPr>
              <w:jc w:val="center"/>
              <w:rPr>
                <w:rFonts w:eastAsia="仿宋_GB2312"/>
                <w:sz w:val="24"/>
              </w:rPr>
            </w:pPr>
            <w:r>
              <w:rPr>
                <w:rFonts w:eastAsia="仿宋_GB2312"/>
                <w:sz w:val="24"/>
              </w:rPr>
              <w:t>历史年度排放量</w:t>
            </w:r>
          </w:p>
        </w:tc>
      </w:tr>
      <w:tr w14:paraId="1BDF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753C2DA7">
            <w:pPr>
              <w:jc w:val="center"/>
              <w:rPr>
                <w:rFonts w:eastAsia="仿宋_GB2312"/>
                <w:sz w:val="24"/>
              </w:rPr>
            </w:pPr>
          </w:p>
        </w:tc>
        <w:tc>
          <w:tcPr>
            <w:tcW w:w="773" w:type="dxa"/>
            <w:vMerge w:val="continue"/>
            <w:vAlign w:val="center"/>
          </w:tcPr>
          <w:p w14:paraId="5F63843E">
            <w:pPr>
              <w:jc w:val="center"/>
              <w:rPr>
                <w:rFonts w:eastAsia="仿宋_GB2312"/>
                <w:sz w:val="24"/>
              </w:rPr>
            </w:pPr>
          </w:p>
        </w:tc>
        <w:tc>
          <w:tcPr>
            <w:tcW w:w="1112" w:type="dxa"/>
            <w:vMerge w:val="continue"/>
            <w:vAlign w:val="center"/>
          </w:tcPr>
          <w:p w14:paraId="6CBD9B97">
            <w:pPr>
              <w:jc w:val="center"/>
              <w:rPr>
                <w:rFonts w:eastAsia="仿宋_GB2312"/>
                <w:sz w:val="24"/>
              </w:rPr>
            </w:pPr>
          </w:p>
        </w:tc>
        <w:tc>
          <w:tcPr>
            <w:tcW w:w="709" w:type="dxa"/>
            <w:vMerge w:val="continue"/>
            <w:vAlign w:val="center"/>
          </w:tcPr>
          <w:p w14:paraId="7D7398B3">
            <w:pPr>
              <w:jc w:val="center"/>
              <w:rPr>
                <w:rFonts w:eastAsia="仿宋_GB2312"/>
                <w:sz w:val="24"/>
              </w:rPr>
            </w:pPr>
          </w:p>
        </w:tc>
        <w:tc>
          <w:tcPr>
            <w:tcW w:w="943" w:type="dxa"/>
            <w:vMerge w:val="continue"/>
            <w:vAlign w:val="center"/>
          </w:tcPr>
          <w:p w14:paraId="61F231D0">
            <w:pPr>
              <w:jc w:val="center"/>
              <w:rPr>
                <w:rFonts w:eastAsia="仿宋_GB2312"/>
                <w:sz w:val="24"/>
              </w:rPr>
            </w:pPr>
          </w:p>
        </w:tc>
        <w:tc>
          <w:tcPr>
            <w:tcW w:w="1100" w:type="dxa"/>
            <w:vMerge w:val="continue"/>
            <w:tcBorders>
              <w:right w:val="single" w:color="auto" w:sz="4" w:space="0"/>
            </w:tcBorders>
            <w:vAlign w:val="center"/>
          </w:tcPr>
          <w:p w14:paraId="7B47262B">
            <w:pPr>
              <w:jc w:val="center"/>
              <w:rPr>
                <w:rFonts w:eastAsia="仿宋_GB2312"/>
                <w:sz w:val="24"/>
              </w:rPr>
            </w:pPr>
          </w:p>
        </w:tc>
        <w:tc>
          <w:tcPr>
            <w:tcW w:w="1143" w:type="dxa"/>
            <w:tcBorders>
              <w:left w:val="single" w:color="auto" w:sz="4" w:space="0"/>
            </w:tcBorders>
            <w:vAlign w:val="center"/>
          </w:tcPr>
          <w:p w14:paraId="4EA4915F">
            <w:pPr>
              <w:jc w:val="center"/>
              <w:rPr>
                <w:rFonts w:eastAsia="仿宋_GB2312"/>
                <w:sz w:val="24"/>
              </w:rPr>
            </w:pPr>
            <w:r>
              <w:rPr>
                <w:rFonts w:eastAsia="仿宋_GB2312"/>
                <w:sz w:val="24"/>
              </w:rPr>
              <w:t>直接排放量</w:t>
            </w:r>
          </w:p>
          <w:p w14:paraId="2FE57022">
            <w:pPr>
              <w:jc w:val="center"/>
              <w:rPr>
                <w:rFonts w:eastAsia="仿宋_GB2312"/>
                <w:sz w:val="24"/>
              </w:rPr>
            </w:pPr>
            <w:r>
              <w:rPr>
                <w:rFonts w:eastAsia="仿宋_GB2312"/>
                <w:sz w:val="24"/>
              </w:rPr>
              <w:t>（tCO</w:t>
            </w:r>
            <w:r>
              <w:rPr>
                <w:rFonts w:eastAsia="仿宋_GB2312"/>
                <w:sz w:val="24"/>
                <w:vertAlign w:val="subscript"/>
              </w:rPr>
              <w:t>2</w:t>
            </w:r>
            <w:r>
              <w:rPr>
                <w:rFonts w:eastAsia="仿宋_GB2312"/>
                <w:sz w:val="24"/>
              </w:rPr>
              <w:t>）</w:t>
            </w:r>
          </w:p>
        </w:tc>
        <w:tc>
          <w:tcPr>
            <w:tcW w:w="1143" w:type="dxa"/>
            <w:vAlign w:val="center"/>
          </w:tcPr>
          <w:p w14:paraId="6D983D86">
            <w:pPr>
              <w:jc w:val="center"/>
              <w:rPr>
                <w:rFonts w:eastAsia="仿宋_GB2312"/>
                <w:sz w:val="24"/>
              </w:rPr>
            </w:pPr>
            <w:r>
              <w:rPr>
                <w:rFonts w:eastAsia="仿宋_GB2312"/>
                <w:sz w:val="24"/>
              </w:rPr>
              <w:t>间接排放量（tCO</w:t>
            </w:r>
            <w:r>
              <w:rPr>
                <w:rFonts w:eastAsia="仿宋_GB2312"/>
                <w:sz w:val="24"/>
                <w:vertAlign w:val="subscript"/>
              </w:rPr>
              <w:t>2</w:t>
            </w:r>
            <w:r>
              <w:rPr>
                <w:rFonts w:eastAsia="仿宋_GB2312"/>
                <w:sz w:val="24"/>
              </w:rPr>
              <w:t>）</w:t>
            </w:r>
          </w:p>
        </w:tc>
        <w:tc>
          <w:tcPr>
            <w:tcW w:w="1143" w:type="dxa"/>
            <w:vAlign w:val="center"/>
          </w:tcPr>
          <w:p w14:paraId="3CE6A9DF">
            <w:pPr>
              <w:jc w:val="center"/>
              <w:rPr>
                <w:rFonts w:eastAsia="仿宋_GB2312"/>
                <w:sz w:val="24"/>
              </w:rPr>
            </w:pPr>
            <w:r>
              <w:rPr>
                <w:rFonts w:eastAsia="仿宋_GB2312"/>
                <w:sz w:val="24"/>
              </w:rPr>
              <w:t>总排放量（tCO</w:t>
            </w:r>
            <w:r>
              <w:rPr>
                <w:rFonts w:eastAsia="仿宋_GB2312"/>
                <w:sz w:val="24"/>
                <w:vertAlign w:val="subscript"/>
              </w:rPr>
              <w:t>2</w:t>
            </w:r>
            <w:r>
              <w:rPr>
                <w:rFonts w:eastAsia="仿宋_GB2312"/>
                <w:sz w:val="24"/>
              </w:rPr>
              <w:t>）</w:t>
            </w:r>
          </w:p>
        </w:tc>
      </w:tr>
      <w:tr w14:paraId="4BC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4911B899">
            <w:pPr>
              <w:jc w:val="center"/>
              <w:rPr>
                <w:rFonts w:eastAsia="仿宋_GB2312"/>
                <w:sz w:val="24"/>
              </w:rPr>
            </w:pPr>
            <w:r>
              <w:rPr>
                <w:rFonts w:eastAsia="仿宋_GB2312"/>
                <w:sz w:val="24"/>
              </w:rPr>
              <w:t>1</w:t>
            </w:r>
          </w:p>
        </w:tc>
        <w:tc>
          <w:tcPr>
            <w:tcW w:w="773" w:type="dxa"/>
            <w:vMerge w:val="restart"/>
            <w:vAlign w:val="center"/>
          </w:tcPr>
          <w:p w14:paraId="25AB2869">
            <w:pPr>
              <w:jc w:val="center"/>
              <w:rPr>
                <w:rFonts w:eastAsia="仿宋_GB2312"/>
                <w:sz w:val="24"/>
              </w:rPr>
            </w:pPr>
            <w:r>
              <w:rPr>
                <w:rFonts w:eastAsia="仿宋_GB2312"/>
                <w:sz w:val="24"/>
              </w:rPr>
              <w:t>xxx支行</w:t>
            </w:r>
          </w:p>
        </w:tc>
        <w:tc>
          <w:tcPr>
            <w:tcW w:w="1112" w:type="dxa"/>
            <w:vMerge w:val="restart"/>
            <w:vAlign w:val="center"/>
          </w:tcPr>
          <w:p w14:paraId="46C3F035">
            <w:pPr>
              <w:jc w:val="center"/>
              <w:rPr>
                <w:rFonts w:eastAsia="仿宋_GB2312"/>
                <w:sz w:val="24"/>
              </w:rPr>
            </w:pPr>
            <w:r>
              <w:rPr>
                <w:rFonts w:eastAsia="仿宋_GB2312"/>
                <w:sz w:val="24"/>
              </w:rPr>
              <w:t>建筑面积：xxx平方米</w:t>
            </w:r>
          </w:p>
        </w:tc>
        <w:tc>
          <w:tcPr>
            <w:tcW w:w="709" w:type="dxa"/>
            <w:vMerge w:val="restart"/>
            <w:vAlign w:val="center"/>
          </w:tcPr>
          <w:p w14:paraId="7CDD542E">
            <w:pPr>
              <w:jc w:val="center"/>
              <w:rPr>
                <w:rFonts w:eastAsia="仿宋_GB2312"/>
                <w:sz w:val="24"/>
              </w:rPr>
            </w:pPr>
            <w:r>
              <w:rPr>
                <w:rFonts w:eastAsia="仿宋_GB2312"/>
                <w:sz w:val="24"/>
              </w:rPr>
              <w:t>2017</w:t>
            </w:r>
          </w:p>
        </w:tc>
        <w:tc>
          <w:tcPr>
            <w:tcW w:w="943" w:type="dxa"/>
            <w:vMerge w:val="restart"/>
            <w:vAlign w:val="center"/>
          </w:tcPr>
          <w:p w14:paraId="4EAA5632">
            <w:pPr>
              <w:jc w:val="center"/>
              <w:rPr>
                <w:rFonts w:eastAsia="仿宋_GB2312"/>
                <w:sz w:val="24"/>
              </w:rPr>
            </w:pPr>
            <w:r>
              <w:rPr>
                <w:rFonts w:eastAsia="仿宋_GB2312"/>
                <w:sz w:val="24"/>
              </w:rPr>
              <w:t>否</w:t>
            </w:r>
          </w:p>
        </w:tc>
        <w:tc>
          <w:tcPr>
            <w:tcW w:w="1100" w:type="dxa"/>
            <w:tcBorders>
              <w:right w:val="single" w:color="auto" w:sz="4" w:space="0"/>
            </w:tcBorders>
          </w:tcPr>
          <w:p w14:paraId="78EF194E">
            <w:pPr>
              <w:rPr>
                <w:rFonts w:eastAsia="仿宋_GB2312"/>
                <w:sz w:val="24"/>
              </w:rPr>
            </w:pPr>
            <w:r>
              <w:rPr>
                <w:rFonts w:eastAsia="仿宋_GB2312"/>
                <w:sz w:val="24"/>
              </w:rPr>
              <w:t>2016年</w:t>
            </w:r>
          </w:p>
        </w:tc>
        <w:tc>
          <w:tcPr>
            <w:tcW w:w="1143" w:type="dxa"/>
            <w:tcBorders>
              <w:left w:val="single" w:color="auto" w:sz="4" w:space="0"/>
            </w:tcBorders>
          </w:tcPr>
          <w:p w14:paraId="06BCC631">
            <w:pPr>
              <w:jc w:val="center"/>
              <w:rPr>
                <w:rFonts w:eastAsia="仿宋_GB2312"/>
                <w:sz w:val="24"/>
              </w:rPr>
            </w:pPr>
            <w:r>
              <w:rPr>
                <w:rFonts w:eastAsia="仿宋_GB2312"/>
                <w:sz w:val="24"/>
              </w:rPr>
              <w:t>0</w:t>
            </w:r>
          </w:p>
        </w:tc>
        <w:tc>
          <w:tcPr>
            <w:tcW w:w="1143" w:type="dxa"/>
            <w:vAlign w:val="bottom"/>
          </w:tcPr>
          <w:p w14:paraId="35D0749A">
            <w:pPr>
              <w:jc w:val="center"/>
              <w:rPr>
                <w:rFonts w:eastAsia="仿宋_GB2312"/>
                <w:sz w:val="24"/>
              </w:rPr>
            </w:pPr>
            <w:r>
              <w:rPr>
                <w:rFonts w:hint="eastAsia" w:eastAsia="仿宋_GB2312"/>
                <w:sz w:val="24"/>
              </w:rPr>
              <w:t>37.5</w:t>
            </w:r>
          </w:p>
        </w:tc>
        <w:tc>
          <w:tcPr>
            <w:tcW w:w="1143" w:type="dxa"/>
            <w:vAlign w:val="bottom"/>
          </w:tcPr>
          <w:p w14:paraId="7C0B8A9B">
            <w:pPr>
              <w:jc w:val="center"/>
              <w:rPr>
                <w:rFonts w:eastAsia="仿宋_GB2312"/>
                <w:sz w:val="24"/>
              </w:rPr>
            </w:pPr>
            <w:r>
              <w:rPr>
                <w:rFonts w:hint="eastAsia" w:eastAsia="仿宋_GB2312"/>
                <w:sz w:val="24"/>
              </w:rPr>
              <w:t>37.5</w:t>
            </w:r>
          </w:p>
        </w:tc>
      </w:tr>
      <w:tr w14:paraId="2AFA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77BFFE96">
            <w:pPr>
              <w:rPr>
                <w:rFonts w:eastAsia="仿宋_GB2312"/>
                <w:sz w:val="24"/>
              </w:rPr>
            </w:pPr>
          </w:p>
        </w:tc>
        <w:tc>
          <w:tcPr>
            <w:tcW w:w="773" w:type="dxa"/>
            <w:vMerge w:val="continue"/>
          </w:tcPr>
          <w:p w14:paraId="3AE0916C">
            <w:pPr>
              <w:rPr>
                <w:rFonts w:eastAsia="仿宋_GB2312"/>
                <w:sz w:val="24"/>
              </w:rPr>
            </w:pPr>
          </w:p>
        </w:tc>
        <w:tc>
          <w:tcPr>
            <w:tcW w:w="1112" w:type="dxa"/>
            <w:vMerge w:val="continue"/>
          </w:tcPr>
          <w:p w14:paraId="7E08C7A2">
            <w:pPr>
              <w:rPr>
                <w:rFonts w:eastAsia="仿宋_GB2312"/>
                <w:sz w:val="24"/>
              </w:rPr>
            </w:pPr>
          </w:p>
        </w:tc>
        <w:tc>
          <w:tcPr>
            <w:tcW w:w="709" w:type="dxa"/>
            <w:vMerge w:val="continue"/>
          </w:tcPr>
          <w:p w14:paraId="1B1F17EA">
            <w:pPr>
              <w:rPr>
                <w:rFonts w:eastAsia="仿宋_GB2312"/>
                <w:sz w:val="24"/>
              </w:rPr>
            </w:pPr>
          </w:p>
        </w:tc>
        <w:tc>
          <w:tcPr>
            <w:tcW w:w="943" w:type="dxa"/>
            <w:vMerge w:val="continue"/>
          </w:tcPr>
          <w:p w14:paraId="0938A90D">
            <w:pPr>
              <w:rPr>
                <w:rFonts w:eastAsia="仿宋_GB2312"/>
                <w:sz w:val="24"/>
              </w:rPr>
            </w:pPr>
          </w:p>
        </w:tc>
        <w:tc>
          <w:tcPr>
            <w:tcW w:w="1100" w:type="dxa"/>
            <w:tcBorders>
              <w:right w:val="single" w:color="auto" w:sz="4" w:space="0"/>
            </w:tcBorders>
          </w:tcPr>
          <w:p w14:paraId="168CB4D1">
            <w:pPr>
              <w:rPr>
                <w:rFonts w:eastAsia="仿宋_GB2312"/>
                <w:sz w:val="24"/>
              </w:rPr>
            </w:pPr>
            <w:r>
              <w:rPr>
                <w:rFonts w:eastAsia="仿宋_GB2312"/>
                <w:sz w:val="24"/>
              </w:rPr>
              <w:t>2017年</w:t>
            </w:r>
          </w:p>
        </w:tc>
        <w:tc>
          <w:tcPr>
            <w:tcW w:w="1143" w:type="dxa"/>
            <w:tcBorders>
              <w:left w:val="single" w:color="auto" w:sz="4" w:space="0"/>
            </w:tcBorders>
          </w:tcPr>
          <w:p w14:paraId="492E290A">
            <w:pPr>
              <w:jc w:val="center"/>
              <w:rPr>
                <w:rFonts w:eastAsia="仿宋_GB2312"/>
                <w:sz w:val="24"/>
              </w:rPr>
            </w:pPr>
            <w:r>
              <w:rPr>
                <w:rFonts w:eastAsia="仿宋_GB2312"/>
                <w:sz w:val="24"/>
              </w:rPr>
              <w:t>0</w:t>
            </w:r>
          </w:p>
        </w:tc>
        <w:tc>
          <w:tcPr>
            <w:tcW w:w="1143" w:type="dxa"/>
            <w:vAlign w:val="bottom"/>
          </w:tcPr>
          <w:p w14:paraId="034A86C1">
            <w:pPr>
              <w:jc w:val="center"/>
              <w:rPr>
                <w:rFonts w:eastAsia="仿宋_GB2312"/>
                <w:sz w:val="24"/>
              </w:rPr>
            </w:pPr>
            <w:r>
              <w:rPr>
                <w:rFonts w:hint="eastAsia" w:eastAsia="仿宋_GB2312"/>
                <w:sz w:val="24"/>
              </w:rPr>
              <w:t>22.32</w:t>
            </w:r>
          </w:p>
        </w:tc>
        <w:tc>
          <w:tcPr>
            <w:tcW w:w="1143" w:type="dxa"/>
            <w:vAlign w:val="bottom"/>
          </w:tcPr>
          <w:p w14:paraId="5AEEBEF5">
            <w:pPr>
              <w:jc w:val="center"/>
              <w:rPr>
                <w:rFonts w:eastAsia="仿宋_GB2312"/>
                <w:sz w:val="24"/>
              </w:rPr>
            </w:pPr>
            <w:r>
              <w:rPr>
                <w:rFonts w:hint="eastAsia" w:eastAsia="仿宋_GB2312"/>
                <w:sz w:val="24"/>
              </w:rPr>
              <w:t>22.32</w:t>
            </w:r>
          </w:p>
        </w:tc>
      </w:tr>
      <w:tr w14:paraId="557C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44F9B6F5">
            <w:pPr>
              <w:rPr>
                <w:rFonts w:eastAsia="仿宋_GB2312"/>
                <w:sz w:val="24"/>
              </w:rPr>
            </w:pPr>
          </w:p>
        </w:tc>
        <w:tc>
          <w:tcPr>
            <w:tcW w:w="773" w:type="dxa"/>
            <w:vMerge w:val="continue"/>
          </w:tcPr>
          <w:p w14:paraId="668BC36D">
            <w:pPr>
              <w:rPr>
                <w:rFonts w:eastAsia="仿宋_GB2312"/>
                <w:sz w:val="24"/>
              </w:rPr>
            </w:pPr>
          </w:p>
        </w:tc>
        <w:tc>
          <w:tcPr>
            <w:tcW w:w="1112" w:type="dxa"/>
            <w:vMerge w:val="continue"/>
          </w:tcPr>
          <w:p w14:paraId="07CF277A">
            <w:pPr>
              <w:rPr>
                <w:rFonts w:eastAsia="仿宋_GB2312"/>
                <w:sz w:val="24"/>
              </w:rPr>
            </w:pPr>
          </w:p>
        </w:tc>
        <w:tc>
          <w:tcPr>
            <w:tcW w:w="709" w:type="dxa"/>
            <w:vMerge w:val="continue"/>
          </w:tcPr>
          <w:p w14:paraId="4A1ED6A3">
            <w:pPr>
              <w:rPr>
                <w:rFonts w:eastAsia="仿宋_GB2312"/>
                <w:sz w:val="24"/>
              </w:rPr>
            </w:pPr>
          </w:p>
        </w:tc>
        <w:tc>
          <w:tcPr>
            <w:tcW w:w="943" w:type="dxa"/>
            <w:vMerge w:val="continue"/>
          </w:tcPr>
          <w:p w14:paraId="79B57321">
            <w:pPr>
              <w:rPr>
                <w:rFonts w:eastAsia="仿宋_GB2312"/>
                <w:sz w:val="24"/>
              </w:rPr>
            </w:pPr>
          </w:p>
        </w:tc>
        <w:tc>
          <w:tcPr>
            <w:tcW w:w="1100" w:type="dxa"/>
            <w:tcBorders>
              <w:right w:val="single" w:color="auto" w:sz="4" w:space="0"/>
            </w:tcBorders>
          </w:tcPr>
          <w:p w14:paraId="170CEB72">
            <w:pPr>
              <w:rPr>
                <w:rFonts w:eastAsia="仿宋_GB2312"/>
                <w:sz w:val="24"/>
              </w:rPr>
            </w:pPr>
            <w:r>
              <w:rPr>
                <w:rFonts w:eastAsia="仿宋_GB2312"/>
                <w:sz w:val="24"/>
              </w:rPr>
              <w:t>2018年</w:t>
            </w:r>
          </w:p>
        </w:tc>
        <w:tc>
          <w:tcPr>
            <w:tcW w:w="1143" w:type="dxa"/>
            <w:tcBorders>
              <w:left w:val="single" w:color="auto" w:sz="4" w:space="0"/>
            </w:tcBorders>
            <w:vAlign w:val="center"/>
          </w:tcPr>
          <w:p w14:paraId="204F6D7C">
            <w:pPr>
              <w:jc w:val="center"/>
              <w:rPr>
                <w:rFonts w:eastAsia="仿宋_GB2312"/>
                <w:sz w:val="24"/>
              </w:rPr>
            </w:pPr>
            <w:r>
              <w:rPr>
                <w:rFonts w:hint="eastAsia" w:eastAsia="仿宋_GB2312"/>
                <w:sz w:val="24"/>
              </w:rPr>
              <w:t>/</w:t>
            </w:r>
          </w:p>
        </w:tc>
        <w:tc>
          <w:tcPr>
            <w:tcW w:w="1143" w:type="dxa"/>
            <w:vAlign w:val="center"/>
          </w:tcPr>
          <w:p w14:paraId="08D96918">
            <w:pPr>
              <w:jc w:val="center"/>
              <w:rPr>
                <w:rFonts w:eastAsia="仿宋_GB2312"/>
                <w:sz w:val="24"/>
              </w:rPr>
            </w:pPr>
            <w:r>
              <w:rPr>
                <w:rFonts w:hint="eastAsia" w:eastAsia="仿宋_GB2312"/>
                <w:sz w:val="24"/>
              </w:rPr>
              <w:t>/</w:t>
            </w:r>
          </w:p>
        </w:tc>
        <w:tc>
          <w:tcPr>
            <w:tcW w:w="1143" w:type="dxa"/>
            <w:vAlign w:val="center"/>
          </w:tcPr>
          <w:p w14:paraId="054A2FEF">
            <w:pPr>
              <w:jc w:val="center"/>
              <w:rPr>
                <w:rFonts w:eastAsia="仿宋_GB2312"/>
                <w:sz w:val="24"/>
              </w:rPr>
            </w:pPr>
            <w:r>
              <w:rPr>
                <w:rFonts w:hint="eastAsia" w:eastAsia="仿宋_GB2312"/>
                <w:sz w:val="24"/>
              </w:rPr>
              <w:t>/</w:t>
            </w:r>
          </w:p>
        </w:tc>
      </w:tr>
    </w:tbl>
    <w:p w14:paraId="3E2AC7ED">
      <w:pPr>
        <w:spacing w:after="0" w:line="560" w:lineRule="exact"/>
        <w:ind w:firstLine="465"/>
        <w:rPr>
          <w:rFonts w:eastAsia="仿宋_GB2312"/>
          <w:sz w:val="32"/>
          <w:szCs w:val="32"/>
        </w:rPr>
      </w:pPr>
      <w:r>
        <w:rPr>
          <w:rFonts w:eastAsia="仿宋_GB2312"/>
          <w:sz w:val="32"/>
          <w:szCs w:val="32"/>
        </w:rPr>
        <w:t>排放单位新增</w:t>
      </w:r>
      <w:r>
        <w:rPr>
          <w:rFonts w:hint="eastAsia" w:eastAsia="仿宋_GB2312"/>
          <w:sz w:val="32"/>
          <w:szCs w:val="32"/>
        </w:rPr>
        <w:t>2</w:t>
      </w:r>
      <w:r>
        <w:rPr>
          <w:rFonts w:eastAsia="仿宋_GB2312"/>
          <w:sz w:val="32"/>
          <w:szCs w:val="32"/>
        </w:rPr>
        <w:t>个支行及</w:t>
      </w:r>
      <w:r>
        <w:rPr>
          <w:rFonts w:hint="eastAsia" w:eastAsia="仿宋_GB2312"/>
          <w:sz w:val="32"/>
          <w:szCs w:val="32"/>
        </w:rPr>
        <w:t>1</w:t>
      </w:r>
      <w:r>
        <w:rPr>
          <w:rFonts w:eastAsia="仿宋_GB2312"/>
          <w:sz w:val="32"/>
          <w:szCs w:val="32"/>
        </w:rPr>
        <w:t>处办公区域，具体新增及其排放量见下表：</w:t>
      </w:r>
    </w:p>
    <w:p w14:paraId="4A8673E6">
      <w:pPr>
        <w:spacing w:after="0" w:line="560" w:lineRule="exact"/>
        <w:jc w:val="center"/>
        <w:rPr>
          <w:rFonts w:eastAsia="仿宋_GB2312"/>
          <w:sz w:val="24"/>
        </w:rPr>
      </w:pPr>
    </w:p>
    <w:p w14:paraId="1E7CA16D">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09"/>
        <w:gridCol w:w="3162"/>
        <w:gridCol w:w="1285"/>
        <w:gridCol w:w="1116"/>
        <w:gridCol w:w="1290"/>
      </w:tblGrid>
      <w:tr w14:paraId="5B1B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23C0B44E">
            <w:pPr>
              <w:tabs>
                <w:tab w:val="left" w:pos="1701"/>
              </w:tabs>
              <w:jc w:val="center"/>
              <w:rPr>
                <w:rFonts w:eastAsia="仿宋_GB2312"/>
                <w:color w:val="000000"/>
                <w:sz w:val="24"/>
              </w:rPr>
            </w:pPr>
            <w:r>
              <w:rPr>
                <w:rFonts w:eastAsia="仿宋_GB2312"/>
                <w:color w:val="000000"/>
                <w:sz w:val="24"/>
              </w:rPr>
              <w:t>序号</w:t>
            </w:r>
          </w:p>
        </w:tc>
        <w:tc>
          <w:tcPr>
            <w:tcW w:w="592" w:type="pct"/>
            <w:vAlign w:val="center"/>
          </w:tcPr>
          <w:p w14:paraId="0C6E06A5">
            <w:pPr>
              <w:tabs>
                <w:tab w:val="left" w:pos="1701"/>
              </w:tabs>
              <w:jc w:val="center"/>
              <w:rPr>
                <w:rFonts w:eastAsia="仿宋_GB2312"/>
                <w:color w:val="000000"/>
                <w:sz w:val="24"/>
              </w:rPr>
            </w:pPr>
            <w:r>
              <w:rPr>
                <w:rFonts w:eastAsia="仿宋_GB2312"/>
                <w:color w:val="000000"/>
                <w:sz w:val="24"/>
              </w:rPr>
              <w:t>设施新增年份</w:t>
            </w:r>
          </w:p>
        </w:tc>
        <w:tc>
          <w:tcPr>
            <w:tcW w:w="1856" w:type="pct"/>
            <w:vAlign w:val="center"/>
          </w:tcPr>
          <w:p w14:paraId="7B8894E7">
            <w:pPr>
              <w:tabs>
                <w:tab w:val="left" w:pos="1701"/>
              </w:tabs>
              <w:jc w:val="center"/>
              <w:rPr>
                <w:rFonts w:eastAsia="仿宋_GB2312"/>
                <w:color w:val="000000"/>
                <w:sz w:val="24"/>
              </w:rPr>
            </w:pPr>
            <w:r>
              <w:rPr>
                <w:rFonts w:eastAsia="仿宋_GB2312"/>
                <w:color w:val="000000"/>
                <w:sz w:val="24"/>
              </w:rPr>
              <w:t>新增设施类型</w:t>
            </w:r>
          </w:p>
        </w:tc>
        <w:tc>
          <w:tcPr>
            <w:tcW w:w="754" w:type="pct"/>
            <w:vAlign w:val="center"/>
          </w:tcPr>
          <w:p w14:paraId="046B9BBD">
            <w:pPr>
              <w:tabs>
                <w:tab w:val="left" w:pos="1701"/>
              </w:tabs>
              <w:jc w:val="center"/>
              <w:rPr>
                <w:rFonts w:eastAsia="仿宋_GB2312"/>
                <w:color w:val="000000"/>
                <w:sz w:val="24"/>
              </w:rPr>
            </w:pPr>
            <w:r>
              <w:rPr>
                <w:rFonts w:eastAsia="仿宋_GB2312"/>
                <w:color w:val="000000"/>
                <w:sz w:val="24"/>
              </w:rPr>
              <w:t>是否替代既有设施，被替代既有设施类型</w:t>
            </w:r>
          </w:p>
        </w:tc>
        <w:tc>
          <w:tcPr>
            <w:tcW w:w="655" w:type="pct"/>
            <w:vAlign w:val="center"/>
          </w:tcPr>
          <w:p w14:paraId="2D519EBA">
            <w:pPr>
              <w:tabs>
                <w:tab w:val="left" w:pos="1701"/>
              </w:tabs>
              <w:jc w:val="center"/>
              <w:rPr>
                <w:rFonts w:eastAsia="仿宋_GB2312"/>
                <w:color w:val="000000"/>
                <w:sz w:val="24"/>
              </w:rPr>
            </w:pPr>
            <w:r>
              <w:rPr>
                <w:rFonts w:eastAsia="仿宋_GB2312"/>
                <w:color w:val="000000"/>
                <w:sz w:val="24"/>
              </w:rPr>
              <w:t>新增设施排放量（吨）</w:t>
            </w:r>
          </w:p>
        </w:tc>
        <w:tc>
          <w:tcPr>
            <w:tcW w:w="757" w:type="pct"/>
            <w:vAlign w:val="center"/>
          </w:tcPr>
          <w:p w14:paraId="38FB4AB4">
            <w:pPr>
              <w:tabs>
                <w:tab w:val="left" w:pos="1701"/>
              </w:tabs>
              <w:jc w:val="center"/>
              <w:rPr>
                <w:rFonts w:eastAsia="仿宋_GB2312"/>
                <w:color w:val="000000"/>
                <w:sz w:val="24"/>
              </w:rPr>
            </w:pPr>
            <w:r>
              <w:rPr>
                <w:rFonts w:eastAsia="仿宋_GB2312"/>
                <w:color w:val="000000"/>
                <w:sz w:val="24"/>
              </w:rPr>
              <w:t>新增替代既有设施排放量（吨）</w:t>
            </w:r>
          </w:p>
        </w:tc>
      </w:tr>
      <w:tr w14:paraId="6EAD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402B0EB5">
            <w:pPr>
              <w:jc w:val="center"/>
              <w:rPr>
                <w:rFonts w:eastAsia="仿宋_GB2312"/>
                <w:color w:val="000000"/>
                <w:sz w:val="24"/>
              </w:rPr>
            </w:pPr>
            <w:r>
              <w:rPr>
                <w:rFonts w:eastAsia="仿宋_GB2312"/>
                <w:color w:val="000000"/>
                <w:sz w:val="24"/>
              </w:rPr>
              <w:t>1</w:t>
            </w:r>
          </w:p>
        </w:tc>
        <w:tc>
          <w:tcPr>
            <w:tcW w:w="592" w:type="pct"/>
            <w:vAlign w:val="center"/>
          </w:tcPr>
          <w:p w14:paraId="2DCED6D0">
            <w:pPr>
              <w:jc w:val="center"/>
              <w:rPr>
                <w:rFonts w:eastAsia="仿宋_GB2312"/>
                <w:sz w:val="24"/>
              </w:rPr>
            </w:pPr>
            <w:r>
              <w:rPr>
                <w:rFonts w:eastAsia="仿宋_GB2312"/>
                <w:sz w:val="24"/>
              </w:rPr>
              <w:t>2019</w:t>
            </w:r>
          </w:p>
        </w:tc>
        <w:tc>
          <w:tcPr>
            <w:tcW w:w="1856" w:type="pct"/>
            <w:vAlign w:val="center"/>
          </w:tcPr>
          <w:p w14:paraId="301D33B6">
            <w:pPr>
              <w:rPr>
                <w:rFonts w:eastAsia="仿宋_GB2312"/>
                <w:sz w:val="24"/>
              </w:rPr>
            </w:pPr>
            <w:r>
              <w:rPr>
                <w:rFonts w:eastAsia="仿宋_GB2312"/>
                <w:sz w:val="24"/>
              </w:rPr>
              <w:t>支行2个：xxx支行、xx大厦支行</w:t>
            </w:r>
          </w:p>
        </w:tc>
        <w:tc>
          <w:tcPr>
            <w:tcW w:w="754" w:type="pct"/>
            <w:vAlign w:val="center"/>
          </w:tcPr>
          <w:p w14:paraId="375DB214">
            <w:pPr>
              <w:jc w:val="center"/>
              <w:rPr>
                <w:rFonts w:eastAsia="仿宋_GB2312"/>
                <w:sz w:val="24"/>
              </w:rPr>
            </w:pPr>
            <w:r>
              <w:rPr>
                <w:rFonts w:eastAsia="仿宋_GB2312"/>
                <w:sz w:val="24"/>
              </w:rPr>
              <w:t>否</w:t>
            </w:r>
          </w:p>
        </w:tc>
        <w:tc>
          <w:tcPr>
            <w:tcW w:w="655" w:type="pct"/>
            <w:vAlign w:val="center"/>
          </w:tcPr>
          <w:p w14:paraId="41338742">
            <w:pPr>
              <w:jc w:val="center"/>
              <w:rPr>
                <w:rFonts w:eastAsia="仿宋_GB2312"/>
                <w:sz w:val="24"/>
              </w:rPr>
            </w:pPr>
            <w:r>
              <w:rPr>
                <w:rFonts w:eastAsia="仿宋_GB2312"/>
                <w:sz w:val="24"/>
              </w:rPr>
              <w:t>228.41</w:t>
            </w:r>
          </w:p>
        </w:tc>
        <w:tc>
          <w:tcPr>
            <w:tcW w:w="757" w:type="pct"/>
            <w:vAlign w:val="center"/>
          </w:tcPr>
          <w:p w14:paraId="31471F57">
            <w:pPr>
              <w:jc w:val="center"/>
              <w:rPr>
                <w:rFonts w:eastAsia="仿宋_GB2312"/>
                <w:sz w:val="24"/>
              </w:rPr>
            </w:pPr>
            <w:r>
              <w:rPr>
                <w:rFonts w:eastAsia="仿宋_GB2312"/>
                <w:sz w:val="24"/>
              </w:rPr>
              <w:t>/</w:t>
            </w:r>
          </w:p>
        </w:tc>
      </w:tr>
      <w:tr w14:paraId="0E5E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034938D6">
            <w:pPr>
              <w:jc w:val="center"/>
              <w:rPr>
                <w:rFonts w:eastAsia="仿宋_GB2312"/>
                <w:color w:val="000000"/>
                <w:sz w:val="24"/>
              </w:rPr>
            </w:pPr>
            <w:r>
              <w:rPr>
                <w:rFonts w:eastAsia="仿宋_GB2312"/>
                <w:color w:val="000000"/>
                <w:sz w:val="24"/>
              </w:rPr>
              <w:t>2</w:t>
            </w:r>
          </w:p>
        </w:tc>
        <w:tc>
          <w:tcPr>
            <w:tcW w:w="592" w:type="pct"/>
            <w:vAlign w:val="center"/>
          </w:tcPr>
          <w:p w14:paraId="2C427BD5">
            <w:pPr>
              <w:jc w:val="center"/>
              <w:rPr>
                <w:rFonts w:eastAsia="仿宋_GB2312"/>
                <w:sz w:val="24"/>
              </w:rPr>
            </w:pPr>
            <w:r>
              <w:rPr>
                <w:rFonts w:eastAsia="仿宋_GB2312"/>
                <w:sz w:val="24"/>
              </w:rPr>
              <w:t>2020</w:t>
            </w:r>
          </w:p>
        </w:tc>
        <w:tc>
          <w:tcPr>
            <w:tcW w:w="1856" w:type="pct"/>
            <w:vAlign w:val="center"/>
          </w:tcPr>
          <w:p w14:paraId="6B7EDD3F">
            <w:pPr>
              <w:rPr>
                <w:rFonts w:eastAsia="仿宋_GB2312"/>
                <w:sz w:val="24"/>
              </w:rPr>
            </w:pPr>
            <w:r>
              <w:rPr>
                <w:rFonts w:eastAsia="仿宋_GB2312"/>
                <w:sz w:val="24"/>
              </w:rPr>
              <w:t>1处办公区域：分行月坛大厦办公区域</w:t>
            </w:r>
          </w:p>
        </w:tc>
        <w:tc>
          <w:tcPr>
            <w:tcW w:w="754" w:type="pct"/>
            <w:vAlign w:val="center"/>
          </w:tcPr>
          <w:p w14:paraId="145473D5">
            <w:pPr>
              <w:jc w:val="center"/>
              <w:rPr>
                <w:rFonts w:eastAsia="仿宋_GB2312"/>
                <w:sz w:val="24"/>
              </w:rPr>
            </w:pPr>
            <w:r>
              <w:rPr>
                <w:rFonts w:eastAsia="仿宋_GB2312"/>
                <w:sz w:val="24"/>
              </w:rPr>
              <w:t>否</w:t>
            </w:r>
          </w:p>
        </w:tc>
        <w:tc>
          <w:tcPr>
            <w:tcW w:w="655" w:type="pct"/>
            <w:vAlign w:val="center"/>
          </w:tcPr>
          <w:p w14:paraId="0920D8E2">
            <w:pPr>
              <w:jc w:val="center"/>
              <w:rPr>
                <w:rFonts w:eastAsia="仿宋_GB2312"/>
                <w:sz w:val="24"/>
              </w:rPr>
            </w:pPr>
            <w:r>
              <w:rPr>
                <w:rFonts w:eastAsia="仿宋_GB2312"/>
                <w:sz w:val="24"/>
              </w:rPr>
              <w:t>5343.50</w:t>
            </w:r>
          </w:p>
        </w:tc>
        <w:tc>
          <w:tcPr>
            <w:tcW w:w="757" w:type="pct"/>
            <w:vAlign w:val="center"/>
          </w:tcPr>
          <w:p w14:paraId="0F211ABF">
            <w:pPr>
              <w:jc w:val="center"/>
              <w:rPr>
                <w:rFonts w:eastAsia="仿宋_GB2312"/>
                <w:sz w:val="24"/>
              </w:rPr>
            </w:pPr>
            <w:r>
              <w:rPr>
                <w:rFonts w:eastAsia="仿宋_GB2312"/>
                <w:sz w:val="24"/>
              </w:rPr>
              <w:t>/</w:t>
            </w:r>
          </w:p>
        </w:tc>
      </w:tr>
      <w:tr w14:paraId="335D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5CBEE63D">
            <w:pPr>
              <w:jc w:val="center"/>
              <w:rPr>
                <w:rFonts w:eastAsia="仿宋_GB2312"/>
                <w:sz w:val="24"/>
              </w:rPr>
            </w:pPr>
            <w:r>
              <w:rPr>
                <w:rFonts w:eastAsia="仿宋_GB2312"/>
                <w:color w:val="000000"/>
                <w:sz w:val="24"/>
              </w:rPr>
              <w:t>合计</w:t>
            </w:r>
          </w:p>
        </w:tc>
        <w:tc>
          <w:tcPr>
            <w:tcW w:w="592" w:type="pct"/>
            <w:vAlign w:val="center"/>
          </w:tcPr>
          <w:p w14:paraId="562D5BAC">
            <w:pPr>
              <w:jc w:val="center"/>
              <w:rPr>
                <w:rFonts w:eastAsia="仿宋_GB2312"/>
                <w:sz w:val="24"/>
              </w:rPr>
            </w:pPr>
          </w:p>
        </w:tc>
        <w:tc>
          <w:tcPr>
            <w:tcW w:w="1856" w:type="pct"/>
            <w:vAlign w:val="center"/>
          </w:tcPr>
          <w:p w14:paraId="0FEF625A">
            <w:pPr>
              <w:jc w:val="center"/>
              <w:rPr>
                <w:rFonts w:eastAsia="仿宋_GB2312"/>
                <w:sz w:val="24"/>
              </w:rPr>
            </w:pPr>
          </w:p>
        </w:tc>
        <w:tc>
          <w:tcPr>
            <w:tcW w:w="754" w:type="pct"/>
            <w:vAlign w:val="center"/>
          </w:tcPr>
          <w:p w14:paraId="73AB778E">
            <w:pPr>
              <w:jc w:val="center"/>
              <w:rPr>
                <w:rFonts w:eastAsia="仿宋_GB2312"/>
                <w:sz w:val="24"/>
              </w:rPr>
            </w:pPr>
          </w:p>
        </w:tc>
        <w:tc>
          <w:tcPr>
            <w:tcW w:w="655" w:type="pct"/>
            <w:vAlign w:val="center"/>
          </w:tcPr>
          <w:p w14:paraId="0ED5E4C5">
            <w:pPr>
              <w:jc w:val="center"/>
              <w:rPr>
                <w:rFonts w:eastAsia="仿宋_GB2312"/>
                <w:sz w:val="24"/>
              </w:rPr>
            </w:pPr>
            <w:r>
              <w:rPr>
                <w:rFonts w:eastAsia="仿宋_GB2312"/>
                <w:sz w:val="24"/>
              </w:rPr>
              <w:t>5571.90</w:t>
            </w:r>
          </w:p>
        </w:tc>
        <w:tc>
          <w:tcPr>
            <w:tcW w:w="757" w:type="pct"/>
            <w:vAlign w:val="center"/>
          </w:tcPr>
          <w:p w14:paraId="55038EAE">
            <w:pPr>
              <w:jc w:val="center"/>
              <w:rPr>
                <w:rFonts w:eastAsia="仿宋_GB2312"/>
                <w:sz w:val="24"/>
              </w:rPr>
            </w:pPr>
            <w:r>
              <w:rPr>
                <w:rFonts w:eastAsia="仿宋_GB2312"/>
                <w:sz w:val="24"/>
              </w:rPr>
              <w:t>/</w:t>
            </w:r>
          </w:p>
        </w:tc>
      </w:tr>
    </w:tbl>
    <w:p w14:paraId="5BE417B2">
      <w:pPr>
        <w:spacing w:after="0" w:line="560" w:lineRule="exact"/>
        <w:ind w:firstLine="465"/>
        <w:jc w:val="both"/>
        <w:rPr>
          <w:rFonts w:eastAsia="仿宋_GB2312"/>
          <w:sz w:val="32"/>
          <w:szCs w:val="32"/>
        </w:rPr>
      </w:pPr>
      <w:r>
        <w:rPr>
          <w:rFonts w:eastAsia="仿宋_GB2312"/>
          <w:sz w:val="32"/>
          <w:szCs w:val="32"/>
        </w:rPr>
        <w:t>2020年累计新增设施总排放量为</w:t>
      </w:r>
      <w:r>
        <w:rPr>
          <w:rFonts w:eastAsia="仿宋_GB2312"/>
          <w:color w:val="000000"/>
          <w:sz w:val="32"/>
          <w:szCs w:val="32"/>
        </w:rPr>
        <w:t>5571.90吨</w:t>
      </w:r>
      <w:r>
        <w:rPr>
          <w:rFonts w:eastAsia="仿宋_GB2312"/>
          <w:sz w:val="32"/>
          <w:szCs w:val="32"/>
        </w:rPr>
        <w:t>，占基准年排放量的</w:t>
      </w:r>
      <w:r>
        <w:rPr>
          <w:rFonts w:hint="eastAsia" w:eastAsia="仿宋_GB2312"/>
          <w:sz w:val="32"/>
          <w:szCs w:val="32"/>
        </w:rPr>
        <w:t>5</w:t>
      </w:r>
      <w:r>
        <w:rPr>
          <w:rFonts w:eastAsia="仿宋_GB2312"/>
          <w:sz w:val="32"/>
          <w:szCs w:val="32"/>
        </w:rPr>
        <w:t>4.34%，新增</w:t>
      </w:r>
      <w:r>
        <w:rPr>
          <w:rFonts w:hint="eastAsia" w:eastAsia="仿宋_GB2312"/>
          <w:sz w:val="32"/>
          <w:szCs w:val="32"/>
        </w:rPr>
        <w:t>支行及办公区</w:t>
      </w:r>
      <w:r>
        <w:rPr>
          <w:rFonts w:eastAsia="仿宋_GB2312"/>
          <w:sz w:val="32"/>
          <w:szCs w:val="32"/>
        </w:rPr>
        <w:t>建筑面积</w:t>
      </w:r>
      <w:r>
        <w:rPr>
          <w:rFonts w:hint="eastAsia" w:eastAsia="仿宋_GB2312"/>
          <w:sz w:val="32"/>
          <w:szCs w:val="32"/>
        </w:rPr>
        <w:t>xxxx平方米</w:t>
      </w:r>
      <w:r>
        <w:rPr>
          <w:rFonts w:eastAsia="仿宋_GB2312"/>
          <w:sz w:val="32"/>
          <w:szCs w:val="32"/>
        </w:rPr>
        <w:t>，</w:t>
      </w:r>
      <w:r>
        <w:rPr>
          <w:rFonts w:hint="eastAsia" w:eastAsia="仿宋_GB2312"/>
          <w:sz w:val="32"/>
          <w:szCs w:val="32"/>
        </w:rPr>
        <w:t>未新增数据中心。</w:t>
      </w:r>
      <w:r>
        <w:rPr>
          <w:rFonts w:eastAsia="仿宋_GB2312"/>
          <w:sz w:val="32"/>
          <w:szCs w:val="32"/>
        </w:rPr>
        <w:t>此信息供新增设施发放配额参考。</w:t>
      </w:r>
    </w:p>
    <w:p w14:paraId="5CFD13CD">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14:paraId="189E006C">
      <w:pPr>
        <w:spacing w:after="0" w:line="560" w:lineRule="exact"/>
        <w:ind w:firstLine="640" w:firstLineChars="200"/>
        <w:rPr>
          <w:rFonts w:eastAsia="仿宋_GB2312"/>
          <w:sz w:val="32"/>
          <w:szCs w:val="32"/>
        </w:rPr>
      </w:pPr>
      <w:r>
        <w:rPr>
          <w:rFonts w:eastAsia="仿宋_GB2312"/>
          <w:sz w:val="32"/>
          <w:szCs w:val="32"/>
        </w:rPr>
        <w:t>由于电表为电力公司和物业管控，因此未能核查这些仪表的检定信息。</w:t>
      </w:r>
    </w:p>
    <w:p w14:paraId="6FC740BF">
      <w:pPr>
        <w:spacing w:after="0" w:line="560" w:lineRule="exact"/>
      </w:pPr>
    </w:p>
    <w:p w14:paraId="6616FDDF">
      <w:pPr>
        <w:pStyle w:val="4"/>
        <w:spacing w:before="0" w:after="0" w:line="560" w:lineRule="exact"/>
        <w:rPr>
          <w:rFonts w:ascii="Times New Roman" w:hAnsi="Times New Roman"/>
        </w:rPr>
        <w:sectPr>
          <w:pgSz w:w="11906" w:h="16838"/>
          <w:pgMar w:top="1440" w:right="1800" w:bottom="1440" w:left="1800" w:header="851" w:footer="992" w:gutter="0"/>
          <w:cols w:space="720" w:num="1"/>
          <w:docGrid w:type="lines" w:linePitch="312" w:charSpace="0"/>
        </w:sectPr>
      </w:pPr>
    </w:p>
    <w:p w14:paraId="59434B80">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物业</w:t>
      </w:r>
    </w:p>
    <w:p w14:paraId="4D21D8F7">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14:paraId="7805F5D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408BAB96">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174C5B9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0410035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《二氧化碳排放核算和报告要求服务业》（DB11/T 1785-2020）</w:t>
      </w:r>
      <w:r>
        <w:rPr>
          <w:rFonts w:ascii="Times New Roman" w:hAnsi="Times New Roman" w:eastAsia="仿宋_GB2312"/>
          <w:sz w:val="32"/>
          <w:szCs w:val="32"/>
        </w:rPr>
        <w:t>的要求，核查组对本排放报告出具肯定的核查结论。</w:t>
      </w:r>
    </w:p>
    <w:p w14:paraId="24111CAA">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40F5F167">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950.56</w:t>
      </w:r>
      <w:r>
        <w:rPr>
          <w:rFonts w:hint="eastAsia" w:ascii="Times New Roman" w:hAnsi="Times New Roman" w:eastAsia="仿宋_GB2312"/>
          <w:sz w:val="32"/>
          <w:szCs w:val="32"/>
        </w:rPr>
        <w:t>吨，间接排放量为</w:t>
      </w:r>
      <w:r>
        <w:rPr>
          <w:rFonts w:ascii="Times New Roman" w:hAnsi="Times New Roman" w:eastAsia="仿宋_GB2312"/>
          <w:sz w:val="32"/>
          <w:szCs w:val="32"/>
        </w:rPr>
        <w:t>24628.50</w:t>
      </w:r>
      <w:r>
        <w:rPr>
          <w:rFonts w:hint="eastAsia" w:ascii="Times New Roman" w:hAnsi="Times New Roman" w:eastAsia="仿宋_GB2312"/>
          <w:sz w:val="32"/>
          <w:szCs w:val="32"/>
        </w:rPr>
        <w:t>吨，总排放量为</w:t>
      </w:r>
      <w:r>
        <w:rPr>
          <w:rFonts w:ascii="Times New Roman" w:hAnsi="Times New Roman" w:eastAsia="仿宋_GB2312"/>
          <w:sz w:val="32"/>
          <w:szCs w:val="32"/>
        </w:rPr>
        <w:t>25579.06</w:t>
      </w:r>
      <w:r>
        <w:rPr>
          <w:rFonts w:hint="eastAsia" w:ascii="Times New Roman" w:hAnsi="Times New Roman" w:eastAsia="仿宋_GB2312"/>
          <w:sz w:val="32"/>
          <w:szCs w:val="32"/>
        </w:rPr>
        <w:t>吨。</w:t>
      </w:r>
    </w:p>
    <w:p w14:paraId="5C8F20DF">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经核查的服务的商业写字楼建筑面积与最终排放报告中一致。经核查的商业写字楼建筑面积（不含地下车库）为</w:t>
      </w:r>
      <w:r>
        <w:rPr>
          <w:rFonts w:ascii="Times New Roman" w:hAnsi="Times New Roman" w:eastAsia="仿宋_GB2312"/>
          <w:sz w:val="32"/>
          <w:szCs w:val="32"/>
        </w:rPr>
        <w:t>xxxx</w:t>
      </w:r>
      <w:r>
        <w:rPr>
          <w:rFonts w:hint="eastAsia" w:ascii="Times New Roman" w:hAnsi="Times New Roman" w:eastAsia="仿宋_GB2312"/>
          <w:sz w:val="32"/>
          <w:szCs w:val="32"/>
        </w:rPr>
        <w:t>平方米，地下车库面积为</w:t>
      </w:r>
      <w:r>
        <w:rPr>
          <w:rFonts w:ascii="Times New Roman" w:hAnsi="Times New Roman" w:eastAsia="仿宋_GB2312"/>
          <w:sz w:val="32"/>
          <w:szCs w:val="32"/>
        </w:rPr>
        <w:t>xx</w:t>
      </w:r>
      <w:r>
        <w:rPr>
          <w:rFonts w:hint="eastAsia" w:ascii="Times New Roman" w:hAnsi="Times New Roman" w:eastAsia="仿宋_GB2312"/>
          <w:sz w:val="32"/>
          <w:szCs w:val="32"/>
        </w:rPr>
        <w:t>平方米，实际物业管理面积为</w:t>
      </w:r>
      <w:r>
        <w:rPr>
          <w:rFonts w:ascii="Times New Roman" w:hAnsi="Times New Roman" w:eastAsia="仿宋_GB2312"/>
          <w:sz w:val="32"/>
          <w:szCs w:val="32"/>
        </w:rPr>
        <w:t>xxx</w:t>
      </w:r>
      <w:r>
        <w:rPr>
          <w:rFonts w:hint="eastAsia" w:ascii="Times New Roman" w:hAnsi="Times New Roman" w:eastAsia="仿宋_GB2312"/>
          <w:sz w:val="32"/>
          <w:szCs w:val="32"/>
        </w:rPr>
        <w:t>平方米，产值为</w:t>
      </w:r>
      <w:r>
        <w:rPr>
          <w:rFonts w:ascii="Times New Roman" w:hAnsi="Times New Roman" w:eastAsia="仿宋_GB2312"/>
          <w:sz w:val="32"/>
          <w:szCs w:val="32"/>
        </w:rPr>
        <w:t>xxx</w:t>
      </w:r>
      <w:r>
        <w:rPr>
          <w:rFonts w:hint="eastAsia" w:ascii="Times New Roman" w:hAnsi="Times New Roman" w:eastAsia="仿宋_GB2312"/>
          <w:sz w:val="32"/>
          <w:szCs w:val="32"/>
        </w:rPr>
        <w:t>万元（其中物业管理费</w:t>
      </w:r>
      <w:r>
        <w:rPr>
          <w:rFonts w:ascii="Times New Roman" w:hAnsi="Times New Roman" w:eastAsia="仿宋_GB2312"/>
          <w:sz w:val="32"/>
          <w:szCs w:val="32"/>
        </w:rPr>
        <w:t>xx</w:t>
      </w:r>
      <w:r>
        <w:rPr>
          <w:rFonts w:hint="eastAsia" w:ascii="Times New Roman" w:hAnsi="Times New Roman" w:eastAsia="仿宋_GB2312"/>
          <w:sz w:val="32"/>
          <w:szCs w:val="32"/>
        </w:rPr>
        <w:t>万元，采暖制冷费用</w:t>
      </w:r>
      <w:r>
        <w:rPr>
          <w:rFonts w:ascii="Times New Roman" w:hAnsi="Times New Roman" w:eastAsia="仿宋_GB2312"/>
          <w:sz w:val="32"/>
          <w:szCs w:val="32"/>
        </w:rPr>
        <w:t>xx</w:t>
      </w:r>
      <w:r>
        <w:rPr>
          <w:rFonts w:hint="eastAsia" w:ascii="Times New Roman" w:hAnsi="Times New Roman" w:eastAsia="仿宋_GB2312"/>
          <w:sz w:val="32"/>
          <w:szCs w:val="32"/>
        </w:rPr>
        <w:t>万元，物业经营收入</w:t>
      </w:r>
      <w:r>
        <w:rPr>
          <w:rFonts w:ascii="Times New Roman" w:hAnsi="Times New Roman" w:eastAsia="仿宋_GB2312"/>
          <w:sz w:val="32"/>
          <w:szCs w:val="32"/>
        </w:rPr>
        <w:t>xx</w:t>
      </w:r>
      <w:r>
        <w:rPr>
          <w:rFonts w:hint="eastAsia" w:ascii="Times New Roman" w:hAnsi="Times New Roman" w:eastAsia="仿宋_GB2312"/>
          <w:sz w:val="32"/>
          <w:szCs w:val="32"/>
        </w:rPr>
        <w:t>万元，增值服务费</w:t>
      </w:r>
      <w:r>
        <w:rPr>
          <w:rFonts w:ascii="Times New Roman" w:hAnsi="Times New Roman" w:eastAsia="仿宋_GB2312"/>
          <w:sz w:val="32"/>
          <w:szCs w:val="32"/>
        </w:rPr>
        <w:t>xx</w:t>
      </w:r>
      <w:r>
        <w:rPr>
          <w:rFonts w:hint="eastAsia" w:ascii="Times New Roman" w:hAnsi="Times New Roman" w:eastAsia="仿宋_GB2312"/>
          <w:sz w:val="32"/>
          <w:szCs w:val="32"/>
        </w:rPr>
        <w:t>万元），入驻率为</w:t>
      </w:r>
      <w:r>
        <w:rPr>
          <w:rFonts w:ascii="Times New Roman" w:hAnsi="Times New Roman" w:eastAsia="仿宋_GB2312"/>
          <w:sz w:val="32"/>
          <w:szCs w:val="32"/>
        </w:rPr>
        <w:t>xx%</w:t>
      </w:r>
      <w:r>
        <w:rPr>
          <w:rFonts w:hint="eastAsia" w:ascii="Times New Roman" w:hAnsi="Times New Roman" w:eastAsia="仿宋_GB2312"/>
          <w:sz w:val="32"/>
          <w:szCs w:val="32"/>
        </w:rPr>
        <w:t>。</w:t>
      </w:r>
    </w:p>
    <w:p w14:paraId="76CFDA3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14:paraId="411A8EA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排放单位本年度排放量与上一年度排放量相比增加1947.91吨/8.24%，其中直接排放量与上年度相比减少32.79吨/3.3</w:t>
      </w:r>
      <w:r>
        <w:rPr>
          <w:rFonts w:hint="eastAsia" w:ascii="Times New Roman" w:hAnsi="Times New Roman" w:eastAsia="仿宋_GB2312"/>
          <w:sz w:val="32"/>
          <w:szCs w:val="32"/>
        </w:rPr>
        <w:t>3</w:t>
      </w:r>
      <w:r>
        <w:rPr>
          <w:rFonts w:ascii="Times New Roman" w:hAnsi="Times New Roman" w:eastAsia="仿宋_GB2312"/>
          <w:sz w:val="32"/>
          <w:szCs w:val="32"/>
        </w:rPr>
        <w:t>%，间接排放量与上一年度相比增加1980.7吨/8.75%。原因为排放单位服务范围新增xx发展中心，电力消耗量大幅上升导致排放量大幅上升。</w:t>
      </w:r>
    </w:p>
    <w:p w14:paraId="7EAF13A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本年度排放量与历史基准年份相比增加1947.91</w:t>
      </w:r>
      <w:r>
        <w:rPr>
          <w:rFonts w:hint="eastAsia" w:ascii="Times New Roman" w:hAnsi="Times New Roman" w:eastAsia="仿宋_GB2312"/>
          <w:sz w:val="32"/>
          <w:szCs w:val="32"/>
        </w:rPr>
        <w:t>吨</w:t>
      </w:r>
      <w:r>
        <w:rPr>
          <w:rFonts w:ascii="Times New Roman" w:hAnsi="Times New Roman" w:eastAsia="仿宋_GB2312"/>
          <w:sz w:val="32"/>
          <w:szCs w:val="32"/>
        </w:rPr>
        <w:t>/8.24%，原因为排放单位服务范围与基准年相比新增xx发展中心，电力消耗量大幅上升导致排放量大幅上升。</w:t>
      </w:r>
    </w:p>
    <w:p w14:paraId="7D4A151F">
      <w:pPr>
        <w:jc w:val="center"/>
        <w:rPr>
          <w:rFonts w:ascii="Times New Roman" w:hAnsi="Times New Roman" w:eastAsia="仿宋_GB2312"/>
          <w:sz w:val="28"/>
          <w:szCs w:val="28"/>
        </w:rPr>
      </w:pPr>
      <w:r>
        <w:rPr>
          <w:rFonts w:ascii="Times New Roman" w:hAnsi="Times New Roman" w:eastAsia="仿宋_GB2312"/>
          <w:sz w:val="28"/>
          <w:szCs w:val="28"/>
        </w:rPr>
        <w:t>表xx  排放量汇总表</w:t>
      </w:r>
    </w:p>
    <w:tbl>
      <w:tblPr>
        <w:tblStyle w:val="35"/>
        <w:tblW w:w="7917" w:type="dxa"/>
        <w:jc w:val="center"/>
        <w:tblLayout w:type="autofit"/>
        <w:tblCellMar>
          <w:top w:w="0" w:type="dxa"/>
          <w:left w:w="108" w:type="dxa"/>
          <w:bottom w:w="0" w:type="dxa"/>
          <w:right w:w="108" w:type="dxa"/>
        </w:tblCellMar>
      </w:tblPr>
      <w:tblGrid>
        <w:gridCol w:w="1702"/>
        <w:gridCol w:w="1702"/>
        <w:gridCol w:w="2166"/>
        <w:gridCol w:w="2347"/>
      </w:tblGrid>
      <w:tr w14:paraId="73CCA152">
        <w:tblPrEx>
          <w:tblCellMar>
            <w:top w:w="0" w:type="dxa"/>
            <w:left w:w="108" w:type="dxa"/>
            <w:bottom w:w="0" w:type="dxa"/>
            <w:right w:w="108" w:type="dxa"/>
          </w:tblCellMar>
        </w:tblPrEx>
        <w:trPr>
          <w:trHeight w:val="102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660937E">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702" w:type="dxa"/>
            <w:tcBorders>
              <w:top w:val="single" w:color="auto" w:sz="4" w:space="0"/>
              <w:left w:val="nil"/>
              <w:bottom w:val="single" w:color="auto" w:sz="4" w:space="0"/>
              <w:right w:val="single" w:color="auto" w:sz="4" w:space="0"/>
            </w:tcBorders>
            <w:vAlign w:val="center"/>
          </w:tcPr>
          <w:p w14:paraId="470F3DE1">
            <w:pPr>
              <w:jc w:val="center"/>
              <w:rPr>
                <w:rFonts w:ascii="Times New Roman" w:hAnsi="Times New Roman" w:eastAsia="仿宋_GB2312"/>
                <w:color w:val="000000"/>
                <w:sz w:val="24"/>
              </w:rPr>
            </w:pPr>
            <w:r>
              <w:rPr>
                <w:rFonts w:ascii="Times New Roman" w:hAnsi="Times New Roman" w:eastAsia="仿宋_GB2312"/>
                <w:color w:val="000000"/>
                <w:sz w:val="24"/>
              </w:rPr>
              <w:t>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166" w:type="dxa"/>
            <w:tcBorders>
              <w:top w:val="single" w:color="auto" w:sz="4" w:space="0"/>
              <w:left w:val="nil"/>
              <w:bottom w:val="single" w:color="auto" w:sz="4" w:space="0"/>
              <w:right w:val="single" w:color="auto" w:sz="4" w:space="0"/>
            </w:tcBorders>
            <w:vAlign w:val="center"/>
          </w:tcPr>
          <w:p w14:paraId="4314BDC2">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347" w:type="dxa"/>
            <w:tcBorders>
              <w:top w:val="single" w:color="auto" w:sz="4" w:space="0"/>
              <w:left w:val="nil"/>
              <w:bottom w:val="single" w:color="auto" w:sz="4" w:space="0"/>
              <w:right w:val="single" w:color="auto" w:sz="4" w:space="0"/>
            </w:tcBorders>
            <w:vAlign w:val="center"/>
          </w:tcPr>
          <w:p w14:paraId="51B8CF70">
            <w:pPr>
              <w:jc w:val="center"/>
              <w:rPr>
                <w:rFonts w:ascii="Times New Roman" w:hAnsi="Times New Roman" w:eastAsia="仿宋_GB2312"/>
                <w:color w:val="000000"/>
                <w:sz w:val="24"/>
              </w:rPr>
            </w:pPr>
            <w:r>
              <w:rPr>
                <w:rFonts w:ascii="Times New Roman" w:hAnsi="Times New Roman" w:eastAsia="仿宋_GB2312"/>
                <w:color w:val="000000"/>
                <w:sz w:val="24"/>
              </w:rPr>
              <w:t>排放总量（tCO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r>
      <w:tr w14:paraId="0C960A7F">
        <w:tblPrEx>
          <w:tblCellMar>
            <w:top w:w="0" w:type="dxa"/>
            <w:left w:w="108" w:type="dxa"/>
            <w:bottom w:w="0" w:type="dxa"/>
            <w:right w:w="108" w:type="dxa"/>
          </w:tblCellMar>
        </w:tblPrEx>
        <w:trPr>
          <w:trHeight w:val="547" w:hRule="atLeast"/>
          <w:jc w:val="center"/>
        </w:trPr>
        <w:tc>
          <w:tcPr>
            <w:tcW w:w="1702" w:type="dxa"/>
            <w:tcBorders>
              <w:top w:val="nil"/>
              <w:left w:val="single" w:color="auto" w:sz="4" w:space="0"/>
              <w:bottom w:val="single" w:color="auto" w:sz="4" w:space="0"/>
              <w:right w:val="single" w:color="auto" w:sz="4" w:space="0"/>
            </w:tcBorders>
            <w:noWrap/>
            <w:vAlign w:val="center"/>
          </w:tcPr>
          <w:p w14:paraId="47EF2DF0">
            <w:pPr>
              <w:jc w:val="center"/>
              <w:rPr>
                <w:rFonts w:ascii="Times New Roman" w:hAnsi="Times New Roman" w:eastAsia="仿宋_GB2312"/>
                <w:sz w:val="24"/>
              </w:rPr>
            </w:pPr>
            <w:r>
              <w:rPr>
                <w:rFonts w:ascii="Times New Roman" w:hAnsi="Times New Roman" w:eastAsia="仿宋_GB2312"/>
                <w:sz w:val="24"/>
              </w:rPr>
              <w:t>2016</w:t>
            </w:r>
          </w:p>
        </w:tc>
        <w:tc>
          <w:tcPr>
            <w:tcW w:w="1702" w:type="dxa"/>
            <w:tcBorders>
              <w:top w:val="single" w:color="auto" w:sz="4" w:space="0"/>
              <w:left w:val="nil"/>
              <w:bottom w:val="single" w:color="auto" w:sz="4" w:space="0"/>
              <w:right w:val="single" w:color="auto" w:sz="4" w:space="0"/>
            </w:tcBorders>
            <w:noWrap/>
            <w:vAlign w:val="center"/>
          </w:tcPr>
          <w:p w14:paraId="0E1EC1EE">
            <w:pPr>
              <w:jc w:val="center"/>
              <w:rPr>
                <w:rFonts w:ascii="Times New Roman" w:hAnsi="Times New Roman" w:eastAsia="仿宋_GB2312"/>
                <w:sz w:val="24"/>
              </w:rPr>
            </w:pPr>
            <w:r>
              <w:rPr>
                <w:rFonts w:ascii="Times New Roman" w:hAnsi="Times New Roman" w:eastAsia="仿宋_GB2312"/>
                <w:sz w:val="24"/>
              </w:rPr>
              <w:t>810.00</w:t>
            </w:r>
          </w:p>
        </w:tc>
        <w:tc>
          <w:tcPr>
            <w:tcW w:w="2166" w:type="dxa"/>
            <w:tcBorders>
              <w:top w:val="single" w:color="auto" w:sz="4" w:space="0"/>
              <w:left w:val="single" w:color="auto" w:sz="4" w:space="0"/>
              <w:bottom w:val="single" w:color="auto" w:sz="4" w:space="0"/>
              <w:right w:val="single" w:color="auto" w:sz="4" w:space="0"/>
            </w:tcBorders>
            <w:noWrap/>
            <w:vAlign w:val="center"/>
          </w:tcPr>
          <w:p w14:paraId="6D085F15">
            <w:pPr>
              <w:jc w:val="center"/>
              <w:rPr>
                <w:rFonts w:ascii="Times New Roman" w:hAnsi="Times New Roman" w:eastAsia="仿宋_GB2312"/>
                <w:sz w:val="24"/>
              </w:rPr>
            </w:pPr>
            <w:r>
              <w:rPr>
                <w:rFonts w:ascii="Times New Roman" w:hAnsi="Times New Roman" w:eastAsia="仿宋_GB2312"/>
                <w:sz w:val="24"/>
              </w:rPr>
              <w:t>22067.80</w:t>
            </w:r>
          </w:p>
        </w:tc>
        <w:tc>
          <w:tcPr>
            <w:tcW w:w="2347" w:type="dxa"/>
            <w:tcBorders>
              <w:top w:val="single" w:color="auto" w:sz="4" w:space="0"/>
              <w:left w:val="single" w:color="auto" w:sz="4" w:space="0"/>
              <w:bottom w:val="single" w:color="auto" w:sz="4" w:space="0"/>
              <w:right w:val="single" w:color="auto" w:sz="4" w:space="0"/>
            </w:tcBorders>
            <w:vAlign w:val="center"/>
          </w:tcPr>
          <w:p w14:paraId="6FBE21C4">
            <w:pPr>
              <w:jc w:val="center"/>
              <w:rPr>
                <w:rFonts w:ascii="Times New Roman" w:hAnsi="Times New Roman" w:eastAsia="仿宋_GB2312"/>
                <w:sz w:val="24"/>
              </w:rPr>
            </w:pPr>
            <w:r>
              <w:rPr>
                <w:rFonts w:ascii="Times New Roman" w:hAnsi="Times New Roman" w:eastAsia="仿宋_GB2312"/>
                <w:sz w:val="24"/>
              </w:rPr>
              <w:t xml:space="preserve">22877.80 </w:t>
            </w:r>
          </w:p>
        </w:tc>
      </w:tr>
      <w:tr w14:paraId="05578913">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noWrap/>
            <w:vAlign w:val="center"/>
          </w:tcPr>
          <w:p w14:paraId="51C19D6A">
            <w:pPr>
              <w:jc w:val="center"/>
              <w:rPr>
                <w:rFonts w:ascii="Times New Roman" w:hAnsi="Times New Roman" w:eastAsia="仿宋_GB2312"/>
                <w:sz w:val="24"/>
              </w:rPr>
            </w:pPr>
            <w:r>
              <w:rPr>
                <w:rFonts w:ascii="Times New Roman" w:hAnsi="Times New Roman" w:eastAsia="仿宋_GB2312"/>
                <w:sz w:val="24"/>
              </w:rPr>
              <w:t>2017</w:t>
            </w:r>
          </w:p>
        </w:tc>
        <w:tc>
          <w:tcPr>
            <w:tcW w:w="1702" w:type="dxa"/>
            <w:tcBorders>
              <w:top w:val="single" w:color="auto" w:sz="4" w:space="0"/>
              <w:left w:val="nil"/>
              <w:bottom w:val="single" w:color="auto" w:sz="4" w:space="0"/>
              <w:right w:val="single" w:color="auto" w:sz="4" w:space="0"/>
            </w:tcBorders>
            <w:noWrap/>
            <w:vAlign w:val="center"/>
          </w:tcPr>
          <w:p w14:paraId="1ADFDC09">
            <w:pPr>
              <w:jc w:val="center"/>
              <w:rPr>
                <w:rFonts w:ascii="Times New Roman" w:hAnsi="Times New Roman" w:eastAsia="仿宋_GB2312"/>
                <w:sz w:val="24"/>
              </w:rPr>
            </w:pPr>
            <w:r>
              <w:rPr>
                <w:rFonts w:ascii="Times New Roman" w:hAnsi="Times New Roman" w:eastAsia="仿宋_GB2312"/>
                <w:sz w:val="24"/>
              </w:rPr>
              <w:t>830.25</w:t>
            </w:r>
          </w:p>
        </w:tc>
        <w:tc>
          <w:tcPr>
            <w:tcW w:w="2166" w:type="dxa"/>
            <w:tcBorders>
              <w:top w:val="single" w:color="auto" w:sz="4" w:space="0"/>
              <w:left w:val="single" w:color="auto" w:sz="4" w:space="0"/>
              <w:bottom w:val="single" w:color="auto" w:sz="4" w:space="0"/>
              <w:right w:val="single" w:color="auto" w:sz="4" w:space="0"/>
            </w:tcBorders>
            <w:noWrap/>
            <w:vAlign w:val="center"/>
          </w:tcPr>
          <w:p w14:paraId="477CBAD6">
            <w:pPr>
              <w:jc w:val="center"/>
              <w:rPr>
                <w:rFonts w:ascii="Times New Roman" w:hAnsi="Times New Roman" w:eastAsia="仿宋_GB2312"/>
                <w:sz w:val="24"/>
              </w:rPr>
            </w:pPr>
            <w:r>
              <w:rPr>
                <w:rFonts w:ascii="Times New Roman" w:hAnsi="Times New Roman" w:eastAsia="仿宋_GB2312"/>
                <w:sz w:val="24"/>
              </w:rPr>
              <w:t>22357.80</w:t>
            </w:r>
          </w:p>
        </w:tc>
        <w:tc>
          <w:tcPr>
            <w:tcW w:w="2347" w:type="dxa"/>
            <w:tcBorders>
              <w:top w:val="single" w:color="auto" w:sz="4" w:space="0"/>
              <w:left w:val="single" w:color="auto" w:sz="4" w:space="0"/>
              <w:bottom w:val="single" w:color="auto" w:sz="4" w:space="0"/>
              <w:right w:val="single" w:color="auto" w:sz="4" w:space="0"/>
            </w:tcBorders>
            <w:vAlign w:val="center"/>
          </w:tcPr>
          <w:p w14:paraId="50983282">
            <w:pPr>
              <w:jc w:val="center"/>
              <w:rPr>
                <w:rFonts w:ascii="Times New Roman" w:hAnsi="Times New Roman" w:eastAsia="仿宋_GB2312"/>
                <w:sz w:val="24"/>
              </w:rPr>
            </w:pPr>
            <w:r>
              <w:rPr>
                <w:rFonts w:ascii="Times New Roman" w:hAnsi="Times New Roman" w:eastAsia="仿宋_GB2312"/>
                <w:sz w:val="24"/>
              </w:rPr>
              <w:t xml:space="preserve">23188.05 </w:t>
            </w:r>
          </w:p>
        </w:tc>
      </w:tr>
      <w:tr w14:paraId="3502047B">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noWrap/>
            <w:vAlign w:val="center"/>
          </w:tcPr>
          <w:p w14:paraId="469778EA">
            <w:pPr>
              <w:jc w:val="center"/>
              <w:rPr>
                <w:rFonts w:ascii="Times New Roman" w:hAnsi="Times New Roman" w:eastAsia="仿宋_GB2312"/>
                <w:sz w:val="24"/>
              </w:rPr>
            </w:pPr>
            <w:r>
              <w:rPr>
                <w:rFonts w:ascii="Times New Roman" w:hAnsi="Times New Roman" w:eastAsia="仿宋_GB2312"/>
                <w:sz w:val="24"/>
              </w:rPr>
              <w:t>2018</w:t>
            </w:r>
          </w:p>
        </w:tc>
        <w:tc>
          <w:tcPr>
            <w:tcW w:w="1702" w:type="dxa"/>
            <w:tcBorders>
              <w:top w:val="single" w:color="auto" w:sz="4" w:space="0"/>
              <w:left w:val="nil"/>
              <w:bottom w:val="single" w:color="auto" w:sz="4" w:space="0"/>
              <w:right w:val="single" w:color="auto" w:sz="4" w:space="0"/>
            </w:tcBorders>
            <w:noWrap/>
            <w:vAlign w:val="center"/>
          </w:tcPr>
          <w:p w14:paraId="13040AA2">
            <w:pPr>
              <w:jc w:val="center"/>
              <w:rPr>
                <w:rFonts w:ascii="Times New Roman" w:hAnsi="Times New Roman" w:eastAsia="仿宋_GB2312"/>
                <w:sz w:val="24"/>
              </w:rPr>
            </w:pPr>
            <w:r>
              <w:rPr>
                <w:rFonts w:ascii="Times New Roman" w:hAnsi="Times New Roman" w:eastAsia="仿宋_GB2312"/>
                <w:sz w:val="24"/>
              </w:rPr>
              <w:t>983.35</w:t>
            </w:r>
          </w:p>
        </w:tc>
        <w:tc>
          <w:tcPr>
            <w:tcW w:w="2166" w:type="dxa"/>
            <w:tcBorders>
              <w:top w:val="single" w:color="auto" w:sz="4" w:space="0"/>
              <w:left w:val="single" w:color="auto" w:sz="4" w:space="0"/>
              <w:bottom w:val="single" w:color="auto" w:sz="4" w:space="0"/>
              <w:right w:val="single" w:color="auto" w:sz="4" w:space="0"/>
            </w:tcBorders>
            <w:noWrap/>
            <w:vAlign w:val="center"/>
          </w:tcPr>
          <w:p w14:paraId="55F54369">
            <w:pPr>
              <w:jc w:val="center"/>
              <w:rPr>
                <w:rFonts w:ascii="Times New Roman" w:hAnsi="Times New Roman" w:eastAsia="仿宋_GB2312"/>
                <w:sz w:val="24"/>
              </w:rPr>
            </w:pPr>
            <w:r>
              <w:rPr>
                <w:rFonts w:ascii="Times New Roman" w:hAnsi="Times New Roman" w:eastAsia="仿宋_GB2312"/>
                <w:sz w:val="24"/>
              </w:rPr>
              <w:t>22647.80</w:t>
            </w:r>
          </w:p>
        </w:tc>
        <w:tc>
          <w:tcPr>
            <w:tcW w:w="2347" w:type="dxa"/>
            <w:tcBorders>
              <w:top w:val="single" w:color="auto" w:sz="4" w:space="0"/>
              <w:left w:val="single" w:color="auto" w:sz="4" w:space="0"/>
              <w:bottom w:val="single" w:color="auto" w:sz="4" w:space="0"/>
              <w:right w:val="single" w:color="auto" w:sz="4" w:space="0"/>
            </w:tcBorders>
            <w:vAlign w:val="center"/>
          </w:tcPr>
          <w:p w14:paraId="35F2B478">
            <w:pPr>
              <w:jc w:val="center"/>
              <w:rPr>
                <w:rFonts w:ascii="Times New Roman" w:hAnsi="Times New Roman" w:eastAsia="仿宋_GB2312"/>
                <w:sz w:val="24"/>
              </w:rPr>
            </w:pPr>
            <w:r>
              <w:rPr>
                <w:rFonts w:ascii="Times New Roman" w:hAnsi="Times New Roman" w:eastAsia="仿宋_GB2312"/>
                <w:sz w:val="24"/>
              </w:rPr>
              <w:t xml:space="preserve">23631.15 </w:t>
            </w:r>
          </w:p>
        </w:tc>
      </w:tr>
      <w:tr w14:paraId="61AD9C29">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14:paraId="29938CCD">
            <w:pPr>
              <w:jc w:val="center"/>
              <w:rPr>
                <w:rFonts w:ascii="Times New Roman" w:hAnsi="Times New Roman" w:eastAsia="仿宋_GB2312"/>
                <w:sz w:val="24"/>
              </w:rPr>
            </w:pPr>
            <w:r>
              <w:rPr>
                <w:rFonts w:ascii="Times New Roman" w:hAnsi="Times New Roman" w:eastAsia="仿宋_GB2312"/>
                <w:sz w:val="24"/>
              </w:rPr>
              <w:t>2019</w:t>
            </w:r>
          </w:p>
        </w:tc>
        <w:tc>
          <w:tcPr>
            <w:tcW w:w="1702" w:type="dxa"/>
            <w:tcBorders>
              <w:top w:val="single" w:color="auto" w:sz="4" w:space="0"/>
              <w:left w:val="nil"/>
              <w:bottom w:val="single" w:color="auto" w:sz="4" w:space="0"/>
              <w:right w:val="single" w:color="auto" w:sz="4" w:space="0"/>
            </w:tcBorders>
            <w:noWrap/>
            <w:vAlign w:val="center"/>
          </w:tcPr>
          <w:p w14:paraId="454A85DC">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noWrap/>
            <w:vAlign w:val="center"/>
          </w:tcPr>
          <w:p w14:paraId="27DA496A">
            <w:pPr>
              <w:jc w:val="center"/>
              <w:rPr>
                <w:rFonts w:ascii="Times New Roman" w:hAnsi="Times New Roman" w:eastAsia="仿宋_GB2312"/>
                <w:sz w:val="24"/>
              </w:rPr>
            </w:pPr>
            <w:bookmarkStart w:id="21" w:name="_Hlk34830506"/>
            <w:bookmarkStart w:id="22" w:name="_Hlk34831329"/>
            <w:r>
              <w:rPr>
                <w:rFonts w:ascii="Times New Roman" w:hAnsi="Times New Roman" w:eastAsia="仿宋_GB2312"/>
                <w:sz w:val="24"/>
              </w:rPr>
              <w:t>24628.50</w:t>
            </w:r>
            <w:bookmarkEnd w:id="21"/>
            <w:bookmarkEnd w:id="22"/>
          </w:p>
        </w:tc>
        <w:tc>
          <w:tcPr>
            <w:tcW w:w="2347" w:type="dxa"/>
            <w:tcBorders>
              <w:top w:val="single" w:color="auto" w:sz="4" w:space="0"/>
              <w:left w:val="single" w:color="auto" w:sz="4" w:space="0"/>
              <w:bottom w:val="single" w:color="auto" w:sz="4" w:space="0"/>
              <w:right w:val="single" w:color="auto" w:sz="4" w:space="0"/>
            </w:tcBorders>
            <w:vAlign w:val="center"/>
          </w:tcPr>
          <w:p w14:paraId="0CE77291">
            <w:pPr>
              <w:jc w:val="center"/>
              <w:rPr>
                <w:rFonts w:ascii="Times New Roman" w:hAnsi="Times New Roman" w:eastAsia="仿宋_GB2312"/>
                <w:sz w:val="24"/>
              </w:rPr>
            </w:pPr>
            <w:r>
              <w:rPr>
                <w:rFonts w:ascii="Times New Roman" w:hAnsi="Times New Roman" w:eastAsia="仿宋_GB2312"/>
                <w:sz w:val="24"/>
              </w:rPr>
              <w:t xml:space="preserve">25579.06 </w:t>
            </w:r>
          </w:p>
        </w:tc>
      </w:tr>
      <w:tr w14:paraId="21799C6F">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14:paraId="08286D3B">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702" w:type="dxa"/>
            <w:tcBorders>
              <w:top w:val="single" w:color="auto" w:sz="4" w:space="0"/>
              <w:left w:val="nil"/>
              <w:bottom w:val="single" w:color="auto" w:sz="4" w:space="0"/>
              <w:right w:val="single" w:color="auto" w:sz="4" w:space="0"/>
            </w:tcBorders>
            <w:noWrap/>
            <w:vAlign w:val="center"/>
          </w:tcPr>
          <w:p w14:paraId="5A3F7F9E">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noWrap/>
            <w:vAlign w:val="center"/>
          </w:tcPr>
          <w:p w14:paraId="40D5D3C6">
            <w:pPr>
              <w:jc w:val="center"/>
              <w:rPr>
                <w:rFonts w:ascii="Times New Roman" w:hAnsi="Times New Roman" w:eastAsia="仿宋_GB2312"/>
                <w:sz w:val="24"/>
              </w:rPr>
            </w:pPr>
            <w:r>
              <w:rPr>
                <w:rFonts w:ascii="Times New Roman" w:hAnsi="Times New Roman" w:eastAsia="仿宋_GB2312"/>
                <w:sz w:val="24"/>
              </w:rPr>
              <w:t>24628.50</w:t>
            </w:r>
          </w:p>
        </w:tc>
        <w:tc>
          <w:tcPr>
            <w:tcW w:w="2347" w:type="dxa"/>
            <w:tcBorders>
              <w:top w:val="single" w:color="auto" w:sz="4" w:space="0"/>
              <w:left w:val="single" w:color="auto" w:sz="4" w:space="0"/>
              <w:bottom w:val="single" w:color="auto" w:sz="4" w:space="0"/>
              <w:right w:val="single" w:color="auto" w:sz="4" w:space="0"/>
            </w:tcBorders>
            <w:vAlign w:val="center"/>
          </w:tcPr>
          <w:p w14:paraId="05AF0882">
            <w:pPr>
              <w:jc w:val="center"/>
              <w:rPr>
                <w:rFonts w:ascii="Times New Roman" w:hAnsi="Times New Roman" w:eastAsia="仿宋_GB2312"/>
                <w:sz w:val="24"/>
              </w:rPr>
            </w:pPr>
            <w:r>
              <w:rPr>
                <w:rFonts w:ascii="Times New Roman" w:hAnsi="Times New Roman" w:eastAsia="仿宋_GB2312"/>
                <w:sz w:val="24"/>
              </w:rPr>
              <w:t xml:space="preserve">25579.06 </w:t>
            </w:r>
          </w:p>
        </w:tc>
      </w:tr>
    </w:tbl>
    <w:p w14:paraId="7817EC25">
      <w:pPr>
        <w:jc w:val="center"/>
        <w:rPr>
          <w:rFonts w:ascii="Times New Roman" w:hAnsi="Times New Roman"/>
        </w:rPr>
      </w:pPr>
    </w:p>
    <w:p w14:paraId="39C7F2B3">
      <w:pPr>
        <w:jc w:val="center"/>
        <w:rPr>
          <w:rFonts w:ascii="Times New Roman" w:hAnsi="Times New Roman" w:eastAsia="仿宋_GB2312"/>
          <w:sz w:val="28"/>
          <w:szCs w:val="28"/>
        </w:rPr>
      </w:pPr>
      <w:r>
        <w:rPr>
          <w:lang w:val="en-US"/>
        </w:rPr>
        <w:drawing>
          <wp:inline distT="0" distB="0" distL="0" distR="0">
            <wp:extent cx="4568825" cy="2740025"/>
            <wp:effectExtent l="0" t="0" r="3175" b="317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8D8200">
      <w:pPr>
        <w:spacing w:after="0" w:line="560" w:lineRule="exact"/>
        <w:jc w:val="center"/>
        <w:rPr>
          <w:rFonts w:ascii="Times New Roman" w:hAnsi="Times New Roman" w:eastAsia="仿宋_GB2312"/>
          <w:sz w:val="28"/>
          <w:szCs w:val="28"/>
        </w:rPr>
      </w:pPr>
      <w:r>
        <w:rPr>
          <w:rFonts w:ascii="Times New Roman" w:hAnsi="Times New Roman" w:eastAsia="仿宋_GB2312"/>
          <w:sz w:val="28"/>
          <w:szCs w:val="28"/>
        </w:rPr>
        <w:t>图xx 排放量变化趋势图（增加</w:t>
      </w:r>
      <w:r>
        <w:rPr>
          <w:rFonts w:hint="eastAsia" w:ascii="Times New Roman" w:hAnsi="Times New Roman" w:eastAsia="仿宋_GB2312"/>
          <w:sz w:val="28"/>
          <w:szCs w:val="28"/>
        </w:rPr>
        <w:t>2</w:t>
      </w:r>
      <w:r>
        <w:rPr>
          <w:rFonts w:ascii="Times New Roman" w:hAnsi="Times New Roman" w:eastAsia="仿宋_GB2312"/>
          <w:sz w:val="28"/>
          <w:szCs w:val="28"/>
        </w:rPr>
        <w:t>020年度）</w:t>
      </w:r>
    </w:p>
    <w:p w14:paraId="0E676438">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7458596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7FBF4559">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排放单位核算和报告边界为在北京市辖区内的物业项目地，商业写字楼包括xxx、xxx，建筑面积（不含地下车库）xxxx平方米，地下车库面积xxxx平方米，实际物业管理面积xxx平方米。</w:t>
      </w:r>
    </w:p>
    <w:p w14:paraId="43474DBC">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与上一年度相比，新增商业写字楼xx发展中心，建筑面积（不含地下车库）xxxx平方米，地下车库面积xxxx平方米，实际物业管理面积xxx平方米。</w:t>
      </w:r>
    </w:p>
    <w:p w14:paraId="09C6B6A0">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与基准年相比，新增商业写字楼xx发展中心，建筑面积（不含地下车库）xxxx平方米，地下车库面积xxxx平方米，实际物业管理面积xxx平方米。</w:t>
      </w:r>
    </w:p>
    <w:p w14:paraId="3557A5CE">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06F77642">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排放单位不涉及既有配额调整。</w:t>
      </w:r>
    </w:p>
    <w:p w14:paraId="5C381527">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14:paraId="5680DFDA">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排放单位新增设施及其排放详见下表：</w:t>
      </w:r>
    </w:p>
    <w:p w14:paraId="425B33B1">
      <w:pPr>
        <w:spacing w:after="0" w:line="560" w:lineRule="exact"/>
        <w:ind w:firstLine="465"/>
        <w:jc w:val="center"/>
        <w:rPr>
          <w:rFonts w:ascii="Times New Roman" w:hAnsi="Times New Roman" w:eastAsia="仿宋_GB2312"/>
          <w:sz w:val="28"/>
          <w:szCs w:val="28"/>
        </w:rPr>
      </w:pPr>
      <w:r>
        <w:rPr>
          <w:rFonts w:ascii="Times New Roman" w:hAnsi="Times New Roman" w:eastAsia="仿宋_GB2312"/>
          <w:sz w:val="28"/>
          <w:szCs w:val="28"/>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35"/>
        <w:gridCol w:w="2125"/>
        <w:gridCol w:w="1700"/>
        <w:gridCol w:w="1448"/>
        <w:gridCol w:w="1293"/>
      </w:tblGrid>
      <w:tr w14:paraId="7500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0" w:type="pct"/>
            <w:vAlign w:val="center"/>
          </w:tcPr>
          <w:p w14:paraId="245A0501">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666" w:type="pct"/>
            <w:vAlign w:val="center"/>
          </w:tcPr>
          <w:p w14:paraId="4CD5F506">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47" w:type="pct"/>
            <w:vAlign w:val="center"/>
          </w:tcPr>
          <w:p w14:paraId="01FAC5E4">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98" w:type="pct"/>
            <w:vAlign w:val="center"/>
          </w:tcPr>
          <w:p w14:paraId="600EFBFD">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850" w:type="pct"/>
            <w:vAlign w:val="center"/>
          </w:tcPr>
          <w:p w14:paraId="4B42E469">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759" w:type="pct"/>
            <w:vAlign w:val="center"/>
          </w:tcPr>
          <w:p w14:paraId="2B9A3E47">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14:paraId="4AE0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2981B317">
            <w:pPr>
              <w:jc w:val="center"/>
              <w:rPr>
                <w:rFonts w:ascii="Times New Roman" w:hAnsi="Times New Roman" w:eastAsia="仿宋_GB2312"/>
                <w:sz w:val="24"/>
              </w:rPr>
            </w:pPr>
            <w:r>
              <w:rPr>
                <w:rFonts w:ascii="Times New Roman" w:hAnsi="Times New Roman" w:eastAsia="仿宋_GB2312"/>
                <w:color w:val="000000"/>
                <w:sz w:val="24"/>
              </w:rPr>
              <w:t>1</w:t>
            </w:r>
          </w:p>
        </w:tc>
        <w:tc>
          <w:tcPr>
            <w:tcW w:w="666" w:type="pct"/>
            <w:vAlign w:val="center"/>
          </w:tcPr>
          <w:p w14:paraId="21581583">
            <w:pPr>
              <w:jc w:val="center"/>
              <w:rPr>
                <w:rFonts w:ascii="Times New Roman" w:hAnsi="Times New Roman" w:eastAsia="仿宋_GB2312"/>
                <w:sz w:val="24"/>
              </w:rPr>
            </w:pPr>
            <w:r>
              <w:rPr>
                <w:rFonts w:ascii="Times New Roman" w:hAnsi="Times New Roman" w:eastAsia="仿宋_GB2312"/>
                <w:sz w:val="24"/>
              </w:rPr>
              <w:t>2019</w:t>
            </w:r>
          </w:p>
        </w:tc>
        <w:tc>
          <w:tcPr>
            <w:tcW w:w="1247" w:type="pct"/>
            <w:vAlign w:val="center"/>
          </w:tcPr>
          <w:p w14:paraId="0A69DCF0">
            <w:pPr>
              <w:jc w:val="center"/>
              <w:rPr>
                <w:rFonts w:ascii="Times New Roman" w:hAnsi="Times New Roman" w:eastAsia="仿宋_GB2312"/>
                <w:sz w:val="24"/>
              </w:rPr>
            </w:pPr>
            <w:r>
              <w:rPr>
                <w:rFonts w:ascii="Times New Roman" w:hAnsi="Times New Roman" w:eastAsia="仿宋_GB2312"/>
                <w:sz w:val="24"/>
              </w:rPr>
              <w:t>xx发展中心设施</w:t>
            </w:r>
          </w:p>
        </w:tc>
        <w:tc>
          <w:tcPr>
            <w:tcW w:w="998" w:type="pct"/>
            <w:vAlign w:val="center"/>
          </w:tcPr>
          <w:p w14:paraId="4493D4AC">
            <w:pPr>
              <w:jc w:val="center"/>
              <w:rPr>
                <w:rFonts w:ascii="Times New Roman" w:hAnsi="Times New Roman" w:eastAsia="仿宋_GB2312"/>
                <w:sz w:val="24"/>
              </w:rPr>
            </w:pPr>
            <w:r>
              <w:rPr>
                <w:rFonts w:ascii="Times New Roman" w:hAnsi="Times New Roman" w:eastAsia="仿宋_GB2312"/>
                <w:sz w:val="24"/>
              </w:rPr>
              <w:t>否</w:t>
            </w:r>
          </w:p>
        </w:tc>
        <w:tc>
          <w:tcPr>
            <w:tcW w:w="850" w:type="pct"/>
            <w:vAlign w:val="center"/>
          </w:tcPr>
          <w:p w14:paraId="701E084D">
            <w:pPr>
              <w:jc w:val="center"/>
              <w:rPr>
                <w:rFonts w:ascii="Times New Roman" w:hAnsi="Times New Roman" w:eastAsia="仿宋_GB2312"/>
                <w:sz w:val="24"/>
              </w:rPr>
            </w:pPr>
            <w:r>
              <w:rPr>
                <w:rFonts w:ascii="Times New Roman" w:hAnsi="Times New Roman" w:eastAsia="仿宋_GB2312"/>
                <w:sz w:val="24"/>
              </w:rPr>
              <w:t>2006.10</w:t>
            </w:r>
          </w:p>
        </w:tc>
        <w:tc>
          <w:tcPr>
            <w:tcW w:w="759" w:type="pct"/>
            <w:vAlign w:val="center"/>
          </w:tcPr>
          <w:p w14:paraId="2E910935">
            <w:pPr>
              <w:jc w:val="center"/>
              <w:rPr>
                <w:rFonts w:ascii="Times New Roman" w:hAnsi="Times New Roman" w:eastAsia="仿宋_GB2312"/>
                <w:sz w:val="24"/>
              </w:rPr>
            </w:pPr>
            <w:r>
              <w:rPr>
                <w:rFonts w:ascii="Times New Roman" w:hAnsi="Times New Roman" w:eastAsia="仿宋_GB2312"/>
                <w:sz w:val="24"/>
              </w:rPr>
              <w:t>/</w:t>
            </w:r>
          </w:p>
        </w:tc>
      </w:tr>
      <w:tr w14:paraId="6933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4732B3CF">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p>
        </w:tc>
        <w:tc>
          <w:tcPr>
            <w:tcW w:w="666" w:type="pct"/>
            <w:vAlign w:val="center"/>
          </w:tcPr>
          <w:p w14:paraId="160A1B1D">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47" w:type="pct"/>
          </w:tcPr>
          <w:p w14:paraId="2B639044">
            <w:pPr>
              <w:jc w:val="center"/>
              <w:rPr>
                <w:rFonts w:ascii="Times New Roman" w:hAnsi="Times New Roman" w:eastAsia="仿宋_GB2312"/>
                <w:sz w:val="24"/>
              </w:rPr>
            </w:pPr>
            <w:r>
              <w:rPr>
                <w:rFonts w:hint="eastAsia"/>
              </w:rPr>
              <w:t>xx发展中心设施</w:t>
            </w:r>
          </w:p>
        </w:tc>
        <w:tc>
          <w:tcPr>
            <w:tcW w:w="998" w:type="pct"/>
          </w:tcPr>
          <w:p w14:paraId="736A5836">
            <w:pPr>
              <w:jc w:val="center"/>
              <w:rPr>
                <w:rFonts w:ascii="Times New Roman" w:hAnsi="Times New Roman" w:eastAsia="仿宋_GB2312"/>
                <w:sz w:val="24"/>
              </w:rPr>
            </w:pPr>
            <w:r>
              <w:rPr>
                <w:rFonts w:hint="eastAsia"/>
              </w:rPr>
              <w:t>否</w:t>
            </w:r>
          </w:p>
        </w:tc>
        <w:tc>
          <w:tcPr>
            <w:tcW w:w="850" w:type="pct"/>
            <w:vAlign w:val="center"/>
          </w:tcPr>
          <w:p w14:paraId="4B947CC4">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759" w:type="pct"/>
            <w:vAlign w:val="center"/>
          </w:tcPr>
          <w:p w14:paraId="1FD5CB5E">
            <w:pPr>
              <w:jc w:val="center"/>
              <w:rPr>
                <w:rFonts w:ascii="Times New Roman" w:hAnsi="Times New Roman" w:eastAsia="仿宋_GB2312"/>
                <w:sz w:val="24"/>
              </w:rPr>
            </w:pPr>
          </w:p>
        </w:tc>
      </w:tr>
      <w:tr w14:paraId="224D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272EA942">
            <w:pPr>
              <w:jc w:val="center"/>
              <w:rPr>
                <w:rFonts w:ascii="Times New Roman" w:hAnsi="Times New Roman" w:eastAsia="仿宋_GB2312"/>
                <w:sz w:val="24"/>
              </w:rPr>
            </w:pPr>
            <w:r>
              <w:rPr>
                <w:rFonts w:ascii="Times New Roman" w:hAnsi="Times New Roman" w:eastAsia="仿宋_GB2312"/>
                <w:color w:val="000000"/>
                <w:sz w:val="24"/>
              </w:rPr>
              <w:t>合计</w:t>
            </w:r>
          </w:p>
        </w:tc>
        <w:tc>
          <w:tcPr>
            <w:tcW w:w="666" w:type="pct"/>
            <w:vAlign w:val="center"/>
          </w:tcPr>
          <w:p w14:paraId="31B89CC3">
            <w:pPr>
              <w:jc w:val="center"/>
              <w:rPr>
                <w:rFonts w:ascii="Times New Roman" w:hAnsi="Times New Roman" w:eastAsia="仿宋_GB2312"/>
                <w:sz w:val="24"/>
              </w:rPr>
            </w:pPr>
          </w:p>
        </w:tc>
        <w:tc>
          <w:tcPr>
            <w:tcW w:w="1247" w:type="pct"/>
            <w:vAlign w:val="center"/>
          </w:tcPr>
          <w:p w14:paraId="13B1C602">
            <w:pPr>
              <w:jc w:val="center"/>
              <w:rPr>
                <w:rFonts w:ascii="Times New Roman" w:hAnsi="Times New Roman" w:eastAsia="仿宋_GB2312"/>
                <w:sz w:val="24"/>
              </w:rPr>
            </w:pPr>
          </w:p>
        </w:tc>
        <w:tc>
          <w:tcPr>
            <w:tcW w:w="998" w:type="pct"/>
            <w:vAlign w:val="center"/>
          </w:tcPr>
          <w:p w14:paraId="53439E50">
            <w:pPr>
              <w:jc w:val="center"/>
              <w:rPr>
                <w:rFonts w:ascii="Times New Roman" w:hAnsi="Times New Roman" w:eastAsia="仿宋_GB2312"/>
                <w:sz w:val="24"/>
              </w:rPr>
            </w:pPr>
          </w:p>
        </w:tc>
        <w:tc>
          <w:tcPr>
            <w:tcW w:w="850" w:type="pct"/>
            <w:vAlign w:val="center"/>
          </w:tcPr>
          <w:p w14:paraId="6BF0DA59">
            <w:pPr>
              <w:jc w:val="center"/>
              <w:rPr>
                <w:rFonts w:ascii="Times New Roman" w:hAnsi="Times New Roman" w:eastAsia="仿宋_GB2312"/>
                <w:sz w:val="24"/>
              </w:rPr>
            </w:pPr>
            <w:r>
              <w:rPr>
                <w:rFonts w:ascii="Times New Roman" w:hAnsi="Times New Roman" w:eastAsia="仿宋_GB2312"/>
                <w:sz w:val="24"/>
              </w:rPr>
              <w:t>XXX</w:t>
            </w:r>
          </w:p>
        </w:tc>
        <w:tc>
          <w:tcPr>
            <w:tcW w:w="759" w:type="pct"/>
            <w:vAlign w:val="center"/>
          </w:tcPr>
          <w:p w14:paraId="6AD4A34F">
            <w:pPr>
              <w:jc w:val="center"/>
              <w:rPr>
                <w:rFonts w:ascii="Times New Roman" w:hAnsi="Times New Roman" w:eastAsia="仿宋_GB2312"/>
                <w:sz w:val="24"/>
              </w:rPr>
            </w:pPr>
            <w:r>
              <w:rPr>
                <w:rFonts w:ascii="Times New Roman" w:hAnsi="Times New Roman" w:eastAsia="仿宋_GB2312"/>
                <w:sz w:val="24"/>
              </w:rPr>
              <w:t>/</w:t>
            </w:r>
          </w:p>
        </w:tc>
      </w:tr>
    </w:tbl>
    <w:p w14:paraId="3D78AE34">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排放单位2020年新增设施导致的总排放量为XXX吨，是基准年排放量的XXX%，新增服务范围xx发展中心建筑面积（不含地下车库）xxxx平方米，地下车库面积xxxx平方米，实际物业管理面积xxxx平方米，</w:t>
      </w:r>
      <w:r>
        <w:rPr>
          <w:rFonts w:hint="eastAsia" w:ascii="Times New Roman" w:hAnsi="Times New Roman" w:eastAsia="仿宋_GB2312"/>
          <w:sz w:val="32"/>
          <w:szCs w:val="32"/>
        </w:rPr>
        <w:t>新增服务范围对应的</w:t>
      </w:r>
      <w:r>
        <w:rPr>
          <w:rFonts w:ascii="Times New Roman" w:hAnsi="Times New Roman" w:eastAsia="仿宋_GB2312"/>
          <w:sz w:val="32"/>
          <w:szCs w:val="32"/>
        </w:rPr>
        <w:t>产值为xxx万元</w:t>
      </w:r>
      <w:r>
        <w:rPr>
          <w:rFonts w:hint="eastAsia" w:ascii="Times New Roman" w:hAnsi="Times New Roman" w:eastAsia="仿宋_GB2312"/>
          <w:sz w:val="32"/>
          <w:szCs w:val="32"/>
        </w:rPr>
        <w:t>（其中物业管理费xx万元，采暖制冷费用xx万元，物业经营收入xx万元，增值服务费xx万元），入驻率为xx%</w:t>
      </w:r>
      <w:r>
        <w:rPr>
          <w:rFonts w:ascii="Times New Roman" w:hAnsi="Times New Roman" w:eastAsia="仿宋_GB2312"/>
          <w:sz w:val="32"/>
          <w:szCs w:val="32"/>
        </w:rPr>
        <w:t>。此信息供新增设施发放配额参考。</w:t>
      </w:r>
    </w:p>
    <w:p w14:paraId="4EBEB46D">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346AC3D2">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14:paraId="0DE694E1">
      <w:pPr>
        <w:spacing w:after="0" w:line="560" w:lineRule="exact"/>
        <w:ind w:right="-198" w:rightChars="-90"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sz w:val="32"/>
          <w:szCs w:val="32"/>
        </w:rPr>
        <w:t>历史核查时，对于排放单位服务的</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写字楼内的租户（非重点排放单位）消耗的电力予以了扣减，因此本次核查与历史核查边界保持一致，对</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写字楼内的租户也予以了扣减。</w:t>
      </w:r>
    </w:p>
    <w:p w14:paraId="4986416A">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其他行业企业</w:t>
      </w:r>
    </w:p>
    <w:p w14:paraId="03C8EC0A">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14:paraId="55B14488">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14:paraId="6498A233">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14:paraId="00B0447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14:paraId="784FCAA1">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《二氧化碳排放核算和报告要求其他行业》（DB11/T 1787-2020）</w:t>
      </w:r>
      <w:r>
        <w:rPr>
          <w:rFonts w:ascii="Times New Roman" w:hAnsi="Times New Roman" w:eastAsia="仿宋_GB2312"/>
          <w:sz w:val="32"/>
          <w:szCs w:val="32"/>
        </w:rPr>
        <w:t>的要求，核查组对本排放报告出具肯定的核查结论。</w:t>
      </w:r>
    </w:p>
    <w:p w14:paraId="62F0928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14:paraId="2C790DB1">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4306.14</w:t>
      </w:r>
      <w:r>
        <w:rPr>
          <w:rFonts w:hint="eastAsia" w:ascii="Times New Roman" w:hAnsi="Times New Roman" w:eastAsia="仿宋_GB2312"/>
          <w:sz w:val="32"/>
          <w:szCs w:val="32"/>
        </w:rPr>
        <w:t>吨，间接排放量为</w:t>
      </w:r>
      <w:r>
        <w:rPr>
          <w:rFonts w:ascii="Times New Roman" w:hAnsi="Times New Roman" w:eastAsia="仿宋_GB2312"/>
          <w:sz w:val="32"/>
          <w:szCs w:val="32"/>
        </w:rPr>
        <w:t>5567.87</w:t>
      </w:r>
      <w:r>
        <w:rPr>
          <w:rFonts w:hint="eastAsia" w:ascii="Times New Roman" w:hAnsi="Times New Roman" w:eastAsia="仿宋_GB2312"/>
          <w:sz w:val="32"/>
          <w:szCs w:val="32"/>
        </w:rPr>
        <w:t>吨，总排放量为</w:t>
      </w:r>
      <w:r>
        <w:rPr>
          <w:rFonts w:ascii="Times New Roman" w:hAnsi="Times New Roman" w:eastAsia="仿宋_GB2312"/>
          <w:sz w:val="32"/>
          <w:szCs w:val="32"/>
        </w:rPr>
        <w:t>9874.01</w:t>
      </w:r>
      <w:r>
        <w:rPr>
          <w:rFonts w:hint="eastAsia" w:ascii="Times New Roman" w:hAnsi="Times New Roman" w:eastAsia="仿宋_GB2312"/>
          <w:sz w:val="32"/>
          <w:szCs w:val="32"/>
        </w:rPr>
        <w:t>吨。</w:t>
      </w:r>
    </w:p>
    <w:p w14:paraId="306E2074">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xxx</w:t>
      </w:r>
      <w:r>
        <w:rPr>
          <w:rFonts w:hint="eastAsia" w:ascii="Times New Roman" w:hAnsi="Times New Roman" w:eastAsia="仿宋_GB2312"/>
          <w:sz w:val="32"/>
          <w:szCs w:val="32"/>
        </w:rPr>
        <w:t>吨，产值数据为</w:t>
      </w:r>
      <w:r>
        <w:rPr>
          <w:rFonts w:ascii="Times New Roman" w:hAnsi="Times New Roman" w:eastAsia="仿宋_GB2312"/>
          <w:sz w:val="32"/>
          <w:szCs w:val="32"/>
        </w:rPr>
        <w:t>xxxx</w:t>
      </w:r>
      <w:r>
        <w:rPr>
          <w:rFonts w:hint="eastAsia" w:ascii="Times New Roman" w:hAnsi="Times New Roman" w:eastAsia="仿宋_GB2312"/>
          <w:sz w:val="32"/>
          <w:szCs w:val="32"/>
        </w:rPr>
        <w:t>万元。</w:t>
      </w:r>
    </w:p>
    <w:p w14:paraId="0D654902">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14:paraId="4AB43C38">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本年度排放量与上一年度排放量相比增加了</w:t>
      </w:r>
      <w:r>
        <w:rPr>
          <w:rFonts w:ascii="Times New Roman" w:hAnsi="Times New Roman" w:eastAsia="仿宋_GB2312"/>
          <w:sz w:val="32"/>
          <w:szCs w:val="32"/>
        </w:rPr>
        <w:t>1812.43</w:t>
      </w:r>
      <w:r>
        <w:rPr>
          <w:rFonts w:hint="eastAsia" w:ascii="Times New Roman" w:hAnsi="Times New Roman" w:eastAsia="仿宋_GB2312"/>
          <w:sz w:val="32"/>
          <w:szCs w:val="32"/>
        </w:rPr>
        <w:t>吨</w:t>
      </w:r>
      <w:r>
        <w:rPr>
          <w:rFonts w:ascii="Times New Roman" w:hAnsi="Times New Roman" w:eastAsia="仿宋_GB2312"/>
          <w:sz w:val="32"/>
          <w:szCs w:val="32"/>
        </w:rPr>
        <w:t>/22.48%</w:t>
      </w:r>
      <w:r>
        <w:rPr>
          <w:rFonts w:hint="eastAsia" w:ascii="Times New Roman" w:hAnsi="Times New Roman" w:eastAsia="仿宋_GB2312"/>
          <w:sz w:val="32"/>
          <w:szCs w:val="32"/>
        </w:rPr>
        <w:t>，其中，直接排放量增加了</w:t>
      </w:r>
      <w:r>
        <w:rPr>
          <w:rFonts w:ascii="Times New Roman" w:hAnsi="Times New Roman" w:eastAsia="仿宋_GB2312"/>
          <w:sz w:val="32"/>
          <w:szCs w:val="32"/>
        </w:rPr>
        <w:t>648.81</w:t>
      </w:r>
      <w:r>
        <w:rPr>
          <w:rFonts w:hint="eastAsia" w:ascii="Times New Roman" w:hAnsi="Times New Roman" w:eastAsia="仿宋_GB2312"/>
          <w:sz w:val="32"/>
          <w:szCs w:val="32"/>
        </w:rPr>
        <w:t>吨</w:t>
      </w:r>
      <w:r>
        <w:rPr>
          <w:rFonts w:ascii="Times New Roman" w:hAnsi="Times New Roman" w:eastAsia="仿宋_GB2312"/>
          <w:sz w:val="32"/>
          <w:szCs w:val="32"/>
        </w:rPr>
        <w:t>/17.74%</w:t>
      </w:r>
      <w:r>
        <w:rPr>
          <w:rFonts w:hint="eastAsia" w:ascii="Times New Roman" w:hAnsi="Times New Roman" w:eastAsia="仿宋_GB2312"/>
          <w:sz w:val="32"/>
          <w:szCs w:val="32"/>
        </w:rPr>
        <w:t>，间接排放量增加了</w:t>
      </w:r>
      <w:r>
        <w:rPr>
          <w:rFonts w:ascii="Times New Roman" w:hAnsi="Times New Roman" w:eastAsia="仿宋_GB2312"/>
          <w:sz w:val="32"/>
          <w:szCs w:val="32"/>
        </w:rPr>
        <w:t>1163.61</w:t>
      </w:r>
      <w:r>
        <w:rPr>
          <w:rFonts w:hint="eastAsia" w:ascii="Times New Roman" w:hAnsi="Times New Roman" w:eastAsia="仿宋_GB2312"/>
          <w:sz w:val="32"/>
          <w:szCs w:val="32"/>
        </w:rPr>
        <w:t>吨</w:t>
      </w:r>
      <w:r>
        <w:rPr>
          <w:rFonts w:ascii="Times New Roman" w:hAnsi="Times New Roman" w:eastAsia="仿宋_GB2312"/>
          <w:sz w:val="32"/>
          <w:szCs w:val="32"/>
        </w:rPr>
        <w:t>/26.42%</w:t>
      </w:r>
      <w:r>
        <w:rPr>
          <w:rFonts w:hint="eastAsia" w:ascii="Times New Roman" w:hAnsi="Times New Roman" w:eastAsia="仿宋_GB2312"/>
          <w:sz w:val="32"/>
          <w:szCs w:val="32"/>
        </w:rPr>
        <w:t>。经与排放单位确认，排放单位为提高</w:t>
      </w:r>
      <w:r>
        <w:rPr>
          <w:rFonts w:ascii="Times New Roman" w:hAnsi="Times New Roman" w:eastAsia="仿宋_GB2312"/>
          <w:sz w:val="32"/>
          <w:szCs w:val="32"/>
        </w:rPr>
        <w:t>产能，</w:t>
      </w:r>
      <w:r>
        <w:rPr>
          <w:rFonts w:hint="eastAsia" w:ascii="Times New Roman" w:hAnsi="Times New Roman" w:eastAsia="仿宋_GB2312"/>
          <w:sz w:val="32"/>
          <w:szCs w:val="32"/>
        </w:rPr>
        <w:t>增加了原料处理量</w:t>
      </w:r>
      <w:r>
        <w:rPr>
          <w:rFonts w:ascii="Times New Roman" w:hAnsi="Times New Roman" w:eastAsia="仿宋_GB2312"/>
          <w:sz w:val="32"/>
          <w:szCs w:val="32"/>
        </w:rPr>
        <w:t>，导致2019年天然气消耗上升直接排放量增加；2019年新增了一</w:t>
      </w:r>
      <w:r>
        <w:rPr>
          <w:rFonts w:hint="eastAsia" w:ascii="Times New Roman" w:hAnsi="Times New Roman" w:eastAsia="仿宋_GB2312"/>
          <w:sz w:val="32"/>
          <w:szCs w:val="32"/>
        </w:rPr>
        <w:t>套xxxx</w:t>
      </w:r>
      <w:r>
        <w:rPr>
          <w:rFonts w:ascii="Times New Roman" w:hAnsi="Times New Roman" w:eastAsia="仿宋_GB2312"/>
          <w:sz w:val="32"/>
          <w:szCs w:val="32"/>
        </w:rPr>
        <w:t>生产设备，电力消耗量增加导致间接排放量增加。</w:t>
      </w:r>
    </w:p>
    <w:p w14:paraId="400BABAB">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2020年度排放量与历史基准年份排放量相比增加了1812.42吨/22.48%。排放量增加的主要原因为排放单位增加</w:t>
      </w:r>
      <w:r>
        <w:rPr>
          <w:rFonts w:hint="eastAsia" w:ascii="Times New Roman" w:hAnsi="Times New Roman" w:eastAsia="仿宋_GB2312"/>
          <w:sz w:val="32"/>
          <w:szCs w:val="32"/>
        </w:rPr>
        <w:t>了原料处理量</w:t>
      </w:r>
      <w:r>
        <w:rPr>
          <w:rFonts w:ascii="Times New Roman" w:hAnsi="Times New Roman" w:eastAsia="仿宋_GB2312"/>
          <w:sz w:val="32"/>
          <w:szCs w:val="32"/>
        </w:rPr>
        <w:t>且新增加了一</w:t>
      </w:r>
      <w:r>
        <w:rPr>
          <w:rFonts w:hint="eastAsia" w:ascii="Times New Roman" w:hAnsi="Times New Roman" w:eastAsia="仿宋_GB2312"/>
          <w:sz w:val="32"/>
          <w:szCs w:val="32"/>
        </w:rPr>
        <w:t>套xxxx</w:t>
      </w:r>
      <w:r>
        <w:rPr>
          <w:rFonts w:ascii="Times New Roman" w:hAnsi="Times New Roman" w:eastAsia="仿宋_GB2312"/>
          <w:sz w:val="32"/>
          <w:szCs w:val="32"/>
        </w:rPr>
        <w:t>生产设备，导致排放量上升。</w:t>
      </w:r>
    </w:p>
    <w:p w14:paraId="11D4D75E">
      <w:pPr>
        <w:spacing w:after="0" w:line="560" w:lineRule="exact"/>
        <w:jc w:val="center"/>
        <w:rPr>
          <w:rFonts w:ascii="Times New Roman" w:hAnsi="Times New Roman" w:eastAsia="仿宋_GB2312"/>
          <w:sz w:val="24"/>
        </w:rPr>
      </w:pPr>
      <w:r>
        <w:rPr>
          <w:rFonts w:ascii="Times New Roman" w:hAnsi="Times New Roman" w:eastAsia="仿宋_GB2312"/>
          <w:sz w:val="24"/>
        </w:rPr>
        <w:t>表XX  排放量汇总表</w:t>
      </w:r>
    </w:p>
    <w:tbl>
      <w:tblPr>
        <w:tblStyle w:val="35"/>
        <w:tblW w:w="4998" w:type="pct"/>
        <w:tblInd w:w="0" w:type="dxa"/>
        <w:tblLayout w:type="autofit"/>
        <w:tblCellMar>
          <w:top w:w="0" w:type="dxa"/>
          <w:left w:w="0" w:type="dxa"/>
          <w:bottom w:w="0" w:type="dxa"/>
          <w:right w:w="0" w:type="dxa"/>
        </w:tblCellMar>
      </w:tblPr>
      <w:tblGrid>
        <w:gridCol w:w="1707"/>
        <w:gridCol w:w="1996"/>
        <w:gridCol w:w="2424"/>
        <w:gridCol w:w="2202"/>
      </w:tblGrid>
      <w:tr w14:paraId="6331ED92">
        <w:tblPrEx>
          <w:tblCellMar>
            <w:top w:w="0" w:type="dxa"/>
            <w:left w:w="0" w:type="dxa"/>
            <w:bottom w:w="0" w:type="dxa"/>
            <w:right w:w="0" w:type="dxa"/>
          </w:tblCellMar>
        </w:tblPrEx>
        <w:trPr>
          <w:trHeight w:val="737" w:hRule="atLeast"/>
        </w:trPr>
        <w:tc>
          <w:tcPr>
            <w:tcW w:w="1025" w:type="pct"/>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14:paraId="7A57302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198"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14:paraId="2F3DF09F">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1455"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14:paraId="64313394">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1322"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14:paraId="7F8624CE">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14:paraId="2A1B1F14">
        <w:tblPrEx>
          <w:tblCellMar>
            <w:top w:w="0" w:type="dxa"/>
            <w:left w:w="0" w:type="dxa"/>
            <w:bottom w:w="0" w:type="dxa"/>
            <w:right w:w="0" w:type="dxa"/>
          </w:tblCellMar>
        </w:tblPrEx>
        <w:trPr>
          <w:trHeight w:val="330" w:hRule="atLeast"/>
        </w:trPr>
        <w:tc>
          <w:tcPr>
            <w:tcW w:w="1025" w:type="pct"/>
            <w:tcBorders>
              <w:top w:val="nil"/>
              <w:left w:val="single" w:color="000000" w:sz="8" w:space="0"/>
              <w:bottom w:val="single" w:color="000000" w:sz="8" w:space="0"/>
              <w:right w:val="single" w:color="000000" w:sz="8" w:space="0"/>
            </w:tcBorders>
            <w:noWrap/>
            <w:tcMar>
              <w:top w:w="10" w:type="dxa"/>
              <w:left w:w="10" w:type="dxa"/>
              <w:right w:w="10" w:type="dxa"/>
            </w:tcMar>
            <w:vAlign w:val="center"/>
          </w:tcPr>
          <w:p w14:paraId="23AE05F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1198" w:type="pct"/>
            <w:tcBorders>
              <w:top w:val="nil"/>
              <w:left w:val="nil"/>
              <w:bottom w:val="single" w:color="000000" w:sz="8" w:space="0"/>
              <w:right w:val="single" w:color="000000" w:sz="8" w:space="0"/>
            </w:tcBorders>
            <w:noWrap/>
            <w:tcMar>
              <w:top w:w="10" w:type="dxa"/>
              <w:left w:w="10" w:type="dxa"/>
              <w:right w:w="10" w:type="dxa"/>
            </w:tcMar>
            <w:vAlign w:val="center"/>
          </w:tcPr>
          <w:p w14:paraId="030B842A">
            <w:pPr>
              <w:jc w:val="center"/>
              <w:rPr>
                <w:rFonts w:ascii="Times New Roman" w:hAnsi="Times New Roman"/>
              </w:rPr>
            </w:pPr>
            <w:r>
              <w:rPr>
                <w:rFonts w:ascii="Times New Roman" w:hAnsi="Times New Roman"/>
              </w:rPr>
              <w:t>3442.68</w:t>
            </w:r>
          </w:p>
        </w:tc>
        <w:tc>
          <w:tcPr>
            <w:tcW w:w="1455" w:type="pct"/>
            <w:tcBorders>
              <w:top w:val="nil"/>
              <w:left w:val="nil"/>
              <w:bottom w:val="single" w:color="000000" w:sz="8" w:space="0"/>
              <w:right w:val="single" w:color="000000" w:sz="8" w:space="0"/>
            </w:tcBorders>
            <w:noWrap/>
            <w:tcMar>
              <w:top w:w="10" w:type="dxa"/>
              <w:left w:w="10" w:type="dxa"/>
              <w:right w:w="10" w:type="dxa"/>
            </w:tcMar>
            <w:vAlign w:val="center"/>
          </w:tcPr>
          <w:p w14:paraId="5AF5818E">
            <w:pPr>
              <w:jc w:val="center"/>
              <w:rPr>
                <w:rFonts w:ascii="Times New Roman" w:hAnsi="Times New Roman"/>
              </w:rPr>
            </w:pPr>
            <w:r>
              <w:rPr>
                <w:rFonts w:ascii="Times New Roman" w:hAnsi="Times New Roman"/>
              </w:rPr>
              <w:t>3824.26</w:t>
            </w:r>
          </w:p>
        </w:tc>
        <w:tc>
          <w:tcPr>
            <w:tcW w:w="1322" w:type="pct"/>
            <w:tcBorders>
              <w:top w:val="nil"/>
              <w:left w:val="nil"/>
              <w:bottom w:val="single" w:color="000000" w:sz="8" w:space="0"/>
              <w:right w:val="single" w:color="000000" w:sz="8" w:space="0"/>
            </w:tcBorders>
            <w:tcMar>
              <w:top w:w="10" w:type="dxa"/>
              <w:left w:w="10" w:type="dxa"/>
              <w:right w:w="10" w:type="dxa"/>
            </w:tcMar>
            <w:vAlign w:val="center"/>
          </w:tcPr>
          <w:p w14:paraId="1346157D">
            <w:pPr>
              <w:jc w:val="center"/>
              <w:rPr>
                <w:rFonts w:ascii="Times New Roman" w:hAnsi="Times New Roman"/>
              </w:rPr>
            </w:pPr>
            <w:r>
              <w:rPr>
                <w:rFonts w:ascii="Times New Roman" w:hAnsi="Times New Roman"/>
              </w:rPr>
              <w:t>7266.93</w:t>
            </w:r>
          </w:p>
        </w:tc>
      </w:tr>
      <w:tr w14:paraId="03F391CE">
        <w:tblPrEx>
          <w:tblCellMar>
            <w:top w:w="0" w:type="dxa"/>
            <w:left w:w="0" w:type="dxa"/>
            <w:bottom w:w="0" w:type="dxa"/>
            <w:right w:w="0" w:type="dxa"/>
          </w:tblCellMar>
        </w:tblPrEx>
        <w:trPr>
          <w:trHeight w:val="330" w:hRule="atLeast"/>
        </w:trPr>
        <w:tc>
          <w:tcPr>
            <w:tcW w:w="1025" w:type="pct"/>
            <w:tcBorders>
              <w:top w:val="nil"/>
              <w:left w:val="single" w:color="000000" w:sz="8" w:space="0"/>
              <w:bottom w:val="single" w:color="auto" w:sz="4" w:space="0"/>
              <w:right w:val="single" w:color="000000" w:sz="8" w:space="0"/>
            </w:tcBorders>
            <w:noWrap/>
            <w:tcMar>
              <w:top w:w="10" w:type="dxa"/>
              <w:left w:w="10" w:type="dxa"/>
              <w:right w:w="10" w:type="dxa"/>
            </w:tcMar>
            <w:vAlign w:val="center"/>
          </w:tcPr>
          <w:p w14:paraId="5834CBE0">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1198" w:type="pct"/>
            <w:tcBorders>
              <w:top w:val="nil"/>
              <w:left w:val="nil"/>
              <w:bottom w:val="single" w:color="auto" w:sz="4" w:space="0"/>
              <w:right w:val="single" w:color="000000" w:sz="8" w:space="0"/>
            </w:tcBorders>
            <w:noWrap/>
            <w:tcMar>
              <w:top w:w="10" w:type="dxa"/>
              <w:left w:w="10" w:type="dxa"/>
              <w:right w:w="10" w:type="dxa"/>
            </w:tcMar>
            <w:vAlign w:val="center"/>
          </w:tcPr>
          <w:p w14:paraId="545B7687">
            <w:pPr>
              <w:jc w:val="center"/>
              <w:rPr>
                <w:rFonts w:ascii="Times New Roman" w:hAnsi="Times New Roman"/>
              </w:rPr>
            </w:pPr>
            <w:r>
              <w:rPr>
                <w:rFonts w:ascii="Times New Roman" w:hAnsi="Times New Roman"/>
              </w:rPr>
              <w:t>3522.33</w:t>
            </w:r>
          </w:p>
        </w:tc>
        <w:tc>
          <w:tcPr>
            <w:tcW w:w="1455" w:type="pct"/>
            <w:tcBorders>
              <w:top w:val="nil"/>
              <w:left w:val="nil"/>
              <w:bottom w:val="single" w:color="auto" w:sz="4" w:space="0"/>
              <w:right w:val="single" w:color="000000" w:sz="8" w:space="0"/>
            </w:tcBorders>
            <w:noWrap/>
            <w:tcMar>
              <w:top w:w="10" w:type="dxa"/>
              <w:left w:w="10" w:type="dxa"/>
              <w:right w:w="10" w:type="dxa"/>
            </w:tcMar>
            <w:vAlign w:val="center"/>
          </w:tcPr>
          <w:p w14:paraId="0B52D843">
            <w:pPr>
              <w:jc w:val="center"/>
              <w:rPr>
                <w:rFonts w:ascii="Times New Roman" w:hAnsi="Times New Roman"/>
              </w:rPr>
            </w:pPr>
            <w:r>
              <w:rPr>
                <w:rFonts w:ascii="Times New Roman" w:hAnsi="Times New Roman"/>
              </w:rPr>
              <w:t>4114.26</w:t>
            </w:r>
          </w:p>
        </w:tc>
        <w:tc>
          <w:tcPr>
            <w:tcW w:w="1322" w:type="pct"/>
            <w:tcBorders>
              <w:top w:val="nil"/>
              <w:left w:val="nil"/>
              <w:bottom w:val="single" w:color="auto" w:sz="4" w:space="0"/>
              <w:right w:val="single" w:color="000000" w:sz="8" w:space="0"/>
            </w:tcBorders>
            <w:tcMar>
              <w:top w:w="10" w:type="dxa"/>
              <w:left w:w="10" w:type="dxa"/>
              <w:right w:w="10" w:type="dxa"/>
            </w:tcMar>
            <w:vAlign w:val="center"/>
          </w:tcPr>
          <w:p w14:paraId="5A637320">
            <w:pPr>
              <w:jc w:val="center"/>
              <w:rPr>
                <w:rFonts w:ascii="Times New Roman" w:hAnsi="Times New Roman"/>
              </w:rPr>
            </w:pPr>
            <w:r>
              <w:rPr>
                <w:rFonts w:ascii="Times New Roman" w:hAnsi="Times New Roman"/>
              </w:rPr>
              <w:t>7636.58</w:t>
            </w:r>
          </w:p>
        </w:tc>
      </w:tr>
      <w:tr w14:paraId="67BA69FA">
        <w:tblPrEx>
          <w:tblCellMar>
            <w:top w:w="0" w:type="dxa"/>
            <w:left w:w="0" w:type="dxa"/>
            <w:bottom w:w="0" w:type="dxa"/>
            <w:right w:w="0" w:type="dxa"/>
          </w:tblCellMar>
        </w:tblPrEx>
        <w:trPr>
          <w:trHeight w:val="330"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18A4FA7D">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32B66959">
            <w:pPr>
              <w:jc w:val="center"/>
              <w:rPr>
                <w:rFonts w:ascii="Times New Roman" w:hAnsi="Times New Roman"/>
              </w:rPr>
            </w:pPr>
            <w:r>
              <w:rPr>
                <w:rFonts w:ascii="Times New Roman" w:hAnsi="Times New Roman"/>
              </w:rPr>
              <w:t>3657.33</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4EC4B2D0">
            <w:pPr>
              <w:jc w:val="center"/>
              <w:rPr>
                <w:rFonts w:ascii="Times New Roman" w:hAnsi="Times New Roman"/>
              </w:rPr>
            </w:pPr>
            <w:r>
              <w:rPr>
                <w:rFonts w:ascii="Times New Roman" w:hAnsi="Times New Roman"/>
              </w:rPr>
              <w:t>4404.26</w:t>
            </w:r>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0989D444">
            <w:pPr>
              <w:jc w:val="center"/>
              <w:rPr>
                <w:rFonts w:ascii="Times New Roman" w:hAnsi="Times New Roman"/>
              </w:rPr>
            </w:pPr>
            <w:r>
              <w:rPr>
                <w:rFonts w:ascii="Times New Roman" w:hAnsi="Times New Roman"/>
              </w:rPr>
              <w:t>8061.58</w:t>
            </w:r>
          </w:p>
        </w:tc>
      </w:tr>
      <w:tr w14:paraId="1D92BDB8">
        <w:tblPrEx>
          <w:tblCellMar>
            <w:top w:w="0" w:type="dxa"/>
            <w:left w:w="0" w:type="dxa"/>
            <w:bottom w:w="0" w:type="dxa"/>
            <w:right w:w="0" w:type="dxa"/>
          </w:tblCellMar>
        </w:tblPrEx>
        <w:trPr>
          <w:trHeight w:val="315"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261995DC">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0861308C">
            <w:pPr>
              <w:jc w:val="center"/>
              <w:rPr>
                <w:rFonts w:ascii="Times New Roman" w:hAnsi="Times New Roman"/>
              </w:rPr>
            </w:pPr>
            <w:r>
              <w:rPr>
                <w:rFonts w:ascii="Times New Roman" w:hAnsi="Times New Roman"/>
              </w:rPr>
              <w:t>4306.14</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28E49C9B">
            <w:pPr>
              <w:jc w:val="center"/>
              <w:rPr>
                <w:rFonts w:ascii="Times New Roman" w:hAnsi="Times New Roman"/>
              </w:rPr>
            </w:pPr>
            <w:bookmarkStart w:id="23" w:name="_Hlk34833377"/>
            <w:r>
              <w:rPr>
                <w:rFonts w:ascii="Times New Roman" w:hAnsi="Times New Roman"/>
              </w:rPr>
              <w:t>5567.87</w:t>
            </w:r>
            <w:bookmarkEnd w:id="23"/>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2E29BCF0">
            <w:pPr>
              <w:jc w:val="center"/>
              <w:rPr>
                <w:rFonts w:ascii="Times New Roman" w:hAnsi="Times New Roman"/>
              </w:rPr>
            </w:pPr>
            <w:bookmarkStart w:id="24" w:name="_Hlk34833386"/>
            <w:r>
              <w:rPr>
                <w:rFonts w:ascii="Times New Roman" w:hAnsi="Times New Roman"/>
              </w:rPr>
              <w:t>9874.01</w:t>
            </w:r>
            <w:bookmarkEnd w:id="24"/>
          </w:p>
        </w:tc>
      </w:tr>
      <w:tr w14:paraId="64B78D66">
        <w:tblPrEx>
          <w:tblCellMar>
            <w:top w:w="0" w:type="dxa"/>
            <w:left w:w="0" w:type="dxa"/>
            <w:bottom w:w="0" w:type="dxa"/>
            <w:right w:w="0" w:type="dxa"/>
          </w:tblCellMar>
        </w:tblPrEx>
        <w:trPr>
          <w:trHeight w:val="315"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3926FE93">
            <w:pPr>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0B96398F">
            <w:pPr>
              <w:jc w:val="center"/>
              <w:rPr>
                <w:rFonts w:ascii="Times New Roman" w:hAnsi="Times New Roman"/>
              </w:rPr>
            </w:pPr>
            <w:r>
              <w:rPr>
                <w:rFonts w:ascii="Times New Roman" w:hAnsi="Times New Roman"/>
              </w:rPr>
              <w:t>4306.14</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14:paraId="77CA5727">
            <w:pPr>
              <w:jc w:val="center"/>
              <w:rPr>
                <w:rFonts w:ascii="Times New Roman" w:hAnsi="Times New Roman"/>
              </w:rPr>
            </w:pPr>
            <w:r>
              <w:rPr>
                <w:rFonts w:ascii="Times New Roman" w:hAnsi="Times New Roman"/>
              </w:rPr>
              <w:t>5567.87</w:t>
            </w:r>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3B7F7B6D">
            <w:pPr>
              <w:jc w:val="center"/>
              <w:rPr>
                <w:rFonts w:ascii="Times New Roman" w:hAnsi="Times New Roman"/>
              </w:rPr>
            </w:pPr>
            <w:r>
              <w:rPr>
                <w:rFonts w:ascii="Times New Roman" w:hAnsi="Times New Roman"/>
              </w:rPr>
              <w:t>9874.01</w:t>
            </w:r>
          </w:p>
        </w:tc>
      </w:tr>
    </w:tbl>
    <w:p w14:paraId="3D10F1E2">
      <w:pPr>
        <w:jc w:val="center"/>
        <w:rPr>
          <w:rFonts w:ascii="Times New Roman" w:hAnsi="Times New Roman"/>
        </w:rPr>
      </w:pPr>
      <w:r>
        <w:rPr>
          <w:lang w:val="en-US"/>
        </w:rPr>
        <w:drawing>
          <wp:inline distT="0" distB="0" distL="0" distR="0">
            <wp:extent cx="4568825" cy="2740025"/>
            <wp:effectExtent l="0" t="0" r="3175" b="317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215334">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14:paraId="1D7E4C27">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14:paraId="561AD33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14:paraId="0AC57E3E">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排放单位核算和报告边界为在位于xxx的生产厂区，产品为xxx。与上一年度相比，场所边界无变化；与基准年相比，场所边界无变化。</w:t>
      </w:r>
    </w:p>
    <w:p w14:paraId="5A2250CF">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14:paraId="5D781289">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2018年新建生产车间和厂房（x号楼、x号楼）。新建生产车间设施在2018年调试运行近2个月，投产运行2个月，截止2018年12月底运行时间不足12个月，符合既有设施排放配额调整的申请条件。此信息供既有设施调整配额参考。</w:t>
      </w:r>
    </w:p>
    <w:p w14:paraId="4EF9DA46">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排放单位既有设施xxx退出，未被新增设施替代。</w:t>
      </w:r>
    </w:p>
    <w:p w14:paraId="1757438E">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14:paraId="26B3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14:paraId="2454B798">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14:paraId="47D82C16">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14:paraId="3F19C9E1">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14:paraId="1EDAAA48">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14:paraId="609BCFE9">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14:paraId="726937D1">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14:paraId="3BB66E55">
            <w:pPr>
              <w:jc w:val="center"/>
              <w:rPr>
                <w:rFonts w:ascii="Times New Roman" w:hAnsi="Times New Roman" w:eastAsia="仿宋_GB2312"/>
                <w:sz w:val="24"/>
              </w:rPr>
            </w:pPr>
            <w:r>
              <w:rPr>
                <w:rFonts w:ascii="Times New Roman" w:hAnsi="Times New Roman" w:eastAsia="仿宋_GB2312"/>
                <w:sz w:val="24"/>
              </w:rPr>
              <w:t>历史年度排放量</w:t>
            </w:r>
          </w:p>
        </w:tc>
      </w:tr>
      <w:tr w14:paraId="2CE9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14:paraId="0AFA0F15">
            <w:pPr>
              <w:jc w:val="center"/>
              <w:rPr>
                <w:rFonts w:ascii="Times New Roman" w:hAnsi="Times New Roman" w:eastAsia="仿宋_GB2312"/>
                <w:sz w:val="24"/>
              </w:rPr>
            </w:pPr>
          </w:p>
        </w:tc>
        <w:tc>
          <w:tcPr>
            <w:tcW w:w="786" w:type="dxa"/>
            <w:vMerge w:val="continue"/>
            <w:vAlign w:val="center"/>
          </w:tcPr>
          <w:p w14:paraId="10365B9F">
            <w:pPr>
              <w:jc w:val="center"/>
              <w:rPr>
                <w:rFonts w:ascii="Times New Roman" w:hAnsi="Times New Roman" w:eastAsia="仿宋_GB2312"/>
                <w:sz w:val="24"/>
              </w:rPr>
            </w:pPr>
          </w:p>
        </w:tc>
        <w:tc>
          <w:tcPr>
            <w:tcW w:w="1134" w:type="dxa"/>
            <w:vMerge w:val="continue"/>
            <w:vAlign w:val="center"/>
          </w:tcPr>
          <w:p w14:paraId="1E7EB721">
            <w:pPr>
              <w:jc w:val="center"/>
              <w:rPr>
                <w:rFonts w:ascii="Times New Roman" w:hAnsi="Times New Roman" w:eastAsia="仿宋_GB2312"/>
                <w:sz w:val="24"/>
              </w:rPr>
            </w:pPr>
          </w:p>
        </w:tc>
        <w:tc>
          <w:tcPr>
            <w:tcW w:w="709" w:type="dxa"/>
            <w:vMerge w:val="continue"/>
            <w:vAlign w:val="center"/>
          </w:tcPr>
          <w:p w14:paraId="7FBBEC0D">
            <w:pPr>
              <w:jc w:val="center"/>
              <w:rPr>
                <w:rFonts w:ascii="Times New Roman" w:hAnsi="Times New Roman" w:eastAsia="仿宋_GB2312"/>
                <w:sz w:val="24"/>
              </w:rPr>
            </w:pPr>
          </w:p>
        </w:tc>
        <w:tc>
          <w:tcPr>
            <w:tcW w:w="968" w:type="dxa"/>
            <w:vMerge w:val="continue"/>
            <w:vAlign w:val="center"/>
          </w:tcPr>
          <w:p w14:paraId="30E7E73B">
            <w:pPr>
              <w:jc w:val="center"/>
              <w:rPr>
                <w:rFonts w:ascii="Times New Roman" w:hAnsi="Times New Roman" w:eastAsia="仿宋_GB2312"/>
                <w:sz w:val="24"/>
              </w:rPr>
            </w:pPr>
          </w:p>
        </w:tc>
        <w:tc>
          <w:tcPr>
            <w:tcW w:w="1121" w:type="dxa"/>
            <w:vMerge w:val="continue"/>
            <w:tcBorders>
              <w:right w:val="single" w:color="auto" w:sz="4" w:space="0"/>
            </w:tcBorders>
            <w:vAlign w:val="center"/>
          </w:tcPr>
          <w:p w14:paraId="568993CD">
            <w:pPr>
              <w:jc w:val="center"/>
              <w:rPr>
                <w:rFonts w:ascii="Times New Roman" w:hAnsi="Times New Roman" w:eastAsia="仿宋_GB2312"/>
                <w:sz w:val="24"/>
              </w:rPr>
            </w:pPr>
          </w:p>
        </w:tc>
        <w:tc>
          <w:tcPr>
            <w:tcW w:w="1116" w:type="dxa"/>
            <w:tcBorders>
              <w:left w:val="single" w:color="auto" w:sz="4" w:space="0"/>
            </w:tcBorders>
            <w:vAlign w:val="center"/>
          </w:tcPr>
          <w:p w14:paraId="0759E95C">
            <w:pPr>
              <w:jc w:val="center"/>
              <w:rPr>
                <w:rFonts w:ascii="Times New Roman" w:hAnsi="Times New Roman" w:eastAsia="仿宋_GB2312"/>
                <w:sz w:val="24"/>
              </w:rPr>
            </w:pPr>
            <w:r>
              <w:rPr>
                <w:rFonts w:ascii="Times New Roman" w:hAnsi="Times New Roman" w:eastAsia="仿宋_GB2312"/>
                <w:sz w:val="24"/>
              </w:rPr>
              <w:t>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4BDA7D2A">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14:paraId="5EEA3F7F">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14:paraId="1E1C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14:paraId="51A2016A">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14:paraId="33228FCB">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14:paraId="5D61958D">
            <w:pPr>
              <w:jc w:val="center"/>
              <w:rPr>
                <w:rFonts w:ascii="Times New Roman" w:hAnsi="Times New Roman" w:eastAsia="仿宋_GB2312"/>
                <w:sz w:val="24"/>
              </w:rPr>
            </w:pPr>
          </w:p>
        </w:tc>
        <w:tc>
          <w:tcPr>
            <w:tcW w:w="709" w:type="dxa"/>
            <w:vMerge w:val="restart"/>
            <w:vAlign w:val="center"/>
          </w:tcPr>
          <w:p w14:paraId="63B18CAD">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14:paraId="04A45873">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14:paraId="4F5AB915">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14:paraId="4D5A58CC">
            <w:pPr>
              <w:rPr>
                <w:rFonts w:ascii="Times New Roman" w:hAnsi="Times New Roman" w:eastAsia="仿宋_GB2312"/>
                <w:sz w:val="24"/>
              </w:rPr>
            </w:pPr>
            <w:r>
              <w:rPr>
                <w:rFonts w:ascii="Times New Roman" w:hAnsi="Times New Roman" w:eastAsia="仿宋_GB2312"/>
                <w:sz w:val="24"/>
              </w:rPr>
              <w:t>800.00</w:t>
            </w:r>
          </w:p>
        </w:tc>
        <w:tc>
          <w:tcPr>
            <w:tcW w:w="1116" w:type="dxa"/>
          </w:tcPr>
          <w:p w14:paraId="5987F3EC">
            <w:pPr>
              <w:rPr>
                <w:rFonts w:ascii="Times New Roman" w:hAnsi="Times New Roman" w:eastAsia="仿宋_GB2312"/>
                <w:sz w:val="24"/>
              </w:rPr>
            </w:pPr>
            <w:r>
              <w:rPr>
                <w:rFonts w:ascii="Times New Roman" w:hAnsi="Times New Roman" w:eastAsia="仿宋_GB2312"/>
                <w:sz w:val="24"/>
              </w:rPr>
              <w:t>100.00</w:t>
            </w:r>
          </w:p>
        </w:tc>
        <w:tc>
          <w:tcPr>
            <w:tcW w:w="1116" w:type="dxa"/>
          </w:tcPr>
          <w:p w14:paraId="55114A07">
            <w:pPr>
              <w:rPr>
                <w:rFonts w:ascii="Times New Roman" w:hAnsi="Times New Roman" w:eastAsia="仿宋_GB2312"/>
                <w:sz w:val="24"/>
              </w:rPr>
            </w:pPr>
            <w:r>
              <w:rPr>
                <w:rFonts w:ascii="Times New Roman" w:hAnsi="Times New Roman" w:eastAsia="仿宋_GB2312"/>
                <w:sz w:val="24"/>
              </w:rPr>
              <w:t>900.00</w:t>
            </w:r>
          </w:p>
        </w:tc>
      </w:tr>
      <w:tr w14:paraId="3902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741199C0">
            <w:pPr>
              <w:rPr>
                <w:rFonts w:ascii="Times New Roman" w:hAnsi="Times New Roman" w:eastAsia="仿宋_GB2312"/>
                <w:sz w:val="24"/>
              </w:rPr>
            </w:pPr>
          </w:p>
        </w:tc>
        <w:tc>
          <w:tcPr>
            <w:tcW w:w="786" w:type="dxa"/>
            <w:vMerge w:val="continue"/>
          </w:tcPr>
          <w:p w14:paraId="4CAA3441">
            <w:pPr>
              <w:rPr>
                <w:rFonts w:ascii="Times New Roman" w:hAnsi="Times New Roman" w:eastAsia="仿宋_GB2312"/>
                <w:sz w:val="24"/>
              </w:rPr>
            </w:pPr>
          </w:p>
        </w:tc>
        <w:tc>
          <w:tcPr>
            <w:tcW w:w="1134" w:type="dxa"/>
            <w:vMerge w:val="continue"/>
          </w:tcPr>
          <w:p w14:paraId="4CD06811">
            <w:pPr>
              <w:rPr>
                <w:rFonts w:ascii="Times New Roman" w:hAnsi="Times New Roman" w:eastAsia="仿宋_GB2312"/>
                <w:sz w:val="24"/>
              </w:rPr>
            </w:pPr>
          </w:p>
        </w:tc>
        <w:tc>
          <w:tcPr>
            <w:tcW w:w="709" w:type="dxa"/>
            <w:vMerge w:val="continue"/>
          </w:tcPr>
          <w:p w14:paraId="651EBF04">
            <w:pPr>
              <w:rPr>
                <w:rFonts w:ascii="Times New Roman" w:hAnsi="Times New Roman" w:eastAsia="仿宋_GB2312"/>
                <w:sz w:val="24"/>
              </w:rPr>
            </w:pPr>
          </w:p>
        </w:tc>
        <w:tc>
          <w:tcPr>
            <w:tcW w:w="968" w:type="dxa"/>
            <w:vMerge w:val="continue"/>
          </w:tcPr>
          <w:p w14:paraId="0A14F34B">
            <w:pPr>
              <w:rPr>
                <w:rFonts w:ascii="Times New Roman" w:hAnsi="Times New Roman" w:eastAsia="仿宋_GB2312"/>
                <w:sz w:val="24"/>
              </w:rPr>
            </w:pPr>
          </w:p>
        </w:tc>
        <w:tc>
          <w:tcPr>
            <w:tcW w:w="1121" w:type="dxa"/>
            <w:tcBorders>
              <w:right w:val="single" w:color="auto" w:sz="4" w:space="0"/>
            </w:tcBorders>
          </w:tcPr>
          <w:p w14:paraId="57B7A191">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14:paraId="410DA36B">
            <w:pPr>
              <w:rPr>
                <w:rFonts w:ascii="Times New Roman" w:hAnsi="Times New Roman" w:eastAsia="仿宋_GB2312"/>
                <w:sz w:val="24"/>
              </w:rPr>
            </w:pPr>
            <w:r>
              <w:rPr>
                <w:rFonts w:ascii="Times New Roman" w:hAnsi="Times New Roman" w:eastAsia="仿宋_GB2312"/>
                <w:sz w:val="24"/>
              </w:rPr>
              <w:t>810.00</w:t>
            </w:r>
          </w:p>
        </w:tc>
        <w:tc>
          <w:tcPr>
            <w:tcW w:w="1116" w:type="dxa"/>
          </w:tcPr>
          <w:p w14:paraId="32268157">
            <w:pPr>
              <w:rPr>
                <w:rFonts w:ascii="Times New Roman" w:hAnsi="Times New Roman" w:eastAsia="仿宋_GB2312"/>
                <w:sz w:val="24"/>
              </w:rPr>
            </w:pPr>
            <w:r>
              <w:rPr>
                <w:rFonts w:ascii="Times New Roman" w:hAnsi="Times New Roman" w:eastAsia="仿宋_GB2312"/>
                <w:sz w:val="24"/>
              </w:rPr>
              <w:t>102.00</w:t>
            </w:r>
          </w:p>
        </w:tc>
        <w:tc>
          <w:tcPr>
            <w:tcW w:w="1116" w:type="dxa"/>
          </w:tcPr>
          <w:p w14:paraId="3720DA9D">
            <w:pPr>
              <w:rPr>
                <w:rFonts w:ascii="Times New Roman" w:hAnsi="Times New Roman" w:eastAsia="仿宋_GB2312"/>
                <w:sz w:val="24"/>
              </w:rPr>
            </w:pPr>
            <w:r>
              <w:rPr>
                <w:rFonts w:ascii="Times New Roman" w:hAnsi="Times New Roman" w:eastAsia="仿宋_GB2312"/>
                <w:sz w:val="24"/>
              </w:rPr>
              <w:t>912.00</w:t>
            </w:r>
          </w:p>
        </w:tc>
      </w:tr>
      <w:tr w14:paraId="5FEF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14:paraId="6FCB3617">
            <w:pPr>
              <w:rPr>
                <w:rFonts w:ascii="Times New Roman" w:hAnsi="Times New Roman" w:eastAsia="仿宋_GB2312"/>
                <w:sz w:val="24"/>
              </w:rPr>
            </w:pPr>
          </w:p>
        </w:tc>
        <w:tc>
          <w:tcPr>
            <w:tcW w:w="786" w:type="dxa"/>
            <w:vMerge w:val="continue"/>
          </w:tcPr>
          <w:p w14:paraId="1125C2C5">
            <w:pPr>
              <w:rPr>
                <w:rFonts w:ascii="Times New Roman" w:hAnsi="Times New Roman" w:eastAsia="仿宋_GB2312"/>
                <w:sz w:val="24"/>
              </w:rPr>
            </w:pPr>
          </w:p>
        </w:tc>
        <w:tc>
          <w:tcPr>
            <w:tcW w:w="1134" w:type="dxa"/>
            <w:vMerge w:val="continue"/>
          </w:tcPr>
          <w:p w14:paraId="779C1623">
            <w:pPr>
              <w:rPr>
                <w:rFonts w:ascii="Times New Roman" w:hAnsi="Times New Roman" w:eastAsia="仿宋_GB2312"/>
                <w:sz w:val="24"/>
              </w:rPr>
            </w:pPr>
          </w:p>
        </w:tc>
        <w:tc>
          <w:tcPr>
            <w:tcW w:w="709" w:type="dxa"/>
            <w:vMerge w:val="continue"/>
          </w:tcPr>
          <w:p w14:paraId="25011949">
            <w:pPr>
              <w:rPr>
                <w:rFonts w:ascii="Times New Roman" w:hAnsi="Times New Roman" w:eastAsia="仿宋_GB2312"/>
                <w:sz w:val="24"/>
              </w:rPr>
            </w:pPr>
          </w:p>
        </w:tc>
        <w:tc>
          <w:tcPr>
            <w:tcW w:w="968" w:type="dxa"/>
            <w:vMerge w:val="continue"/>
          </w:tcPr>
          <w:p w14:paraId="3BA60FF5">
            <w:pPr>
              <w:rPr>
                <w:rFonts w:ascii="Times New Roman" w:hAnsi="Times New Roman" w:eastAsia="仿宋_GB2312"/>
                <w:sz w:val="24"/>
              </w:rPr>
            </w:pPr>
          </w:p>
        </w:tc>
        <w:tc>
          <w:tcPr>
            <w:tcW w:w="1121" w:type="dxa"/>
            <w:tcBorders>
              <w:right w:val="single" w:color="auto" w:sz="4" w:space="0"/>
            </w:tcBorders>
          </w:tcPr>
          <w:p w14:paraId="31B7B578">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tcPr>
          <w:p w14:paraId="443A81CD">
            <w:pPr>
              <w:rPr>
                <w:rFonts w:ascii="Times New Roman" w:hAnsi="Times New Roman" w:eastAsia="仿宋_GB2312"/>
                <w:sz w:val="24"/>
              </w:rPr>
            </w:pPr>
            <w:r>
              <w:rPr>
                <w:rFonts w:ascii="Times New Roman" w:hAnsi="Times New Roman" w:eastAsia="仿宋_GB2312"/>
                <w:sz w:val="24"/>
              </w:rPr>
              <w:t>130.00</w:t>
            </w:r>
          </w:p>
        </w:tc>
        <w:tc>
          <w:tcPr>
            <w:tcW w:w="1116" w:type="dxa"/>
          </w:tcPr>
          <w:p w14:paraId="3596576C">
            <w:pPr>
              <w:rPr>
                <w:rFonts w:ascii="Times New Roman" w:hAnsi="Times New Roman" w:eastAsia="仿宋_GB2312"/>
                <w:sz w:val="24"/>
              </w:rPr>
            </w:pPr>
            <w:r>
              <w:rPr>
                <w:rFonts w:ascii="Times New Roman" w:hAnsi="Times New Roman" w:eastAsia="仿宋_GB2312"/>
                <w:sz w:val="24"/>
              </w:rPr>
              <w:t>10.00</w:t>
            </w:r>
          </w:p>
        </w:tc>
        <w:tc>
          <w:tcPr>
            <w:tcW w:w="1116" w:type="dxa"/>
          </w:tcPr>
          <w:p w14:paraId="52ED2339">
            <w:pPr>
              <w:rPr>
                <w:rFonts w:ascii="Times New Roman" w:hAnsi="Times New Roman" w:eastAsia="仿宋_GB2312"/>
                <w:sz w:val="24"/>
              </w:rPr>
            </w:pPr>
            <w:r>
              <w:rPr>
                <w:rFonts w:ascii="Times New Roman" w:hAnsi="Times New Roman" w:eastAsia="仿宋_GB2312"/>
                <w:sz w:val="24"/>
              </w:rPr>
              <w:t>140.00</w:t>
            </w:r>
          </w:p>
        </w:tc>
      </w:tr>
    </w:tbl>
    <w:p w14:paraId="73DF7ED5">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排放单位新增设施主要包括xxx发生器及生产用电设备，其排放量信息见下表：</w:t>
      </w:r>
    </w:p>
    <w:p w14:paraId="2CCF2702">
      <w:pPr>
        <w:spacing w:after="0" w:line="560" w:lineRule="exact"/>
        <w:jc w:val="center"/>
        <w:rPr>
          <w:rFonts w:ascii="Times New Roman" w:hAnsi="Times New Roman" w:eastAsia="仿宋_GB2312"/>
          <w:sz w:val="32"/>
          <w:szCs w:val="32"/>
        </w:rPr>
      </w:pPr>
      <w:r>
        <w:rPr>
          <w:rFonts w:hint="eastAsia" w:ascii="Times New Roman" w:hAnsi="Times New Roman" w:eastAsia="仿宋_GB2312"/>
          <w:sz w:val="24"/>
        </w:rPr>
        <w:t>表</w:t>
      </w:r>
      <w:r>
        <w:rPr>
          <w:rFonts w:ascii="Times New Roman" w:hAnsi="Times New Roman" w:eastAsia="仿宋_GB2312"/>
          <w:sz w:val="24"/>
        </w:rPr>
        <w:t xml:space="preserve">XX  </w:t>
      </w:r>
      <w:r>
        <w:rPr>
          <w:rFonts w:hint="eastAsia" w:ascii="Times New Roman" w:hAnsi="Times New Roman" w:eastAsia="仿宋_GB2312"/>
          <w:sz w:val="24"/>
        </w:rPr>
        <w:t>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17"/>
        <w:gridCol w:w="2196"/>
        <w:gridCol w:w="1553"/>
        <w:gridCol w:w="1194"/>
        <w:gridCol w:w="1426"/>
      </w:tblGrid>
      <w:tr w14:paraId="6394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2EDF6F0D">
            <w:pPr>
              <w:tabs>
                <w:tab w:val="left" w:pos="1701"/>
              </w:tabs>
              <w:jc w:val="center"/>
              <w:rPr>
                <w:rFonts w:ascii="Times New Roman" w:hAnsi="Times New Roman" w:eastAsia="仿宋_GB2312"/>
                <w:sz w:val="24"/>
              </w:rPr>
            </w:pPr>
            <w:r>
              <w:rPr>
                <w:rFonts w:hint="eastAsia" w:ascii="Times New Roman" w:hAnsi="Times New Roman" w:eastAsia="仿宋_GB2312"/>
                <w:sz w:val="24"/>
              </w:rPr>
              <w:t>序号</w:t>
            </w:r>
          </w:p>
        </w:tc>
        <w:tc>
          <w:tcPr>
            <w:tcW w:w="714" w:type="pct"/>
            <w:vAlign w:val="center"/>
          </w:tcPr>
          <w:p w14:paraId="53DCC6D5">
            <w:pPr>
              <w:tabs>
                <w:tab w:val="left" w:pos="1701"/>
              </w:tabs>
              <w:jc w:val="center"/>
              <w:rPr>
                <w:rFonts w:ascii="Times New Roman" w:hAnsi="Times New Roman" w:eastAsia="仿宋_GB2312"/>
                <w:sz w:val="24"/>
              </w:rPr>
            </w:pPr>
            <w:r>
              <w:rPr>
                <w:rFonts w:hint="eastAsia" w:ascii="Times New Roman" w:hAnsi="Times New Roman" w:eastAsia="仿宋_GB2312"/>
                <w:sz w:val="24"/>
              </w:rPr>
              <w:t>设施新增年份</w:t>
            </w:r>
          </w:p>
        </w:tc>
        <w:tc>
          <w:tcPr>
            <w:tcW w:w="1288" w:type="pct"/>
            <w:vAlign w:val="center"/>
          </w:tcPr>
          <w:p w14:paraId="5DB34DF2">
            <w:pPr>
              <w:tabs>
                <w:tab w:val="left" w:pos="1701"/>
              </w:tabs>
              <w:jc w:val="center"/>
              <w:rPr>
                <w:rFonts w:ascii="Times New Roman" w:hAnsi="Times New Roman" w:eastAsia="仿宋_GB2312"/>
                <w:sz w:val="24"/>
              </w:rPr>
            </w:pPr>
            <w:r>
              <w:rPr>
                <w:rFonts w:hint="eastAsia" w:ascii="Times New Roman" w:hAnsi="Times New Roman" w:eastAsia="仿宋_GB2312"/>
                <w:sz w:val="24"/>
              </w:rPr>
              <w:t>新增设施类型</w:t>
            </w:r>
          </w:p>
        </w:tc>
        <w:tc>
          <w:tcPr>
            <w:tcW w:w="911" w:type="pct"/>
            <w:vAlign w:val="center"/>
          </w:tcPr>
          <w:p w14:paraId="54E5A2A2">
            <w:pPr>
              <w:tabs>
                <w:tab w:val="left" w:pos="1701"/>
              </w:tabs>
              <w:jc w:val="center"/>
              <w:rPr>
                <w:rFonts w:ascii="Times New Roman" w:hAnsi="Times New Roman" w:eastAsia="仿宋_GB2312"/>
                <w:sz w:val="24"/>
              </w:rPr>
            </w:pPr>
            <w:r>
              <w:rPr>
                <w:rFonts w:hint="eastAsia" w:ascii="Times New Roman" w:hAnsi="Times New Roman" w:eastAsia="仿宋_GB2312"/>
                <w:sz w:val="24"/>
              </w:rPr>
              <w:t>是否替代既有设施，被替代既有设施类型</w:t>
            </w:r>
          </w:p>
        </w:tc>
        <w:tc>
          <w:tcPr>
            <w:tcW w:w="700" w:type="pct"/>
            <w:vAlign w:val="center"/>
          </w:tcPr>
          <w:p w14:paraId="575979A2">
            <w:pPr>
              <w:tabs>
                <w:tab w:val="left" w:pos="1701"/>
              </w:tabs>
              <w:jc w:val="center"/>
              <w:rPr>
                <w:rFonts w:ascii="Times New Roman" w:hAnsi="Times New Roman" w:eastAsia="仿宋_GB2312"/>
                <w:sz w:val="24"/>
              </w:rPr>
            </w:pPr>
            <w:r>
              <w:rPr>
                <w:rFonts w:hint="eastAsia" w:ascii="Times New Roman" w:hAnsi="Times New Roman" w:eastAsia="仿宋_GB2312"/>
                <w:sz w:val="24"/>
              </w:rPr>
              <w:t>新增设施排放量（吨）</w:t>
            </w:r>
          </w:p>
        </w:tc>
        <w:tc>
          <w:tcPr>
            <w:tcW w:w="836" w:type="pct"/>
            <w:vAlign w:val="center"/>
          </w:tcPr>
          <w:p w14:paraId="564AA0D1">
            <w:pPr>
              <w:tabs>
                <w:tab w:val="left" w:pos="1701"/>
              </w:tabs>
              <w:jc w:val="center"/>
              <w:rPr>
                <w:rFonts w:ascii="Times New Roman" w:hAnsi="Times New Roman" w:eastAsia="仿宋_GB2312"/>
                <w:sz w:val="24"/>
              </w:rPr>
            </w:pPr>
            <w:r>
              <w:rPr>
                <w:rFonts w:hint="eastAsia" w:ascii="Times New Roman" w:hAnsi="Times New Roman" w:eastAsia="仿宋_GB2312"/>
                <w:sz w:val="24"/>
              </w:rPr>
              <w:t>替代既有设施的新增排放量</w:t>
            </w:r>
            <w:r>
              <w:rPr>
                <w:rFonts w:ascii="Times New Roman" w:hAnsi="Times New Roman" w:eastAsia="仿宋_GB2312"/>
                <w:sz w:val="24"/>
              </w:rPr>
              <w:t>(</w:t>
            </w:r>
            <w:r>
              <w:rPr>
                <w:rFonts w:hint="eastAsia" w:ascii="Times New Roman" w:hAnsi="Times New Roman" w:eastAsia="仿宋_GB2312"/>
                <w:sz w:val="24"/>
              </w:rPr>
              <w:t>吨</w:t>
            </w:r>
            <w:r>
              <w:rPr>
                <w:rFonts w:ascii="Times New Roman" w:hAnsi="Times New Roman" w:eastAsia="仿宋_GB2312"/>
                <w:sz w:val="24"/>
              </w:rPr>
              <w:t>)</w:t>
            </w:r>
          </w:p>
        </w:tc>
      </w:tr>
      <w:tr w14:paraId="16C9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4A38643F">
            <w:pPr>
              <w:tabs>
                <w:tab w:val="left" w:pos="1701"/>
              </w:tabs>
              <w:jc w:val="center"/>
              <w:rPr>
                <w:rFonts w:ascii="Times New Roman" w:hAnsi="Times New Roman" w:eastAsia="仿宋_GB2312"/>
                <w:sz w:val="24"/>
              </w:rPr>
            </w:pPr>
            <w:r>
              <w:rPr>
                <w:rFonts w:ascii="Times New Roman" w:hAnsi="Times New Roman" w:eastAsia="仿宋_GB2312"/>
                <w:sz w:val="24"/>
              </w:rPr>
              <w:t>1</w:t>
            </w:r>
          </w:p>
        </w:tc>
        <w:tc>
          <w:tcPr>
            <w:tcW w:w="714" w:type="pct"/>
            <w:vAlign w:val="center"/>
          </w:tcPr>
          <w:p w14:paraId="021D5E29">
            <w:pPr>
              <w:tabs>
                <w:tab w:val="left" w:pos="1701"/>
              </w:tabs>
              <w:jc w:val="center"/>
              <w:rPr>
                <w:rFonts w:ascii="Times New Roman" w:hAnsi="Times New Roman" w:eastAsia="仿宋_GB2312"/>
                <w:sz w:val="24"/>
              </w:rPr>
            </w:pPr>
            <w:r>
              <w:rPr>
                <w:rFonts w:ascii="Times New Roman" w:hAnsi="Times New Roman" w:eastAsia="仿宋_GB2312"/>
                <w:sz w:val="24"/>
              </w:rPr>
              <w:t>2019</w:t>
            </w:r>
          </w:p>
        </w:tc>
        <w:tc>
          <w:tcPr>
            <w:tcW w:w="1288" w:type="pct"/>
            <w:vAlign w:val="center"/>
          </w:tcPr>
          <w:p w14:paraId="3B5AA53C">
            <w:pPr>
              <w:tabs>
                <w:tab w:val="left" w:pos="1701"/>
              </w:tabs>
              <w:jc w:val="center"/>
              <w:rPr>
                <w:rFonts w:ascii="Times New Roman" w:hAnsi="Times New Roman" w:eastAsia="仿宋_GB2312"/>
                <w:sz w:val="24"/>
              </w:rPr>
            </w:pPr>
            <w:r>
              <w:rPr>
                <w:rFonts w:ascii="Times New Roman" w:hAnsi="Times New Roman" w:eastAsia="仿宋_GB2312"/>
                <w:sz w:val="24"/>
              </w:rPr>
              <w:t>xxx</w:t>
            </w:r>
            <w:r>
              <w:rPr>
                <w:rFonts w:hint="eastAsia" w:ascii="Times New Roman" w:hAnsi="Times New Roman" w:eastAsia="仿宋_GB2312"/>
                <w:sz w:val="24"/>
              </w:rPr>
              <w:t>发生器</w:t>
            </w:r>
          </w:p>
        </w:tc>
        <w:tc>
          <w:tcPr>
            <w:tcW w:w="911" w:type="pct"/>
            <w:vAlign w:val="center"/>
          </w:tcPr>
          <w:p w14:paraId="0724C001">
            <w:pPr>
              <w:tabs>
                <w:tab w:val="left" w:pos="1701"/>
              </w:tabs>
              <w:jc w:val="center"/>
              <w:rPr>
                <w:rFonts w:ascii="Times New Roman" w:hAnsi="Times New Roman" w:eastAsia="仿宋_GB2312"/>
                <w:sz w:val="24"/>
              </w:rPr>
            </w:pPr>
            <w:r>
              <w:rPr>
                <w:rFonts w:hint="eastAsia" w:ascii="Times New Roman" w:hAnsi="Times New Roman" w:eastAsia="仿宋_GB2312"/>
                <w:sz w:val="24"/>
              </w:rPr>
              <w:t>否</w:t>
            </w:r>
          </w:p>
        </w:tc>
        <w:tc>
          <w:tcPr>
            <w:tcW w:w="700" w:type="pct"/>
            <w:vAlign w:val="center"/>
          </w:tcPr>
          <w:p w14:paraId="729E9B9C">
            <w:pPr>
              <w:tabs>
                <w:tab w:val="left" w:pos="1701"/>
              </w:tabs>
              <w:jc w:val="center"/>
              <w:rPr>
                <w:rFonts w:ascii="Times New Roman" w:hAnsi="Times New Roman" w:eastAsia="仿宋_GB2312"/>
                <w:sz w:val="24"/>
              </w:rPr>
            </w:pPr>
            <w:bookmarkStart w:id="25" w:name="_Hlk34834187"/>
            <w:r>
              <w:rPr>
                <w:rFonts w:ascii="Times New Roman" w:hAnsi="Times New Roman" w:eastAsia="仿宋_GB2312"/>
                <w:sz w:val="24"/>
              </w:rPr>
              <w:t>1590.36</w:t>
            </w:r>
            <w:bookmarkEnd w:id="25"/>
          </w:p>
        </w:tc>
        <w:tc>
          <w:tcPr>
            <w:tcW w:w="836" w:type="pct"/>
            <w:vAlign w:val="center"/>
          </w:tcPr>
          <w:p w14:paraId="69B500A7">
            <w:pPr>
              <w:tabs>
                <w:tab w:val="left" w:pos="1701"/>
              </w:tabs>
              <w:jc w:val="center"/>
              <w:rPr>
                <w:rFonts w:ascii="Times New Roman" w:hAnsi="Times New Roman" w:eastAsia="仿宋_GB2312"/>
                <w:sz w:val="24"/>
              </w:rPr>
            </w:pPr>
            <w:r>
              <w:rPr>
                <w:rFonts w:ascii="Times New Roman" w:hAnsi="Times New Roman" w:eastAsia="仿宋_GB2312"/>
                <w:sz w:val="24"/>
              </w:rPr>
              <w:t>/</w:t>
            </w:r>
          </w:p>
        </w:tc>
      </w:tr>
      <w:tr w14:paraId="78CD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24080B5B">
            <w:pPr>
              <w:jc w:val="center"/>
              <w:rPr>
                <w:rFonts w:ascii="Times New Roman" w:hAnsi="Times New Roman" w:eastAsia="仿宋_GB2312"/>
                <w:sz w:val="24"/>
              </w:rPr>
            </w:pPr>
            <w:r>
              <w:rPr>
                <w:rFonts w:ascii="Times New Roman" w:hAnsi="Times New Roman" w:eastAsia="仿宋_GB2312"/>
                <w:sz w:val="24"/>
              </w:rPr>
              <w:t>2</w:t>
            </w:r>
          </w:p>
        </w:tc>
        <w:tc>
          <w:tcPr>
            <w:tcW w:w="714" w:type="pct"/>
            <w:vAlign w:val="center"/>
          </w:tcPr>
          <w:p w14:paraId="3EF4571A">
            <w:pPr>
              <w:jc w:val="center"/>
              <w:rPr>
                <w:rFonts w:ascii="Times New Roman" w:hAnsi="Times New Roman" w:eastAsia="仿宋_GB2312"/>
                <w:sz w:val="24"/>
              </w:rPr>
            </w:pPr>
            <w:r>
              <w:rPr>
                <w:rFonts w:ascii="Times New Roman" w:hAnsi="Times New Roman" w:eastAsia="仿宋_GB2312"/>
                <w:sz w:val="24"/>
              </w:rPr>
              <w:t>2020</w:t>
            </w:r>
          </w:p>
        </w:tc>
        <w:tc>
          <w:tcPr>
            <w:tcW w:w="1288" w:type="pct"/>
            <w:vAlign w:val="center"/>
          </w:tcPr>
          <w:p w14:paraId="1D9916C2">
            <w:pPr>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套</w:t>
            </w:r>
            <w:r>
              <w:rPr>
                <w:rFonts w:ascii="Times New Roman" w:hAnsi="Times New Roman" w:eastAsia="仿宋_GB2312"/>
                <w:sz w:val="24"/>
              </w:rPr>
              <w:t>1#</w:t>
            </w:r>
            <w:r>
              <w:rPr>
                <w:rFonts w:hint="eastAsia" w:ascii="Times New Roman" w:hAnsi="Times New Roman" w:eastAsia="仿宋_GB2312"/>
                <w:sz w:val="24"/>
              </w:rPr>
              <w:t>楼</w:t>
            </w:r>
            <w:r>
              <w:rPr>
                <w:rFonts w:ascii="Times New Roman" w:hAnsi="Times New Roman" w:eastAsia="仿宋_GB2312"/>
                <w:sz w:val="24"/>
              </w:rPr>
              <w:t>1</w:t>
            </w:r>
            <w:r>
              <w:rPr>
                <w:rFonts w:hint="eastAsia" w:ascii="Times New Roman" w:hAnsi="Times New Roman" w:eastAsia="仿宋_GB2312"/>
                <w:sz w:val="24"/>
              </w:rPr>
              <w:t>层空调机房新增冷冻机组、</w:t>
            </w:r>
            <w:r>
              <w:rPr>
                <w:rFonts w:ascii="Times New Roman" w:hAnsi="Times New Roman" w:eastAsia="仿宋_GB2312"/>
                <w:sz w:val="24"/>
              </w:rPr>
              <w:t>2</w:t>
            </w:r>
            <w:r>
              <w:rPr>
                <w:rFonts w:hint="eastAsia" w:ascii="Times New Roman" w:hAnsi="Times New Roman" w:eastAsia="仿宋_GB2312"/>
                <w:sz w:val="24"/>
              </w:rPr>
              <w:t>套液体发酵系统等生产用电设备</w:t>
            </w:r>
          </w:p>
        </w:tc>
        <w:tc>
          <w:tcPr>
            <w:tcW w:w="911" w:type="pct"/>
            <w:vAlign w:val="center"/>
          </w:tcPr>
          <w:p w14:paraId="30D15AE3">
            <w:pPr>
              <w:jc w:val="center"/>
              <w:rPr>
                <w:rFonts w:ascii="Times New Roman" w:hAnsi="Times New Roman" w:eastAsia="仿宋_GB2312"/>
                <w:sz w:val="24"/>
              </w:rPr>
            </w:pPr>
            <w:r>
              <w:rPr>
                <w:rFonts w:hint="eastAsia" w:ascii="Times New Roman" w:hAnsi="Times New Roman" w:eastAsia="仿宋_GB2312"/>
                <w:sz w:val="24"/>
              </w:rPr>
              <w:t>否</w:t>
            </w:r>
          </w:p>
        </w:tc>
        <w:tc>
          <w:tcPr>
            <w:tcW w:w="700" w:type="pct"/>
            <w:vAlign w:val="center"/>
          </w:tcPr>
          <w:p w14:paraId="442C85EA">
            <w:pPr>
              <w:tabs>
                <w:tab w:val="left" w:pos="1701"/>
              </w:tabs>
              <w:jc w:val="center"/>
              <w:rPr>
                <w:rFonts w:ascii="Times New Roman" w:hAnsi="Times New Roman" w:eastAsia="仿宋_GB2312"/>
                <w:sz w:val="24"/>
              </w:rPr>
            </w:pPr>
            <w:r>
              <w:rPr>
                <w:rFonts w:ascii="Times New Roman" w:hAnsi="Times New Roman" w:eastAsia="仿宋_GB2312"/>
                <w:sz w:val="24"/>
              </w:rPr>
              <w:t>1917.90</w:t>
            </w:r>
          </w:p>
        </w:tc>
        <w:tc>
          <w:tcPr>
            <w:tcW w:w="836" w:type="pct"/>
            <w:vAlign w:val="center"/>
          </w:tcPr>
          <w:p w14:paraId="77BC6919">
            <w:pPr>
              <w:tabs>
                <w:tab w:val="left" w:pos="1701"/>
              </w:tabs>
              <w:jc w:val="center"/>
              <w:rPr>
                <w:rFonts w:ascii="Times New Roman" w:hAnsi="Times New Roman" w:eastAsia="仿宋_GB2312"/>
                <w:sz w:val="24"/>
              </w:rPr>
            </w:pPr>
            <w:r>
              <w:rPr>
                <w:rFonts w:ascii="Times New Roman" w:hAnsi="Times New Roman" w:eastAsia="仿宋_GB2312"/>
                <w:sz w:val="24"/>
              </w:rPr>
              <w:t>/</w:t>
            </w:r>
          </w:p>
        </w:tc>
      </w:tr>
      <w:tr w14:paraId="0787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14:paraId="760A0464">
            <w:pPr>
              <w:jc w:val="center"/>
              <w:rPr>
                <w:rFonts w:ascii="Times New Roman" w:hAnsi="Times New Roman" w:eastAsia="仿宋_GB2312"/>
                <w:sz w:val="24"/>
              </w:rPr>
            </w:pPr>
            <w:r>
              <w:rPr>
                <w:rFonts w:hint="eastAsia" w:ascii="Times New Roman" w:hAnsi="Times New Roman" w:eastAsia="仿宋_GB2312"/>
                <w:sz w:val="24"/>
              </w:rPr>
              <w:t>合计</w:t>
            </w:r>
          </w:p>
        </w:tc>
        <w:tc>
          <w:tcPr>
            <w:tcW w:w="714" w:type="pct"/>
          </w:tcPr>
          <w:p w14:paraId="5697EEB2">
            <w:pPr>
              <w:rPr>
                <w:rFonts w:ascii="Times New Roman" w:hAnsi="Times New Roman" w:eastAsia="仿宋_GB2312"/>
                <w:sz w:val="24"/>
              </w:rPr>
            </w:pPr>
          </w:p>
        </w:tc>
        <w:tc>
          <w:tcPr>
            <w:tcW w:w="1288" w:type="pct"/>
          </w:tcPr>
          <w:p w14:paraId="0960FB76">
            <w:pPr>
              <w:rPr>
                <w:rFonts w:ascii="Times New Roman" w:hAnsi="Times New Roman" w:eastAsia="仿宋_GB2312"/>
                <w:sz w:val="24"/>
              </w:rPr>
            </w:pPr>
          </w:p>
        </w:tc>
        <w:tc>
          <w:tcPr>
            <w:tcW w:w="911" w:type="pct"/>
          </w:tcPr>
          <w:p w14:paraId="2E16CDC7">
            <w:pPr>
              <w:rPr>
                <w:rFonts w:ascii="Times New Roman" w:hAnsi="Times New Roman" w:eastAsia="仿宋_GB2312"/>
                <w:sz w:val="24"/>
              </w:rPr>
            </w:pPr>
          </w:p>
        </w:tc>
        <w:tc>
          <w:tcPr>
            <w:tcW w:w="700" w:type="pct"/>
            <w:vAlign w:val="center"/>
          </w:tcPr>
          <w:p w14:paraId="13DD8BB1">
            <w:pPr>
              <w:tabs>
                <w:tab w:val="left" w:pos="1701"/>
              </w:tabs>
              <w:jc w:val="center"/>
              <w:rPr>
                <w:rFonts w:ascii="Times New Roman" w:hAnsi="Times New Roman" w:eastAsia="仿宋_GB2312"/>
                <w:sz w:val="24"/>
              </w:rPr>
            </w:pPr>
            <w:bookmarkStart w:id="26" w:name="_Hlk34834123"/>
            <w:r>
              <w:rPr>
                <w:rFonts w:ascii="Times New Roman" w:hAnsi="Times New Roman" w:eastAsia="仿宋_GB2312"/>
                <w:sz w:val="24"/>
              </w:rPr>
              <w:t>3508.26</w:t>
            </w:r>
            <w:bookmarkEnd w:id="26"/>
          </w:p>
        </w:tc>
        <w:tc>
          <w:tcPr>
            <w:tcW w:w="836" w:type="pct"/>
            <w:vAlign w:val="center"/>
          </w:tcPr>
          <w:p w14:paraId="0392A72F">
            <w:pPr>
              <w:tabs>
                <w:tab w:val="left" w:pos="1701"/>
              </w:tabs>
              <w:jc w:val="center"/>
              <w:rPr>
                <w:rFonts w:ascii="Times New Roman" w:hAnsi="Times New Roman" w:eastAsia="仿宋_GB2312"/>
                <w:sz w:val="24"/>
              </w:rPr>
            </w:pPr>
          </w:p>
        </w:tc>
      </w:tr>
    </w:tbl>
    <w:p w14:paraId="648E4D98">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排放单位新增设施导致的总排放量为</w:t>
      </w:r>
      <w:r>
        <w:rPr>
          <w:rFonts w:ascii="Times New Roman" w:hAnsi="Times New Roman" w:eastAsia="仿宋_GB2312"/>
          <w:sz w:val="32"/>
          <w:szCs w:val="32"/>
        </w:rPr>
        <w:t>3508.26</w:t>
      </w:r>
      <w:r>
        <w:rPr>
          <w:rFonts w:hint="eastAsia" w:ascii="Times New Roman" w:hAnsi="Times New Roman" w:eastAsia="仿宋_GB2312"/>
          <w:sz w:val="32"/>
          <w:szCs w:val="32"/>
        </w:rPr>
        <w:t>吨，是基准年年排放量的</w:t>
      </w:r>
      <w:r>
        <w:rPr>
          <w:rFonts w:ascii="Times New Roman" w:hAnsi="Times New Roman" w:eastAsia="仿宋_GB2312"/>
          <w:sz w:val="32"/>
          <w:szCs w:val="32"/>
        </w:rPr>
        <w:t>43.52%</w:t>
      </w:r>
      <w:r>
        <w:rPr>
          <w:rFonts w:hint="eastAsia" w:ascii="Times New Roman" w:hAnsi="Times New Roman" w:eastAsia="仿宋_GB2312"/>
          <w:sz w:val="32"/>
          <w:szCs w:val="32"/>
        </w:rPr>
        <w:t>，新增设施对应的产值为</w:t>
      </w:r>
      <w:r>
        <w:rPr>
          <w:rFonts w:ascii="Times New Roman" w:hAnsi="Times New Roman" w:eastAsia="仿宋_GB2312"/>
          <w:sz w:val="32"/>
          <w:szCs w:val="32"/>
        </w:rPr>
        <w:t>xx</w:t>
      </w:r>
      <w:r>
        <w:rPr>
          <w:rFonts w:hint="eastAsia" w:ascii="Times New Roman" w:hAnsi="Times New Roman" w:eastAsia="仿宋_GB2312"/>
          <w:sz w:val="32"/>
          <w:szCs w:val="32"/>
        </w:rPr>
        <w:t>万元。此信息供新增设施发放配额参考。</w:t>
      </w:r>
    </w:p>
    <w:p w14:paraId="5F3C4D0D">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14:paraId="3F9565AB">
      <w:pPr>
        <w:spacing w:after="0" w:line="560" w:lineRule="exact"/>
        <w:ind w:firstLine="640" w:firstLineChars="200"/>
        <w:jc w:val="both"/>
        <w:rPr>
          <w:rFonts w:ascii="仿宋_GB2312" w:hAnsi="仿宋"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sectPr>
      <w:footerReference r:id="rId5" w:type="default"/>
      <w:footerReference r:id="rId6" w:type="even"/>
      <w:pgSz w:w="11906" w:h="16838"/>
      <w:pgMar w:top="1440" w:right="1797" w:bottom="1440"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Wide Latin">
    <w:altName w:val="Segoe Print"/>
    <w:panose1 w:val="020A0A07050505020404"/>
    <w:charset w:val="00"/>
    <w:family w:val="roman"/>
    <w:pitch w:val="default"/>
    <w:sig w:usb0="00000000" w:usb1="00000000" w:usb2="00000000" w:usb3="00000000" w:csb0="00000001" w:csb1="00000000"/>
  </w:font>
  <w:font w:name="Kozuka Mincho Pro H">
    <w:altName w:val="Yu Gothic UI Semibold"/>
    <w:panose1 w:val="02020A00000000000000"/>
    <w:charset w:val="80"/>
    <w:family w:val="auto"/>
    <w:pitch w:val="default"/>
    <w:sig w:usb0="00000000" w:usb1="00000000" w:usb2="00000012" w:usb3="00000000" w:csb0="20020005"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EE13">
    <w:pPr>
      <w:pStyle w:val="22"/>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92</w:t>
    </w:r>
    <w:r>
      <w:rPr>
        <w:rStyle w:val="38"/>
      </w:rPr>
      <w:fldChar w:fldCharType="end"/>
    </w:r>
  </w:p>
  <w:p w14:paraId="589FAEE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68D3">
    <w:pPr>
      <w:pStyle w:val="22"/>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00D97A68">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CF95801">
      <w:pPr>
        <w:pStyle w:val="27"/>
      </w:pPr>
      <w:r>
        <w:rPr>
          <w:rStyle w:val="40"/>
        </w:rPr>
        <w:footnoteRef/>
      </w:r>
      <w:r>
        <w:rPr>
          <w:rFonts w:hint="eastAsia"/>
        </w:rPr>
        <w:t>投入规模中已统计了退出的设备，即新增规模为净新增规模。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512CD"/>
    <w:multiLevelType w:val="multilevel"/>
    <w:tmpl w:val="052512CD"/>
    <w:lvl w:ilvl="0" w:tentative="0">
      <w:start w:val="1"/>
      <w:numFmt w:val="lowerLetter"/>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58D22A4"/>
    <w:multiLevelType w:val="multilevel"/>
    <w:tmpl w:val="058D22A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26B3718"/>
    <w:multiLevelType w:val="multilevel"/>
    <w:tmpl w:val="126B3718"/>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138055A0"/>
    <w:multiLevelType w:val="multilevel"/>
    <w:tmpl w:val="138055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9B3A93"/>
    <w:multiLevelType w:val="multilevel"/>
    <w:tmpl w:val="189B3A93"/>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198A09AC"/>
    <w:multiLevelType w:val="multilevel"/>
    <w:tmpl w:val="198A09A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44F7B"/>
    <w:multiLevelType w:val="multilevel"/>
    <w:tmpl w:val="19B44F7B"/>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18D521B"/>
    <w:multiLevelType w:val="multilevel"/>
    <w:tmpl w:val="218D521B"/>
    <w:lvl w:ilvl="0" w:tentative="0">
      <w:start w:val="1"/>
      <w:numFmt w:val="bullet"/>
      <w:lvlText w:val="-"/>
      <w:lvlJc w:val="left"/>
      <w:pPr>
        <w:ind w:left="1260" w:hanging="420"/>
      </w:pPr>
      <w:rPr>
        <w:rFonts w:hint="default" w:ascii="Wide Latin" w:hAnsi="Wide Lati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2F953BD"/>
    <w:multiLevelType w:val="multilevel"/>
    <w:tmpl w:val="22F953BD"/>
    <w:lvl w:ilvl="0" w:tentative="0">
      <w:start w:val="1"/>
      <w:numFmt w:val="bullet"/>
      <w:lvlText w:val="-"/>
      <w:lvlJc w:val="left"/>
      <w:pPr>
        <w:ind w:left="984" w:hanging="420"/>
      </w:pPr>
      <w:rPr>
        <w:rFonts w:hint="default" w:ascii="Wide Latin" w:hAnsi="Wide Latin"/>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9">
    <w:nsid w:val="2A3851F0"/>
    <w:multiLevelType w:val="multilevel"/>
    <w:tmpl w:val="2A3851F0"/>
    <w:lvl w:ilvl="0" w:tentative="0">
      <w:start w:val="1"/>
      <w:numFmt w:val="bullet"/>
      <w:lvlText w:val="-"/>
      <w:lvlJc w:val="left"/>
      <w:pPr>
        <w:ind w:left="982" w:hanging="420"/>
      </w:pPr>
      <w:rPr>
        <w:rFonts w:hint="default" w:ascii="Wide Latin" w:hAnsi="Wide Latin"/>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D9C7E16"/>
    <w:multiLevelType w:val="multilevel"/>
    <w:tmpl w:val="2D9C7E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1110727"/>
    <w:multiLevelType w:val="multilevel"/>
    <w:tmpl w:val="31110727"/>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2552D3B"/>
    <w:multiLevelType w:val="multilevel"/>
    <w:tmpl w:val="32552D3B"/>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2AF19ED"/>
    <w:multiLevelType w:val="multilevel"/>
    <w:tmpl w:val="32AF19ED"/>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3114887"/>
    <w:multiLevelType w:val="multilevel"/>
    <w:tmpl w:val="3311488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12A29EC"/>
    <w:multiLevelType w:val="multilevel"/>
    <w:tmpl w:val="412A29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2223E3"/>
    <w:multiLevelType w:val="multilevel"/>
    <w:tmpl w:val="432223E3"/>
    <w:lvl w:ilvl="0" w:tentative="0">
      <w:start w:val="1"/>
      <w:numFmt w:val="bullet"/>
      <w:lvlText w:val="-"/>
      <w:lvlJc w:val="left"/>
      <w:pPr>
        <w:ind w:left="1260" w:hanging="420"/>
      </w:pPr>
      <w:rPr>
        <w:rFonts w:hint="default" w:ascii="Wide Latin" w:hAnsi="Wide Lati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45D957EB"/>
    <w:multiLevelType w:val="multilevel"/>
    <w:tmpl w:val="45D957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85234A7"/>
    <w:multiLevelType w:val="multilevel"/>
    <w:tmpl w:val="485234A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4C150647"/>
    <w:multiLevelType w:val="multilevel"/>
    <w:tmpl w:val="4C15064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4F635FB4"/>
    <w:multiLevelType w:val="multilevel"/>
    <w:tmpl w:val="4F635FB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B8A176C"/>
    <w:multiLevelType w:val="multilevel"/>
    <w:tmpl w:val="5B8A176C"/>
    <w:lvl w:ilvl="0" w:tentative="0">
      <w:start w:val="3"/>
      <w:numFmt w:val="decimal"/>
      <w:lvlText w:val="%1"/>
      <w:lvlJc w:val="left"/>
      <w:pPr>
        <w:ind w:left="456" w:hanging="45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2">
    <w:nsid w:val="61123ECD"/>
    <w:multiLevelType w:val="multilevel"/>
    <w:tmpl w:val="61123ECD"/>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3">
    <w:nsid w:val="63230C11"/>
    <w:multiLevelType w:val="multilevel"/>
    <w:tmpl w:val="63230C11"/>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4">
    <w:nsid w:val="64A131F4"/>
    <w:multiLevelType w:val="multilevel"/>
    <w:tmpl w:val="64A131F4"/>
    <w:lvl w:ilvl="0" w:tentative="0">
      <w:start w:val="1"/>
      <w:numFmt w:val="bullet"/>
      <w:lvlText w:val="-"/>
      <w:lvlJc w:val="left"/>
      <w:pPr>
        <w:ind w:left="972" w:hanging="420"/>
      </w:pPr>
      <w:rPr>
        <w:rFonts w:hint="default" w:ascii="Wide Latin" w:hAnsi="Wide Latin"/>
      </w:rPr>
    </w:lvl>
    <w:lvl w:ilvl="1" w:tentative="0">
      <w:start w:val="1"/>
      <w:numFmt w:val="bullet"/>
      <w:lvlText w:val=""/>
      <w:lvlJc w:val="left"/>
      <w:pPr>
        <w:ind w:left="1392" w:hanging="420"/>
      </w:pPr>
      <w:rPr>
        <w:rFonts w:hint="default" w:ascii="Wingdings" w:hAnsi="Wingdings"/>
      </w:rPr>
    </w:lvl>
    <w:lvl w:ilvl="2" w:tentative="0">
      <w:start w:val="1"/>
      <w:numFmt w:val="bullet"/>
      <w:lvlText w:val=""/>
      <w:lvlJc w:val="left"/>
      <w:pPr>
        <w:ind w:left="1812" w:hanging="420"/>
      </w:pPr>
      <w:rPr>
        <w:rFonts w:hint="default" w:ascii="Wingdings" w:hAnsi="Wingdings"/>
      </w:rPr>
    </w:lvl>
    <w:lvl w:ilvl="3" w:tentative="0">
      <w:start w:val="1"/>
      <w:numFmt w:val="bullet"/>
      <w:lvlText w:val=""/>
      <w:lvlJc w:val="left"/>
      <w:pPr>
        <w:ind w:left="2232" w:hanging="420"/>
      </w:pPr>
      <w:rPr>
        <w:rFonts w:hint="default" w:ascii="Wingdings" w:hAnsi="Wingdings"/>
      </w:rPr>
    </w:lvl>
    <w:lvl w:ilvl="4" w:tentative="0">
      <w:start w:val="1"/>
      <w:numFmt w:val="bullet"/>
      <w:lvlText w:val=""/>
      <w:lvlJc w:val="left"/>
      <w:pPr>
        <w:ind w:left="2652" w:hanging="420"/>
      </w:pPr>
      <w:rPr>
        <w:rFonts w:hint="default" w:ascii="Wingdings" w:hAnsi="Wingdings"/>
      </w:rPr>
    </w:lvl>
    <w:lvl w:ilvl="5" w:tentative="0">
      <w:start w:val="1"/>
      <w:numFmt w:val="bullet"/>
      <w:lvlText w:val=""/>
      <w:lvlJc w:val="left"/>
      <w:pPr>
        <w:ind w:left="3072" w:hanging="420"/>
      </w:pPr>
      <w:rPr>
        <w:rFonts w:hint="default" w:ascii="Wingdings" w:hAnsi="Wingdings"/>
      </w:rPr>
    </w:lvl>
    <w:lvl w:ilvl="6" w:tentative="0">
      <w:start w:val="1"/>
      <w:numFmt w:val="bullet"/>
      <w:lvlText w:val=""/>
      <w:lvlJc w:val="left"/>
      <w:pPr>
        <w:ind w:left="3492" w:hanging="420"/>
      </w:pPr>
      <w:rPr>
        <w:rFonts w:hint="default" w:ascii="Wingdings" w:hAnsi="Wingdings"/>
      </w:rPr>
    </w:lvl>
    <w:lvl w:ilvl="7" w:tentative="0">
      <w:start w:val="1"/>
      <w:numFmt w:val="bullet"/>
      <w:lvlText w:val=""/>
      <w:lvlJc w:val="left"/>
      <w:pPr>
        <w:ind w:left="3912" w:hanging="420"/>
      </w:pPr>
      <w:rPr>
        <w:rFonts w:hint="default" w:ascii="Wingdings" w:hAnsi="Wingdings"/>
      </w:rPr>
    </w:lvl>
    <w:lvl w:ilvl="8" w:tentative="0">
      <w:start w:val="1"/>
      <w:numFmt w:val="bullet"/>
      <w:lvlText w:val=""/>
      <w:lvlJc w:val="left"/>
      <w:pPr>
        <w:ind w:left="4332" w:hanging="420"/>
      </w:pPr>
      <w:rPr>
        <w:rFonts w:hint="default" w:ascii="Wingdings" w:hAnsi="Wingdings"/>
      </w:rPr>
    </w:lvl>
  </w:abstractNum>
  <w:abstractNum w:abstractNumId="25">
    <w:nsid w:val="657D285C"/>
    <w:multiLevelType w:val="multilevel"/>
    <w:tmpl w:val="657D285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F4B5286"/>
    <w:multiLevelType w:val="multilevel"/>
    <w:tmpl w:val="6F4B5286"/>
    <w:lvl w:ilvl="0" w:tentative="0">
      <w:start w:val="1"/>
      <w:numFmt w:val="decimal"/>
      <w:lvlText w:val="（%1）"/>
      <w:lvlJc w:val="left"/>
      <w:pPr>
        <w:ind w:left="2705" w:hanging="72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7">
    <w:nsid w:val="7B8617B2"/>
    <w:multiLevelType w:val="multilevel"/>
    <w:tmpl w:val="7B8617B2"/>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7E474D71"/>
    <w:multiLevelType w:val="multilevel"/>
    <w:tmpl w:val="7E474D71"/>
    <w:lvl w:ilvl="0" w:tentative="0">
      <w:start w:val="1"/>
      <w:numFmt w:val="bullet"/>
      <w:lvlText w:val="-"/>
      <w:lvlJc w:val="left"/>
      <w:pPr>
        <w:ind w:left="1400" w:hanging="420"/>
      </w:pPr>
      <w:rPr>
        <w:rFonts w:hint="default" w:ascii="Wide Latin" w:hAnsi="Wide Latin"/>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9">
    <w:nsid w:val="7E8C17C4"/>
    <w:multiLevelType w:val="multilevel"/>
    <w:tmpl w:val="7E8C17C4"/>
    <w:lvl w:ilvl="0" w:tentative="0">
      <w:start w:val="1"/>
      <w:numFmt w:val="bullet"/>
      <w:lvlText w:val="-"/>
      <w:lvlJc w:val="left"/>
      <w:pPr>
        <w:ind w:left="704" w:hanging="420"/>
      </w:pPr>
      <w:rPr>
        <w:rFonts w:hint="default" w:ascii="Wide Latin" w:hAnsi="Wide Lati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de Latin" w:hAnsi="Wide Latin"/>
      </w:rPr>
    </w:lvl>
    <w:lvl w:ilvl="3" w:tentative="0">
      <w:start w:val="1"/>
      <w:numFmt w:val="bullet"/>
      <w:lvlText w:val="-"/>
      <w:lvlJc w:val="left"/>
      <w:pPr>
        <w:ind w:left="1964" w:hanging="420"/>
      </w:pPr>
      <w:rPr>
        <w:rFonts w:hint="default" w:ascii="Wide Latin" w:hAnsi="Wide Latin"/>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10"/>
  </w:num>
  <w:num w:numId="2">
    <w:abstractNumId w:val="14"/>
  </w:num>
  <w:num w:numId="3">
    <w:abstractNumId w:val="18"/>
  </w:num>
  <w:num w:numId="4">
    <w:abstractNumId w:val="3"/>
  </w:num>
  <w:num w:numId="5">
    <w:abstractNumId w:val="15"/>
  </w:num>
  <w:num w:numId="6">
    <w:abstractNumId w:val="13"/>
  </w:num>
  <w:num w:numId="7">
    <w:abstractNumId w:val="26"/>
  </w:num>
  <w:num w:numId="8">
    <w:abstractNumId w:val="0"/>
  </w:num>
  <w:num w:numId="9">
    <w:abstractNumId w:val="28"/>
  </w:num>
  <w:num w:numId="10">
    <w:abstractNumId w:val="24"/>
  </w:num>
  <w:num w:numId="11">
    <w:abstractNumId w:val="21"/>
  </w:num>
  <w:num w:numId="12">
    <w:abstractNumId w:val="16"/>
  </w:num>
  <w:num w:numId="13">
    <w:abstractNumId w:val="7"/>
  </w:num>
  <w:num w:numId="14">
    <w:abstractNumId w:val="27"/>
  </w:num>
  <w:num w:numId="15">
    <w:abstractNumId w:val="9"/>
  </w:num>
  <w:num w:numId="16">
    <w:abstractNumId w:val="11"/>
  </w:num>
  <w:num w:numId="17">
    <w:abstractNumId w:val="12"/>
  </w:num>
  <w:num w:numId="18">
    <w:abstractNumId w:val="17"/>
  </w:num>
  <w:num w:numId="19">
    <w:abstractNumId w:val="5"/>
  </w:num>
  <w:num w:numId="20">
    <w:abstractNumId w:val="8"/>
  </w:num>
  <w:num w:numId="21">
    <w:abstractNumId w:val="2"/>
  </w:num>
  <w:num w:numId="22">
    <w:abstractNumId w:val="6"/>
  </w:num>
  <w:num w:numId="23">
    <w:abstractNumId w:val="22"/>
  </w:num>
  <w:num w:numId="24">
    <w:abstractNumId w:val="20"/>
  </w:num>
  <w:num w:numId="25">
    <w:abstractNumId w:val="4"/>
  </w:num>
  <w:num w:numId="26">
    <w:abstractNumId w:val="23"/>
  </w:num>
  <w:num w:numId="27">
    <w:abstractNumId w:val="25"/>
  </w:num>
  <w:num w:numId="28">
    <w:abstractNumId w:val="1"/>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2"/>
    <w:footnote w:id="3"/>
  </w:footnotePr>
  <w:endnotePr>
    <w:endnote w:id="0"/>
    <w:endnote w:id="1"/>
  </w:endnotePr>
  <w:compat>
    <w:useFELayout/>
    <w:compatSetting w:name="compatibilityMode" w:uri="http://schemas.microsoft.com/office/word" w:val="12"/>
  </w:compat>
  <w:docVars>
    <w:docVar w:name="commondata" w:val="eyJoZGlkIjoiMWMzNDZkZGZiY2Q1NTlhZGU1YmU1Zjg5YmEyNTBlOGMifQ=="/>
    <w:docVar w:name="KSO_WPS_MARK_KEY" w:val="e044c9f5-f0df-4646-8a68-528d70cffb70"/>
  </w:docVars>
  <w:rsids>
    <w:rsidRoot w:val="00841FE8"/>
    <w:rsid w:val="000008B2"/>
    <w:rsid w:val="00002506"/>
    <w:rsid w:val="00003113"/>
    <w:rsid w:val="00003C80"/>
    <w:rsid w:val="0000475F"/>
    <w:rsid w:val="00005605"/>
    <w:rsid w:val="000066CF"/>
    <w:rsid w:val="000070C4"/>
    <w:rsid w:val="000109EA"/>
    <w:rsid w:val="00010B21"/>
    <w:rsid w:val="00010F86"/>
    <w:rsid w:val="00011218"/>
    <w:rsid w:val="000122DF"/>
    <w:rsid w:val="00012C63"/>
    <w:rsid w:val="00012E4F"/>
    <w:rsid w:val="00015580"/>
    <w:rsid w:val="00015DBD"/>
    <w:rsid w:val="0001652C"/>
    <w:rsid w:val="00016FD5"/>
    <w:rsid w:val="0002041B"/>
    <w:rsid w:val="000209BF"/>
    <w:rsid w:val="00021653"/>
    <w:rsid w:val="0002263C"/>
    <w:rsid w:val="000247F3"/>
    <w:rsid w:val="000249E3"/>
    <w:rsid w:val="00024D94"/>
    <w:rsid w:val="00024F4D"/>
    <w:rsid w:val="00026837"/>
    <w:rsid w:val="00030E6B"/>
    <w:rsid w:val="000332CA"/>
    <w:rsid w:val="0003432B"/>
    <w:rsid w:val="00035836"/>
    <w:rsid w:val="00037A17"/>
    <w:rsid w:val="00037CC7"/>
    <w:rsid w:val="00037E7B"/>
    <w:rsid w:val="000419F6"/>
    <w:rsid w:val="00043319"/>
    <w:rsid w:val="00043C46"/>
    <w:rsid w:val="0004491D"/>
    <w:rsid w:val="00045DA9"/>
    <w:rsid w:val="00045F59"/>
    <w:rsid w:val="0005029B"/>
    <w:rsid w:val="0005045B"/>
    <w:rsid w:val="0005299B"/>
    <w:rsid w:val="00053E2E"/>
    <w:rsid w:val="00053FC2"/>
    <w:rsid w:val="00054322"/>
    <w:rsid w:val="00054586"/>
    <w:rsid w:val="00054BF7"/>
    <w:rsid w:val="00056189"/>
    <w:rsid w:val="0005786B"/>
    <w:rsid w:val="00060615"/>
    <w:rsid w:val="00064C13"/>
    <w:rsid w:val="0006712A"/>
    <w:rsid w:val="000674B5"/>
    <w:rsid w:val="00067D6A"/>
    <w:rsid w:val="00071B9C"/>
    <w:rsid w:val="00072146"/>
    <w:rsid w:val="00072E43"/>
    <w:rsid w:val="00073F92"/>
    <w:rsid w:val="00074D48"/>
    <w:rsid w:val="00076593"/>
    <w:rsid w:val="00076957"/>
    <w:rsid w:val="00077E77"/>
    <w:rsid w:val="00080D11"/>
    <w:rsid w:val="00081644"/>
    <w:rsid w:val="00082E24"/>
    <w:rsid w:val="00083140"/>
    <w:rsid w:val="00084A48"/>
    <w:rsid w:val="00087C2F"/>
    <w:rsid w:val="00087FD9"/>
    <w:rsid w:val="000904D0"/>
    <w:rsid w:val="00092DE8"/>
    <w:rsid w:val="00095874"/>
    <w:rsid w:val="000969F8"/>
    <w:rsid w:val="00096A9D"/>
    <w:rsid w:val="0009794C"/>
    <w:rsid w:val="000A0447"/>
    <w:rsid w:val="000A0645"/>
    <w:rsid w:val="000A1BAC"/>
    <w:rsid w:val="000A2019"/>
    <w:rsid w:val="000A204A"/>
    <w:rsid w:val="000A231D"/>
    <w:rsid w:val="000A27E5"/>
    <w:rsid w:val="000A2923"/>
    <w:rsid w:val="000A31DB"/>
    <w:rsid w:val="000B0330"/>
    <w:rsid w:val="000B0CD6"/>
    <w:rsid w:val="000B0D79"/>
    <w:rsid w:val="000B1642"/>
    <w:rsid w:val="000B1737"/>
    <w:rsid w:val="000B182C"/>
    <w:rsid w:val="000B2422"/>
    <w:rsid w:val="000B3620"/>
    <w:rsid w:val="000B4714"/>
    <w:rsid w:val="000B4BD1"/>
    <w:rsid w:val="000B4E97"/>
    <w:rsid w:val="000B509A"/>
    <w:rsid w:val="000B5DA9"/>
    <w:rsid w:val="000B7683"/>
    <w:rsid w:val="000B7A05"/>
    <w:rsid w:val="000C0953"/>
    <w:rsid w:val="000C26C8"/>
    <w:rsid w:val="000C316C"/>
    <w:rsid w:val="000C438E"/>
    <w:rsid w:val="000C4690"/>
    <w:rsid w:val="000C4D0B"/>
    <w:rsid w:val="000C4E10"/>
    <w:rsid w:val="000C661E"/>
    <w:rsid w:val="000D24C4"/>
    <w:rsid w:val="000D25BA"/>
    <w:rsid w:val="000D2CDE"/>
    <w:rsid w:val="000D3753"/>
    <w:rsid w:val="000D4BE6"/>
    <w:rsid w:val="000D5705"/>
    <w:rsid w:val="000D6E4A"/>
    <w:rsid w:val="000D72DA"/>
    <w:rsid w:val="000E19B9"/>
    <w:rsid w:val="000E21BA"/>
    <w:rsid w:val="000E2BDF"/>
    <w:rsid w:val="000E64F0"/>
    <w:rsid w:val="000E7410"/>
    <w:rsid w:val="000F00F6"/>
    <w:rsid w:val="000F0D8D"/>
    <w:rsid w:val="000F0E0C"/>
    <w:rsid w:val="000F1785"/>
    <w:rsid w:val="000F20D0"/>
    <w:rsid w:val="000F2659"/>
    <w:rsid w:val="000F3408"/>
    <w:rsid w:val="000F39B9"/>
    <w:rsid w:val="000F4FCC"/>
    <w:rsid w:val="000F6DC8"/>
    <w:rsid w:val="000F6F8B"/>
    <w:rsid w:val="00100FEE"/>
    <w:rsid w:val="0010198F"/>
    <w:rsid w:val="00101D73"/>
    <w:rsid w:val="00102831"/>
    <w:rsid w:val="001032D0"/>
    <w:rsid w:val="00104933"/>
    <w:rsid w:val="00105C91"/>
    <w:rsid w:val="00106FD3"/>
    <w:rsid w:val="00107A66"/>
    <w:rsid w:val="00107DA6"/>
    <w:rsid w:val="00110DD3"/>
    <w:rsid w:val="00111618"/>
    <w:rsid w:val="00111C9A"/>
    <w:rsid w:val="00112605"/>
    <w:rsid w:val="00113142"/>
    <w:rsid w:val="0011497D"/>
    <w:rsid w:val="00114F0A"/>
    <w:rsid w:val="00115B75"/>
    <w:rsid w:val="001177EF"/>
    <w:rsid w:val="00117F60"/>
    <w:rsid w:val="0012442E"/>
    <w:rsid w:val="00124882"/>
    <w:rsid w:val="00125E3A"/>
    <w:rsid w:val="0012612B"/>
    <w:rsid w:val="001263CC"/>
    <w:rsid w:val="001266FA"/>
    <w:rsid w:val="00127D41"/>
    <w:rsid w:val="00127E7C"/>
    <w:rsid w:val="001313D5"/>
    <w:rsid w:val="00131DAA"/>
    <w:rsid w:val="0013264C"/>
    <w:rsid w:val="00132977"/>
    <w:rsid w:val="00132FF6"/>
    <w:rsid w:val="0013404A"/>
    <w:rsid w:val="00137051"/>
    <w:rsid w:val="0013791D"/>
    <w:rsid w:val="00140348"/>
    <w:rsid w:val="0014135D"/>
    <w:rsid w:val="001413D0"/>
    <w:rsid w:val="00142001"/>
    <w:rsid w:val="001422DC"/>
    <w:rsid w:val="00142749"/>
    <w:rsid w:val="0014315B"/>
    <w:rsid w:val="00143434"/>
    <w:rsid w:val="001447DA"/>
    <w:rsid w:val="0014579F"/>
    <w:rsid w:val="00145DA5"/>
    <w:rsid w:val="00145E92"/>
    <w:rsid w:val="001460D1"/>
    <w:rsid w:val="001473DC"/>
    <w:rsid w:val="001476A5"/>
    <w:rsid w:val="00150992"/>
    <w:rsid w:val="00150AD0"/>
    <w:rsid w:val="00150B9D"/>
    <w:rsid w:val="0015132A"/>
    <w:rsid w:val="00152FE6"/>
    <w:rsid w:val="00154367"/>
    <w:rsid w:val="001553BD"/>
    <w:rsid w:val="00155B21"/>
    <w:rsid w:val="00155BD9"/>
    <w:rsid w:val="001567D6"/>
    <w:rsid w:val="00161223"/>
    <w:rsid w:val="001614BA"/>
    <w:rsid w:val="00161CAC"/>
    <w:rsid w:val="00162259"/>
    <w:rsid w:val="00162555"/>
    <w:rsid w:val="00162A37"/>
    <w:rsid w:val="00164B59"/>
    <w:rsid w:val="00165A80"/>
    <w:rsid w:val="00165CAB"/>
    <w:rsid w:val="00170589"/>
    <w:rsid w:val="00173F07"/>
    <w:rsid w:val="001772A1"/>
    <w:rsid w:val="00180897"/>
    <w:rsid w:val="00181953"/>
    <w:rsid w:val="00181E09"/>
    <w:rsid w:val="00181F00"/>
    <w:rsid w:val="001831C7"/>
    <w:rsid w:val="00183668"/>
    <w:rsid w:val="00183B98"/>
    <w:rsid w:val="00183FF3"/>
    <w:rsid w:val="00184C34"/>
    <w:rsid w:val="00185DA3"/>
    <w:rsid w:val="00186BC3"/>
    <w:rsid w:val="001873F3"/>
    <w:rsid w:val="00193062"/>
    <w:rsid w:val="00194435"/>
    <w:rsid w:val="0019677B"/>
    <w:rsid w:val="00196A72"/>
    <w:rsid w:val="00196BE4"/>
    <w:rsid w:val="001976FF"/>
    <w:rsid w:val="001A072A"/>
    <w:rsid w:val="001A074E"/>
    <w:rsid w:val="001A2735"/>
    <w:rsid w:val="001A2813"/>
    <w:rsid w:val="001A4C3D"/>
    <w:rsid w:val="001A52E1"/>
    <w:rsid w:val="001A5976"/>
    <w:rsid w:val="001A751F"/>
    <w:rsid w:val="001B3E13"/>
    <w:rsid w:val="001B7AC0"/>
    <w:rsid w:val="001C04F9"/>
    <w:rsid w:val="001C2147"/>
    <w:rsid w:val="001C4566"/>
    <w:rsid w:val="001C4A44"/>
    <w:rsid w:val="001D0219"/>
    <w:rsid w:val="001D1BCA"/>
    <w:rsid w:val="001D293B"/>
    <w:rsid w:val="001D2C0C"/>
    <w:rsid w:val="001D4DD2"/>
    <w:rsid w:val="001D5ABA"/>
    <w:rsid w:val="001D5BE8"/>
    <w:rsid w:val="001D6C35"/>
    <w:rsid w:val="001D704D"/>
    <w:rsid w:val="001D70B6"/>
    <w:rsid w:val="001D7632"/>
    <w:rsid w:val="001E01E0"/>
    <w:rsid w:val="001E0B9D"/>
    <w:rsid w:val="001E2A67"/>
    <w:rsid w:val="001E33A9"/>
    <w:rsid w:val="001E3688"/>
    <w:rsid w:val="001E4C4F"/>
    <w:rsid w:val="001E4E51"/>
    <w:rsid w:val="001E53BB"/>
    <w:rsid w:val="001E5798"/>
    <w:rsid w:val="001E638E"/>
    <w:rsid w:val="001F18B4"/>
    <w:rsid w:val="001F2334"/>
    <w:rsid w:val="001F5895"/>
    <w:rsid w:val="001F6024"/>
    <w:rsid w:val="001F6A37"/>
    <w:rsid w:val="001F6D21"/>
    <w:rsid w:val="001F7635"/>
    <w:rsid w:val="001F7A55"/>
    <w:rsid w:val="001F7C96"/>
    <w:rsid w:val="001F7F96"/>
    <w:rsid w:val="002017D0"/>
    <w:rsid w:val="00202B33"/>
    <w:rsid w:val="0020461B"/>
    <w:rsid w:val="00205EA5"/>
    <w:rsid w:val="00206394"/>
    <w:rsid w:val="002079F5"/>
    <w:rsid w:val="00210FBF"/>
    <w:rsid w:val="00211C5B"/>
    <w:rsid w:val="00212223"/>
    <w:rsid w:val="00212D20"/>
    <w:rsid w:val="00213327"/>
    <w:rsid w:val="00213340"/>
    <w:rsid w:val="00213D78"/>
    <w:rsid w:val="00216D92"/>
    <w:rsid w:val="00217C5B"/>
    <w:rsid w:val="00220A6E"/>
    <w:rsid w:val="00223360"/>
    <w:rsid w:val="00224191"/>
    <w:rsid w:val="00226A4B"/>
    <w:rsid w:val="00226FFF"/>
    <w:rsid w:val="0022745F"/>
    <w:rsid w:val="002304B7"/>
    <w:rsid w:val="00230666"/>
    <w:rsid w:val="00230FC4"/>
    <w:rsid w:val="0023252B"/>
    <w:rsid w:val="0023290F"/>
    <w:rsid w:val="00233829"/>
    <w:rsid w:val="00235AFC"/>
    <w:rsid w:val="00236A7B"/>
    <w:rsid w:val="0024038C"/>
    <w:rsid w:val="002403F5"/>
    <w:rsid w:val="00241BAF"/>
    <w:rsid w:val="00245DC5"/>
    <w:rsid w:val="00247A46"/>
    <w:rsid w:val="00251800"/>
    <w:rsid w:val="00251F5E"/>
    <w:rsid w:val="00252363"/>
    <w:rsid w:val="00252BA3"/>
    <w:rsid w:val="00252D3C"/>
    <w:rsid w:val="00254945"/>
    <w:rsid w:val="00255AB6"/>
    <w:rsid w:val="00257948"/>
    <w:rsid w:val="00257F40"/>
    <w:rsid w:val="002605D5"/>
    <w:rsid w:val="00260727"/>
    <w:rsid w:val="00261ABF"/>
    <w:rsid w:val="0026202D"/>
    <w:rsid w:val="002632FF"/>
    <w:rsid w:val="00263A80"/>
    <w:rsid w:val="00264173"/>
    <w:rsid w:val="00264ACA"/>
    <w:rsid w:val="00265D02"/>
    <w:rsid w:val="002666FE"/>
    <w:rsid w:val="002672B1"/>
    <w:rsid w:val="002672E0"/>
    <w:rsid w:val="0027110F"/>
    <w:rsid w:val="00272BAC"/>
    <w:rsid w:val="00273288"/>
    <w:rsid w:val="00275C6C"/>
    <w:rsid w:val="002827BE"/>
    <w:rsid w:val="002833D3"/>
    <w:rsid w:val="00283495"/>
    <w:rsid w:val="002835B1"/>
    <w:rsid w:val="002837A4"/>
    <w:rsid w:val="00286795"/>
    <w:rsid w:val="0029165D"/>
    <w:rsid w:val="00292DD3"/>
    <w:rsid w:val="00293B3A"/>
    <w:rsid w:val="00294BB3"/>
    <w:rsid w:val="0029567F"/>
    <w:rsid w:val="00295E43"/>
    <w:rsid w:val="00295E5D"/>
    <w:rsid w:val="002965B5"/>
    <w:rsid w:val="002969AA"/>
    <w:rsid w:val="00297E5A"/>
    <w:rsid w:val="002A3655"/>
    <w:rsid w:val="002A38AE"/>
    <w:rsid w:val="002A59F0"/>
    <w:rsid w:val="002A5CDC"/>
    <w:rsid w:val="002A7F60"/>
    <w:rsid w:val="002B00C3"/>
    <w:rsid w:val="002B3877"/>
    <w:rsid w:val="002B4595"/>
    <w:rsid w:val="002B5B3B"/>
    <w:rsid w:val="002B704E"/>
    <w:rsid w:val="002B725C"/>
    <w:rsid w:val="002B74D7"/>
    <w:rsid w:val="002B78E0"/>
    <w:rsid w:val="002B79D3"/>
    <w:rsid w:val="002B7B4B"/>
    <w:rsid w:val="002B7D89"/>
    <w:rsid w:val="002C050A"/>
    <w:rsid w:val="002C064A"/>
    <w:rsid w:val="002C26A4"/>
    <w:rsid w:val="002C39C9"/>
    <w:rsid w:val="002C401D"/>
    <w:rsid w:val="002C403E"/>
    <w:rsid w:val="002C4CAB"/>
    <w:rsid w:val="002C50AD"/>
    <w:rsid w:val="002C5E26"/>
    <w:rsid w:val="002C61CE"/>
    <w:rsid w:val="002C6535"/>
    <w:rsid w:val="002C6B58"/>
    <w:rsid w:val="002C7BBA"/>
    <w:rsid w:val="002D008B"/>
    <w:rsid w:val="002D00A7"/>
    <w:rsid w:val="002D3551"/>
    <w:rsid w:val="002D3667"/>
    <w:rsid w:val="002D4010"/>
    <w:rsid w:val="002D4CA9"/>
    <w:rsid w:val="002D7099"/>
    <w:rsid w:val="002E12B1"/>
    <w:rsid w:val="002E489D"/>
    <w:rsid w:val="002E48CE"/>
    <w:rsid w:val="002E4ADF"/>
    <w:rsid w:val="002E6F74"/>
    <w:rsid w:val="002E6F7E"/>
    <w:rsid w:val="002E7EA7"/>
    <w:rsid w:val="002F1455"/>
    <w:rsid w:val="002F312A"/>
    <w:rsid w:val="002F6EB9"/>
    <w:rsid w:val="002F7060"/>
    <w:rsid w:val="00300A2F"/>
    <w:rsid w:val="00302A98"/>
    <w:rsid w:val="00303EBD"/>
    <w:rsid w:val="00303FE1"/>
    <w:rsid w:val="00304EB0"/>
    <w:rsid w:val="00305E9F"/>
    <w:rsid w:val="003063F7"/>
    <w:rsid w:val="00306550"/>
    <w:rsid w:val="00306AF1"/>
    <w:rsid w:val="00306B87"/>
    <w:rsid w:val="0031053B"/>
    <w:rsid w:val="00315095"/>
    <w:rsid w:val="00315695"/>
    <w:rsid w:val="00315736"/>
    <w:rsid w:val="00316CA4"/>
    <w:rsid w:val="00317612"/>
    <w:rsid w:val="00317AE9"/>
    <w:rsid w:val="00320FDF"/>
    <w:rsid w:val="003217BF"/>
    <w:rsid w:val="0032183F"/>
    <w:rsid w:val="003226E1"/>
    <w:rsid w:val="00324421"/>
    <w:rsid w:val="0032570D"/>
    <w:rsid w:val="00326595"/>
    <w:rsid w:val="00333002"/>
    <w:rsid w:val="003330AD"/>
    <w:rsid w:val="00334275"/>
    <w:rsid w:val="003364B4"/>
    <w:rsid w:val="00337A4F"/>
    <w:rsid w:val="003403CA"/>
    <w:rsid w:val="0034188A"/>
    <w:rsid w:val="003419B8"/>
    <w:rsid w:val="003431B7"/>
    <w:rsid w:val="003433DB"/>
    <w:rsid w:val="00343BBC"/>
    <w:rsid w:val="00344E27"/>
    <w:rsid w:val="00345657"/>
    <w:rsid w:val="0034621D"/>
    <w:rsid w:val="003463B7"/>
    <w:rsid w:val="00347C50"/>
    <w:rsid w:val="003510FE"/>
    <w:rsid w:val="0035183D"/>
    <w:rsid w:val="0035378F"/>
    <w:rsid w:val="00355E9C"/>
    <w:rsid w:val="00356004"/>
    <w:rsid w:val="00356CC6"/>
    <w:rsid w:val="0036004F"/>
    <w:rsid w:val="00361FF8"/>
    <w:rsid w:val="00362013"/>
    <w:rsid w:val="0036617D"/>
    <w:rsid w:val="00366ACD"/>
    <w:rsid w:val="0036757B"/>
    <w:rsid w:val="00370198"/>
    <w:rsid w:val="003716AC"/>
    <w:rsid w:val="003730D5"/>
    <w:rsid w:val="0037376C"/>
    <w:rsid w:val="0037648A"/>
    <w:rsid w:val="0037754D"/>
    <w:rsid w:val="00377D45"/>
    <w:rsid w:val="00377E92"/>
    <w:rsid w:val="00377EFE"/>
    <w:rsid w:val="00380447"/>
    <w:rsid w:val="003813EE"/>
    <w:rsid w:val="00382825"/>
    <w:rsid w:val="00382D4D"/>
    <w:rsid w:val="003843CC"/>
    <w:rsid w:val="00384C56"/>
    <w:rsid w:val="00386FDB"/>
    <w:rsid w:val="00387C79"/>
    <w:rsid w:val="00390FDD"/>
    <w:rsid w:val="0039342D"/>
    <w:rsid w:val="00394C73"/>
    <w:rsid w:val="00394D2D"/>
    <w:rsid w:val="00395B25"/>
    <w:rsid w:val="003971C3"/>
    <w:rsid w:val="00397371"/>
    <w:rsid w:val="003A0382"/>
    <w:rsid w:val="003A11CD"/>
    <w:rsid w:val="003A1897"/>
    <w:rsid w:val="003A1F81"/>
    <w:rsid w:val="003A2494"/>
    <w:rsid w:val="003A2768"/>
    <w:rsid w:val="003A2C08"/>
    <w:rsid w:val="003A3D09"/>
    <w:rsid w:val="003A4164"/>
    <w:rsid w:val="003A43B2"/>
    <w:rsid w:val="003A4419"/>
    <w:rsid w:val="003A5145"/>
    <w:rsid w:val="003A5247"/>
    <w:rsid w:val="003A5BDF"/>
    <w:rsid w:val="003A5D62"/>
    <w:rsid w:val="003A7300"/>
    <w:rsid w:val="003A75D3"/>
    <w:rsid w:val="003B3415"/>
    <w:rsid w:val="003B35AC"/>
    <w:rsid w:val="003B4105"/>
    <w:rsid w:val="003B4BF9"/>
    <w:rsid w:val="003B4DEE"/>
    <w:rsid w:val="003B6C5E"/>
    <w:rsid w:val="003B6E0A"/>
    <w:rsid w:val="003B6FF4"/>
    <w:rsid w:val="003B77AB"/>
    <w:rsid w:val="003C0B03"/>
    <w:rsid w:val="003C38BA"/>
    <w:rsid w:val="003C395B"/>
    <w:rsid w:val="003C3F20"/>
    <w:rsid w:val="003C4903"/>
    <w:rsid w:val="003C49A0"/>
    <w:rsid w:val="003C6D84"/>
    <w:rsid w:val="003C6DA0"/>
    <w:rsid w:val="003C7402"/>
    <w:rsid w:val="003D0DEA"/>
    <w:rsid w:val="003D187E"/>
    <w:rsid w:val="003D2F63"/>
    <w:rsid w:val="003D5AE9"/>
    <w:rsid w:val="003D5B27"/>
    <w:rsid w:val="003E0BAB"/>
    <w:rsid w:val="003E2392"/>
    <w:rsid w:val="003E2C28"/>
    <w:rsid w:val="003E2E76"/>
    <w:rsid w:val="003E2F3C"/>
    <w:rsid w:val="003E3DC9"/>
    <w:rsid w:val="003E4D50"/>
    <w:rsid w:val="003E5B25"/>
    <w:rsid w:val="003E5C1D"/>
    <w:rsid w:val="003E7866"/>
    <w:rsid w:val="003F2BE0"/>
    <w:rsid w:val="003F5524"/>
    <w:rsid w:val="003F7CA6"/>
    <w:rsid w:val="0040032E"/>
    <w:rsid w:val="004005E4"/>
    <w:rsid w:val="00400689"/>
    <w:rsid w:val="00401596"/>
    <w:rsid w:val="004026A3"/>
    <w:rsid w:val="00402C4A"/>
    <w:rsid w:val="0040393B"/>
    <w:rsid w:val="0040406D"/>
    <w:rsid w:val="00405006"/>
    <w:rsid w:val="0040566E"/>
    <w:rsid w:val="00407AD9"/>
    <w:rsid w:val="00410B53"/>
    <w:rsid w:val="00411A0E"/>
    <w:rsid w:val="00411F44"/>
    <w:rsid w:val="00412BB0"/>
    <w:rsid w:val="0041351C"/>
    <w:rsid w:val="00413739"/>
    <w:rsid w:val="004147E1"/>
    <w:rsid w:val="00414FBA"/>
    <w:rsid w:val="004163E1"/>
    <w:rsid w:val="004206C5"/>
    <w:rsid w:val="004222DF"/>
    <w:rsid w:val="00422AB8"/>
    <w:rsid w:val="00423DF7"/>
    <w:rsid w:val="00423DFB"/>
    <w:rsid w:val="00424173"/>
    <w:rsid w:val="0042567F"/>
    <w:rsid w:val="00427CCD"/>
    <w:rsid w:val="00430054"/>
    <w:rsid w:val="004302AD"/>
    <w:rsid w:val="00431344"/>
    <w:rsid w:val="004313EE"/>
    <w:rsid w:val="00432009"/>
    <w:rsid w:val="00432214"/>
    <w:rsid w:val="004332B4"/>
    <w:rsid w:val="0043435B"/>
    <w:rsid w:val="004347E7"/>
    <w:rsid w:val="00435B8E"/>
    <w:rsid w:val="00435D9B"/>
    <w:rsid w:val="00435E47"/>
    <w:rsid w:val="0043683D"/>
    <w:rsid w:val="004374A5"/>
    <w:rsid w:val="00440F86"/>
    <w:rsid w:val="00441734"/>
    <w:rsid w:val="00442EB0"/>
    <w:rsid w:val="004466A2"/>
    <w:rsid w:val="00446C9A"/>
    <w:rsid w:val="00446CDD"/>
    <w:rsid w:val="0045014B"/>
    <w:rsid w:val="00450862"/>
    <w:rsid w:val="00451BD4"/>
    <w:rsid w:val="0045228B"/>
    <w:rsid w:val="00452416"/>
    <w:rsid w:val="00452567"/>
    <w:rsid w:val="004529F3"/>
    <w:rsid w:val="004563D9"/>
    <w:rsid w:val="0045660C"/>
    <w:rsid w:val="00456895"/>
    <w:rsid w:val="0045739B"/>
    <w:rsid w:val="00457DFF"/>
    <w:rsid w:val="00460331"/>
    <w:rsid w:val="00461931"/>
    <w:rsid w:val="004640CD"/>
    <w:rsid w:val="00464F0C"/>
    <w:rsid w:val="00465D30"/>
    <w:rsid w:val="0046739A"/>
    <w:rsid w:val="004673BE"/>
    <w:rsid w:val="004674CE"/>
    <w:rsid w:val="004708BA"/>
    <w:rsid w:val="004719DA"/>
    <w:rsid w:val="004737E7"/>
    <w:rsid w:val="00473913"/>
    <w:rsid w:val="00474842"/>
    <w:rsid w:val="00477A02"/>
    <w:rsid w:val="004819A0"/>
    <w:rsid w:val="00481DA8"/>
    <w:rsid w:val="00481EEE"/>
    <w:rsid w:val="0048262E"/>
    <w:rsid w:val="00482CBF"/>
    <w:rsid w:val="004843B1"/>
    <w:rsid w:val="00484F57"/>
    <w:rsid w:val="0048636A"/>
    <w:rsid w:val="00486624"/>
    <w:rsid w:val="00486A4B"/>
    <w:rsid w:val="00487E50"/>
    <w:rsid w:val="00490938"/>
    <w:rsid w:val="00492AB0"/>
    <w:rsid w:val="00493A88"/>
    <w:rsid w:val="00494299"/>
    <w:rsid w:val="00494922"/>
    <w:rsid w:val="0049560D"/>
    <w:rsid w:val="00495A9C"/>
    <w:rsid w:val="00496401"/>
    <w:rsid w:val="00496809"/>
    <w:rsid w:val="004A080F"/>
    <w:rsid w:val="004A1CDB"/>
    <w:rsid w:val="004A2216"/>
    <w:rsid w:val="004A3BC4"/>
    <w:rsid w:val="004A3D7F"/>
    <w:rsid w:val="004A4C1F"/>
    <w:rsid w:val="004A5126"/>
    <w:rsid w:val="004A61BD"/>
    <w:rsid w:val="004B029A"/>
    <w:rsid w:val="004B0AC9"/>
    <w:rsid w:val="004B5014"/>
    <w:rsid w:val="004B519A"/>
    <w:rsid w:val="004B5854"/>
    <w:rsid w:val="004B6412"/>
    <w:rsid w:val="004B64A9"/>
    <w:rsid w:val="004B690E"/>
    <w:rsid w:val="004B6F6F"/>
    <w:rsid w:val="004C13C1"/>
    <w:rsid w:val="004C513D"/>
    <w:rsid w:val="004C56F5"/>
    <w:rsid w:val="004C5AEC"/>
    <w:rsid w:val="004C6401"/>
    <w:rsid w:val="004C7EA5"/>
    <w:rsid w:val="004D05F5"/>
    <w:rsid w:val="004D24AF"/>
    <w:rsid w:val="004D25CF"/>
    <w:rsid w:val="004D2B26"/>
    <w:rsid w:val="004D2DEF"/>
    <w:rsid w:val="004D3135"/>
    <w:rsid w:val="004D396D"/>
    <w:rsid w:val="004D570C"/>
    <w:rsid w:val="004D77A1"/>
    <w:rsid w:val="004D7DCC"/>
    <w:rsid w:val="004E1CD4"/>
    <w:rsid w:val="004E2A09"/>
    <w:rsid w:val="004E2BD7"/>
    <w:rsid w:val="004E2BDE"/>
    <w:rsid w:val="004E2F1C"/>
    <w:rsid w:val="004E3049"/>
    <w:rsid w:val="004E3DAD"/>
    <w:rsid w:val="004E4524"/>
    <w:rsid w:val="004E4AC0"/>
    <w:rsid w:val="004E56CC"/>
    <w:rsid w:val="004E5F41"/>
    <w:rsid w:val="004E602E"/>
    <w:rsid w:val="004E796B"/>
    <w:rsid w:val="004F141B"/>
    <w:rsid w:val="004F272F"/>
    <w:rsid w:val="004F3979"/>
    <w:rsid w:val="004F3C4C"/>
    <w:rsid w:val="004F3F4C"/>
    <w:rsid w:val="004F5B2E"/>
    <w:rsid w:val="004F63FD"/>
    <w:rsid w:val="00500516"/>
    <w:rsid w:val="0050422B"/>
    <w:rsid w:val="00504264"/>
    <w:rsid w:val="00504961"/>
    <w:rsid w:val="005068F8"/>
    <w:rsid w:val="00510607"/>
    <w:rsid w:val="00512055"/>
    <w:rsid w:val="005120C0"/>
    <w:rsid w:val="005122A1"/>
    <w:rsid w:val="00513D28"/>
    <w:rsid w:val="00514536"/>
    <w:rsid w:val="005145DF"/>
    <w:rsid w:val="00516B98"/>
    <w:rsid w:val="005202DE"/>
    <w:rsid w:val="0052150B"/>
    <w:rsid w:val="00522AAE"/>
    <w:rsid w:val="00524069"/>
    <w:rsid w:val="00524A4A"/>
    <w:rsid w:val="00525083"/>
    <w:rsid w:val="005252FC"/>
    <w:rsid w:val="00526D2B"/>
    <w:rsid w:val="00530062"/>
    <w:rsid w:val="0053012B"/>
    <w:rsid w:val="00530B90"/>
    <w:rsid w:val="005311DD"/>
    <w:rsid w:val="005321A4"/>
    <w:rsid w:val="00533360"/>
    <w:rsid w:val="00533743"/>
    <w:rsid w:val="00536CEF"/>
    <w:rsid w:val="00536F60"/>
    <w:rsid w:val="00537B4E"/>
    <w:rsid w:val="00537CF4"/>
    <w:rsid w:val="005408B1"/>
    <w:rsid w:val="005421A7"/>
    <w:rsid w:val="005429B8"/>
    <w:rsid w:val="005432F0"/>
    <w:rsid w:val="00544D5B"/>
    <w:rsid w:val="00545B64"/>
    <w:rsid w:val="00547C2A"/>
    <w:rsid w:val="00550C15"/>
    <w:rsid w:val="005513FB"/>
    <w:rsid w:val="005521A8"/>
    <w:rsid w:val="005528F3"/>
    <w:rsid w:val="00552E26"/>
    <w:rsid w:val="00560543"/>
    <w:rsid w:val="0056159F"/>
    <w:rsid w:val="005637C0"/>
    <w:rsid w:val="0056473B"/>
    <w:rsid w:val="00564D9D"/>
    <w:rsid w:val="00565156"/>
    <w:rsid w:val="005651CC"/>
    <w:rsid w:val="005652C2"/>
    <w:rsid w:val="00565856"/>
    <w:rsid w:val="005665B2"/>
    <w:rsid w:val="00566948"/>
    <w:rsid w:val="00570868"/>
    <w:rsid w:val="00570B9C"/>
    <w:rsid w:val="00571354"/>
    <w:rsid w:val="00571878"/>
    <w:rsid w:val="00571C98"/>
    <w:rsid w:val="00571E4E"/>
    <w:rsid w:val="00573921"/>
    <w:rsid w:val="00575C84"/>
    <w:rsid w:val="00576552"/>
    <w:rsid w:val="00576B92"/>
    <w:rsid w:val="00581788"/>
    <w:rsid w:val="00581D49"/>
    <w:rsid w:val="00582E5F"/>
    <w:rsid w:val="00583B4E"/>
    <w:rsid w:val="00583FE9"/>
    <w:rsid w:val="005840B8"/>
    <w:rsid w:val="0058540C"/>
    <w:rsid w:val="00585C86"/>
    <w:rsid w:val="00586A4A"/>
    <w:rsid w:val="00586E87"/>
    <w:rsid w:val="005876A2"/>
    <w:rsid w:val="00587A83"/>
    <w:rsid w:val="00587AC1"/>
    <w:rsid w:val="005924DC"/>
    <w:rsid w:val="00592B4D"/>
    <w:rsid w:val="00593B47"/>
    <w:rsid w:val="00593DAD"/>
    <w:rsid w:val="00594DC6"/>
    <w:rsid w:val="00595270"/>
    <w:rsid w:val="005953D1"/>
    <w:rsid w:val="00596937"/>
    <w:rsid w:val="00596CB7"/>
    <w:rsid w:val="005A005D"/>
    <w:rsid w:val="005A0E11"/>
    <w:rsid w:val="005A1013"/>
    <w:rsid w:val="005A362B"/>
    <w:rsid w:val="005A4084"/>
    <w:rsid w:val="005A4943"/>
    <w:rsid w:val="005A4B36"/>
    <w:rsid w:val="005A537C"/>
    <w:rsid w:val="005A5BB5"/>
    <w:rsid w:val="005A5EAE"/>
    <w:rsid w:val="005B16FF"/>
    <w:rsid w:val="005B1741"/>
    <w:rsid w:val="005B1A3C"/>
    <w:rsid w:val="005B3F4C"/>
    <w:rsid w:val="005B4BA1"/>
    <w:rsid w:val="005B5783"/>
    <w:rsid w:val="005B5D3C"/>
    <w:rsid w:val="005B6935"/>
    <w:rsid w:val="005B6C32"/>
    <w:rsid w:val="005B7AC2"/>
    <w:rsid w:val="005B7E4F"/>
    <w:rsid w:val="005C10C7"/>
    <w:rsid w:val="005C1737"/>
    <w:rsid w:val="005C1A4D"/>
    <w:rsid w:val="005C2D17"/>
    <w:rsid w:val="005C50A7"/>
    <w:rsid w:val="005C54F2"/>
    <w:rsid w:val="005C7CB7"/>
    <w:rsid w:val="005C7E76"/>
    <w:rsid w:val="005D0E61"/>
    <w:rsid w:val="005D2932"/>
    <w:rsid w:val="005D33E2"/>
    <w:rsid w:val="005D3821"/>
    <w:rsid w:val="005D4160"/>
    <w:rsid w:val="005D4682"/>
    <w:rsid w:val="005D49FF"/>
    <w:rsid w:val="005D5868"/>
    <w:rsid w:val="005D6152"/>
    <w:rsid w:val="005D683B"/>
    <w:rsid w:val="005D72CD"/>
    <w:rsid w:val="005E2637"/>
    <w:rsid w:val="005E2B75"/>
    <w:rsid w:val="005E33EF"/>
    <w:rsid w:val="005E36B0"/>
    <w:rsid w:val="005E4F67"/>
    <w:rsid w:val="005E56AD"/>
    <w:rsid w:val="005E678C"/>
    <w:rsid w:val="005F0CF5"/>
    <w:rsid w:val="005F0FF5"/>
    <w:rsid w:val="005F2365"/>
    <w:rsid w:val="005F238C"/>
    <w:rsid w:val="005F355D"/>
    <w:rsid w:val="005F632A"/>
    <w:rsid w:val="005F7424"/>
    <w:rsid w:val="006009B5"/>
    <w:rsid w:val="00600DED"/>
    <w:rsid w:val="006022A4"/>
    <w:rsid w:val="00603098"/>
    <w:rsid w:val="00603531"/>
    <w:rsid w:val="006039F1"/>
    <w:rsid w:val="0060560A"/>
    <w:rsid w:val="00606BC6"/>
    <w:rsid w:val="00606DEF"/>
    <w:rsid w:val="0061097E"/>
    <w:rsid w:val="006113E3"/>
    <w:rsid w:val="00615BB3"/>
    <w:rsid w:val="00615E17"/>
    <w:rsid w:val="006174CC"/>
    <w:rsid w:val="00617636"/>
    <w:rsid w:val="00620808"/>
    <w:rsid w:val="006228E5"/>
    <w:rsid w:val="00623238"/>
    <w:rsid w:val="00623BD7"/>
    <w:rsid w:val="00624ED2"/>
    <w:rsid w:val="00626A5A"/>
    <w:rsid w:val="00627ED1"/>
    <w:rsid w:val="00630C99"/>
    <w:rsid w:val="00631541"/>
    <w:rsid w:val="006316C9"/>
    <w:rsid w:val="00633168"/>
    <w:rsid w:val="00633E5A"/>
    <w:rsid w:val="006350B6"/>
    <w:rsid w:val="0063557D"/>
    <w:rsid w:val="00636469"/>
    <w:rsid w:val="0064100D"/>
    <w:rsid w:val="0064181F"/>
    <w:rsid w:val="00644A2F"/>
    <w:rsid w:val="00644CEB"/>
    <w:rsid w:val="00647082"/>
    <w:rsid w:val="00647918"/>
    <w:rsid w:val="00647CFD"/>
    <w:rsid w:val="0065192B"/>
    <w:rsid w:val="00651A9F"/>
    <w:rsid w:val="00651BB1"/>
    <w:rsid w:val="00652702"/>
    <w:rsid w:val="00652928"/>
    <w:rsid w:val="00652F11"/>
    <w:rsid w:val="006533D1"/>
    <w:rsid w:val="00653F87"/>
    <w:rsid w:val="00655217"/>
    <w:rsid w:val="0065659D"/>
    <w:rsid w:val="00656B8A"/>
    <w:rsid w:val="00656D45"/>
    <w:rsid w:val="006607E5"/>
    <w:rsid w:val="006621A1"/>
    <w:rsid w:val="0066261B"/>
    <w:rsid w:val="00662FEF"/>
    <w:rsid w:val="006630D7"/>
    <w:rsid w:val="006643CA"/>
    <w:rsid w:val="00664A6F"/>
    <w:rsid w:val="00664B82"/>
    <w:rsid w:val="006661E9"/>
    <w:rsid w:val="00666730"/>
    <w:rsid w:val="00667377"/>
    <w:rsid w:val="006704CE"/>
    <w:rsid w:val="00671911"/>
    <w:rsid w:val="00672766"/>
    <w:rsid w:val="00674BB7"/>
    <w:rsid w:val="00676000"/>
    <w:rsid w:val="006762AF"/>
    <w:rsid w:val="00676794"/>
    <w:rsid w:val="00676CD9"/>
    <w:rsid w:val="00677700"/>
    <w:rsid w:val="0067775F"/>
    <w:rsid w:val="00677EFE"/>
    <w:rsid w:val="00680238"/>
    <w:rsid w:val="00680FD2"/>
    <w:rsid w:val="00681D73"/>
    <w:rsid w:val="00684515"/>
    <w:rsid w:val="00684AB6"/>
    <w:rsid w:val="00686065"/>
    <w:rsid w:val="006864A6"/>
    <w:rsid w:val="00686AF5"/>
    <w:rsid w:val="00690C44"/>
    <w:rsid w:val="0069133B"/>
    <w:rsid w:val="006916A3"/>
    <w:rsid w:val="00692128"/>
    <w:rsid w:val="0069261C"/>
    <w:rsid w:val="006A0772"/>
    <w:rsid w:val="006A1403"/>
    <w:rsid w:val="006A1E35"/>
    <w:rsid w:val="006A26D3"/>
    <w:rsid w:val="006A2739"/>
    <w:rsid w:val="006A2909"/>
    <w:rsid w:val="006A3EEB"/>
    <w:rsid w:val="006A4983"/>
    <w:rsid w:val="006A5E94"/>
    <w:rsid w:val="006A6E34"/>
    <w:rsid w:val="006A72AE"/>
    <w:rsid w:val="006A7953"/>
    <w:rsid w:val="006B2474"/>
    <w:rsid w:val="006B52A1"/>
    <w:rsid w:val="006B5C0C"/>
    <w:rsid w:val="006B7803"/>
    <w:rsid w:val="006C01CC"/>
    <w:rsid w:val="006C19FB"/>
    <w:rsid w:val="006C2AAA"/>
    <w:rsid w:val="006C33B2"/>
    <w:rsid w:val="006C4DAF"/>
    <w:rsid w:val="006C4E17"/>
    <w:rsid w:val="006C5814"/>
    <w:rsid w:val="006C67D7"/>
    <w:rsid w:val="006C6E87"/>
    <w:rsid w:val="006D16C7"/>
    <w:rsid w:val="006D3C07"/>
    <w:rsid w:val="006D40C6"/>
    <w:rsid w:val="006D4103"/>
    <w:rsid w:val="006D430C"/>
    <w:rsid w:val="006D4B17"/>
    <w:rsid w:val="006D629A"/>
    <w:rsid w:val="006D6703"/>
    <w:rsid w:val="006D6A1F"/>
    <w:rsid w:val="006D6BD8"/>
    <w:rsid w:val="006D6CB9"/>
    <w:rsid w:val="006E07DD"/>
    <w:rsid w:val="006E1847"/>
    <w:rsid w:val="006E1B87"/>
    <w:rsid w:val="006E29DB"/>
    <w:rsid w:val="006E315F"/>
    <w:rsid w:val="006E39DC"/>
    <w:rsid w:val="006E3D37"/>
    <w:rsid w:val="006E59BB"/>
    <w:rsid w:val="006E6168"/>
    <w:rsid w:val="006F19DF"/>
    <w:rsid w:val="006F1D38"/>
    <w:rsid w:val="006F5521"/>
    <w:rsid w:val="006F5666"/>
    <w:rsid w:val="006F62E8"/>
    <w:rsid w:val="006F641B"/>
    <w:rsid w:val="006F6DC8"/>
    <w:rsid w:val="006F77D5"/>
    <w:rsid w:val="006F7A12"/>
    <w:rsid w:val="006F7AF2"/>
    <w:rsid w:val="0070059A"/>
    <w:rsid w:val="00700F6B"/>
    <w:rsid w:val="007012A0"/>
    <w:rsid w:val="00701716"/>
    <w:rsid w:val="00701F3B"/>
    <w:rsid w:val="00702750"/>
    <w:rsid w:val="007041D2"/>
    <w:rsid w:val="007043AF"/>
    <w:rsid w:val="007045CD"/>
    <w:rsid w:val="00705010"/>
    <w:rsid w:val="00705FE4"/>
    <w:rsid w:val="007062DD"/>
    <w:rsid w:val="00707213"/>
    <w:rsid w:val="00707BD5"/>
    <w:rsid w:val="0071031C"/>
    <w:rsid w:val="00711014"/>
    <w:rsid w:val="0071391E"/>
    <w:rsid w:val="00713EFB"/>
    <w:rsid w:val="00714D5A"/>
    <w:rsid w:val="00716FDE"/>
    <w:rsid w:val="00722F45"/>
    <w:rsid w:val="007239EB"/>
    <w:rsid w:val="00723BD1"/>
    <w:rsid w:val="007279E1"/>
    <w:rsid w:val="00731DD5"/>
    <w:rsid w:val="00732891"/>
    <w:rsid w:val="00732CC3"/>
    <w:rsid w:val="007350B5"/>
    <w:rsid w:val="00736578"/>
    <w:rsid w:val="00736855"/>
    <w:rsid w:val="00736E7B"/>
    <w:rsid w:val="007414FE"/>
    <w:rsid w:val="00741CD1"/>
    <w:rsid w:val="00742A90"/>
    <w:rsid w:val="00743B25"/>
    <w:rsid w:val="00743ECC"/>
    <w:rsid w:val="00745773"/>
    <w:rsid w:val="007458FD"/>
    <w:rsid w:val="007463CE"/>
    <w:rsid w:val="007466D7"/>
    <w:rsid w:val="00747DB3"/>
    <w:rsid w:val="00751ECF"/>
    <w:rsid w:val="00752B20"/>
    <w:rsid w:val="00752E0A"/>
    <w:rsid w:val="0075524B"/>
    <w:rsid w:val="00755FDB"/>
    <w:rsid w:val="0075665E"/>
    <w:rsid w:val="0075687F"/>
    <w:rsid w:val="007578E2"/>
    <w:rsid w:val="00760476"/>
    <w:rsid w:val="00760EBB"/>
    <w:rsid w:val="007626BD"/>
    <w:rsid w:val="00762A7C"/>
    <w:rsid w:val="00762CF4"/>
    <w:rsid w:val="00763516"/>
    <w:rsid w:val="007645ED"/>
    <w:rsid w:val="00764AFC"/>
    <w:rsid w:val="0076565E"/>
    <w:rsid w:val="00765995"/>
    <w:rsid w:val="00767C56"/>
    <w:rsid w:val="00767EA0"/>
    <w:rsid w:val="0077067C"/>
    <w:rsid w:val="00770928"/>
    <w:rsid w:val="00771025"/>
    <w:rsid w:val="007715ED"/>
    <w:rsid w:val="00771D70"/>
    <w:rsid w:val="00771F3A"/>
    <w:rsid w:val="00775E15"/>
    <w:rsid w:val="0077738F"/>
    <w:rsid w:val="007773C5"/>
    <w:rsid w:val="007777CB"/>
    <w:rsid w:val="00777859"/>
    <w:rsid w:val="007825E8"/>
    <w:rsid w:val="00783C1E"/>
    <w:rsid w:val="00790ACD"/>
    <w:rsid w:val="007941AF"/>
    <w:rsid w:val="00794868"/>
    <w:rsid w:val="00795027"/>
    <w:rsid w:val="00796691"/>
    <w:rsid w:val="007A19F2"/>
    <w:rsid w:val="007A1A4A"/>
    <w:rsid w:val="007A30F1"/>
    <w:rsid w:val="007A3C7A"/>
    <w:rsid w:val="007A426D"/>
    <w:rsid w:val="007A442E"/>
    <w:rsid w:val="007A453E"/>
    <w:rsid w:val="007A498E"/>
    <w:rsid w:val="007A4AE2"/>
    <w:rsid w:val="007A4C03"/>
    <w:rsid w:val="007A4C40"/>
    <w:rsid w:val="007A604C"/>
    <w:rsid w:val="007A7430"/>
    <w:rsid w:val="007A7C60"/>
    <w:rsid w:val="007B38AE"/>
    <w:rsid w:val="007B4922"/>
    <w:rsid w:val="007B4A56"/>
    <w:rsid w:val="007B5658"/>
    <w:rsid w:val="007B6DAD"/>
    <w:rsid w:val="007B71FA"/>
    <w:rsid w:val="007B7461"/>
    <w:rsid w:val="007B79A0"/>
    <w:rsid w:val="007C0040"/>
    <w:rsid w:val="007C074D"/>
    <w:rsid w:val="007C0948"/>
    <w:rsid w:val="007C0AF9"/>
    <w:rsid w:val="007C2521"/>
    <w:rsid w:val="007C3DF1"/>
    <w:rsid w:val="007C6AD5"/>
    <w:rsid w:val="007C79B5"/>
    <w:rsid w:val="007D2016"/>
    <w:rsid w:val="007D2417"/>
    <w:rsid w:val="007D35A3"/>
    <w:rsid w:val="007D5AF4"/>
    <w:rsid w:val="007E165E"/>
    <w:rsid w:val="007E2DAF"/>
    <w:rsid w:val="007E3B88"/>
    <w:rsid w:val="007E4428"/>
    <w:rsid w:val="007E4431"/>
    <w:rsid w:val="007E4AA1"/>
    <w:rsid w:val="007E534C"/>
    <w:rsid w:val="007E5953"/>
    <w:rsid w:val="007E5A1C"/>
    <w:rsid w:val="007E6C1D"/>
    <w:rsid w:val="007E6C3E"/>
    <w:rsid w:val="007E7056"/>
    <w:rsid w:val="007E7ED2"/>
    <w:rsid w:val="007F0195"/>
    <w:rsid w:val="007F216D"/>
    <w:rsid w:val="007F2DD2"/>
    <w:rsid w:val="007F2FD9"/>
    <w:rsid w:val="007F33BB"/>
    <w:rsid w:val="007F451B"/>
    <w:rsid w:val="007F5525"/>
    <w:rsid w:val="00800D7B"/>
    <w:rsid w:val="008010AD"/>
    <w:rsid w:val="00802849"/>
    <w:rsid w:val="0080324F"/>
    <w:rsid w:val="00803AF7"/>
    <w:rsid w:val="0080549D"/>
    <w:rsid w:val="00805C33"/>
    <w:rsid w:val="008061D4"/>
    <w:rsid w:val="00807A43"/>
    <w:rsid w:val="00807BDE"/>
    <w:rsid w:val="008112CE"/>
    <w:rsid w:val="008117D9"/>
    <w:rsid w:val="00812592"/>
    <w:rsid w:val="00813F46"/>
    <w:rsid w:val="00815844"/>
    <w:rsid w:val="0081716C"/>
    <w:rsid w:val="008177BE"/>
    <w:rsid w:val="00817E7A"/>
    <w:rsid w:val="0082065B"/>
    <w:rsid w:val="00820D81"/>
    <w:rsid w:val="00820EA2"/>
    <w:rsid w:val="00821124"/>
    <w:rsid w:val="008212E4"/>
    <w:rsid w:val="00822D1D"/>
    <w:rsid w:val="00823B03"/>
    <w:rsid w:val="008246E2"/>
    <w:rsid w:val="008264E6"/>
    <w:rsid w:val="00826705"/>
    <w:rsid w:val="008278BA"/>
    <w:rsid w:val="00832A69"/>
    <w:rsid w:val="00832A80"/>
    <w:rsid w:val="00834557"/>
    <w:rsid w:val="00834A08"/>
    <w:rsid w:val="0083532B"/>
    <w:rsid w:val="008355B9"/>
    <w:rsid w:val="008362D8"/>
    <w:rsid w:val="0083739D"/>
    <w:rsid w:val="00837534"/>
    <w:rsid w:val="008404D5"/>
    <w:rsid w:val="00840BCF"/>
    <w:rsid w:val="00840C55"/>
    <w:rsid w:val="00840F0E"/>
    <w:rsid w:val="00841FE8"/>
    <w:rsid w:val="0084245F"/>
    <w:rsid w:val="00842605"/>
    <w:rsid w:val="00842B60"/>
    <w:rsid w:val="008433FD"/>
    <w:rsid w:val="008439C8"/>
    <w:rsid w:val="008440F7"/>
    <w:rsid w:val="00844C83"/>
    <w:rsid w:val="00845E69"/>
    <w:rsid w:val="00846FCB"/>
    <w:rsid w:val="008470D8"/>
    <w:rsid w:val="0085190A"/>
    <w:rsid w:val="00851B81"/>
    <w:rsid w:val="008536CA"/>
    <w:rsid w:val="008571EC"/>
    <w:rsid w:val="00860A8E"/>
    <w:rsid w:val="00862816"/>
    <w:rsid w:val="00862D5E"/>
    <w:rsid w:val="00863463"/>
    <w:rsid w:val="00863C14"/>
    <w:rsid w:val="008652A1"/>
    <w:rsid w:val="00865F5B"/>
    <w:rsid w:val="00866119"/>
    <w:rsid w:val="008673C8"/>
    <w:rsid w:val="00867915"/>
    <w:rsid w:val="0087163F"/>
    <w:rsid w:val="0087211F"/>
    <w:rsid w:val="00872AC5"/>
    <w:rsid w:val="008738F8"/>
    <w:rsid w:val="00873ED3"/>
    <w:rsid w:val="0087443E"/>
    <w:rsid w:val="00874E1C"/>
    <w:rsid w:val="00877510"/>
    <w:rsid w:val="0088237F"/>
    <w:rsid w:val="008828D5"/>
    <w:rsid w:val="008836C1"/>
    <w:rsid w:val="00883C43"/>
    <w:rsid w:val="00883D87"/>
    <w:rsid w:val="008848DC"/>
    <w:rsid w:val="00885555"/>
    <w:rsid w:val="00885A5B"/>
    <w:rsid w:val="00885E00"/>
    <w:rsid w:val="008867F3"/>
    <w:rsid w:val="00887B8C"/>
    <w:rsid w:val="00887F46"/>
    <w:rsid w:val="00887F69"/>
    <w:rsid w:val="008931F8"/>
    <w:rsid w:val="00893AF3"/>
    <w:rsid w:val="0089419E"/>
    <w:rsid w:val="0089462E"/>
    <w:rsid w:val="0089497C"/>
    <w:rsid w:val="00894A97"/>
    <w:rsid w:val="00895346"/>
    <w:rsid w:val="008A0903"/>
    <w:rsid w:val="008A184C"/>
    <w:rsid w:val="008A2D2A"/>
    <w:rsid w:val="008A3E04"/>
    <w:rsid w:val="008A452E"/>
    <w:rsid w:val="008A507F"/>
    <w:rsid w:val="008A55C1"/>
    <w:rsid w:val="008B06ED"/>
    <w:rsid w:val="008B1853"/>
    <w:rsid w:val="008B1A26"/>
    <w:rsid w:val="008B279D"/>
    <w:rsid w:val="008B3339"/>
    <w:rsid w:val="008B5ADC"/>
    <w:rsid w:val="008B647D"/>
    <w:rsid w:val="008B78C1"/>
    <w:rsid w:val="008B7D2B"/>
    <w:rsid w:val="008C1ADD"/>
    <w:rsid w:val="008C2C58"/>
    <w:rsid w:val="008C3150"/>
    <w:rsid w:val="008C31AA"/>
    <w:rsid w:val="008D0F40"/>
    <w:rsid w:val="008D1885"/>
    <w:rsid w:val="008D1FAD"/>
    <w:rsid w:val="008D30B9"/>
    <w:rsid w:val="008D3D90"/>
    <w:rsid w:val="008D63A7"/>
    <w:rsid w:val="008D6447"/>
    <w:rsid w:val="008D68F3"/>
    <w:rsid w:val="008D6C61"/>
    <w:rsid w:val="008D76DF"/>
    <w:rsid w:val="008E007D"/>
    <w:rsid w:val="008E00BB"/>
    <w:rsid w:val="008E0DC2"/>
    <w:rsid w:val="008E173E"/>
    <w:rsid w:val="008E1B75"/>
    <w:rsid w:val="008E1FC1"/>
    <w:rsid w:val="008E2BBE"/>
    <w:rsid w:val="008E2EBF"/>
    <w:rsid w:val="008E3216"/>
    <w:rsid w:val="008E3930"/>
    <w:rsid w:val="008E3CE3"/>
    <w:rsid w:val="008E3D49"/>
    <w:rsid w:val="008E63E5"/>
    <w:rsid w:val="008E640C"/>
    <w:rsid w:val="008E7FF1"/>
    <w:rsid w:val="008F041B"/>
    <w:rsid w:val="008F1472"/>
    <w:rsid w:val="008F233D"/>
    <w:rsid w:val="008F27A1"/>
    <w:rsid w:val="008F2FD0"/>
    <w:rsid w:val="008F46B0"/>
    <w:rsid w:val="008F4BBB"/>
    <w:rsid w:val="008F68C0"/>
    <w:rsid w:val="00901C7A"/>
    <w:rsid w:val="00901CFB"/>
    <w:rsid w:val="00902432"/>
    <w:rsid w:val="009025F0"/>
    <w:rsid w:val="009028B2"/>
    <w:rsid w:val="00903F13"/>
    <w:rsid w:val="0090419F"/>
    <w:rsid w:val="0090475C"/>
    <w:rsid w:val="00904D9A"/>
    <w:rsid w:val="009058BB"/>
    <w:rsid w:val="00905C45"/>
    <w:rsid w:val="0090699B"/>
    <w:rsid w:val="00906A0B"/>
    <w:rsid w:val="00906DA4"/>
    <w:rsid w:val="009077BB"/>
    <w:rsid w:val="00907DAE"/>
    <w:rsid w:val="00912400"/>
    <w:rsid w:val="00912BBD"/>
    <w:rsid w:val="009133FB"/>
    <w:rsid w:val="0091397E"/>
    <w:rsid w:val="009159EB"/>
    <w:rsid w:val="0091669A"/>
    <w:rsid w:val="00916F5B"/>
    <w:rsid w:val="0091744C"/>
    <w:rsid w:val="00920499"/>
    <w:rsid w:val="00920E9C"/>
    <w:rsid w:val="00925107"/>
    <w:rsid w:val="00925333"/>
    <w:rsid w:val="0092626F"/>
    <w:rsid w:val="009279D0"/>
    <w:rsid w:val="0093010C"/>
    <w:rsid w:val="0093174A"/>
    <w:rsid w:val="0093266F"/>
    <w:rsid w:val="00933550"/>
    <w:rsid w:val="00934343"/>
    <w:rsid w:val="0093490D"/>
    <w:rsid w:val="00935027"/>
    <w:rsid w:val="00936B13"/>
    <w:rsid w:val="009371B1"/>
    <w:rsid w:val="0093795E"/>
    <w:rsid w:val="0094066A"/>
    <w:rsid w:val="0094097B"/>
    <w:rsid w:val="00940C24"/>
    <w:rsid w:val="00941CFC"/>
    <w:rsid w:val="0094253E"/>
    <w:rsid w:val="0094342E"/>
    <w:rsid w:val="0094434A"/>
    <w:rsid w:val="009463C7"/>
    <w:rsid w:val="0094786E"/>
    <w:rsid w:val="0095119C"/>
    <w:rsid w:val="00952F01"/>
    <w:rsid w:val="00955192"/>
    <w:rsid w:val="009551A6"/>
    <w:rsid w:val="00955FC6"/>
    <w:rsid w:val="00955FDD"/>
    <w:rsid w:val="00960023"/>
    <w:rsid w:val="0096061C"/>
    <w:rsid w:val="00960BF3"/>
    <w:rsid w:val="00961830"/>
    <w:rsid w:val="00962E35"/>
    <w:rsid w:val="00965266"/>
    <w:rsid w:val="00965A03"/>
    <w:rsid w:val="00965E58"/>
    <w:rsid w:val="00966BA2"/>
    <w:rsid w:val="00967063"/>
    <w:rsid w:val="009701F0"/>
    <w:rsid w:val="0097023D"/>
    <w:rsid w:val="00970901"/>
    <w:rsid w:val="009722F6"/>
    <w:rsid w:val="00972CD2"/>
    <w:rsid w:val="009735E5"/>
    <w:rsid w:val="009759B6"/>
    <w:rsid w:val="009759ED"/>
    <w:rsid w:val="0097738E"/>
    <w:rsid w:val="00980C13"/>
    <w:rsid w:val="00980FB7"/>
    <w:rsid w:val="009812B1"/>
    <w:rsid w:val="00981FE0"/>
    <w:rsid w:val="009837D7"/>
    <w:rsid w:val="00984554"/>
    <w:rsid w:val="00986D4D"/>
    <w:rsid w:val="00986D92"/>
    <w:rsid w:val="00986E4F"/>
    <w:rsid w:val="00990108"/>
    <w:rsid w:val="00991E14"/>
    <w:rsid w:val="009936E9"/>
    <w:rsid w:val="0099415D"/>
    <w:rsid w:val="0099426B"/>
    <w:rsid w:val="00995A14"/>
    <w:rsid w:val="00995D94"/>
    <w:rsid w:val="00995E31"/>
    <w:rsid w:val="009963F7"/>
    <w:rsid w:val="009970B3"/>
    <w:rsid w:val="009975A9"/>
    <w:rsid w:val="00997D30"/>
    <w:rsid w:val="009A1618"/>
    <w:rsid w:val="009A1AE4"/>
    <w:rsid w:val="009A2DBB"/>
    <w:rsid w:val="009A3F0E"/>
    <w:rsid w:val="009A4999"/>
    <w:rsid w:val="009A6F32"/>
    <w:rsid w:val="009A71F2"/>
    <w:rsid w:val="009B021F"/>
    <w:rsid w:val="009B1832"/>
    <w:rsid w:val="009B3CB6"/>
    <w:rsid w:val="009B47BB"/>
    <w:rsid w:val="009B48A7"/>
    <w:rsid w:val="009B5E65"/>
    <w:rsid w:val="009B60D8"/>
    <w:rsid w:val="009B6744"/>
    <w:rsid w:val="009B6E30"/>
    <w:rsid w:val="009B7C26"/>
    <w:rsid w:val="009C08ED"/>
    <w:rsid w:val="009C2948"/>
    <w:rsid w:val="009C2F3E"/>
    <w:rsid w:val="009C2FB5"/>
    <w:rsid w:val="009C5FDC"/>
    <w:rsid w:val="009C66FC"/>
    <w:rsid w:val="009D0AD4"/>
    <w:rsid w:val="009D0F47"/>
    <w:rsid w:val="009D27E2"/>
    <w:rsid w:val="009D281E"/>
    <w:rsid w:val="009D400C"/>
    <w:rsid w:val="009D49E1"/>
    <w:rsid w:val="009D5DC8"/>
    <w:rsid w:val="009E08C7"/>
    <w:rsid w:val="009E10F3"/>
    <w:rsid w:val="009E253D"/>
    <w:rsid w:val="009E2C84"/>
    <w:rsid w:val="009E3969"/>
    <w:rsid w:val="009E436A"/>
    <w:rsid w:val="009E4C07"/>
    <w:rsid w:val="009E5F4A"/>
    <w:rsid w:val="009E619D"/>
    <w:rsid w:val="009E66CD"/>
    <w:rsid w:val="009E76FB"/>
    <w:rsid w:val="009E7905"/>
    <w:rsid w:val="009F0636"/>
    <w:rsid w:val="009F1FE3"/>
    <w:rsid w:val="009F308E"/>
    <w:rsid w:val="009F36AD"/>
    <w:rsid w:val="009F4681"/>
    <w:rsid w:val="009F5D63"/>
    <w:rsid w:val="009F678A"/>
    <w:rsid w:val="00A03262"/>
    <w:rsid w:val="00A04259"/>
    <w:rsid w:val="00A045DE"/>
    <w:rsid w:val="00A05C44"/>
    <w:rsid w:val="00A06AB7"/>
    <w:rsid w:val="00A07C7A"/>
    <w:rsid w:val="00A07CDA"/>
    <w:rsid w:val="00A100BD"/>
    <w:rsid w:val="00A12249"/>
    <w:rsid w:val="00A1233F"/>
    <w:rsid w:val="00A1464C"/>
    <w:rsid w:val="00A14D63"/>
    <w:rsid w:val="00A15448"/>
    <w:rsid w:val="00A161A1"/>
    <w:rsid w:val="00A16E93"/>
    <w:rsid w:val="00A17878"/>
    <w:rsid w:val="00A2177F"/>
    <w:rsid w:val="00A21FE3"/>
    <w:rsid w:val="00A2287F"/>
    <w:rsid w:val="00A22BAD"/>
    <w:rsid w:val="00A23529"/>
    <w:rsid w:val="00A23E6C"/>
    <w:rsid w:val="00A2577E"/>
    <w:rsid w:val="00A2784C"/>
    <w:rsid w:val="00A27F1B"/>
    <w:rsid w:val="00A3052E"/>
    <w:rsid w:val="00A30BFA"/>
    <w:rsid w:val="00A30CA5"/>
    <w:rsid w:val="00A30CFE"/>
    <w:rsid w:val="00A3334D"/>
    <w:rsid w:val="00A35DAC"/>
    <w:rsid w:val="00A36060"/>
    <w:rsid w:val="00A3798A"/>
    <w:rsid w:val="00A4022C"/>
    <w:rsid w:val="00A43265"/>
    <w:rsid w:val="00A435A7"/>
    <w:rsid w:val="00A43D1A"/>
    <w:rsid w:val="00A44789"/>
    <w:rsid w:val="00A44D62"/>
    <w:rsid w:val="00A45A74"/>
    <w:rsid w:val="00A514C5"/>
    <w:rsid w:val="00A51D45"/>
    <w:rsid w:val="00A52460"/>
    <w:rsid w:val="00A52FAC"/>
    <w:rsid w:val="00A52FF7"/>
    <w:rsid w:val="00A533A5"/>
    <w:rsid w:val="00A53E4A"/>
    <w:rsid w:val="00A54B2F"/>
    <w:rsid w:val="00A5519D"/>
    <w:rsid w:val="00A55D45"/>
    <w:rsid w:val="00A5716C"/>
    <w:rsid w:val="00A572F1"/>
    <w:rsid w:val="00A574EB"/>
    <w:rsid w:val="00A57FDE"/>
    <w:rsid w:val="00A60749"/>
    <w:rsid w:val="00A6084A"/>
    <w:rsid w:val="00A60D48"/>
    <w:rsid w:val="00A6242F"/>
    <w:rsid w:val="00A63881"/>
    <w:rsid w:val="00A648D0"/>
    <w:rsid w:val="00A64AEE"/>
    <w:rsid w:val="00A64E0F"/>
    <w:rsid w:val="00A65812"/>
    <w:rsid w:val="00A669AC"/>
    <w:rsid w:val="00A66AAA"/>
    <w:rsid w:val="00A66D79"/>
    <w:rsid w:val="00A67709"/>
    <w:rsid w:val="00A70039"/>
    <w:rsid w:val="00A71CD3"/>
    <w:rsid w:val="00A73485"/>
    <w:rsid w:val="00A742F3"/>
    <w:rsid w:val="00A75E6A"/>
    <w:rsid w:val="00A76942"/>
    <w:rsid w:val="00A76C37"/>
    <w:rsid w:val="00A76D14"/>
    <w:rsid w:val="00A76D56"/>
    <w:rsid w:val="00A77785"/>
    <w:rsid w:val="00A80296"/>
    <w:rsid w:val="00A80782"/>
    <w:rsid w:val="00A81547"/>
    <w:rsid w:val="00A82630"/>
    <w:rsid w:val="00A85805"/>
    <w:rsid w:val="00A85EE7"/>
    <w:rsid w:val="00A86C71"/>
    <w:rsid w:val="00A90F9D"/>
    <w:rsid w:val="00A9127C"/>
    <w:rsid w:val="00A91B9D"/>
    <w:rsid w:val="00A92106"/>
    <w:rsid w:val="00A94E6C"/>
    <w:rsid w:val="00A95E6C"/>
    <w:rsid w:val="00A964D4"/>
    <w:rsid w:val="00A96D47"/>
    <w:rsid w:val="00A96EB6"/>
    <w:rsid w:val="00A97F40"/>
    <w:rsid w:val="00AA09A7"/>
    <w:rsid w:val="00AA2274"/>
    <w:rsid w:val="00AA23CE"/>
    <w:rsid w:val="00AA2DE5"/>
    <w:rsid w:val="00AA3BE2"/>
    <w:rsid w:val="00AA4060"/>
    <w:rsid w:val="00AA4C6D"/>
    <w:rsid w:val="00AA6F6B"/>
    <w:rsid w:val="00AA78C5"/>
    <w:rsid w:val="00AA7CF9"/>
    <w:rsid w:val="00AB2297"/>
    <w:rsid w:val="00AB35A1"/>
    <w:rsid w:val="00AB56B9"/>
    <w:rsid w:val="00AB5DCD"/>
    <w:rsid w:val="00AB7228"/>
    <w:rsid w:val="00AB7BAE"/>
    <w:rsid w:val="00AC0B6C"/>
    <w:rsid w:val="00AC0FAC"/>
    <w:rsid w:val="00AC14E4"/>
    <w:rsid w:val="00AC17F8"/>
    <w:rsid w:val="00AC1BD5"/>
    <w:rsid w:val="00AC214F"/>
    <w:rsid w:val="00AC228B"/>
    <w:rsid w:val="00AC29DA"/>
    <w:rsid w:val="00AC31DD"/>
    <w:rsid w:val="00AC53D8"/>
    <w:rsid w:val="00AC5A9B"/>
    <w:rsid w:val="00AC7542"/>
    <w:rsid w:val="00AD0A9A"/>
    <w:rsid w:val="00AD0C46"/>
    <w:rsid w:val="00AD13B5"/>
    <w:rsid w:val="00AD1A9D"/>
    <w:rsid w:val="00AD1AD8"/>
    <w:rsid w:val="00AD1CF1"/>
    <w:rsid w:val="00AD3B4F"/>
    <w:rsid w:val="00AD3FFE"/>
    <w:rsid w:val="00AD4E42"/>
    <w:rsid w:val="00AD6E97"/>
    <w:rsid w:val="00AD7B9C"/>
    <w:rsid w:val="00AE15B6"/>
    <w:rsid w:val="00AE1BF2"/>
    <w:rsid w:val="00AE24FD"/>
    <w:rsid w:val="00AE3A08"/>
    <w:rsid w:val="00AE4B05"/>
    <w:rsid w:val="00AE546F"/>
    <w:rsid w:val="00AE58AB"/>
    <w:rsid w:val="00AE6CFC"/>
    <w:rsid w:val="00AE6D90"/>
    <w:rsid w:val="00AE6F09"/>
    <w:rsid w:val="00AE7809"/>
    <w:rsid w:val="00AF0252"/>
    <w:rsid w:val="00AF08D2"/>
    <w:rsid w:val="00AF1947"/>
    <w:rsid w:val="00AF1DEF"/>
    <w:rsid w:val="00AF2286"/>
    <w:rsid w:val="00AF2C43"/>
    <w:rsid w:val="00AF51CE"/>
    <w:rsid w:val="00AF60D8"/>
    <w:rsid w:val="00AF60DC"/>
    <w:rsid w:val="00AF6228"/>
    <w:rsid w:val="00AF66DF"/>
    <w:rsid w:val="00B00523"/>
    <w:rsid w:val="00B00630"/>
    <w:rsid w:val="00B0094F"/>
    <w:rsid w:val="00B0442E"/>
    <w:rsid w:val="00B06C5B"/>
    <w:rsid w:val="00B06D97"/>
    <w:rsid w:val="00B12916"/>
    <w:rsid w:val="00B1357E"/>
    <w:rsid w:val="00B13B73"/>
    <w:rsid w:val="00B141CB"/>
    <w:rsid w:val="00B149BB"/>
    <w:rsid w:val="00B155CC"/>
    <w:rsid w:val="00B17764"/>
    <w:rsid w:val="00B2142C"/>
    <w:rsid w:val="00B22C7B"/>
    <w:rsid w:val="00B258B4"/>
    <w:rsid w:val="00B25DE9"/>
    <w:rsid w:val="00B2766A"/>
    <w:rsid w:val="00B30A9F"/>
    <w:rsid w:val="00B30C1A"/>
    <w:rsid w:val="00B31D90"/>
    <w:rsid w:val="00B33AA6"/>
    <w:rsid w:val="00B340E9"/>
    <w:rsid w:val="00B358BE"/>
    <w:rsid w:val="00B3729C"/>
    <w:rsid w:val="00B3768B"/>
    <w:rsid w:val="00B413BB"/>
    <w:rsid w:val="00B4268D"/>
    <w:rsid w:val="00B42782"/>
    <w:rsid w:val="00B44DCD"/>
    <w:rsid w:val="00B4594C"/>
    <w:rsid w:val="00B46CEF"/>
    <w:rsid w:val="00B52394"/>
    <w:rsid w:val="00B53671"/>
    <w:rsid w:val="00B53861"/>
    <w:rsid w:val="00B54B6A"/>
    <w:rsid w:val="00B54E5F"/>
    <w:rsid w:val="00B552B3"/>
    <w:rsid w:val="00B55563"/>
    <w:rsid w:val="00B5622D"/>
    <w:rsid w:val="00B604DB"/>
    <w:rsid w:val="00B60FD0"/>
    <w:rsid w:val="00B6210A"/>
    <w:rsid w:val="00B63B6E"/>
    <w:rsid w:val="00B63C8A"/>
    <w:rsid w:val="00B641A8"/>
    <w:rsid w:val="00B64ECF"/>
    <w:rsid w:val="00B6524B"/>
    <w:rsid w:val="00B653EB"/>
    <w:rsid w:val="00B6587E"/>
    <w:rsid w:val="00B67944"/>
    <w:rsid w:val="00B67DBE"/>
    <w:rsid w:val="00B72E15"/>
    <w:rsid w:val="00B72F98"/>
    <w:rsid w:val="00B73878"/>
    <w:rsid w:val="00B73B71"/>
    <w:rsid w:val="00B73D14"/>
    <w:rsid w:val="00B746FB"/>
    <w:rsid w:val="00B74723"/>
    <w:rsid w:val="00B74DBB"/>
    <w:rsid w:val="00B764BE"/>
    <w:rsid w:val="00B7666E"/>
    <w:rsid w:val="00B7747B"/>
    <w:rsid w:val="00B8168D"/>
    <w:rsid w:val="00B822A4"/>
    <w:rsid w:val="00B83525"/>
    <w:rsid w:val="00B8452A"/>
    <w:rsid w:val="00B84FA6"/>
    <w:rsid w:val="00B851EC"/>
    <w:rsid w:val="00B86B1D"/>
    <w:rsid w:val="00B874E9"/>
    <w:rsid w:val="00B879A0"/>
    <w:rsid w:val="00B87DD9"/>
    <w:rsid w:val="00B910A4"/>
    <w:rsid w:val="00B92D22"/>
    <w:rsid w:val="00B92DC1"/>
    <w:rsid w:val="00B92E26"/>
    <w:rsid w:val="00B93045"/>
    <w:rsid w:val="00B951AC"/>
    <w:rsid w:val="00B965C7"/>
    <w:rsid w:val="00B977C3"/>
    <w:rsid w:val="00B97DDF"/>
    <w:rsid w:val="00BA0581"/>
    <w:rsid w:val="00BA1C8B"/>
    <w:rsid w:val="00BA28B6"/>
    <w:rsid w:val="00BA28D4"/>
    <w:rsid w:val="00BA2B4E"/>
    <w:rsid w:val="00BA2D9B"/>
    <w:rsid w:val="00BA3E09"/>
    <w:rsid w:val="00BA5A40"/>
    <w:rsid w:val="00BA63DF"/>
    <w:rsid w:val="00BA70C3"/>
    <w:rsid w:val="00BA7214"/>
    <w:rsid w:val="00BA7577"/>
    <w:rsid w:val="00BB00D3"/>
    <w:rsid w:val="00BB019F"/>
    <w:rsid w:val="00BB0FFD"/>
    <w:rsid w:val="00BB23E3"/>
    <w:rsid w:val="00BB2D67"/>
    <w:rsid w:val="00BB4612"/>
    <w:rsid w:val="00BB49AE"/>
    <w:rsid w:val="00BB6C00"/>
    <w:rsid w:val="00BB72F8"/>
    <w:rsid w:val="00BB7673"/>
    <w:rsid w:val="00BC0024"/>
    <w:rsid w:val="00BC0FAD"/>
    <w:rsid w:val="00BC1B02"/>
    <w:rsid w:val="00BC235C"/>
    <w:rsid w:val="00BC3597"/>
    <w:rsid w:val="00BC3A41"/>
    <w:rsid w:val="00BC3CF1"/>
    <w:rsid w:val="00BC4E3C"/>
    <w:rsid w:val="00BC4FB9"/>
    <w:rsid w:val="00BC68B9"/>
    <w:rsid w:val="00BC6AC9"/>
    <w:rsid w:val="00BC7855"/>
    <w:rsid w:val="00BD191C"/>
    <w:rsid w:val="00BD2E12"/>
    <w:rsid w:val="00BD2E6B"/>
    <w:rsid w:val="00BD3D52"/>
    <w:rsid w:val="00BD4C10"/>
    <w:rsid w:val="00BD4F3C"/>
    <w:rsid w:val="00BD5188"/>
    <w:rsid w:val="00BD56E1"/>
    <w:rsid w:val="00BD785C"/>
    <w:rsid w:val="00BE021F"/>
    <w:rsid w:val="00BE2169"/>
    <w:rsid w:val="00BE2CB4"/>
    <w:rsid w:val="00BE35D2"/>
    <w:rsid w:val="00BE4271"/>
    <w:rsid w:val="00BE7466"/>
    <w:rsid w:val="00BE76F9"/>
    <w:rsid w:val="00BE7C9A"/>
    <w:rsid w:val="00BF04C6"/>
    <w:rsid w:val="00BF11B8"/>
    <w:rsid w:val="00BF13FB"/>
    <w:rsid w:val="00BF22EE"/>
    <w:rsid w:val="00BF2819"/>
    <w:rsid w:val="00BF380E"/>
    <w:rsid w:val="00BF497B"/>
    <w:rsid w:val="00BF4A3A"/>
    <w:rsid w:val="00BF4C98"/>
    <w:rsid w:val="00BF578A"/>
    <w:rsid w:val="00BF6124"/>
    <w:rsid w:val="00BF77E2"/>
    <w:rsid w:val="00C013AA"/>
    <w:rsid w:val="00C03E5C"/>
    <w:rsid w:val="00C04B86"/>
    <w:rsid w:val="00C04C5A"/>
    <w:rsid w:val="00C06E4A"/>
    <w:rsid w:val="00C1268B"/>
    <w:rsid w:val="00C12BAA"/>
    <w:rsid w:val="00C1432F"/>
    <w:rsid w:val="00C15571"/>
    <w:rsid w:val="00C1758C"/>
    <w:rsid w:val="00C17DBD"/>
    <w:rsid w:val="00C20D73"/>
    <w:rsid w:val="00C224BB"/>
    <w:rsid w:val="00C246DD"/>
    <w:rsid w:val="00C24A02"/>
    <w:rsid w:val="00C26E47"/>
    <w:rsid w:val="00C27518"/>
    <w:rsid w:val="00C3029B"/>
    <w:rsid w:val="00C30321"/>
    <w:rsid w:val="00C32021"/>
    <w:rsid w:val="00C332D1"/>
    <w:rsid w:val="00C33AD4"/>
    <w:rsid w:val="00C34661"/>
    <w:rsid w:val="00C348B2"/>
    <w:rsid w:val="00C34BD6"/>
    <w:rsid w:val="00C34F4F"/>
    <w:rsid w:val="00C35D16"/>
    <w:rsid w:val="00C40003"/>
    <w:rsid w:val="00C40553"/>
    <w:rsid w:val="00C41323"/>
    <w:rsid w:val="00C416FE"/>
    <w:rsid w:val="00C422CC"/>
    <w:rsid w:val="00C42C0C"/>
    <w:rsid w:val="00C43772"/>
    <w:rsid w:val="00C4564D"/>
    <w:rsid w:val="00C45941"/>
    <w:rsid w:val="00C46E8D"/>
    <w:rsid w:val="00C47120"/>
    <w:rsid w:val="00C4774F"/>
    <w:rsid w:val="00C47E6A"/>
    <w:rsid w:val="00C50223"/>
    <w:rsid w:val="00C502A7"/>
    <w:rsid w:val="00C50F49"/>
    <w:rsid w:val="00C54E4F"/>
    <w:rsid w:val="00C5600C"/>
    <w:rsid w:val="00C5650F"/>
    <w:rsid w:val="00C56E88"/>
    <w:rsid w:val="00C61617"/>
    <w:rsid w:val="00C63047"/>
    <w:rsid w:val="00C63B99"/>
    <w:rsid w:val="00C64EC8"/>
    <w:rsid w:val="00C654F5"/>
    <w:rsid w:val="00C65C67"/>
    <w:rsid w:val="00C66409"/>
    <w:rsid w:val="00C678AA"/>
    <w:rsid w:val="00C703FB"/>
    <w:rsid w:val="00C71E29"/>
    <w:rsid w:val="00C73E4D"/>
    <w:rsid w:val="00C74E44"/>
    <w:rsid w:val="00C74E62"/>
    <w:rsid w:val="00C757DB"/>
    <w:rsid w:val="00C75A99"/>
    <w:rsid w:val="00C7655E"/>
    <w:rsid w:val="00C773ED"/>
    <w:rsid w:val="00C80E93"/>
    <w:rsid w:val="00C8147C"/>
    <w:rsid w:val="00C827BE"/>
    <w:rsid w:val="00C827F9"/>
    <w:rsid w:val="00C85F31"/>
    <w:rsid w:val="00C86E82"/>
    <w:rsid w:val="00C87494"/>
    <w:rsid w:val="00C92610"/>
    <w:rsid w:val="00C93FC6"/>
    <w:rsid w:val="00C94C12"/>
    <w:rsid w:val="00C95930"/>
    <w:rsid w:val="00C95A1D"/>
    <w:rsid w:val="00C972D7"/>
    <w:rsid w:val="00C975D8"/>
    <w:rsid w:val="00CA00A0"/>
    <w:rsid w:val="00CA0243"/>
    <w:rsid w:val="00CA030D"/>
    <w:rsid w:val="00CA1BDF"/>
    <w:rsid w:val="00CA2BFC"/>
    <w:rsid w:val="00CA41CE"/>
    <w:rsid w:val="00CA4C12"/>
    <w:rsid w:val="00CA555C"/>
    <w:rsid w:val="00CA5CE8"/>
    <w:rsid w:val="00CA5D2C"/>
    <w:rsid w:val="00CA65F4"/>
    <w:rsid w:val="00CA695D"/>
    <w:rsid w:val="00CB0BA8"/>
    <w:rsid w:val="00CB0FB2"/>
    <w:rsid w:val="00CB2B74"/>
    <w:rsid w:val="00CB39F6"/>
    <w:rsid w:val="00CB3CCC"/>
    <w:rsid w:val="00CB494F"/>
    <w:rsid w:val="00CB4BCA"/>
    <w:rsid w:val="00CC0615"/>
    <w:rsid w:val="00CC0FAE"/>
    <w:rsid w:val="00CC2F66"/>
    <w:rsid w:val="00CC447E"/>
    <w:rsid w:val="00CC4DE1"/>
    <w:rsid w:val="00CC5820"/>
    <w:rsid w:val="00CC696A"/>
    <w:rsid w:val="00CC797C"/>
    <w:rsid w:val="00CD37A8"/>
    <w:rsid w:val="00CD37BC"/>
    <w:rsid w:val="00CD5016"/>
    <w:rsid w:val="00CE092E"/>
    <w:rsid w:val="00CE428D"/>
    <w:rsid w:val="00CE6800"/>
    <w:rsid w:val="00CE685A"/>
    <w:rsid w:val="00CE6FF7"/>
    <w:rsid w:val="00CE76E8"/>
    <w:rsid w:val="00CF0458"/>
    <w:rsid w:val="00CF16CB"/>
    <w:rsid w:val="00CF1ABE"/>
    <w:rsid w:val="00CF2497"/>
    <w:rsid w:val="00CF3100"/>
    <w:rsid w:val="00CF32BF"/>
    <w:rsid w:val="00CF352B"/>
    <w:rsid w:val="00CF3878"/>
    <w:rsid w:val="00CF4BFC"/>
    <w:rsid w:val="00CF4D0E"/>
    <w:rsid w:val="00CF4D4F"/>
    <w:rsid w:val="00CF5FBE"/>
    <w:rsid w:val="00CF6A1A"/>
    <w:rsid w:val="00CF7EF7"/>
    <w:rsid w:val="00D00FFE"/>
    <w:rsid w:val="00D01847"/>
    <w:rsid w:val="00D02798"/>
    <w:rsid w:val="00D030BD"/>
    <w:rsid w:val="00D03344"/>
    <w:rsid w:val="00D037D5"/>
    <w:rsid w:val="00D053B9"/>
    <w:rsid w:val="00D059FA"/>
    <w:rsid w:val="00D05A7A"/>
    <w:rsid w:val="00D06370"/>
    <w:rsid w:val="00D06385"/>
    <w:rsid w:val="00D10429"/>
    <w:rsid w:val="00D10E8C"/>
    <w:rsid w:val="00D1199C"/>
    <w:rsid w:val="00D11CC7"/>
    <w:rsid w:val="00D139BE"/>
    <w:rsid w:val="00D147A5"/>
    <w:rsid w:val="00D159FA"/>
    <w:rsid w:val="00D2133B"/>
    <w:rsid w:val="00D21B86"/>
    <w:rsid w:val="00D21D5C"/>
    <w:rsid w:val="00D22102"/>
    <w:rsid w:val="00D2247B"/>
    <w:rsid w:val="00D22973"/>
    <w:rsid w:val="00D24B10"/>
    <w:rsid w:val="00D251CD"/>
    <w:rsid w:val="00D26538"/>
    <w:rsid w:val="00D26ADA"/>
    <w:rsid w:val="00D26CB2"/>
    <w:rsid w:val="00D26E53"/>
    <w:rsid w:val="00D26E81"/>
    <w:rsid w:val="00D27F5B"/>
    <w:rsid w:val="00D32E59"/>
    <w:rsid w:val="00D330D2"/>
    <w:rsid w:val="00D33F3F"/>
    <w:rsid w:val="00D34ACC"/>
    <w:rsid w:val="00D3525A"/>
    <w:rsid w:val="00D35A13"/>
    <w:rsid w:val="00D36A17"/>
    <w:rsid w:val="00D36D41"/>
    <w:rsid w:val="00D372A7"/>
    <w:rsid w:val="00D41D3A"/>
    <w:rsid w:val="00D421EE"/>
    <w:rsid w:val="00D42A8E"/>
    <w:rsid w:val="00D4387F"/>
    <w:rsid w:val="00D43C9B"/>
    <w:rsid w:val="00D5056D"/>
    <w:rsid w:val="00D534F9"/>
    <w:rsid w:val="00D53AE5"/>
    <w:rsid w:val="00D53D07"/>
    <w:rsid w:val="00D541C0"/>
    <w:rsid w:val="00D550A0"/>
    <w:rsid w:val="00D550A8"/>
    <w:rsid w:val="00D55A0F"/>
    <w:rsid w:val="00D57BB6"/>
    <w:rsid w:val="00D57D27"/>
    <w:rsid w:val="00D6108C"/>
    <w:rsid w:val="00D61F93"/>
    <w:rsid w:val="00D623C1"/>
    <w:rsid w:val="00D625D0"/>
    <w:rsid w:val="00D62C5F"/>
    <w:rsid w:val="00D62CFD"/>
    <w:rsid w:val="00D66389"/>
    <w:rsid w:val="00D66672"/>
    <w:rsid w:val="00D66E6E"/>
    <w:rsid w:val="00D70CFE"/>
    <w:rsid w:val="00D73D99"/>
    <w:rsid w:val="00D74A03"/>
    <w:rsid w:val="00D75346"/>
    <w:rsid w:val="00D753BC"/>
    <w:rsid w:val="00D80B68"/>
    <w:rsid w:val="00D814BB"/>
    <w:rsid w:val="00D81773"/>
    <w:rsid w:val="00D8292F"/>
    <w:rsid w:val="00D851A1"/>
    <w:rsid w:val="00D85C6F"/>
    <w:rsid w:val="00D900F2"/>
    <w:rsid w:val="00D90658"/>
    <w:rsid w:val="00D94BD8"/>
    <w:rsid w:val="00D96D52"/>
    <w:rsid w:val="00D975B9"/>
    <w:rsid w:val="00DA015B"/>
    <w:rsid w:val="00DA0AF7"/>
    <w:rsid w:val="00DA35E3"/>
    <w:rsid w:val="00DA5C46"/>
    <w:rsid w:val="00DA7372"/>
    <w:rsid w:val="00DB07B6"/>
    <w:rsid w:val="00DB0B74"/>
    <w:rsid w:val="00DB147F"/>
    <w:rsid w:val="00DB214E"/>
    <w:rsid w:val="00DB32FE"/>
    <w:rsid w:val="00DB40FA"/>
    <w:rsid w:val="00DB4FCB"/>
    <w:rsid w:val="00DB5B6E"/>
    <w:rsid w:val="00DB6E2B"/>
    <w:rsid w:val="00DB7137"/>
    <w:rsid w:val="00DB783C"/>
    <w:rsid w:val="00DB7859"/>
    <w:rsid w:val="00DC03F3"/>
    <w:rsid w:val="00DC237E"/>
    <w:rsid w:val="00DC2A2F"/>
    <w:rsid w:val="00DC2AA2"/>
    <w:rsid w:val="00DC2DB8"/>
    <w:rsid w:val="00DC38D9"/>
    <w:rsid w:val="00DC3C8E"/>
    <w:rsid w:val="00DC423C"/>
    <w:rsid w:val="00DC5D69"/>
    <w:rsid w:val="00DC7EE9"/>
    <w:rsid w:val="00DD0295"/>
    <w:rsid w:val="00DD0739"/>
    <w:rsid w:val="00DD0B41"/>
    <w:rsid w:val="00DD1AC0"/>
    <w:rsid w:val="00DD26F4"/>
    <w:rsid w:val="00DD3C8E"/>
    <w:rsid w:val="00DD4D0A"/>
    <w:rsid w:val="00DD503A"/>
    <w:rsid w:val="00DD5834"/>
    <w:rsid w:val="00DE005C"/>
    <w:rsid w:val="00DE00B7"/>
    <w:rsid w:val="00DE0758"/>
    <w:rsid w:val="00DE1338"/>
    <w:rsid w:val="00DE2491"/>
    <w:rsid w:val="00DE25E6"/>
    <w:rsid w:val="00DE2CD1"/>
    <w:rsid w:val="00DE2F0F"/>
    <w:rsid w:val="00DE3928"/>
    <w:rsid w:val="00DE3ED3"/>
    <w:rsid w:val="00DE4592"/>
    <w:rsid w:val="00DE4991"/>
    <w:rsid w:val="00DE4BCF"/>
    <w:rsid w:val="00DE66FA"/>
    <w:rsid w:val="00DE7E3F"/>
    <w:rsid w:val="00DF060C"/>
    <w:rsid w:val="00DF0A40"/>
    <w:rsid w:val="00DF0B52"/>
    <w:rsid w:val="00DF1F32"/>
    <w:rsid w:val="00DF46A4"/>
    <w:rsid w:val="00DF63A7"/>
    <w:rsid w:val="00E003BB"/>
    <w:rsid w:val="00E01C06"/>
    <w:rsid w:val="00E02D18"/>
    <w:rsid w:val="00E037DC"/>
    <w:rsid w:val="00E04DBC"/>
    <w:rsid w:val="00E10984"/>
    <w:rsid w:val="00E11CB3"/>
    <w:rsid w:val="00E129E4"/>
    <w:rsid w:val="00E12B66"/>
    <w:rsid w:val="00E1604D"/>
    <w:rsid w:val="00E16749"/>
    <w:rsid w:val="00E169FF"/>
    <w:rsid w:val="00E17384"/>
    <w:rsid w:val="00E17E04"/>
    <w:rsid w:val="00E17F9F"/>
    <w:rsid w:val="00E21C3B"/>
    <w:rsid w:val="00E24839"/>
    <w:rsid w:val="00E24FB9"/>
    <w:rsid w:val="00E24FFB"/>
    <w:rsid w:val="00E2552F"/>
    <w:rsid w:val="00E26B77"/>
    <w:rsid w:val="00E26E41"/>
    <w:rsid w:val="00E27E3C"/>
    <w:rsid w:val="00E30567"/>
    <w:rsid w:val="00E306E6"/>
    <w:rsid w:val="00E30DF4"/>
    <w:rsid w:val="00E32983"/>
    <w:rsid w:val="00E33EAA"/>
    <w:rsid w:val="00E353C5"/>
    <w:rsid w:val="00E357C1"/>
    <w:rsid w:val="00E405EB"/>
    <w:rsid w:val="00E428B8"/>
    <w:rsid w:val="00E43C1F"/>
    <w:rsid w:val="00E44294"/>
    <w:rsid w:val="00E4457B"/>
    <w:rsid w:val="00E44787"/>
    <w:rsid w:val="00E45632"/>
    <w:rsid w:val="00E51672"/>
    <w:rsid w:val="00E53242"/>
    <w:rsid w:val="00E539C0"/>
    <w:rsid w:val="00E53C44"/>
    <w:rsid w:val="00E5403D"/>
    <w:rsid w:val="00E540FD"/>
    <w:rsid w:val="00E5433A"/>
    <w:rsid w:val="00E550D5"/>
    <w:rsid w:val="00E5591D"/>
    <w:rsid w:val="00E564C9"/>
    <w:rsid w:val="00E56A18"/>
    <w:rsid w:val="00E56E86"/>
    <w:rsid w:val="00E5768A"/>
    <w:rsid w:val="00E579DB"/>
    <w:rsid w:val="00E57BE5"/>
    <w:rsid w:val="00E61762"/>
    <w:rsid w:val="00E61E30"/>
    <w:rsid w:val="00E626F5"/>
    <w:rsid w:val="00E62C03"/>
    <w:rsid w:val="00E62F81"/>
    <w:rsid w:val="00E63234"/>
    <w:rsid w:val="00E64A32"/>
    <w:rsid w:val="00E6610E"/>
    <w:rsid w:val="00E700A8"/>
    <w:rsid w:val="00E70F1A"/>
    <w:rsid w:val="00E71273"/>
    <w:rsid w:val="00E71364"/>
    <w:rsid w:val="00E724B2"/>
    <w:rsid w:val="00E72561"/>
    <w:rsid w:val="00E72D8B"/>
    <w:rsid w:val="00E731A7"/>
    <w:rsid w:val="00E74C0C"/>
    <w:rsid w:val="00E80BE7"/>
    <w:rsid w:val="00E812BB"/>
    <w:rsid w:val="00E82653"/>
    <w:rsid w:val="00E82F41"/>
    <w:rsid w:val="00E83339"/>
    <w:rsid w:val="00E8339D"/>
    <w:rsid w:val="00E8583D"/>
    <w:rsid w:val="00E860C6"/>
    <w:rsid w:val="00E87967"/>
    <w:rsid w:val="00E90015"/>
    <w:rsid w:val="00E90408"/>
    <w:rsid w:val="00E90BEE"/>
    <w:rsid w:val="00E91C77"/>
    <w:rsid w:val="00E92273"/>
    <w:rsid w:val="00E928FD"/>
    <w:rsid w:val="00E9354B"/>
    <w:rsid w:val="00E9416B"/>
    <w:rsid w:val="00E946F5"/>
    <w:rsid w:val="00E95AF9"/>
    <w:rsid w:val="00E95C39"/>
    <w:rsid w:val="00E961AD"/>
    <w:rsid w:val="00E965F5"/>
    <w:rsid w:val="00E96AC4"/>
    <w:rsid w:val="00E96BB5"/>
    <w:rsid w:val="00E96EBF"/>
    <w:rsid w:val="00E96F84"/>
    <w:rsid w:val="00E973EA"/>
    <w:rsid w:val="00EA132F"/>
    <w:rsid w:val="00EA2682"/>
    <w:rsid w:val="00EB01C7"/>
    <w:rsid w:val="00EB05AD"/>
    <w:rsid w:val="00EB0B9B"/>
    <w:rsid w:val="00EB2A59"/>
    <w:rsid w:val="00EB343A"/>
    <w:rsid w:val="00EB4260"/>
    <w:rsid w:val="00EB5A4D"/>
    <w:rsid w:val="00EC0360"/>
    <w:rsid w:val="00EC079D"/>
    <w:rsid w:val="00EC0DF5"/>
    <w:rsid w:val="00EC5EAB"/>
    <w:rsid w:val="00EC62B6"/>
    <w:rsid w:val="00EC7394"/>
    <w:rsid w:val="00EC7F08"/>
    <w:rsid w:val="00ED01C5"/>
    <w:rsid w:val="00ED113F"/>
    <w:rsid w:val="00ED2AFC"/>
    <w:rsid w:val="00ED45F2"/>
    <w:rsid w:val="00ED4715"/>
    <w:rsid w:val="00ED4926"/>
    <w:rsid w:val="00ED4E99"/>
    <w:rsid w:val="00EE1197"/>
    <w:rsid w:val="00EE30D4"/>
    <w:rsid w:val="00EE4002"/>
    <w:rsid w:val="00EE5DAD"/>
    <w:rsid w:val="00EE61EF"/>
    <w:rsid w:val="00EE6A86"/>
    <w:rsid w:val="00EF1618"/>
    <w:rsid w:val="00EF2AAB"/>
    <w:rsid w:val="00EF33E1"/>
    <w:rsid w:val="00EF46C7"/>
    <w:rsid w:val="00EF495C"/>
    <w:rsid w:val="00EF66B5"/>
    <w:rsid w:val="00EF718C"/>
    <w:rsid w:val="00F00083"/>
    <w:rsid w:val="00F00F9B"/>
    <w:rsid w:val="00F014F0"/>
    <w:rsid w:val="00F015C4"/>
    <w:rsid w:val="00F0177F"/>
    <w:rsid w:val="00F021B1"/>
    <w:rsid w:val="00F0383E"/>
    <w:rsid w:val="00F042AC"/>
    <w:rsid w:val="00F056A4"/>
    <w:rsid w:val="00F056DA"/>
    <w:rsid w:val="00F067C7"/>
    <w:rsid w:val="00F068AA"/>
    <w:rsid w:val="00F10312"/>
    <w:rsid w:val="00F10988"/>
    <w:rsid w:val="00F11218"/>
    <w:rsid w:val="00F11BAC"/>
    <w:rsid w:val="00F12346"/>
    <w:rsid w:val="00F1322D"/>
    <w:rsid w:val="00F15D61"/>
    <w:rsid w:val="00F166D6"/>
    <w:rsid w:val="00F17FF4"/>
    <w:rsid w:val="00F20647"/>
    <w:rsid w:val="00F207A0"/>
    <w:rsid w:val="00F215CE"/>
    <w:rsid w:val="00F22AE0"/>
    <w:rsid w:val="00F234B8"/>
    <w:rsid w:val="00F2352F"/>
    <w:rsid w:val="00F23663"/>
    <w:rsid w:val="00F2369C"/>
    <w:rsid w:val="00F2505F"/>
    <w:rsid w:val="00F27E2D"/>
    <w:rsid w:val="00F27F5E"/>
    <w:rsid w:val="00F33965"/>
    <w:rsid w:val="00F33F72"/>
    <w:rsid w:val="00F34086"/>
    <w:rsid w:val="00F34990"/>
    <w:rsid w:val="00F34FD5"/>
    <w:rsid w:val="00F355E1"/>
    <w:rsid w:val="00F35851"/>
    <w:rsid w:val="00F36832"/>
    <w:rsid w:val="00F36AAB"/>
    <w:rsid w:val="00F4010C"/>
    <w:rsid w:val="00F412E0"/>
    <w:rsid w:val="00F414BE"/>
    <w:rsid w:val="00F421A9"/>
    <w:rsid w:val="00F441A6"/>
    <w:rsid w:val="00F447A1"/>
    <w:rsid w:val="00F45023"/>
    <w:rsid w:val="00F458ED"/>
    <w:rsid w:val="00F502B1"/>
    <w:rsid w:val="00F50D23"/>
    <w:rsid w:val="00F52C70"/>
    <w:rsid w:val="00F537EC"/>
    <w:rsid w:val="00F53FA4"/>
    <w:rsid w:val="00F54B1E"/>
    <w:rsid w:val="00F562DF"/>
    <w:rsid w:val="00F5697E"/>
    <w:rsid w:val="00F61E4C"/>
    <w:rsid w:val="00F66E48"/>
    <w:rsid w:val="00F67DC1"/>
    <w:rsid w:val="00F7002E"/>
    <w:rsid w:val="00F70E09"/>
    <w:rsid w:val="00F71425"/>
    <w:rsid w:val="00F73CBC"/>
    <w:rsid w:val="00F7497A"/>
    <w:rsid w:val="00F77D18"/>
    <w:rsid w:val="00F81941"/>
    <w:rsid w:val="00F82024"/>
    <w:rsid w:val="00F82337"/>
    <w:rsid w:val="00F829AE"/>
    <w:rsid w:val="00F838CC"/>
    <w:rsid w:val="00F84FA0"/>
    <w:rsid w:val="00F9046D"/>
    <w:rsid w:val="00F925B9"/>
    <w:rsid w:val="00F929EC"/>
    <w:rsid w:val="00F92A76"/>
    <w:rsid w:val="00F95816"/>
    <w:rsid w:val="00F97BE2"/>
    <w:rsid w:val="00FA0BB5"/>
    <w:rsid w:val="00FA117C"/>
    <w:rsid w:val="00FA156F"/>
    <w:rsid w:val="00FA223B"/>
    <w:rsid w:val="00FA3076"/>
    <w:rsid w:val="00FA3CCA"/>
    <w:rsid w:val="00FA3DE5"/>
    <w:rsid w:val="00FA426B"/>
    <w:rsid w:val="00FA4A96"/>
    <w:rsid w:val="00FA6670"/>
    <w:rsid w:val="00FA6AC8"/>
    <w:rsid w:val="00FB0818"/>
    <w:rsid w:val="00FB1123"/>
    <w:rsid w:val="00FB1563"/>
    <w:rsid w:val="00FB16DF"/>
    <w:rsid w:val="00FB1CAF"/>
    <w:rsid w:val="00FB1ED7"/>
    <w:rsid w:val="00FB1F63"/>
    <w:rsid w:val="00FB47C8"/>
    <w:rsid w:val="00FB4ADE"/>
    <w:rsid w:val="00FB5345"/>
    <w:rsid w:val="00FB6254"/>
    <w:rsid w:val="00FB667A"/>
    <w:rsid w:val="00FB6704"/>
    <w:rsid w:val="00FB6C47"/>
    <w:rsid w:val="00FB74AE"/>
    <w:rsid w:val="00FC01CF"/>
    <w:rsid w:val="00FC0956"/>
    <w:rsid w:val="00FC0C29"/>
    <w:rsid w:val="00FC2F52"/>
    <w:rsid w:val="00FC4620"/>
    <w:rsid w:val="00FC4A36"/>
    <w:rsid w:val="00FC4CB4"/>
    <w:rsid w:val="00FC70F1"/>
    <w:rsid w:val="00FC73D7"/>
    <w:rsid w:val="00FC79FC"/>
    <w:rsid w:val="00FD1E9B"/>
    <w:rsid w:val="00FD39DC"/>
    <w:rsid w:val="00FD4C84"/>
    <w:rsid w:val="00FD4CD1"/>
    <w:rsid w:val="00FD691A"/>
    <w:rsid w:val="00FD6F11"/>
    <w:rsid w:val="00FD72FD"/>
    <w:rsid w:val="00FD7E85"/>
    <w:rsid w:val="00FE0F7C"/>
    <w:rsid w:val="00FE18B9"/>
    <w:rsid w:val="00FE1B4E"/>
    <w:rsid w:val="00FE1BE0"/>
    <w:rsid w:val="00FE26B3"/>
    <w:rsid w:val="00FE313E"/>
    <w:rsid w:val="00FE3276"/>
    <w:rsid w:val="00FE5782"/>
    <w:rsid w:val="00FE5818"/>
    <w:rsid w:val="00FE5FD1"/>
    <w:rsid w:val="00FF0005"/>
    <w:rsid w:val="00FF05A0"/>
    <w:rsid w:val="00FF3BEC"/>
    <w:rsid w:val="00FF4429"/>
    <w:rsid w:val="00FF5A70"/>
    <w:rsid w:val="00FF6387"/>
    <w:rsid w:val="00FF6ADA"/>
    <w:rsid w:val="00FF6E81"/>
    <w:rsid w:val="00FF7499"/>
    <w:rsid w:val="434B7942"/>
    <w:rsid w:val="7FD92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name="Message Header"/>
    <w:lsdException w:qFormat="1" w:unhideWhenUsed="0" w:uiPriority="0"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IE" w:eastAsia="zh-CN" w:bidi="ar-SA"/>
    </w:rPr>
  </w:style>
  <w:style w:type="paragraph" w:styleId="2">
    <w:name w:val="heading 1"/>
    <w:basedOn w:val="1"/>
    <w:next w:val="1"/>
    <w:link w:val="41"/>
    <w:qFormat/>
    <w:uiPriority w:val="0"/>
    <w:pPr>
      <w:keepNext/>
      <w:keepLines/>
      <w:widowControl w:val="0"/>
      <w:spacing w:before="340" w:after="330" w:line="576" w:lineRule="auto"/>
      <w:jc w:val="both"/>
      <w:outlineLvl w:val="0"/>
    </w:pPr>
    <w:rPr>
      <w:rFonts w:ascii="Times New Roman" w:hAnsi="Times New Roman"/>
      <w:b/>
      <w:bCs/>
      <w:kern w:val="44"/>
      <w:sz w:val="44"/>
      <w:szCs w:val="44"/>
    </w:rPr>
  </w:style>
  <w:style w:type="paragraph" w:styleId="3">
    <w:name w:val="heading 2"/>
    <w:basedOn w:val="1"/>
    <w:next w:val="1"/>
    <w:link w:val="42"/>
    <w:qFormat/>
    <w:uiPriority w:val="0"/>
    <w:pPr>
      <w:keepNext/>
      <w:keepLines/>
      <w:widowControl w:val="0"/>
      <w:spacing w:before="260" w:after="260" w:line="412" w:lineRule="auto"/>
      <w:jc w:val="both"/>
      <w:outlineLvl w:val="1"/>
    </w:pPr>
    <w:rPr>
      <w:rFonts w:ascii="Arial" w:hAnsi="Arial" w:eastAsia="黑体"/>
      <w:b/>
      <w:bCs/>
      <w:kern w:val="2"/>
      <w:sz w:val="32"/>
      <w:szCs w:val="32"/>
    </w:rPr>
  </w:style>
  <w:style w:type="paragraph" w:styleId="4">
    <w:name w:val="heading 3"/>
    <w:basedOn w:val="1"/>
    <w:next w:val="1"/>
    <w:link w:val="43"/>
    <w:qFormat/>
    <w:uiPriority w:val="0"/>
    <w:pPr>
      <w:keepNext/>
      <w:spacing w:before="240" w:after="60"/>
      <w:outlineLvl w:val="2"/>
    </w:pPr>
    <w:rPr>
      <w:rFonts w:ascii="Cambria" w:hAnsi="Cambria"/>
      <w:b/>
      <w:bCs/>
      <w:sz w:val="26"/>
      <w:szCs w:val="26"/>
    </w:rPr>
  </w:style>
  <w:style w:type="paragraph" w:styleId="5">
    <w:name w:val="heading 4"/>
    <w:basedOn w:val="1"/>
    <w:next w:val="1"/>
    <w:link w:val="44"/>
    <w:qFormat/>
    <w:uiPriority w:val="0"/>
    <w:pPr>
      <w:keepNext/>
      <w:spacing w:before="240" w:after="60"/>
      <w:outlineLvl w:val="3"/>
    </w:pPr>
    <w:rPr>
      <w:b/>
      <w:bCs/>
      <w:sz w:val="28"/>
      <w:szCs w:val="28"/>
    </w:rPr>
  </w:style>
  <w:style w:type="paragraph" w:styleId="6">
    <w:name w:val="heading 5"/>
    <w:basedOn w:val="1"/>
    <w:next w:val="1"/>
    <w:link w:val="45"/>
    <w:qFormat/>
    <w:uiPriority w:val="0"/>
    <w:pPr>
      <w:keepNext/>
      <w:keepLines/>
      <w:spacing w:before="200" w:after="0"/>
      <w:outlineLvl w:val="4"/>
    </w:pPr>
    <w:rPr>
      <w:rFonts w:ascii="Cambria" w:hAnsi="Cambria"/>
      <w:color w:val="243F60"/>
      <w:sz w:val="20"/>
      <w:szCs w:val="20"/>
    </w:rPr>
  </w:style>
  <w:style w:type="paragraph" w:styleId="7">
    <w:name w:val="heading 6"/>
    <w:basedOn w:val="1"/>
    <w:next w:val="1"/>
    <w:link w:val="46"/>
    <w:qFormat/>
    <w:uiPriority w:val="0"/>
    <w:pPr>
      <w:keepNext/>
      <w:keepLines/>
      <w:spacing w:before="200" w:after="0"/>
      <w:outlineLvl w:val="5"/>
    </w:pPr>
    <w:rPr>
      <w:rFonts w:ascii="Cambria" w:hAnsi="Cambria"/>
      <w:i/>
      <w:iCs/>
      <w:color w:val="243F60"/>
      <w:sz w:val="20"/>
      <w:szCs w:val="20"/>
    </w:rPr>
  </w:style>
  <w:style w:type="paragraph" w:styleId="8">
    <w:name w:val="heading 7"/>
    <w:basedOn w:val="1"/>
    <w:next w:val="1"/>
    <w:link w:val="47"/>
    <w:qFormat/>
    <w:uiPriority w:val="0"/>
    <w:pPr>
      <w:keepNext/>
      <w:keepLines/>
      <w:spacing w:before="200" w:after="0"/>
      <w:outlineLvl w:val="6"/>
    </w:pPr>
    <w:rPr>
      <w:rFonts w:ascii="Cambria" w:hAnsi="Cambria"/>
      <w:i/>
      <w:iCs/>
      <w:color w:val="404040"/>
      <w:sz w:val="20"/>
      <w:szCs w:val="20"/>
    </w:rPr>
  </w:style>
  <w:style w:type="paragraph" w:styleId="9">
    <w:name w:val="heading 8"/>
    <w:basedOn w:val="1"/>
    <w:next w:val="1"/>
    <w:link w:val="48"/>
    <w:qFormat/>
    <w:uiPriority w:val="0"/>
    <w:pPr>
      <w:keepNext/>
      <w:keepLines/>
      <w:spacing w:before="200" w:after="0"/>
      <w:outlineLvl w:val="7"/>
    </w:pPr>
    <w:rPr>
      <w:rFonts w:ascii="Cambria" w:hAnsi="Cambria"/>
      <w:color w:val="4F81BD"/>
      <w:sz w:val="20"/>
      <w:szCs w:val="20"/>
    </w:rPr>
  </w:style>
  <w:style w:type="paragraph" w:styleId="10">
    <w:name w:val="heading 9"/>
    <w:basedOn w:val="1"/>
    <w:next w:val="1"/>
    <w:link w:val="49"/>
    <w:qFormat/>
    <w:uiPriority w:val="0"/>
    <w:pPr>
      <w:keepNext/>
      <w:keepLines/>
      <w:spacing w:before="200" w:after="0"/>
      <w:outlineLvl w:val="8"/>
    </w:pPr>
    <w:rPr>
      <w:rFonts w:ascii="Cambria" w:hAnsi="Cambria"/>
      <w:i/>
      <w:iCs/>
      <w:color w:val="404040"/>
      <w:sz w:val="20"/>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line="240" w:lineRule="auto"/>
    </w:pPr>
    <w:rPr>
      <w:b/>
      <w:bCs/>
      <w:color w:val="4F81BD"/>
      <w:sz w:val="18"/>
      <w:szCs w:val="18"/>
      <w:lang w:val="en-US" w:eastAsia="en-US" w:bidi="en-US"/>
    </w:rPr>
  </w:style>
  <w:style w:type="paragraph" w:styleId="12">
    <w:name w:val="Document Map"/>
    <w:basedOn w:val="1"/>
    <w:link w:val="57"/>
    <w:semiHidden/>
    <w:qFormat/>
    <w:uiPriority w:val="0"/>
    <w:pPr>
      <w:shd w:val="clear" w:color="auto" w:fill="000080"/>
    </w:pPr>
  </w:style>
  <w:style w:type="paragraph" w:styleId="13">
    <w:name w:val="annotation text"/>
    <w:basedOn w:val="1"/>
    <w:link w:val="53"/>
    <w:unhideWhenUsed/>
    <w:qFormat/>
    <w:uiPriority w:val="99"/>
    <w:rPr>
      <w:sz w:val="20"/>
      <w:szCs w:val="20"/>
    </w:rPr>
  </w:style>
  <w:style w:type="paragraph" w:styleId="14">
    <w:name w:val="Body Text 3"/>
    <w:basedOn w:val="1"/>
    <w:link w:val="71"/>
    <w:semiHidden/>
    <w:unhideWhenUsed/>
    <w:qFormat/>
    <w:uiPriority w:val="0"/>
    <w:pPr>
      <w:widowControl w:val="0"/>
      <w:spacing w:after="0" w:line="360" w:lineRule="auto"/>
      <w:jc w:val="both"/>
    </w:pPr>
    <w:rPr>
      <w:rFonts w:ascii="Times New Roman" w:hAnsi="Times New Roman"/>
      <w:kern w:val="2"/>
      <w:sz w:val="18"/>
      <w:szCs w:val="24"/>
    </w:rPr>
  </w:style>
  <w:style w:type="paragraph" w:styleId="15">
    <w:name w:val="Body Text"/>
    <w:basedOn w:val="1"/>
    <w:link w:val="61"/>
    <w:unhideWhenUsed/>
    <w:qFormat/>
    <w:uiPriority w:val="0"/>
    <w:pPr>
      <w:widowControl w:val="0"/>
      <w:tabs>
        <w:tab w:val="left" w:pos="2415"/>
      </w:tabs>
      <w:spacing w:after="0" w:line="600" w:lineRule="exact"/>
      <w:jc w:val="both"/>
    </w:pPr>
    <w:rPr>
      <w:rFonts w:ascii="宋体" w:hAnsi="宋体"/>
      <w:sz w:val="28"/>
      <w:szCs w:val="28"/>
    </w:rPr>
  </w:style>
  <w:style w:type="paragraph" w:styleId="16">
    <w:name w:val="Body Text Indent"/>
    <w:basedOn w:val="1"/>
    <w:link w:val="63"/>
    <w:semiHidden/>
    <w:unhideWhenUsed/>
    <w:qFormat/>
    <w:uiPriority w:val="0"/>
    <w:pPr>
      <w:widowControl w:val="0"/>
      <w:spacing w:after="120" w:line="240" w:lineRule="auto"/>
      <w:ind w:left="420" w:leftChars="200"/>
      <w:jc w:val="both"/>
    </w:pPr>
    <w:rPr>
      <w:sz w:val="20"/>
      <w:szCs w:val="24"/>
    </w:rPr>
  </w:style>
  <w:style w:type="paragraph" w:styleId="17">
    <w:name w:val="toc 3"/>
    <w:basedOn w:val="1"/>
    <w:next w:val="1"/>
    <w:unhideWhenUsed/>
    <w:qFormat/>
    <w:uiPriority w:val="0"/>
    <w:pPr>
      <w:spacing w:after="100"/>
      <w:ind w:left="720" w:hanging="578"/>
    </w:pPr>
  </w:style>
  <w:style w:type="paragraph" w:styleId="18">
    <w:name w:val="Plain Text"/>
    <w:basedOn w:val="1"/>
    <w:link w:val="74"/>
    <w:unhideWhenUsed/>
    <w:qFormat/>
    <w:uiPriority w:val="0"/>
    <w:pPr>
      <w:widowControl w:val="0"/>
      <w:spacing w:after="0" w:line="240" w:lineRule="auto"/>
      <w:jc w:val="both"/>
    </w:pPr>
    <w:rPr>
      <w:rFonts w:ascii="宋体" w:hAnsi="Courier New"/>
      <w:sz w:val="20"/>
      <w:szCs w:val="21"/>
    </w:rPr>
  </w:style>
  <w:style w:type="paragraph" w:styleId="19">
    <w:name w:val="Date"/>
    <w:basedOn w:val="1"/>
    <w:next w:val="1"/>
    <w:link w:val="67"/>
    <w:semiHidden/>
    <w:unhideWhenUsed/>
    <w:qFormat/>
    <w:uiPriority w:val="0"/>
    <w:pPr>
      <w:widowControl w:val="0"/>
      <w:spacing w:after="0" w:line="240" w:lineRule="auto"/>
      <w:jc w:val="both"/>
    </w:pPr>
    <w:rPr>
      <w:rFonts w:ascii="Times New Roman" w:hAnsi="Times New Roman"/>
      <w:kern w:val="2"/>
      <w:sz w:val="21"/>
      <w:szCs w:val="20"/>
    </w:rPr>
  </w:style>
  <w:style w:type="paragraph" w:styleId="20">
    <w:name w:val="Body Text Indent 2"/>
    <w:basedOn w:val="1"/>
    <w:link w:val="72"/>
    <w:semiHidden/>
    <w:unhideWhenUsed/>
    <w:qFormat/>
    <w:uiPriority w:val="0"/>
    <w:pPr>
      <w:widowControl w:val="0"/>
      <w:spacing w:after="120" w:line="480" w:lineRule="auto"/>
      <w:ind w:left="420" w:leftChars="200"/>
      <w:jc w:val="both"/>
    </w:pPr>
    <w:rPr>
      <w:rFonts w:ascii="Times New Roman" w:hAnsi="Times New Roman"/>
      <w:kern w:val="2"/>
      <w:sz w:val="21"/>
      <w:szCs w:val="20"/>
    </w:rPr>
  </w:style>
  <w:style w:type="paragraph" w:styleId="21">
    <w:name w:val="Balloon Text"/>
    <w:basedOn w:val="1"/>
    <w:link w:val="54"/>
    <w:unhideWhenUsed/>
    <w:qFormat/>
    <w:uiPriority w:val="0"/>
    <w:pPr>
      <w:spacing w:after="0" w:line="240" w:lineRule="auto"/>
    </w:pPr>
    <w:rPr>
      <w:rFonts w:ascii="宋体"/>
      <w:sz w:val="18"/>
      <w:szCs w:val="18"/>
    </w:rPr>
  </w:style>
  <w:style w:type="paragraph" w:styleId="22">
    <w:name w:val="footer"/>
    <w:basedOn w:val="1"/>
    <w:link w:val="52"/>
    <w:unhideWhenUsed/>
    <w:qFormat/>
    <w:uiPriority w:val="0"/>
    <w:pPr>
      <w:tabs>
        <w:tab w:val="center" w:pos="4153"/>
        <w:tab w:val="right" w:pos="8306"/>
      </w:tabs>
      <w:spacing w:after="0" w:line="240" w:lineRule="auto"/>
    </w:pPr>
    <w:rPr>
      <w:sz w:val="20"/>
      <w:szCs w:val="20"/>
    </w:rPr>
  </w:style>
  <w:style w:type="paragraph" w:styleId="23">
    <w:name w:val="header"/>
    <w:basedOn w:val="1"/>
    <w:link w:val="51"/>
    <w:unhideWhenUsed/>
    <w:qFormat/>
    <w:uiPriority w:val="0"/>
    <w:pPr>
      <w:tabs>
        <w:tab w:val="center" w:pos="4153"/>
        <w:tab w:val="right" w:pos="8306"/>
      </w:tabs>
      <w:spacing w:after="0" w:line="240" w:lineRule="auto"/>
    </w:pPr>
    <w:rPr>
      <w:sz w:val="20"/>
      <w:szCs w:val="20"/>
    </w:rPr>
  </w:style>
  <w:style w:type="paragraph" w:styleId="24">
    <w:name w:val="toc 1"/>
    <w:basedOn w:val="1"/>
    <w:next w:val="25"/>
    <w:qFormat/>
    <w:uiPriority w:val="0"/>
    <w:pPr>
      <w:tabs>
        <w:tab w:val="right" w:leader="dot" w:pos="9072"/>
        <w:tab w:val="right" w:pos="9355"/>
      </w:tabs>
      <w:spacing w:before="240" w:after="0" w:line="240" w:lineRule="auto"/>
      <w:ind w:left="851" w:right="850" w:hanging="851"/>
      <w:jc w:val="both"/>
    </w:pPr>
    <w:rPr>
      <w:rFonts w:ascii="Arial" w:hAnsi="Arial"/>
      <w:caps/>
      <w:lang w:val="en-US"/>
    </w:rPr>
  </w:style>
  <w:style w:type="paragraph" w:styleId="25">
    <w:name w:val="toc 2"/>
    <w:basedOn w:val="24"/>
    <w:next w:val="17"/>
    <w:qFormat/>
    <w:uiPriority w:val="0"/>
    <w:pPr>
      <w:tabs>
        <w:tab w:val="right" w:pos="9072"/>
      </w:tabs>
      <w:spacing w:before="60"/>
      <w:ind w:right="851"/>
    </w:pPr>
    <w:rPr>
      <w:caps w:val="0"/>
    </w:rPr>
  </w:style>
  <w:style w:type="paragraph" w:styleId="26">
    <w:name w:val="Subtitle"/>
    <w:basedOn w:val="1"/>
    <w:next w:val="1"/>
    <w:link w:val="66"/>
    <w:qFormat/>
    <w:uiPriority w:val="0"/>
    <w:rPr>
      <w:rFonts w:ascii="Cambria" w:hAnsi="Cambria"/>
      <w:i/>
      <w:iCs/>
      <w:color w:val="4F81BD"/>
      <w:spacing w:val="15"/>
      <w:sz w:val="24"/>
      <w:szCs w:val="24"/>
    </w:rPr>
  </w:style>
  <w:style w:type="paragraph" w:styleId="27">
    <w:name w:val="footnote text"/>
    <w:basedOn w:val="1"/>
    <w:link w:val="151"/>
    <w:unhideWhenUsed/>
    <w:qFormat/>
    <w:uiPriority w:val="0"/>
    <w:pPr>
      <w:widowControl w:val="0"/>
      <w:spacing w:after="0" w:line="240" w:lineRule="auto"/>
      <w:jc w:val="both"/>
    </w:pPr>
    <w:rPr>
      <w:kern w:val="2"/>
      <w:sz w:val="20"/>
      <w:szCs w:val="20"/>
      <w:lang w:val="en-US"/>
    </w:rPr>
  </w:style>
  <w:style w:type="paragraph" w:styleId="28">
    <w:name w:val="Body Text Indent 3"/>
    <w:basedOn w:val="1"/>
    <w:link w:val="73"/>
    <w:semiHidden/>
    <w:unhideWhenUsed/>
    <w:qFormat/>
    <w:uiPriority w:val="0"/>
    <w:pPr>
      <w:widowControl w:val="0"/>
      <w:spacing w:after="120" w:line="240" w:lineRule="auto"/>
      <w:ind w:left="420" w:leftChars="200"/>
      <w:jc w:val="both"/>
    </w:pPr>
    <w:rPr>
      <w:rFonts w:ascii="Times New Roman" w:hAnsi="Times New Roman"/>
      <w:kern w:val="2"/>
      <w:sz w:val="16"/>
      <w:szCs w:val="16"/>
    </w:rPr>
  </w:style>
  <w:style w:type="paragraph" w:styleId="29">
    <w:name w:val="Body Text 2"/>
    <w:basedOn w:val="1"/>
    <w:link w:val="70"/>
    <w:semiHidden/>
    <w:unhideWhenUsed/>
    <w:qFormat/>
    <w:uiPriority w:val="0"/>
    <w:pPr>
      <w:widowControl w:val="0"/>
      <w:spacing w:before="120" w:after="120" w:line="240" w:lineRule="auto"/>
      <w:jc w:val="center"/>
    </w:pPr>
    <w:rPr>
      <w:rFonts w:ascii="Times New Roman" w:hAnsi="Times New Roman"/>
      <w:sz w:val="18"/>
      <w:szCs w:val="18"/>
    </w:rPr>
  </w:style>
  <w:style w:type="paragraph" w:styleId="30">
    <w:name w:val="Message Header"/>
    <w:basedOn w:val="1"/>
    <w:link w:val="65"/>
    <w:semiHidden/>
    <w:unhideWhenUsed/>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360" w:lineRule="auto"/>
      <w:ind w:left="1080" w:leftChars="500" w:hanging="1080" w:hangingChars="500"/>
      <w:jc w:val="both"/>
    </w:pPr>
    <w:rPr>
      <w:rFonts w:ascii="Arial" w:hAnsi="Arial"/>
      <w:kern w:val="2"/>
      <w:sz w:val="24"/>
      <w:szCs w:val="24"/>
    </w:rPr>
  </w:style>
  <w:style w:type="paragraph" w:styleId="31">
    <w:name w:val="Title"/>
    <w:basedOn w:val="1"/>
    <w:next w:val="1"/>
    <w:link w:val="60"/>
    <w:qFormat/>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2">
    <w:name w:val="annotation subject"/>
    <w:basedOn w:val="13"/>
    <w:next w:val="13"/>
    <w:link w:val="55"/>
    <w:unhideWhenUsed/>
    <w:qFormat/>
    <w:uiPriority w:val="0"/>
    <w:rPr>
      <w:b/>
      <w:bCs/>
      <w:sz w:val="22"/>
      <w:szCs w:val="22"/>
    </w:rPr>
  </w:style>
  <w:style w:type="paragraph" w:styleId="33">
    <w:name w:val="Body Text First Indent"/>
    <w:basedOn w:val="15"/>
    <w:link w:val="68"/>
    <w:semiHidden/>
    <w:unhideWhenUsed/>
    <w:qFormat/>
    <w:uiPriority w:val="0"/>
    <w:pPr>
      <w:widowControl/>
      <w:tabs>
        <w:tab w:val="clear" w:pos="2415"/>
      </w:tabs>
      <w:spacing w:after="120" w:line="360" w:lineRule="auto"/>
      <w:ind w:firstLine="420" w:firstLineChars="100"/>
    </w:pPr>
    <w:rPr>
      <w:rFonts w:ascii="Times New Roman" w:hAnsi="Times New Roman"/>
      <w:sz w:val="24"/>
      <w:szCs w:val="24"/>
    </w:rPr>
  </w:style>
  <w:style w:type="paragraph" w:styleId="34">
    <w:name w:val="Body Text First Indent 2"/>
    <w:basedOn w:val="16"/>
    <w:link w:val="69"/>
    <w:semiHidden/>
    <w:unhideWhenUsed/>
    <w:qFormat/>
    <w:uiPriority w:val="0"/>
    <w:pPr>
      <w:widowControl/>
      <w:spacing w:line="360" w:lineRule="auto"/>
      <w:ind w:firstLine="420" w:firstLineChars="200"/>
    </w:pPr>
    <w:rPr>
      <w:rFonts w:ascii="仿宋_GB2312" w:eastAsia="仿宋_GB2312"/>
      <w:sz w:val="24"/>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annotation reference"/>
    <w:unhideWhenUsed/>
    <w:qFormat/>
    <w:uiPriority w:val="99"/>
    <w:rPr>
      <w:sz w:val="16"/>
      <w:szCs w:val="16"/>
    </w:rPr>
  </w:style>
  <w:style w:type="character" w:styleId="40">
    <w:name w:val="footnote reference"/>
    <w:unhideWhenUsed/>
    <w:qFormat/>
    <w:uiPriority w:val="99"/>
    <w:rPr>
      <w:vertAlign w:val="superscript"/>
    </w:rPr>
  </w:style>
  <w:style w:type="character" w:customStyle="1" w:styleId="41">
    <w:name w:val="标题 1 Char"/>
    <w:link w:val="2"/>
    <w:qFormat/>
    <w:uiPriority w:val="0"/>
    <w:rPr>
      <w:rFonts w:ascii="Times New Roman" w:hAnsi="Times New Roman"/>
      <w:b/>
      <w:bCs/>
      <w:kern w:val="44"/>
      <w:sz w:val="44"/>
      <w:szCs w:val="44"/>
    </w:rPr>
  </w:style>
  <w:style w:type="character" w:customStyle="1" w:styleId="42">
    <w:name w:val="标题 2 Char"/>
    <w:link w:val="3"/>
    <w:qFormat/>
    <w:uiPriority w:val="0"/>
    <w:rPr>
      <w:rFonts w:ascii="Arial" w:hAnsi="Arial" w:eastAsia="黑体"/>
      <w:b/>
      <w:bCs/>
      <w:kern w:val="2"/>
      <w:sz w:val="32"/>
      <w:szCs w:val="32"/>
    </w:rPr>
  </w:style>
  <w:style w:type="character" w:customStyle="1" w:styleId="43">
    <w:name w:val="标题 3 Char"/>
    <w:link w:val="4"/>
    <w:qFormat/>
    <w:uiPriority w:val="0"/>
    <w:rPr>
      <w:rFonts w:ascii="Cambria" w:hAnsi="Cambria" w:eastAsia="宋体" w:cs="Times New Roman"/>
      <w:b/>
      <w:bCs/>
      <w:sz w:val="26"/>
      <w:szCs w:val="26"/>
      <w:lang w:val="en-IE"/>
    </w:rPr>
  </w:style>
  <w:style w:type="character" w:customStyle="1" w:styleId="44">
    <w:name w:val="标题 4 Char"/>
    <w:link w:val="5"/>
    <w:qFormat/>
    <w:uiPriority w:val="0"/>
    <w:rPr>
      <w:rFonts w:ascii="Calibri" w:hAnsi="Calibri" w:eastAsia="宋体" w:cs="Times New Roman"/>
      <w:b/>
      <w:bCs/>
      <w:sz w:val="28"/>
      <w:szCs w:val="28"/>
      <w:lang w:val="en-IE"/>
    </w:rPr>
  </w:style>
  <w:style w:type="character" w:customStyle="1" w:styleId="45">
    <w:name w:val="标题 5 Char"/>
    <w:link w:val="6"/>
    <w:qFormat/>
    <w:uiPriority w:val="0"/>
    <w:rPr>
      <w:rFonts w:ascii="Cambria" w:hAnsi="Cambria"/>
      <w:color w:val="243F60"/>
    </w:rPr>
  </w:style>
  <w:style w:type="character" w:customStyle="1" w:styleId="46">
    <w:name w:val="标题 6 Char"/>
    <w:link w:val="7"/>
    <w:qFormat/>
    <w:uiPriority w:val="0"/>
    <w:rPr>
      <w:rFonts w:ascii="Cambria" w:hAnsi="Cambria"/>
      <w:i/>
      <w:iCs/>
      <w:color w:val="243F60"/>
    </w:rPr>
  </w:style>
  <w:style w:type="character" w:customStyle="1" w:styleId="47">
    <w:name w:val="标题 7 Char"/>
    <w:link w:val="8"/>
    <w:qFormat/>
    <w:uiPriority w:val="0"/>
    <w:rPr>
      <w:rFonts w:ascii="Cambria" w:hAnsi="Cambria"/>
      <w:i/>
      <w:iCs/>
      <w:color w:val="404040"/>
    </w:rPr>
  </w:style>
  <w:style w:type="character" w:customStyle="1" w:styleId="48">
    <w:name w:val="标题 8 Char"/>
    <w:link w:val="9"/>
    <w:qFormat/>
    <w:uiPriority w:val="0"/>
    <w:rPr>
      <w:rFonts w:ascii="Cambria" w:hAnsi="Cambria"/>
      <w:color w:val="4F81BD"/>
    </w:rPr>
  </w:style>
  <w:style w:type="character" w:customStyle="1" w:styleId="49">
    <w:name w:val="标题 9 Char"/>
    <w:link w:val="10"/>
    <w:qFormat/>
    <w:uiPriority w:val="0"/>
    <w:rPr>
      <w:rFonts w:ascii="Cambria" w:hAnsi="Cambria"/>
      <w:i/>
      <w:iCs/>
      <w:color w:val="404040"/>
    </w:rPr>
  </w:style>
  <w:style w:type="paragraph" w:styleId="50">
    <w:name w:val="List Paragraph"/>
    <w:basedOn w:val="1"/>
    <w:qFormat/>
    <w:uiPriority w:val="34"/>
    <w:pPr>
      <w:ind w:left="720"/>
      <w:contextualSpacing/>
    </w:pPr>
  </w:style>
  <w:style w:type="character" w:customStyle="1" w:styleId="51">
    <w:name w:val="页眉 Char"/>
    <w:link w:val="23"/>
    <w:qFormat/>
    <w:uiPriority w:val="0"/>
    <w:rPr>
      <w:rFonts w:ascii="Calibri" w:hAnsi="Calibri" w:eastAsia="宋体" w:cs="Times New Roman"/>
      <w:lang w:val="en-IE"/>
    </w:rPr>
  </w:style>
  <w:style w:type="character" w:customStyle="1" w:styleId="52">
    <w:name w:val="页脚 Char"/>
    <w:link w:val="22"/>
    <w:qFormat/>
    <w:uiPriority w:val="0"/>
    <w:rPr>
      <w:rFonts w:ascii="Calibri" w:hAnsi="Calibri" w:eastAsia="宋体" w:cs="Times New Roman"/>
      <w:lang w:val="en-IE"/>
    </w:rPr>
  </w:style>
  <w:style w:type="character" w:customStyle="1" w:styleId="53">
    <w:name w:val="批注文字 Char"/>
    <w:link w:val="13"/>
    <w:qFormat/>
    <w:uiPriority w:val="99"/>
    <w:rPr>
      <w:rFonts w:ascii="Calibri" w:hAnsi="Calibri" w:eastAsia="宋体" w:cs="Times New Roman"/>
      <w:sz w:val="20"/>
      <w:szCs w:val="20"/>
      <w:lang w:val="en-IE"/>
    </w:rPr>
  </w:style>
  <w:style w:type="character" w:customStyle="1" w:styleId="54">
    <w:name w:val="批注框文本 Char"/>
    <w:link w:val="21"/>
    <w:qFormat/>
    <w:uiPriority w:val="0"/>
    <w:rPr>
      <w:rFonts w:ascii="宋体" w:hAnsi="Calibri" w:eastAsia="宋体" w:cs="Times New Roman"/>
      <w:sz w:val="18"/>
      <w:szCs w:val="18"/>
      <w:lang w:val="en-IE"/>
    </w:rPr>
  </w:style>
  <w:style w:type="character" w:customStyle="1" w:styleId="55">
    <w:name w:val="批注主题 Char"/>
    <w:link w:val="32"/>
    <w:qFormat/>
    <w:uiPriority w:val="0"/>
    <w:rPr>
      <w:rFonts w:ascii="Calibri" w:hAnsi="Calibri" w:eastAsia="宋体" w:cs="Times New Roman"/>
      <w:b/>
      <w:bCs/>
      <w:sz w:val="22"/>
      <w:szCs w:val="22"/>
      <w:lang w:val="en-IE"/>
    </w:rPr>
  </w:style>
  <w:style w:type="paragraph" w:customStyle="1" w:styleId="56">
    <w:name w:val="Revision"/>
    <w:hidden/>
    <w:qFormat/>
    <w:uiPriority w:val="99"/>
    <w:rPr>
      <w:rFonts w:ascii="Calibri" w:hAnsi="Calibri" w:eastAsia="宋体" w:cs="Times New Roman"/>
      <w:sz w:val="22"/>
      <w:szCs w:val="22"/>
      <w:lang w:val="en-IE" w:eastAsia="zh-CN" w:bidi="ar-SA"/>
    </w:rPr>
  </w:style>
  <w:style w:type="character" w:customStyle="1" w:styleId="57">
    <w:name w:val="文档结构图 Char"/>
    <w:link w:val="12"/>
    <w:semiHidden/>
    <w:qFormat/>
    <w:uiPriority w:val="0"/>
    <w:rPr>
      <w:sz w:val="22"/>
      <w:szCs w:val="22"/>
      <w:shd w:val="clear" w:color="auto" w:fill="000080"/>
      <w:lang w:val="en-IE"/>
    </w:rPr>
  </w:style>
  <w:style w:type="paragraph" w:customStyle="1" w:styleId="58">
    <w:name w:val="p0"/>
    <w:basedOn w:val="1"/>
    <w:qFormat/>
    <w:uiPriority w:val="0"/>
    <w:pPr>
      <w:spacing w:after="0" w:line="240" w:lineRule="auto"/>
      <w:jc w:val="both"/>
    </w:pPr>
    <w:rPr>
      <w:rFonts w:ascii="Times New Roman" w:hAnsi="Times New Roman"/>
      <w:sz w:val="21"/>
      <w:szCs w:val="21"/>
      <w:lang w:val="en-US"/>
    </w:rPr>
  </w:style>
  <w:style w:type="character" w:customStyle="1" w:styleId="59">
    <w:name w:val="标题 1 Char1"/>
    <w:qFormat/>
    <w:uiPriority w:val="0"/>
    <w:rPr>
      <w:b/>
      <w:bCs/>
      <w:kern w:val="44"/>
      <w:sz w:val="44"/>
      <w:szCs w:val="44"/>
    </w:rPr>
  </w:style>
  <w:style w:type="character" w:customStyle="1" w:styleId="60">
    <w:name w:val="标题 Char"/>
    <w:link w:val="31"/>
    <w:qFormat/>
    <w:uiPriority w:val="0"/>
    <w:rPr>
      <w:rFonts w:ascii="Cambria" w:hAnsi="Cambria"/>
      <w:color w:val="17365D"/>
      <w:spacing w:val="5"/>
      <w:kern w:val="28"/>
      <w:sz w:val="52"/>
      <w:szCs w:val="52"/>
    </w:rPr>
  </w:style>
  <w:style w:type="character" w:customStyle="1" w:styleId="61">
    <w:name w:val="正文文本 Char"/>
    <w:link w:val="15"/>
    <w:qFormat/>
    <w:locked/>
    <w:uiPriority w:val="0"/>
    <w:rPr>
      <w:rFonts w:ascii="宋体" w:hAnsi="宋体"/>
      <w:sz w:val="28"/>
      <w:szCs w:val="28"/>
    </w:rPr>
  </w:style>
  <w:style w:type="character" w:customStyle="1" w:styleId="62">
    <w:name w:val="正文文本 Char1"/>
    <w:semiHidden/>
    <w:qFormat/>
    <w:uiPriority w:val="0"/>
    <w:rPr>
      <w:sz w:val="22"/>
      <w:szCs w:val="22"/>
      <w:lang w:val="en-IE"/>
    </w:rPr>
  </w:style>
  <w:style w:type="character" w:customStyle="1" w:styleId="63">
    <w:name w:val="正文文本缩进 Char"/>
    <w:link w:val="16"/>
    <w:semiHidden/>
    <w:qFormat/>
    <w:locked/>
    <w:uiPriority w:val="0"/>
    <w:rPr>
      <w:szCs w:val="24"/>
    </w:rPr>
  </w:style>
  <w:style w:type="character" w:customStyle="1" w:styleId="64">
    <w:name w:val="正文文本缩进 Char1"/>
    <w:semiHidden/>
    <w:qFormat/>
    <w:uiPriority w:val="99"/>
    <w:rPr>
      <w:sz w:val="22"/>
      <w:szCs w:val="22"/>
      <w:lang w:val="en-IE"/>
    </w:rPr>
  </w:style>
  <w:style w:type="character" w:customStyle="1" w:styleId="65">
    <w:name w:val="信息标题 Char"/>
    <w:link w:val="30"/>
    <w:semiHidden/>
    <w:qFormat/>
    <w:uiPriority w:val="0"/>
    <w:rPr>
      <w:rFonts w:ascii="Arial" w:hAnsi="Arial"/>
      <w:kern w:val="2"/>
      <w:sz w:val="24"/>
      <w:szCs w:val="24"/>
      <w:shd w:val="pct20" w:color="auto" w:fill="auto"/>
    </w:rPr>
  </w:style>
  <w:style w:type="character" w:customStyle="1" w:styleId="66">
    <w:name w:val="副标题 Char"/>
    <w:link w:val="26"/>
    <w:qFormat/>
    <w:uiPriority w:val="0"/>
    <w:rPr>
      <w:rFonts w:ascii="Cambria" w:hAnsi="Cambria"/>
      <w:i/>
      <w:iCs/>
      <w:color w:val="4F81BD"/>
      <w:spacing w:val="15"/>
      <w:sz w:val="24"/>
      <w:szCs w:val="24"/>
    </w:rPr>
  </w:style>
  <w:style w:type="character" w:customStyle="1" w:styleId="67">
    <w:name w:val="日期 Char"/>
    <w:link w:val="19"/>
    <w:semiHidden/>
    <w:qFormat/>
    <w:uiPriority w:val="0"/>
    <w:rPr>
      <w:rFonts w:ascii="Times New Roman" w:hAnsi="Times New Roman"/>
      <w:kern w:val="2"/>
      <w:sz w:val="21"/>
    </w:rPr>
  </w:style>
  <w:style w:type="character" w:customStyle="1" w:styleId="68">
    <w:name w:val="正文首行缩进 Char"/>
    <w:link w:val="33"/>
    <w:semiHidden/>
    <w:qFormat/>
    <w:uiPriority w:val="0"/>
    <w:rPr>
      <w:rFonts w:ascii="Times New Roman" w:hAnsi="Times New Roman"/>
      <w:sz w:val="24"/>
      <w:szCs w:val="24"/>
      <w:lang w:val="en-IE"/>
    </w:rPr>
  </w:style>
  <w:style w:type="character" w:customStyle="1" w:styleId="69">
    <w:name w:val="正文首行缩进 2 Char"/>
    <w:link w:val="34"/>
    <w:semiHidden/>
    <w:qFormat/>
    <w:uiPriority w:val="0"/>
    <w:rPr>
      <w:rFonts w:ascii="仿宋_GB2312" w:eastAsia="仿宋_GB2312"/>
      <w:sz w:val="24"/>
      <w:szCs w:val="24"/>
      <w:lang w:val="en-IE"/>
    </w:rPr>
  </w:style>
  <w:style w:type="character" w:customStyle="1" w:styleId="70">
    <w:name w:val="正文文本 2 Char"/>
    <w:link w:val="29"/>
    <w:semiHidden/>
    <w:qFormat/>
    <w:uiPriority w:val="0"/>
    <w:rPr>
      <w:rFonts w:ascii="Times New Roman" w:hAnsi="Times New Roman"/>
      <w:sz w:val="18"/>
      <w:szCs w:val="18"/>
    </w:rPr>
  </w:style>
  <w:style w:type="character" w:customStyle="1" w:styleId="71">
    <w:name w:val="正文文本 3 Char"/>
    <w:link w:val="14"/>
    <w:semiHidden/>
    <w:qFormat/>
    <w:uiPriority w:val="0"/>
    <w:rPr>
      <w:rFonts w:ascii="Times New Roman" w:hAnsi="Times New Roman"/>
      <w:kern w:val="2"/>
      <w:sz w:val="18"/>
      <w:szCs w:val="24"/>
    </w:rPr>
  </w:style>
  <w:style w:type="character" w:customStyle="1" w:styleId="72">
    <w:name w:val="正文文本缩进 2 Char"/>
    <w:link w:val="20"/>
    <w:semiHidden/>
    <w:qFormat/>
    <w:uiPriority w:val="0"/>
    <w:rPr>
      <w:rFonts w:ascii="Times New Roman" w:hAnsi="Times New Roman"/>
      <w:kern w:val="2"/>
      <w:sz w:val="21"/>
    </w:rPr>
  </w:style>
  <w:style w:type="character" w:customStyle="1" w:styleId="73">
    <w:name w:val="正文文本缩进 3 Char"/>
    <w:link w:val="28"/>
    <w:semiHidden/>
    <w:qFormat/>
    <w:uiPriority w:val="0"/>
    <w:rPr>
      <w:rFonts w:ascii="Times New Roman" w:hAnsi="Times New Roman"/>
      <w:kern w:val="2"/>
      <w:sz w:val="16"/>
      <w:szCs w:val="16"/>
    </w:rPr>
  </w:style>
  <w:style w:type="character" w:customStyle="1" w:styleId="74">
    <w:name w:val="纯文本 Char"/>
    <w:link w:val="18"/>
    <w:qFormat/>
    <w:locked/>
    <w:uiPriority w:val="0"/>
    <w:rPr>
      <w:rFonts w:ascii="宋体" w:hAnsi="Courier New"/>
      <w:szCs w:val="21"/>
    </w:rPr>
  </w:style>
  <w:style w:type="character" w:customStyle="1" w:styleId="75">
    <w:name w:val="纯文本 Char1"/>
    <w:semiHidden/>
    <w:qFormat/>
    <w:uiPriority w:val="0"/>
    <w:rPr>
      <w:rFonts w:ascii="宋体" w:hAnsi="Courier New" w:cs="Courier New"/>
      <w:sz w:val="21"/>
      <w:szCs w:val="21"/>
      <w:lang w:val="en-IE"/>
    </w:rPr>
  </w:style>
  <w:style w:type="paragraph" w:styleId="76">
    <w:name w:val="No Spacing"/>
    <w:qFormat/>
    <w:uiPriority w:val="0"/>
    <w:rPr>
      <w:rFonts w:ascii="Calibri" w:hAnsi="Calibri" w:eastAsia="宋体" w:cs="Times New Roman"/>
      <w:sz w:val="22"/>
      <w:szCs w:val="22"/>
      <w:lang w:val="en-US" w:eastAsia="en-US" w:bidi="en-US"/>
    </w:rPr>
  </w:style>
  <w:style w:type="paragraph" w:styleId="77">
    <w:name w:val="Quote"/>
    <w:basedOn w:val="1"/>
    <w:next w:val="1"/>
    <w:link w:val="78"/>
    <w:qFormat/>
    <w:uiPriority w:val="0"/>
    <w:rPr>
      <w:i/>
      <w:iCs/>
      <w:color w:val="000000"/>
      <w:sz w:val="20"/>
      <w:szCs w:val="20"/>
    </w:rPr>
  </w:style>
  <w:style w:type="character" w:customStyle="1" w:styleId="78">
    <w:name w:val="引用 Char"/>
    <w:link w:val="77"/>
    <w:qFormat/>
    <w:uiPriority w:val="0"/>
    <w:rPr>
      <w:i/>
      <w:iCs/>
      <w:color w:val="000000"/>
    </w:rPr>
  </w:style>
  <w:style w:type="paragraph" w:styleId="79">
    <w:name w:val="Intense Quote"/>
    <w:basedOn w:val="1"/>
    <w:next w:val="1"/>
    <w:link w:val="80"/>
    <w:qFormat/>
    <w:uiPriority w:val="0"/>
    <w:pPr>
      <w:pBdr>
        <w:bottom w:val="single" w:color="4F81BD" w:sz="4" w:space="4"/>
      </w:pBdr>
      <w:spacing w:before="200" w:after="280"/>
      <w:ind w:left="936" w:right="936"/>
    </w:pPr>
    <w:rPr>
      <w:b/>
      <w:bCs/>
      <w:i/>
      <w:iCs/>
      <w:color w:val="4F81BD"/>
      <w:sz w:val="20"/>
      <w:szCs w:val="20"/>
    </w:rPr>
  </w:style>
  <w:style w:type="character" w:customStyle="1" w:styleId="80">
    <w:name w:val="明显引用 Char"/>
    <w:link w:val="79"/>
    <w:qFormat/>
    <w:uiPriority w:val="0"/>
    <w:rPr>
      <w:b/>
      <w:bCs/>
      <w:i/>
      <w:iCs/>
      <w:color w:val="4F81BD"/>
    </w:rPr>
  </w:style>
  <w:style w:type="paragraph" w:customStyle="1" w:styleId="81">
    <w:name w:val="TOC Heading"/>
    <w:basedOn w:val="2"/>
    <w:next w:val="1"/>
    <w:qFormat/>
    <w:uiPriority w:val="0"/>
    <w:pPr>
      <w:widowControl/>
      <w:spacing w:before="240" w:after="240" w:line="276" w:lineRule="auto"/>
      <w:jc w:val="left"/>
      <w:outlineLvl w:val="9"/>
    </w:pPr>
    <w:rPr>
      <w:kern w:val="0"/>
      <w:sz w:val="28"/>
      <w:szCs w:val="28"/>
    </w:rPr>
  </w:style>
  <w:style w:type="paragraph" w:customStyle="1" w:styleId="82">
    <w:name w:val="Char3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3">
    <w:name w:val="Char Char Char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4">
    <w:name w:val="默认段落字体 Para Char Char Char Char"/>
    <w:basedOn w:val="1"/>
    <w:qFormat/>
    <w:uiPriority w:val="0"/>
    <w:pPr>
      <w:widowControl w:val="0"/>
      <w:spacing w:after="0" w:line="240" w:lineRule="auto"/>
      <w:jc w:val="both"/>
    </w:pPr>
    <w:rPr>
      <w:rFonts w:ascii="Times New Roman" w:hAnsi="Times New Roman"/>
      <w:kern w:val="2"/>
      <w:sz w:val="32"/>
      <w:szCs w:val="32"/>
      <w:lang w:val="en-US"/>
    </w:rPr>
  </w:style>
  <w:style w:type="paragraph" w:customStyle="1" w:styleId="85">
    <w:name w:val="Char"/>
    <w:basedOn w:val="1"/>
    <w:qFormat/>
    <w:uiPriority w:val="0"/>
    <w:pPr>
      <w:spacing w:after="160" w:line="240" w:lineRule="exact"/>
    </w:pPr>
    <w:rPr>
      <w:rFonts w:ascii="Verdana" w:hAnsi="Verdana"/>
      <w:sz w:val="20"/>
      <w:szCs w:val="20"/>
      <w:lang w:val="en-US" w:eastAsia="en-US"/>
    </w:rPr>
  </w:style>
  <w:style w:type="paragraph" w:customStyle="1" w:styleId="86">
    <w:name w:val="Char Char16 Char Char Char Char Char Char Char Char Char Char Char Char1"/>
    <w:basedOn w:val="1"/>
    <w:qFormat/>
    <w:uiPriority w:val="0"/>
    <w:pPr>
      <w:widowControl w:val="0"/>
      <w:spacing w:after="0" w:line="240" w:lineRule="auto"/>
      <w:jc w:val="both"/>
    </w:pPr>
    <w:rPr>
      <w:rFonts w:ascii="Tahoma" w:hAnsi="Tahoma" w:cs="Tahoma"/>
      <w:kern w:val="2"/>
      <w:sz w:val="24"/>
      <w:szCs w:val="24"/>
      <w:lang w:val="en-US"/>
    </w:rPr>
  </w:style>
  <w:style w:type="paragraph" w:customStyle="1" w:styleId="87">
    <w:name w:val="font5"/>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88">
    <w:name w:val="font6"/>
    <w:basedOn w:val="1"/>
    <w:qFormat/>
    <w:uiPriority w:val="0"/>
    <w:pPr>
      <w:spacing w:before="100" w:beforeAutospacing="1" w:after="100" w:afterAutospacing="1" w:line="240" w:lineRule="auto"/>
    </w:pPr>
    <w:rPr>
      <w:rFonts w:ascii="仿宋_GB2312" w:hAnsi="宋体" w:eastAsia="仿宋_GB2312" w:cs="宋体"/>
      <w:sz w:val="20"/>
      <w:szCs w:val="20"/>
      <w:lang w:val="en-US"/>
    </w:rPr>
  </w:style>
  <w:style w:type="paragraph" w:customStyle="1" w:styleId="89">
    <w:name w:val="font7"/>
    <w:basedOn w:val="1"/>
    <w:qFormat/>
    <w:uiPriority w:val="0"/>
    <w:pPr>
      <w:spacing w:before="100" w:beforeAutospacing="1" w:after="100" w:afterAutospacing="1" w:line="240" w:lineRule="auto"/>
    </w:pPr>
    <w:rPr>
      <w:rFonts w:ascii="仿宋_GB2312" w:hAnsi="宋体" w:eastAsia="仿宋_GB2312" w:cs="宋体"/>
      <w:b/>
      <w:bCs/>
      <w:sz w:val="28"/>
      <w:szCs w:val="28"/>
      <w:lang w:val="en-US"/>
    </w:rPr>
  </w:style>
  <w:style w:type="paragraph" w:customStyle="1" w:styleId="90">
    <w:name w:val="font8"/>
    <w:basedOn w:val="1"/>
    <w:qFormat/>
    <w:uiPriority w:val="0"/>
    <w:pPr>
      <w:spacing w:before="100" w:beforeAutospacing="1" w:after="100" w:afterAutospacing="1" w:line="240" w:lineRule="auto"/>
    </w:pPr>
    <w:rPr>
      <w:rFonts w:ascii="Times New Roman" w:hAnsi="Times New Roman"/>
      <w:sz w:val="20"/>
      <w:szCs w:val="20"/>
      <w:lang w:val="en-US"/>
    </w:rPr>
  </w:style>
  <w:style w:type="paragraph" w:customStyle="1" w:styleId="91">
    <w:name w:val="font9"/>
    <w:basedOn w:val="1"/>
    <w:qFormat/>
    <w:uiPriority w:val="0"/>
    <w:pPr>
      <w:spacing w:before="100" w:beforeAutospacing="1" w:after="100" w:afterAutospacing="1" w:line="240" w:lineRule="auto"/>
    </w:pPr>
    <w:rPr>
      <w:rFonts w:ascii="仿宋_GB2312" w:hAnsi="宋体" w:eastAsia="仿宋_GB2312" w:cs="宋体"/>
      <w:color w:val="000000"/>
      <w:sz w:val="20"/>
      <w:szCs w:val="20"/>
      <w:lang w:val="en-US"/>
    </w:rPr>
  </w:style>
  <w:style w:type="paragraph" w:customStyle="1" w:styleId="92">
    <w:name w:val="font10"/>
    <w:basedOn w:val="1"/>
    <w:qFormat/>
    <w:uiPriority w:val="0"/>
    <w:pPr>
      <w:spacing w:before="100" w:beforeAutospacing="1" w:after="100" w:afterAutospacing="1" w:line="240" w:lineRule="auto"/>
    </w:pPr>
    <w:rPr>
      <w:rFonts w:ascii="Times New Roman" w:hAnsi="Times New Roman"/>
      <w:b/>
      <w:bCs/>
      <w:sz w:val="28"/>
      <w:szCs w:val="28"/>
      <w:lang w:val="en-US"/>
    </w:rPr>
  </w:style>
  <w:style w:type="paragraph" w:customStyle="1" w:styleId="93">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4">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9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7">
    <w:name w:val="xl71"/>
    <w:basedOn w:val="1"/>
    <w:qFormat/>
    <w:uiPriority w:val="0"/>
    <w:pPr>
      <w:spacing w:before="100" w:beforeAutospacing="1" w:after="100" w:afterAutospacing="1" w:line="240" w:lineRule="auto"/>
    </w:pPr>
    <w:rPr>
      <w:rFonts w:ascii="仿宋_GB2312" w:hAnsi="宋体" w:eastAsia="仿宋_GB2312" w:cs="宋体"/>
      <w:sz w:val="24"/>
      <w:szCs w:val="24"/>
      <w:lang w:val="en-US"/>
    </w:rPr>
  </w:style>
  <w:style w:type="paragraph" w:customStyle="1" w:styleId="9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0">
    <w:name w:val="font11"/>
    <w:basedOn w:val="1"/>
    <w:qFormat/>
    <w:uiPriority w:val="0"/>
    <w:pPr>
      <w:spacing w:before="100" w:beforeAutospacing="1" w:after="100" w:afterAutospacing="1" w:line="240" w:lineRule="auto"/>
    </w:pPr>
    <w:rPr>
      <w:rFonts w:ascii="Times New Roman" w:hAnsi="Times New Roman"/>
      <w:b/>
      <w:bCs/>
      <w:color w:val="000000"/>
      <w:sz w:val="24"/>
      <w:szCs w:val="24"/>
      <w:lang w:val="en-US"/>
    </w:rPr>
  </w:style>
  <w:style w:type="paragraph" w:customStyle="1" w:styleId="101">
    <w:name w:val="font12"/>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10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10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5">
    <w:name w:val="xl70"/>
    <w:basedOn w:val="1"/>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6">
    <w:name w:val="xl74"/>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7">
    <w:name w:val="xl7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8">
    <w:name w:val="xl76"/>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仿宋_GB2312" w:hAnsi="宋体" w:eastAsia="仿宋_GB2312" w:cs="宋体"/>
      <w:color w:val="000000"/>
      <w:sz w:val="20"/>
      <w:szCs w:val="20"/>
      <w:lang w:val="en-US"/>
    </w:rPr>
  </w:style>
  <w:style w:type="character" w:customStyle="1" w:styleId="109">
    <w:name w:val="标书正文格式 Char Char Char"/>
    <w:link w:val="110"/>
    <w:qFormat/>
    <w:locked/>
    <w:uiPriority w:val="0"/>
    <w:rPr>
      <w:rFonts w:ascii="楷体_GB2312" w:eastAsia="楷体_GB2312"/>
      <w:kern w:val="2"/>
      <w:sz w:val="24"/>
      <w:szCs w:val="22"/>
      <w:lang w:val="en-US" w:eastAsia="zh-CN" w:bidi="ar-SA"/>
    </w:rPr>
  </w:style>
  <w:style w:type="paragraph" w:customStyle="1" w:styleId="110">
    <w:name w:val="标书正文格式 Char Char"/>
    <w:link w:val="109"/>
    <w:qFormat/>
    <w:uiPriority w:val="0"/>
    <w:pPr>
      <w:spacing w:line="360" w:lineRule="auto"/>
      <w:ind w:firstLine="200" w:firstLineChars="200"/>
    </w:pPr>
    <w:rPr>
      <w:rFonts w:ascii="楷体_GB2312" w:hAnsi="Calibri" w:eastAsia="楷体_GB2312" w:cs="Times New Roman"/>
      <w:kern w:val="2"/>
      <w:sz w:val="24"/>
      <w:szCs w:val="22"/>
      <w:lang w:val="en-US" w:eastAsia="zh-CN" w:bidi="ar-SA"/>
    </w:rPr>
  </w:style>
  <w:style w:type="character" w:customStyle="1" w:styleId="111">
    <w:name w:val="段 Char"/>
    <w:link w:val="112"/>
    <w:qFormat/>
    <w:locked/>
    <w:uiPriority w:val="0"/>
    <w:rPr>
      <w:rFonts w:ascii="Arial" w:hAnsi="Arial" w:cs="Arial"/>
      <w:spacing w:val="20"/>
      <w:sz w:val="24"/>
    </w:rPr>
  </w:style>
  <w:style w:type="paragraph" w:customStyle="1" w:styleId="112">
    <w:name w:val="段"/>
    <w:basedOn w:val="1"/>
    <w:link w:val="111"/>
    <w:qFormat/>
    <w:uiPriority w:val="0"/>
    <w:pPr>
      <w:widowControl w:val="0"/>
      <w:spacing w:after="120" w:line="360" w:lineRule="auto"/>
      <w:ind w:firstLine="480" w:firstLineChars="200"/>
      <w:jc w:val="both"/>
    </w:pPr>
    <w:rPr>
      <w:rFonts w:ascii="Arial" w:hAnsi="Arial"/>
      <w:spacing w:val="20"/>
      <w:sz w:val="24"/>
      <w:szCs w:val="20"/>
    </w:rPr>
  </w:style>
  <w:style w:type="character" w:customStyle="1" w:styleId="113">
    <w:name w:val="样式 段 + 黑色 Char"/>
    <w:link w:val="114"/>
    <w:qFormat/>
    <w:locked/>
    <w:uiPriority w:val="0"/>
    <w:rPr>
      <w:rFonts w:ascii="Arial" w:hAnsi="Arial" w:cs="Arial"/>
      <w:color w:val="000000"/>
      <w:spacing w:val="20"/>
      <w:sz w:val="24"/>
    </w:rPr>
  </w:style>
  <w:style w:type="paragraph" w:customStyle="1" w:styleId="114">
    <w:name w:val="样式 段 + 黑色"/>
    <w:basedOn w:val="112"/>
    <w:link w:val="113"/>
    <w:qFormat/>
    <w:uiPriority w:val="0"/>
    <w:pPr>
      <w:spacing w:after="0"/>
      <w:ind w:firstLine="200"/>
    </w:pPr>
    <w:rPr>
      <w:color w:val="000000"/>
    </w:rPr>
  </w:style>
  <w:style w:type="paragraph" w:customStyle="1" w:styleId="115">
    <w:name w:val="样式 段 + 首行缩进:  2 字符"/>
    <w:basedOn w:val="112"/>
    <w:qFormat/>
    <w:uiPriority w:val="0"/>
    <w:pPr>
      <w:spacing w:after="0"/>
      <w:ind w:firstLine="560"/>
    </w:pPr>
    <w:rPr>
      <w:rFonts w:cs="宋体"/>
    </w:rPr>
  </w:style>
  <w:style w:type="character" w:customStyle="1" w:styleId="116">
    <w:name w:val="科东_正文 Char"/>
    <w:link w:val="117"/>
    <w:qFormat/>
    <w:locked/>
    <w:uiPriority w:val="0"/>
    <w:rPr>
      <w:sz w:val="24"/>
      <w:szCs w:val="24"/>
    </w:rPr>
  </w:style>
  <w:style w:type="paragraph" w:customStyle="1" w:styleId="117">
    <w:name w:val="科东_正文"/>
    <w:basedOn w:val="1"/>
    <w:link w:val="116"/>
    <w:qFormat/>
    <w:uiPriority w:val="0"/>
    <w:pPr>
      <w:widowControl w:val="0"/>
      <w:spacing w:after="0" w:line="360" w:lineRule="auto"/>
      <w:ind w:firstLine="200" w:firstLineChars="200"/>
      <w:jc w:val="both"/>
    </w:pPr>
    <w:rPr>
      <w:sz w:val="24"/>
      <w:szCs w:val="24"/>
    </w:rPr>
  </w:style>
  <w:style w:type="character" w:customStyle="1" w:styleId="118">
    <w:name w:val="文字 Char"/>
    <w:link w:val="119"/>
    <w:qFormat/>
    <w:locked/>
    <w:uiPriority w:val="0"/>
    <w:rPr>
      <w:rFonts w:ascii="宋体" w:hAnsi="宋体"/>
      <w:sz w:val="28"/>
    </w:rPr>
  </w:style>
  <w:style w:type="paragraph" w:customStyle="1" w:styleId="119">
    <w:name w:val="文字"/>
    <w:basedOn w:val="1"/>
    <w:link w:val="118"/>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0">
    <w:name w:val="bb Char"/>
    <w:link w:val="121"/>
    <w:qFormat/>
    <w:locked/>
    <w:uiPriority w:val="0"/>
    <w:rPr>
      <w:rFonts w:ascii="宋体" w:hAnsi="宋体"/>
      <w:b/>
      <w:color w:val="000000"/>
      <w:szCs w:val="21"/>
    </w:rPr>
  </w:style>
  <w:style w:type="paragraph" w:customStyle="1" w:styleId="121">
    <w:name w:val="bb"/>
    <w:basedOn w:val="4"/>
    <w:link w:val="120"/>
    <w:qFormat/>
    <w:uiPriority w:val="0"/>
    <w:pPr>
      <w:keepLines/>
      <w:widowControl w:val="0"/>
      <w:spacing w:before="260" w:after="260" w:line="240" w:lineRule="auto"/>
      <w:jc w:val="both"/>
    </w:pPr>
    <w:rPr>
      <w:rFonts w:ascii="宋体" w:hAnsi="宋体"/>
      <w:bCs w:val="0"/>
      <w:color w:val="000000"/>
      <w:sz w:val="20"/>
      <w:szCs w:val="21"/>
    </w:rPr>
  </w:style>
  <w:style w:type="character" w:customStyle="1" w:styleId="122">
    <w:name w:val="文字 Char Char Char Char"/>
    <w:link w:val="123"/>
    <w:qFormat/>
    <w:locked/>
    <w:uiPriority w:val="0"/>
    <w:rPr>
      <w:rFonts w:ascii="宋体" w:hAnsi="宋体"/>
      <w:sz w:val="28"/>
    </w:rPr>
  </w:style>
  <w:style w:type="paragraph" w:customStyle="1" w:styleId="123">
    <w:name w:val="文字 Char Char Char"/>
    <w:basedOn w:val="1"/>
    <w:link w:val="122"/>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4">
    <w:name w:val="aaa Char"/>
    <w:link w:val="125"/>
    <w:qFormat/>
    <w:locked/>
    <w:uiPriority w:val="0"/>
    <w:rPr>
      <w:sz w:val="28"/>
      <w:szCs w:val="84"/>
    </w:rPr>
  </w:style>
  <w:style w:type="paragraph" w:customStyle="1" w:styleId="125">
    <w:name w:val="aaa"/>
    <w:basedOn w:val="1"/>
    <w:link w:val="124"/>
    <w:qFormat/>
    <w:uiPriority w:val="0"/>
    <w:pPr>
      <w:widowControl w:val="0"/>
      <w:spacing w:after="0" w:line="360" w:lineRule="auto"/>
      <w:jc w:val="both"/>
    </w:pPr>
    <w:rPr>
      <w:sz w:val="28"/>
      <w:szCs w:val="84"/>
    </w:rPr>
  </w:style>
  <w:style w:type="paragraph" w:customStyle="1" w:styleId="126">
    <w:name w:val="样式 行距: 1.5 倍行距"/>
    <w:basedOn w:val="1"/>
    <w:qFormat/>
    <w:uiPriority w:val="0"/>
    <w:pPr>
      <w:widowControl w:val="0"/>
      <w:spacing w:after="0" w:line="360" w:lineRule="auto"/>
      <w:ind w:firstLine="480" w:firstLineChars="200"/>
    </w:pPr>
    <w:rPr>
      <w:rFonts w:ascii="宋体" w:hAnsi="宋体" w:cs="宋体"/>
      <w:sz w:val="24"/>
      <w:szCs w:val="20"/>
      <w:lang w:val="en-US"/>
    </w:rPr>
  </w:style>
  <w:style w:type="paragraph" w:customStyle="1" w:styleId="127">
    <w:name w:val="Char1 Char Char Char Char Char1 Char Char Char Char"/>
    <w:basedOn w:val="1"/>
    <w:qFormat/>
    <w:uiPriority w:val="0"/>
    <w:pPr>
      <w:widowControl w:val="0"/>
      <w:spacing w:after="0" w:line="240" w:lineRule="auto"/>
      <w:jc w:val="both"/>
    </w:pPr>
    <w:rPr>
      <w:rFonts w:ascii="Times New Roman" w:hAnsi="Times New Roman"/>
      <w:kern w:val="2"/>
      <w:sz w:val="21"/>
      <w:szCs w:val="24"/>
      <w:lang w:val="en-US"/>
    </w:rPr>
  </w:style>
  <w:style w:type="paragraph" w:customStyle="1" w:styleId="128">
    <w:name w:val="样式1"/>
    <w:basedOn w:val="5"/>
    <w:next w:val="1"/>
    <w:qFormat/>
    <w:uiPriority w:val="0"/>
    <w:pPr>
      <w:keepLines/>
      <w:widowControl w:val="0"/>
      <w:spacing w:beforeLines="50" w:afterLines="50" w:line="360" w:lineRule="auto"/>
      <w:jc w:val="both"/>
    </w:pPr>
    <w:rPr>
      <w:rFonts w:ascii="Arial" w:hAnsi="Arial" w:eastAsia="黑体"/>
      <w:b w:val="0"/>
      <w:bCs w:val="0"/>
      <w:kern w:val="2"/>
      <w:sz w:val="24"/>
      <w:lang w:val="en-US"/>
    </w:rPr>
  </w:style>
  <w:style w:type="paragraph" w:customStyle="1" w:styleId="129">
    <w:name w:val="样式5"/>
    <w:basedOn w:val="1"/>
    <w:qFormat/>
    <w:uiPriority w:val="0"/>
    <w:pPr>
      <w:autoSpaceDE w:val="0"/>
      <w:autoSpaceDN w:val="0"/>
      <w:adjustRightInd w:val="0"/>
      <w:spacing w:before="120" w:after="120" w:line="240" w:lineRule="atLeast"/>
    </w:pPr>
    <w:rPr>
      <w:rFonts w:ascii="宋体" w:hAnsi="Times New Roman"/>
      <w:spacing w:val="14"/>
      <w:sz w:val="20"/>
      <w:szCs w:val="20"/>
      <w:lang w:val="en-US"/>
    </w:rPr>
  </w:style>
  <w:style w:type="paragraph" w:customStyle="1" w:styleId="130">
    <w:name w:val="Char Char Char"/>
    <w:basedOn w:val="1"/>
    <w:qFormat/>
    <w:uiPriority w:val="0"/>
    <w:pPr>
      <w:widowControl w:val="0"/>
      <w:spacing w:after="0" w:line="240" w:lineRule="auto"/>
      <w:jc w:val="both"/>
    </w:pPr>
    <w:rPr>
      <w:rFonts w:ascii="Times New Roman" w:hAnsi="Times New Roman"/>
      <w:kern w:val="2"/>
      <w:sz w:val="24"/>
      <w:szCs w:val="24"/>
      <w:lang w:val="en-US"/>
    </w:rPr>
  </w:style>
  <w:style w:type="paragraph" w:customStyle="1" w:styleId="131">
    <w:name w:val="样式3"/>
    <w:basedOn w:val="1"/>
    <w:qFormat/>
    <w:uiPriority w:val="0"/>
    <w:pPr>
      <w:autoSpaceDE w:val="0"/>
      <w:autoSpaceDN w:val="0"/>
      <w:adjustRightInd w:val="0"/>
      <w:spacing w:before="120" w:after="120" w:line="260" w:lineRule="exact"/>
    </w:pPr>
    <w:rPr>
      <w:rFonts w:ascii="宋体" w:hAnsi="Times New Roman"/>
      <w:spacing w:val="12"/>
      <w:sz w:val="20"/>
      <w:szCs w:val="20"/>
      <w:lang w:val="en-US"/>
    </w:rPr>
  </w:style>
  <w:style w:type="paragraph" w:customStyle="1" w:styleId="132">
    <w:name w:val="标准"/>
    <w:basedOn w:val="1"/>
    <w:qFormat/>
    <w:uiPriority w:val="0"/>
    <w:pPr>
      <w:widowControl w:val="0"/>
      <w:adjustRightInd w:val="0"/>
      <w:spacing w:after="0" w:line="312" w:lineRule="atLeast"/>
      <w:jc w:val="center"/>
    </w:pPr>
    <w:rPr>
      <w:rFonts w:ascii="Times New Roman" w:hAnsi="Times New Roman"/>
      <w:sz w:val="21"/>
      <w:szCs w:val="21"/>
      <w:lang w:val="en-US"/>
    </w:rPr>
  </w:style>
  <w:style w:type="character" w:customStyle="1" w:styleId="133">
    <w:name w:val="Subtle Emphasis"/>
    <w:qFormat/>
    <w:uiPriority w:val="0"/>
    <w:rPr>
      <w:i/>
      <w:iCs/>
      <w:color w:val="808080"/>
    </w:rPr>
  </w:style>
  <w:style w:type="character" w:customStyle="1" w:styleId="134">
    <w:name w:val="Intense Emphasis"/>
    <w:qFormat/>
    <w:uiPriority w:val="0"/>
    <w:rPr>
      <w:b/>
      <w:bCs/>
      <w:i/>
      <w:iCs/>
      <w:color w:val="4F81BD"/>
    </w:rPr>
  </w:style>
  <w:style w:type="character" w:customStyle="1" w:styleId="135">
    <w:name w:val="Subtle Reference"/>
    <w:qFormat/>
    <w:uiPriority w:val="0"/>
    <w:rPr>
      <w:smallCaps/>
      <w:color w:val="C0504D"/>
      <w:u w:val="single"/>
    </w:rPr>
  </w:style>
  <w:style w:type="character" w:customStyle="1" w:styleId="136">
    <w:name w:val="Intense Reference"/>
    <w:qFormat/>
    <w:uiPriority w:val="0"/>
    <w:rPr>
      <w:b/>
      <w:bCs/>
      <w:smallCaps/>
      <w:color w:val="C0504D"/>
      <w:spacing w:val="5"/>
      <w:u w:val="single"/>
    </w:rPr>
  </w:style>
  <w:style w:type="character" w:customStyle="1" w:styleId="137">
    <w:name w:val="Book Title"/>
    <w:qFormat/>
    <w:uiPriority w:val="0"/>
    <w:rPr>
      <w:b/>
      <w:bCs/>
      <w:smallCaps/>
      <w:spacing w:val="5"/>
    </w:rPr>
  </w:style>
  <w:style w:type="character" w:customStyle="1" w:styleId="138">
    <w:name w:val="Char Char17"/>
    <w:qFormat/>
    <w:uiPriority w:val="0"/>
    <w:rPr>
      <w:rFonts w:hint="default" w:ascii="Times New Roman" w:hAnsi="Times New Roman" w:eastAsia="宋体" w:cs="Times New Roman"/>
      <w:b/>
      <w:bCs/>
      <w:sz w:val="24"/>
      <w:szCs w:val="26"/>
    </w:rPr>
  </w:style>
  <w:style w:type="character" w:customStyle="1" w:styleId="139">
    <w:name w:val="Char Char16"/>
    <w:qFormat/>
    <w:uiPriority w:val="0"/>
    <w:rPr>
      <w:rFonts w:hint="default" w:ascii="Cambria" w:hAnsi="Cambria" w:eastAsia="宋体" w:cs="Times New Roman"/>
      <w:b/>
      <w:bCs/>
      <w:color w:val="000000"/>
    </w:rPr>
  </w:style>
  <w:style w:type="character" w:customStyle="1" w:styleId="140">
    <w:name w:val="Char Char15"/>
    <w:qFormat/>
    <w:uiPriority w:val="0"/>
    <w:rPr>
      <w:rFonts w:hint="default" w:ascii="Cambria" w:hAnsi="Cambria" w:eastAsia="宋体" w:cs="Times New Roman"/>
      <w:b/>
      <w:bCs/>
      <w:i/>
      <w:iCs/>
      <w:color w:val="4F81BD"/>
    </w:rPr>
  </w:style>
  <w:style w:type="character" w:customStyle="1" w:styleId="141">
    <w:name w:val="red12"/>
    <w:basedOn w:val="37"/>
    <w:qFormat/>
    <w:uiPriority w:val="0"/>
  </w:style>
  <w:style w:type="character" w:customStyle="1" w:styleId="142">
    <w:name w:val="z-窗体顶端 Char"/>
    <w:link w:val="143"/>
    <w:semiHidden/>
    <w:qFormat/>
    <w:uiPriority w:val="0"/>
    <w:rPr>
      <w:rFonts w:ascii="Arial" w:hAnsi="Arial" w:cs="Arial"/>
      <w:vanish/>
      <w:kern w:val="2"/>
      <w:sz w:val="16"/>
      <w:szCs w:val="16"/>
    </w:rPr>
  </w:style>
  <w:style w:type="paragraph" w:customStyle="1" w:styleId="143">
    <w:name w:val="HTML Top of Form"/>
    <w:basedOn w:val="1"/>
    <w:next w:val="1"/>
    <w:link w:val="142"/>
    <w:semiHidden/>
    <w:unhideWhenUsed/>
    <w:qFormat/>
    <w:uiPriority w:val="0"/>
    <w:pPr>
      <w:widowControl w:val="0"/>
      <w:pBdr>
        <w:bottom w:val="single" w:color="auto" w:sz="6" w:space="1"/>
      </w:pBdr>
      <w:spacing w:after="0" w:line="240" w:lineRule="auto"/>
      <w:jc w:val="center"/>
    </w:pPr>
    <w:rPr>
      <w:rFonts w:ascii="Arial" w:hAnsi="Arial"/>
      <w:vanish/>
      <w:kern w:val="2"/>
      <w:sz w:val="16"/>
      <w:szCs w:val="16"/>
    </w:rPr>
  </w:style>
  <w:style w:type="character" w:customStyle="1" w:styleId="144">
    <w:name w:val="z-窗体底端 Char"/>
    <w:link w:val="145"/>
    <w:semiHidden/>
    <w:qFormat/>
    <w:uiPriority w:val="0"/>
    <w:rPr>
      <w:rFonts w:ascii="Arial" w:hAnsi="Arial" w:cs="Arial"/>
      <w:vanish/>
      <w:kern w:val="2"/>
      <w:sz w:val="16"/>
      <w:szCs w:val="16"/>
    </w:rPr>
  </w:style>
  <w:style w:type="paragraph" w:customStyle="1" w:styleId="145">
    <w:name w:val="HTML Bottom of Form"/>
    <w:basedOn w:val="1"/>
    <w:next w:val="1"/>
    <w:link w:val="144"/>
    <w:semiHidden/>
    <w:unhideWhenUsed/>
    <w:qFormat/>
    <w:uiPriority w:val="0"/>
    <w:pPr>
      <w:widowControl w:val="0"/>
      <w:pBdr>
        <w:top w:val="single" w:color="auto" w:sz="6" w:space="1"/>
      </w:pBdr>
      <w:spacing w:after="0" w:line="240" w:lineRule="auto"/>
      <w:jc w:val="center"/>
    </w:pPr>
    <w:rPr>
      <w:rFonts w:ascii="Arial" w:hAnsi="Arial"/>
      <w:vanish/>
      <w:kern w:val="2"/>
      <w:sz w:val="16"/>
      <w:szCs w:val="16"/>
    </w:rPr>
  </w:style>
  <w:style w:type="paragraph" w:customStyle="1" w:styleId="146">
    <w:name w:val="列表 a）"/>
    <w:basedOn w:val="112"/>
    <w:qFormat/>
    <w:uiPriority w:val="0"/>
    <w:pPr>
      <w:tabs>
        <w:tab w:val="left" w:pos="360"/>
        <w:tab w:val="left" w:pos="420"/>
      </w:tabs>
      <w:spacing w:line="240" w:lineRule="auto"/>
      <w:ind w:left="420" w:hanging="420" w:firstLineChars="0"/>
    </w:pPr>
    <w:rPr>
      <w:rFonts w:ascii="Times New Roman" w:hAnsi="Times New Roman"/>
      <w:sz w:val="18"/>
    </w:rPr>
  </w:style>
  <w:style w:type="paragraph" w:customStyle="1" w:styleId="1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8">
    <w:name w:val="p16"/>
    <w:basedOn w:val="1"/>
    <w:qFormat/>
    <w:uiPriority w:val="0"/>
    <w:pPr>
      <w:spacing w:before="156" w:after="0" w:line="240" w:lineRule="auto"/>
      <w:jc w:val="both"/>
    </w:pPr>
    <w:rPr>
      <w:rFonts w:cs="宋体"/>
      <w:sz w:val="21"/>
      <w:szCs w:val="21"/>
      <w:lang w:val="en-US"/>
    </w:rPr>
  </w:style>
  <w:style w:type="paragraph" w:customStyle="1" w:styleId="149">
    <w:name w:val="p17"/>
    <w:basedOn w:val="1"/>
    <w:qFormat/>
    <w:uiPriority w:val="0"/>
    <w:pPr>
      <w:spacing w:before="240" w:after="0" w:line="240" w:lineRule="auto"/>
      <w:ind w:left="851" w:right="850" w:hanging="851"/>
      <w:jc w:val="both"/>
    </w:pPr>
    <w:rPr>
      <w:rFonts w:ascii="Arial" w:hAnsi="Arial" w:cs="Arial"/>
      <w:caps/>
      <w:lang w:val="en-US"/>
    </w:rPr>
  </w:style>
  <w:style w:type="paragraph" w:customStyle="1" w:styleId="150">
    <w:name w:val="p20"/>
    <w:basedOn w:val="1"/>
    <w:qFormat/>
    <w:uiPriority w:val="0"/>
    <w:pPr>
      <w:spacing w:line="273" w:lineRule="auto"/>
      <w:ind w:left="720"/>
    </w:pPr>
    <w:rPr>
      <w:rFonts w:cs="宋体"/>
      <w:lang w:val="en-US"/>
    </w:rPr>
  </w:style>
  <w:style w:type="character" w:customStyle="1" w:styleId="151">
    <w:name w:val="脚注文本 Char"/>
    <w:basedOn w:val="37"/>
    <w:link w:val="27"/>
    <w:qFormat/>
    <w:uiPriority w:val="0"/>
    <w:rPr>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14797</c:v>
                </c:pt>
                <c:pt idx="1">
                  <c:v>16643</c:v>
                </c:pt>
                <c:pt idx="2">
                  <c:v>17000</c:v>
                </c:pt>
                <c:pt idx="3">
                  <c:v>18100</c:v>
                </c:pt>
              </c:numCache>
            </c:numRef>
          </c:val>
          <c:smooth val="0"/>
        </c:ser>
        <c:dLbls>
          <c:showLegendKey val="0"/>
          <c:showVal val="0"/>
          <c:showCatName val="0"/>
          <c:showSerName val="0"/>
          <c:showPercent val="0"/>
          <c:showBubbleSize val="0"/>
        </c:dLbls>
        <c:marker val="0"/>
        <c:smooth val="0"/>
        <c:axId val="50078464"/>
        <c:axId val="50080000"/>
      </c:lineChart>
      <c:catAx>
        <c:axId val="5007846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0080000"/>
        <c:crosses val="autoZero"/>
        <c:auto val="1"/>
        <c:lblAlgn val="ctr"/>
        <c:lblOffset val="100"/>
        <c:noMultiLvlLbl val="0"/>
      </c:catAx>
      <c:valAx>
        <c:axId val="500800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00784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69d07d73-c5c9-4775-b53c-78517dc7946c}"/>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3442.68</c:v>
                </c:pt>
                <c:pt idx="1">
                  <c:v>3522.33</c:v>
                </c:pt>
                <c:pt idx="2">
                  <c:v>3657.33</c:v>
                </c:pt>
                <c:pt idx="3">
                  <c:v>4306.14</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3824.26</c:v>
                </c:pt>
                <c:pt idx="1">
                  <c:v>4114.26</c:v>
                </c:pt>
                <c:pt idx="2">
                  <c:v>4404.26</c:v>
                </c:pt>
                <c:pt idx="3">
                  <c:v>5567.87</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7266.93</c:v>
                </c:pt>
                <c:pt idx="1">
                  <c:v>7636.58</c:v>
                </c:pt>
                <c:pt idx="2">
                  <c:v>8061.58</c:v>
                </c:pt>
                <c:pt idx="3">
                  <c:v>9874.01</c:v>
                </c:pt>
              </c:numCache>
            </c:numRef>
          </c:val>
          <c:smooth val="0"/>
        </c:ser>
        <c:dLbls>
          <c:showLegendKey val="0"/>
          <c:showVal val="0"/>
          <c:showCatName val="0"/>
          <c:showSerName val="0"/>
          <c:showPercent val="0"/>
          <c:showBubbleSize val="0"/>
        </c:dLbls>
        <c:marker val="0"/>
        <c:smooth val="0"/>
        <c:axId val="97340032"/>
        <c:axId val="97354112"/>
      </c:lineChart>
      <c:catAx>
        <c:axId val="9734003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354112"/>
        <c:crosses val="autoZero"/>
        <c:auto val="1"/>
        <c:lblAlgn val="ctr"/>
        <c:lblOffset val="100"/>
        <c:noMultiLvlLbl val="0"/>
      </c:catAx>
      <c:valAx>
        <c:axId val="9735411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3400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716dc801-9049-4300-80a1-cb4a08b6dd0e}"/>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229417.49</c:v>
                </c:pt>
                <c:pt idx="1">
                  <c:v>234417.49</c:v>
                </c:pt>
                <c:pt idx="2">
                  <c:v>244417.49</c:v>
                </c:pt>
                <c:pt idx="3">
                  <c:v>310424.18</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29003.31</c:v>
                </c:pt>
                <c:pt idx="1">
                  <c:v>30203.31</c:v>
                </c:pt>
                <c:pt idx="2">
                  <c:v>31003.31</c:v>
                </c:pt>
                <c:pt idx="3">
                  <c:v>36779.13</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0.00_ </c:formatCode>
                <c:ptCount val="4"/>
                <c:pt idx="0">
                  <c:v>258420.8</c:v>
                </c:pt>
                <c:pt idx="1">
                  <c:v>264620.8</c:v>
                </c:pt>
                <c:pt idx="2">
                  <c:v>275420.8</c:v>
                </c:pt>
                <c:pt idx="3" c:formatCode="General">
                  <c:v>347203.31</c:v>
                </c:pt>
              </c:numCache>
            </c:numRef>
          </c:val>
          <c:smooth val="0"/>
        </c:ser>
        <c:dLbls>
          <c:showLegendKey val="0"/>
          <c:showVal val="0"/>
          <c:showCatName val="0"/>
          <c:showSerName val="0"/>
          <c:showPercent val="0"/>
          <c:showBubbleSize val="0"/>
        </c:dLbls>
        <c:marker val="0"/>
        <c:smooth val="0"/>
        <c:axId val="95355648"/>
        <c:axId val="95357184"/>
      </c:lineChart>
      <c:catAx>
        <c:axId val="9535564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357184"/>
        <c:crosses val="autoZero"/>
        <c:auto val="1"/>
        <c:lblAlgn val="ctr"/>
        <c:lblOffset val="100"/>
        <c:noMultiLvlLbl val="0"/>
      </c:catAx>
      <c:valAx>
        <c:axId val="9535718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355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915bca42-01e4-4331-b34b-28409aa00e62}"/>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1571714.26</c:v>
                </c:pt>
                <c:pt idx="1">
                  <c:v>1619714.26</c:v>
                </c:pt>
                <c:pt idx="2">
                  <c:v>2557554.58</c:v>
                </c:pt>
                <c:pt idx="3">
                  <c:v>2799714.26</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2688.38</c:v>
                </c:pt>
                <c:pt idx="1">
                  <c:v>2988.38</c:v>
                </c:pt>
                <c:pt idx="2">
                  <c:v>3388.38</c:v>
                </c:pt>
                <c:pt idx="3">
                  <c:v>3888.38</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1574402.64</c:v>
                </c:pt>
                <c:pt idx="1">
                  <c:v>1622702.64</c:v>
                </c:pt>
                <c:pt idx="2">
                  <c:v>2560942.96</c:v>
                </c:pt>
                <c:pt idx="3">
                  <c:v>2803602.64</c:v>
                </c:pt>
              </c:numCache>
            </c:numRef>
          </c:val>
          <c:smooth val="0"/>
        </c:ser>
        <c:dLbls>
          <c:showLegendKey val="0"/>
          <c:showVal val="0"/>
          <c:showCatName val="0"/>
          <c:showSerName val="0"/>
          <c:showPercent val="0"/>
          <c:showBubbleSize val="0"/>
        </c:dLbls>
        <c:marker val="0"/>
        <c:smooth val="0"/>
        <c:axId val="95404416"/>
        <c:axId val="95405952"/>
      </c:lineChart>
      <c:catAx>
        <c:axId val="9540441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405952"/>
        <c:crosses val="autoZero"/>
        <c:auto val="1"/>
        <c:lblAlgn val="ctr"/>
        <c:lblOffset val="100"/>
        <c:noMultiLvlLbl val="0"/>
      </c:catAx>
      <c:valAx>
        <c:axId val="9540595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40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aafb53f9-0534-463a-9f11-274301b87693}"/>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1000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14000</c:v>
                </c:pt>
                <c:pt idx="1">
                  <c:v>13000</c:v>
                </c:pt>
                <c:pt idx="2">
                  <c:v>13500</c:v>
                </c:pt>
                <c:pt idx="3">
                  <c:v>13600</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15000</c:v>
                </c:pt>
                <c:pt idx="1">
                  <c:v>16000</c:v>
                </c:pt>
                <c:pt idx="2">
                  <c:v>17000</c:v>
                </c:pt>
                <c:pt idx="3">
                  <c:v>18100</c:v>
                </c:pt>
              </c:numCache>
            </c:numRef>
          </c:val>
          <c:smooth val="0"/>
        </c:ser>
        <c:dLbls>
          <c:showLegendKey val="0"/>
          <c:showVal val="0"/>
          <c:showCatName val="0"/>
          <c:showSerName val="0"/>
          <c:showPercent val="0"/>
          <c:showBubbleSize val="0"/>
        </c:dLbls>
        <c:marker val="0"/>
        <c:smooth val="0"/>
        <c:axId val="95629312"/>
        <c:axId val="95630848"/>
      </c:lineChart>
      <c:catAx>
        <c:axId val="9562931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30848"/>
        <c:crosses val="autoZero"/>
        <c:auto val="1"/>
        <c:lblAlgn val="ctr"/>
        <c:lblOffset val="100"/>
        <c:noMultiLvlLbl val="0"/>
      </c:catAx>
      <c:valAx>
        <c:axId val="9563084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29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994abb8a-3400-4ec4-b4c8-b22a374d5b69}"/>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5000</c:v>
                </c:pt>
                <c:pt idx="1">
                  <c:v>3000</c:v>
                </c:pt>
                <c:pt idx="2">
                  <c:v>3500</c:v>
                </c:pt>
                <c:pt idx="3">
                  <c:v>2000</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12000</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19297</c:v>
                </c:pt>
                <c:pt idx="1">
                  <c:v>16643</c:v>
                </c:pt>
                <c:pt idx="2">
                  <c:v>17000</c:v>
                </c:pt>
                <c:pt idx="3">
                  <c:v>14000</c:v>
                </c:pt>
              </c:numCache>
            </c:numRef>
          </c:val>
          <c:smooth val="0"/>
        </c:ser>
        <c:dLbls>
          <c:showLegendKey val="0"/>
          <c:showVal val="0"/>
          <c:showCatName val="0"/>
          <c:showSerName val="0"/>
          <c:showPercent val="0"/>
          <c:showBubbleSize val="0"/>
        </c:dLbls>
        <c:marker val="0"/>
        <c:smooth val="0"/>
        <c:axId val="95640960"/>
        <c:axId val="95650944"/>
      </c:lineChart>
      <c:catAx>
        <c:axId val="9564096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50944"/>
        <c:crosses val="autoZero"/>
        <c:auto val="1"/>
        <c:lblAlgn val="ctr"/>
        <c:lblOffset val="100"/>
        <c:noMultiLvlLbl val="0"/>
      </c:catAx>
      <c:valAx>
        <c:axId val="9565094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40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12c8b535-9dc9-4425-bb89-c59592ad15e4}"/>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工作表.xls]Sheet1'!$C$25</c:f>
              <c:strCache>
                <c:ptCount val="1"/>
                <c:pt idx="0">
                  <c:v>化石燃料燃烧排放量（tCO2）</c:v>
                </c:pt>
              </c:strCache>
            </c:strRef>
          </c:tx>
          <c:spPr>
            <a:ln w="28575" cap="rnd" cmpd="sng" algn="ctr">
              <a:solidFill>
                <a:srgbClr val="4F81B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工作表.xls]Sheet1'!$C$26:$C$29</c:f>
              <c:numCache>
                <c:formatCode>0.00_ </c:formatCode>
                <c:ptCount val="4"/>
                <c:pt idx="0">
                  <c:v>29000</c:v>
                </c:pt>
                <c:pt idx="1">
                  <c:v>29800</c:v>
                </c:pt>
                <c:pt idx="2">
                  <c:v>30200</c:v>
                </c:pt>
                <c:pt idx="3">
                  <c:v>34000</c:v>
                </c:pt>
              </c:numCache>
            </c:numRef>
          </c:val>
          <c:smooth val="0"/>
        </c:ser>
        <c:ser>
          <c:idx val="1"/>
          <c:order val="1"/>
          <c:tx>
            <c:strRef>
              <c:f>'[新建 XLS 工作表.xls]Sheet1'!$F$25</c:f>
              <c:strCache>
                <c:ptCount val="1"/>
                <c:pt idx="0">
                  <c:v> 过程排放量（tCO2）</c:v>
                </c:pt>
              </c:strCache>
            </c:strRef>
          </c:tx>
          <c:spPr>
            <a:ln w="28575" cap="rnd" cmpd="sng" algn="ctr">
              <a:solidFill>
                <a:srgbClr val="7030A0"/>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工作表.xls]Sheet1'!$F$26:$F$29</c:f>
              <c:numCache>
                <c:formatCode>0.00_ </c:formatCode>
                <c:ptCount val="4"/>
                <c:pt idx="0">
                  <c:v>4</c:v>
                </c:pt>
                <c:pt idx="1">
                  <c:v>5</c:v>
                </c:pt>
                <c:pt idx="2">
                  <c:v>12</c:v>
                </c:pt>
                <c:pt idx="3">
                  <c:v>20</c:v>
                </c:pt>
              </c:numCache>
            </c:numRef>
          </c:val>
          <c:smooth val="0"/>
        </c:ser>
        <c:ser>
          <c:idx val="2"/>
          <c:order val="2"/>
          <c:tx>
            <c:strRef>
              <c:f>'[新建 XLS 工作表.xls]Sheet1'!$D$25</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工作表.xls]Sheet1'!$D$26:$D$29</c:f>
              <c:numCache>
                <c:formatCode>General</c:formatCode>
                <c:ptCount val="4"/>
                <c:pt idx="0">
                  <c:v>900</c:v>
                </c:pt>
                <c:pt idx="1">
                  <c:v>1000</c:v>
                </c:pt>
                <c:pt idx="2">
                  <c:v>1100</c:v>
                </c:pt>
                <c:pt idx="3">
                  <c:v>1300</c:v>
                </c:pt>
              </c:numCache>
            </c:numRef>
          </c:val>
          <c:smooth val="0"/>
        </c:ser>
        <c:ser>
          <c:idx val="3"/>
          <c:order val="3"/>
          <c:tx>
            <c:strRef>
              <c:f>'[新建 XLS 工作表.xls]Sheet1'!$E$25</c:f>
              <c:strCache>
                <c:ptCount val="1"/>
                <c:pt idx="0">
                  <c:v> 排放总量（tCO2）</c:v>
                </c:pt>
              </c:strCache>
            </c:strRef>
          </c:tx>
          <c:spPr>
            <a:ln w="28575" cap="rnd" cmpd="sng" algn="ctr">
              <a:solidFill>
                <a:srgbClr val="9BBB59"/>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工作表.xls]Sheet1'!$E$26:$E$29</c:f>
              <c:numCache>
                <c:formatCode>0.00_ </c:formatCode>
                <c:ptCount val="4"/>
                <c:pt idx="0">
                  <c:v>29904</c:v>
                </c:pt>
                <c:pt idx="1">
                  <c:v>30805</c:v>
                </c:pt>
                <c:pt idx="2">
                  <c:v>31312</c:v>
                </c:pt>
                <c:pt idx="3">
                  <c:v>35320</c:v>
                </c:pt>
              </c:numCache>
            </c:numRef>
          </c:val>
          <c:smooth val="0"/>
        </c:ser>
        <c:dLbls>
          <c:showLegendKey val="0"/>
          <c:showVal val="0"/>
          <c:showCatName val="0"/>
          <c:showSerName val="0"/>
          <c:showPercent val="0"/>
          <c:showBubbleSize val="0"/>
        </c:dLbls>
        <c:marker val="0"/>
        <c:smooth val="0"/>
        <c:axId val="96211712"/>
        <c:axId val="96213248"/>
      </c:lineChart>
      <c:catAx>
        <c:axId val="9621171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13248"/>
        <c:crosses val="autoZero"/>
        <c:auto val="1"/>
        <c:lblAlgn val="ctr"/>
        <c:lblOffset val="100"/>
        <c:noMultiLvlLbl val="0"/>
      </c:catAx>
      <c:valAx>
        <c:axId val="9621324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11712"/>
        <c:crosses val="autoZero"/>
        <c:crossBetween val="between"/>
      </c:valAx>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5be65f21-00f4-4c6e-b2e8-9efb29c14aa4}"/>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8100</c:v>
                </c:pt>
                <c:pt idx="1">
                  <c:v>10125</c:v>
                </c:pt>
                <c:pt idx="2">
                  <c:v>10952.42</c:v>
                </c:pt>
                <c:pt idx="3">
                  <c:v>10616.72</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1145500</c:v>
                </c:pt>
                <c:pt idx="1">
                  <c:v>1152750</c:v>
                </c:pt>
                <c:pt idx="2">
                  <c:v>1163737.64</c:v>
                </c:pt>
                <c:pt idx="3">
                  <c:v>1192094.66</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1153600</c:v>
                </c:pt>
                <c:pt idx="1">
                  <c:v>1162875</c:v>
                </c:pt>
                <c:pt idx="2">
                  <c:v>1174690.05</c:v>
                </c:pt>
                <c:pt idx="3">
                  <c:v>1202711.39</c:v>
                </c:pt>
              </c:numCache>
            </c:numRef>
          </c:val>
          <c:smooth val="0"/>
        </c:ser>
        <c:dLbls>
          <c:showLegendKey val="0"/>
          <c:showVal val="0"/>
          <c:showCatName val="0"/>
          <c:showSerName val="0"/>
          <c:showPercent val="0"/>
          <c:showBubbleSize val="0"/>
        </c:dLbls>
        <c:marker val="0"/>
        <c:smooth val="0"/>
        <c:axId val="96256000"/>
        <c:axId val="96257536"/>
      </c:lineChart>
      <c:catAx>
        <c:axId val="9625600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57536"/>
        <c:crosses val="autoZero"/>
        <c:auto val="1"/>
        <c:lblAlgn val="ctr"/>
        <c:lblOffset val="100"/>
        <c:noMultiLvlLbl val="0"/>
      </c:catAx>
      <c:valAx>
        <c:axId val="9625753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560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cf057a0b-0b31-40a6-af77-23d459ae9a4f}"/>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0</c:v>
                </c:pt>
                <c:pt idx="1">
                  <c:v>0</c:v>
                </c:pt>
                <c:pt idx="2">
                  <c:v>0</c:v>
                </c:pt>
                <c:pt idx="3">
                  <c:v>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8248.15</c:v>
                </c:pt>
                <c:pt idx="1">
                  <c:v>8683.15</c:v>
                </c:pt>
                <c:pt idx="2">
                  <c:v>10252.96</c:v>
                </c:pt>
                <c:pt idx="3">
                  <c:v>15256.41</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8248.15</c:v>
                </c:pt>
                <c:pt idx="1">
                  <c:v>8683.15</c:v>
                </c:pt>
                <c:pt idx="2">
                  <c:v>10252.96</c:v>
                </c:pt>
                <c:pt idx="3">
                  <c:v>15256.41</c:v>
                </c:pt>
              </c:numCache>
            </c:numRef>
          </c:val>
          <c:smooth val="0"/>
        </c:ser>
        <c:dLbls>
          <c:showLegendKey val="0"/>
          <c:showVal val="0"/>
          <c:showCatName val="0"/>
          <c:showSerName val="0"/>
          <c:showPercent val="0"/>
          <c:showBubbleSize val="0"/>
        </c:dLbls>
        <c:marker val="0"/>
        <c:smooth val="0"/>
        <c:axId val="97193344"/>
        <c:axId val="97232000"/>
      </c:lineChart>
      <c:catAx>
        <c:axId val="9719334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32000"/>
        <c:crosses val="autoZero"/>
        <c:auto val="1"/>
        <c:lblAlgn val="ctr"/>
        <c:lblOffset val="100"/>
        <c:noMultiLvlLbl val="0"/>
      </c:catAx>
      <c:valAx>
        <c:axId val="972320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193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bdb70a40-90b2-42f8-a89e-e9c6d784df54}"/>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c:v>
                </c:pt>
                <c:pt idx="1">
                  <c:v>830.25</c:v>
                </c:pt>
                <c:pt idx="2">
                  <c:v>983.349999999999</c:v>
                </c:pt>
                <c:pt idx="3">
                  <c:v>950.56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22067.8</c:v>
                </c:pt>
                <c:pt idx="1">
                  <c:v>22357.8</c:v>
                </c:pt>
                <c:pt idx="2">
                  <c:v>22647.8</c:v>
                </c:pt>
                <c:pt idx="3">
                  <c:v>24628.5</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22877.8</c:v>
                </c:pt>
                <c:pt idx="1">
                  <c:v>23188.05</c:v>
                </c:pt>
                <c:pt idx="2">
                  <c:v>23631.15</c:v>
                </c:pt>
                <c:pt idx="3">
                  <c:v>25579.06</c:v>
                </c:pt>
              </c:numCache>
            </c:numRef>
          </c:val>
          <c:smooth val="0"/>
        </c:ser>
        <c:dLbls>
          <c:showLegendKey val="0"/>
          <c:showVal val="0"/>
          <c:showCatName val="0"/>
          <c:showSerName val="0"/>
          <c:showPercent val="0"/>
          <c:showBubbleSize val="0"/>
        </c:dLbls>
        <c:marker val="0"/>
        <c:smooth val="0"/>
        <c:axId val="97266688"/>
        <c:axId val="97268480"/>
      </c:lineChart>
      <c:catAx>
        <c:axId val="9726668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68480"/>
        <c:crosses val="autoZero"/>
        <c:auto val="1"/>
        <c:lblAlgn val="ctr"/>
        <c:lblOffset val="100"/>
        <c:noMultiLvlLbl val="0"/>
      </c:catAx>
      <c:valAx>
        <c:axId val="972684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666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e7617a03-d828-49ec-b0ff-502f714b0828}"/>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6A59-1595-4BA3-A7EB-BC5E7205B89F}">
  <ds:schemaRefs/>
</ds:datastoreItem>
</file>

<file path=docProps/app.xml><?xml version="1.0" encoding="utf-8"?>
<Properties xmlns="http://schemas.openxmlformats.org/officeDocument/2006/extended-properties" xmlns:vt="http://schemas.openxmlformats.org/officeDocument/2006/docPropsVTypes">
  <Template>Normal</Template>
  <Pages>82</Pages>
  <Words>4037</Words>
  <Characters>4206</Characters>
  <Lines>287</Lines>
  <Paragraphs>80</Paragraphs>
  <TotalTime>1259</TotalTime>
  <ScaleCrop>false</ScaleCrop>
  <LinksUpToDate>false</LinksUpToDate>
  <CharactersWithSpaces>4324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2020-03-02T07:21:00Z</dcterms:created>
  <dc:creator>RW</dc:creator>
  <cp:lastModifiedBy>赵旭</cp:lastModifiedBy>
  <cp:lastPrinted>2015-12-25T08:13:00Z</cp:lastPrinted>
  <dcterms:modified xsi:type="dcterms:W3CDTF">2025-05-19T03:09:07Z</dcterms:modified>
  <dc:title>北京市碳排放权交易核查机构</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83ACC7A894044B7FBF3FFC68DFBE31D7</vt:lpwstr>
  </property>
  <property fmtid="{D5CDD505-2E9C-101B-9397-08002B2CF9AE}" pid="4" name="KSOTemplateDocerSaveRecord">
    <vt:lpwstr>eyJoZGlkIjoiYjQ4NmM3ZGU0MzFkYTQzMTExZDdhYTk5MDczNzcxNmUiLCJ1c2VySWQiOiIxMDgyMzM2MzI3In0=</vt:lpwstr>
  </property>
</Properties>
</file>