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96D84">
      <w:pPr>
        <w:pStyle w:val="50"/>
        <w:spacing w:after="0" w:line="560" w:lineRule="exact"/>
        <w:ind w:left="0"/>
        <w:rPr>
          <w:rFonts w:ascii="黑体" w:hAnsi="黑体" w:eastAsia="黑体"/>
          <w:sz w:val="32"/>
          <w:szCs w:val="32"/>
        </w:rPr>
      </w:pPr>
      <w:bookmarkStart w:id="0" w:name="OLE_LINK4"/>
      <w:bookmarkStart w:id="1" w:name="OLE_LINK6"/>
      <w:bookmarkStart w:id="2" w:name="OLE_LINK5"/>
      <w:bookmarkStart w:id="3" w:name="OLE_LINK1"/>
      <w:r>
        <w:rPr>
          <w:rFonts w:hint="eastAsia" w:ascii="黑体" w:eastAsia="黑体"/>
          <w:sz w:val="32"/>
          <w:szCs w:val="32"/>
        </w:rPr>
        <w:t>京环</w:t>
      </w:r>
      <w:r>
        <w:rPr>
          <w:rFonts w:hint="eastAsia" w:ascii="黑体" w:eastAsia="黑体"/>
          <w:sz w:val="32"/>
          <w:szCs w:val="32"/>
          <w:lang w:eastAsia="zh-CN"/>
        </w:rPr>
        <w:t>发</w:t>
      </w:r>
      <w:r>
        <w:rPr>
          <w:rFonts w:hint="eastAsia" w:ascii="黑体" w:eastAsia="黑体"/>
          <w:sz w:val="32"/>
          <w:szCs w:val="32"/>
        </w:rPr>
        <w:t>〔202</w:t>
      </w:r>
      <w:r>
        <w:rPr>
          <w:rFonts w:hint="eastAsia" w:ascii="黑体" w:eastAsia="黑体"/>
          <w:sz w:val="32"/>
          <w:szCs w:val="32"/>
          <w:lang w:val="en-US" w:eastAsia="zh-CN"/>
        </w:rPr>
        <w:t>2</w:t>
      </w:r>
      <w:r>
        <w:rPr>
          <w:rFonts w:hint="eastAsia" w:ascii="黑体" w:eastAsia="黑体"/>
          <w:sz w:val="32"/>
          <w:szCs w:val="32"/>
        </w:rPr>
        <w:t>〕</w:t>
      </w:r>
      <w:r>
        <w:rPr>
          <w:rFonts w:hint="eastAsia" w:ascii="黑体" w:eastAsia="黑体"/>
          <w:sz w:val="32"/>
          <w:szCs w:val="32"/>
          <w:lang w:val="en-US" w:eastAsia="zh-CN"/>
        </w:rPr>
        <w:t>7</w:t>
      </w:r>
      <w:r>
        <w:rPr>
          <w:rFonts w:hint="eastAsia" w:ascii="黑体" w:eastAsia="黑体"/>
          <w:sz w:val="32"/>
          <w:szCs w:val="32"/>
        </w:rPr>
        <w:t>号附</w:t>
      </w:r>
      <w:bookmarkEnd w:id="0"/>
      <w:bookmarkEnd w:id="1"/>
      <w:bookmarkEnd w:id="2"/>
      <w:bookmarkEnd w:id="3"/>
      <w:r>
        <w:rPr>
          <w:rFonts w:hint="eastAsia" w:ascii="黑体" w:hAnsi="黑体" w:eastAsia="黑体"/>
          <w:sz w:val="32"/>
          <w:szCs w:val="32"/>
        </w:rPr>
        <w:t>件</w:t>
      </w:r>
      <w:r>
        <w:rPr>
          <w:rFonts w:ascii="黑体" w:hAnsi="黑体" w:eastAsia="黑体"/>
          <w:sz w:val="32"/>
          <w:szCs w:val="32"/>
        </w:rPr>
        <w:t>3</w:t>
      </w:r>
    </w:p>
    <w:p w14:paraId="32C76E5B">
      <w:pPr>
        <w:pStyle w:val="50"/>
        <w:spacing w:after="0" w:line="560" w:lineRule="exact"/>
        <w:ind w:left="0"/>
        <w:rPr>
          <w:rFonts w:ascii="黑体" w:hAnsi="黑体" w:eastAsia="黑体"/>
          <w:sz w:val="32"/>
          <w:szCs w:val="32"/>
        </w:rPr>
      </w:pPr>
    </w:p>
    <w:p w14:paraId="4B9C6D56">
      <w:pPr>
        <w:pStyle w:val="50"/>
        <w:spacing w:after="0" w:line="560" w:lineRule="exact"/>
        <w:ind w:left="0"/>
        <w:rPr>
          <w:rFonts w:ascii="黑体" w:hAnsi="黑体" w:eastAsia="黑体"/>
          <w:sz w:val="32"/>
          <w:szCs w:val="32"/>
        </w:rPr>
      </w:pPr>
    </w:p>
    <w:p w14:paraId="3B85BF95">
      <w:pPr>
        <w:pStyle w:val="50"/>
        <w:spacing w:after="0" w:line="560" w:lineRule="exact"/>
        <w:ind w:left="0"/>
        <w:rPr>
          <w:rFonts w:ascii="黑体" w:hAnsi="黑体" w:eastAsia="黑体"/>
          <w:sz w:val="32"/>
          <w:szCs w:val="32"/>
        </w:rPr>
      </w:pPr>
    </w:p>
    <w:p w14:paraId="22110B3A">
      <w:pPr>
        <w:pStyle w:val="50"/>
        <w:spacing w:after="0" w:line="560" w:lineRule="exact"/>
        <w:ind w:left="0"/>
        <w:rPr>
          <w:rFonts w:ascii="黑体" w:hAnsi="黑体" w:eastAsia="黑体"/>
          <w:sz w:val="32"/>
          <w:szCs w:val="32"/>
        </w:rPr>
      </w:pPr>
    </w:p>
    <w:p w14:paraId="1EC75723">
      <w:pPr>
        <w:pStyle w:val="50"/>
        <w:spacing w:after="0" w:line="560" w:lineRule="exact"/>
        <w:ind w:left="0"/>
        <w:rPr>
          <w:rFonts w:ascii="仿宋_GB2312" w:hAnsi="仿宋" w:eastAsia="仿宋_GB2312"/>
          <w:sz w:val="32"/>
          <w:szCs w:val="32"/>
        </w:rPr>
      </w:pPr>
    </w:p>
    <w:p w14:paraId="6B39AB8C">
      <w:pPr>
        <w:pStyle w:val="50"/>
        <w:spacing w:after="0" w:line="560" w:lineRule="exact"/>
        <w:ind w:left="0"/>
        <w:rPr>
          <w:rFonts w:ascii="仿宋_GB2312" w:hAnsi="仿宋" w:eastAsia="仿宋_GB2312"/>
          <w:sz w:val="32"/>
          <w:szCs w:val="32"/>
        </w:rPr>
      </w:pPr>
    </w:p>
    <w:p w14:paraId="3EBD2321">
      <w:pPr>
        <w:pStyle w:val="50"/>
        <w:spacing w:after="0" w:line="480" w:lineRule="auto"/>
        <w:ind w:left="0"/>
        <w:jc w:val="center"/>
        <w:rPr>
          <w:rFonts w:ascii="宋体" w:hAnsi="宋体"/>
          <w:b/>
          <w:sz w:val="44"/>
          <w:szCs w:val="44"/>
        </w:rPr>
      </w:pPr>
      <w:r>
        <w:rPr>
          <w:rFonts w:hint="eastAsia" w:ascii="宋体" w:hAnsi="宋体"/>
          <w:b/>
          <w:sz w:val="44"/>
          <w:szCs w:val="44"/>
        </w:rPr>
        <w:t>北京市碳排放第三方核查报告</w:t>
      </w:r>
    </w:p>
    <w:p w14:paraId="5940F7B4">
      <w:pPr>
        <w:pStyle w:val="50"/>
        <w:spacing w:after="0" w:line="480" w:lineRule="auto"/>
        <w:ind w:left="0"/>
        <w:jc w:val="center"/>
        <w:rPr>
          <w:rFonts w:ascii="仿宋_GB2312" w:hAnsi="宋体" w:eastAsia="仿宋_GB2312"/>
          <w:sz w:val="32"/>
          <w:szCs w:val="32"/>
        </w:rPr>
      </w:pPr>
      <w:r>
        <w:rPr>
          <w:rFonts w:hint="eastAsia" w:ascii="宋体" w:hAnsi="宋体"/>
          <w:b/>
          <w:sz w:val="44"/>
          <w:szCs w:val="44"/>
        </w:rPr>
        <w:t>编写指南</w:t>
      </w:r>
    </w:p>
    <w:p w14:paraId="08A2C87B">
      <w:pPr>
        <w:spacing w:after="0" w:line="560" w:lineRule="exact"/>
        <w:ind w:firstLine="902"/>
        <w:jc w:val="center"/>
        <w:rPr>
          <w:rFonts w:ascii="方正小标宋简体" w:hAnsi="仿宋" w:eastAsia="方正小标宋简体"/>
          <w:sz w:val="44"/>
          <w:szCs w:val="44"/>
        </w:rPr>
      </w:pPr>
    </w:p>
    <w:p w14:paraId="6ED3FB6F">
      <w:pPr>
        <w:spacing w:after="0" w:line="560" w:lineRule="exact"/>
        <w:ind w:firstLine="902"/>
        <w:rPr>
          <w:rFonts w:ascii="方正小标宋简体" w:hAnsi="仿宋" w:eastAsia="方正小标宋简体"/>
          <w:sz w:val="44"/>
          <w:szCs w:val="44"/>
        </w:rPr>
      </w:pPr>
    </w:p>
    <w:p w14:paraId="0AF7EBAE">
      <w:pPr>
        <w:spacing w:after="0" w:line="560" w:lineRule="exact"/>
        <w:ind w:firstLine="902"/>
        <w:rPr>
          <w:rFonts w:ascii="方正小标宋简体" w:hAnsi="仿宋" w:eastAsia="方正小标宋简体"/>
          <w:sz w:val="44"/>
          <w:szCs w:val="44"/>
        </w:rPr>
      </w:pPr>
    </w:p>
    <w:p w14:paraId="5C4FA2F0">
      <w:pPr>
        <w:spacing w:after="0" w:line="560" w:lineRule="exact"/>
        <w:ind w:firstLine="902"/>
        <w:rPr>
          <w:rFonts w:ascii="方正小标宋简体" w:hAnsi="仿宋" w:eastAsia="方正小标宋简体"/>
          <w:sz w:val="44"/>
          <w:szCs w:val="44"/>
        </w:rPr>
      </w:pPr>
    </w:p>
    <w:p w14:paraId="0855EA4D">
      <w:pPr>
        <w:spacing w:after="0" w:line="560" w:lineRule="exact"/>
        <w:ind w:firstLine="902"/>
        <w:rPr>
          <w:rFonts w:ascii="方正小标宋简体" w:hAnsi="仿宋" w:eastAsia="方正小标宋简体"/>
          <w:sz w:val="44"/>
          <w:szCs w:val="44"/>
        </w:rPr>
      </w:pPr>
    </w:p>
    <w:p w14:paraId="12E645A3">
      <w:pPr>
        <w:spacing w:after="0" w:line="560" w:lineRule="exact"/>
        <w:ind w:firstLine="902"/>
        <w:rPr>
          <w:rFonts w:ascii="方正小标宋简体" w:hAnsi="仿宋" w:eastAsia="方正小标宋简体"/>
          <w:sz w:val="44"/>
          <w:szCs w:val="44"/>
        </w:rPr>
      </w:pPr>
    </w:p>
    <w:p w14:paraId="476FF452">
      <w:pPr>
        <w:spacing w:after="0" w:line="560" w:lineRule="exact"/>
        <w:ind w:firstLine="902"/>
        <w:rPr>
          <w:rFonts w:ascii="方正小标宋简体" w:hAnsi="仿宋" w:eastAsia="方正小标宋简体"/>
          <w:sz w:val="44"/>
          <w:szCs w:val="44"/>
        </w:rPr>
      </w:pPr>
    </w:p>
    <w:p w14:paraId="15FDAFF4">
      <w:pPr>
        <w:spacing w:after="0" w:line="560" w:lineRule="exact"/>
        <w:ind w:firstLine="902"/>
        <w:rPr>
          <w:rFonts w:ascii="方正小标宋简体" w:hAnsi="仿宋" w:eastAsia="方正小标宋简体"/>
          <w:sz w:val="44"/>
          <w:szCs w:val="44"/>
        </w:rPr>
      </w:pPr>
    </w:p>
    <w:p w14:paraId="5CA9A527">
      <w:pPr>
        <w:spacing w:after="0" w:line="560" w:lineRule="exact"/>
        <w:ind w:firstLine="902"/>
        <w:rPr>
          <w:rFonts w:ascii="方正小标宋简体" w:hAnsi="仿宋" w:eastAsia="方正小标宋简体"/>
          <w:sz w:val="44"/>
          <w:szCs w:val="44"/>
        </w:rPr>
      </w:pPr>
    </w:p>
    <w:p w14:paraId="571058A7">
      <w:pPr>
        <w:spacing w:after="0" w:line="560" w:lineRule="exact"/>
        <w:ind w:firstLine="902"/>
        <w:rPr>
          <w:rFonts w:ascii="方正小标宋简体" w:hAnsi="仿宋" w:eastAsia="方正小标宋简体"/>
          <w:sz w:val="44"/>
          <w:szCs w:val="44"/>
        </w:rPr>
      </w:pPr>
    </w:p>
    <w:p w14:paraId="3CC30452">
      <w:pPr>
        <w:spacing w:after="0" w:line="560" w:lineRule="exact"/>
        <w:ind w:firstLine="902"/>
        <w:rPr>
          <w:rFonts w:ascii="方正小标宋简体" w:hAnsi="仿宋" w:eastAsia="方正小标宋简体"/>
          <w:sz w:val="44"/>
          <w:szCs w:val="44"/>
        </w:rPr>
      </w:pPr>
    </w:p>
    <w:p w14:paraId="213A6779">
      <w:pPr>
        <w:spacing w:after="0" w:line="560" w:lineRule="exact"/>
        <w:ind w:firstLine="902"/>
        <w:rPr>
          <w:rFonts w:ascii="方正小标宋简体" w:hAnsi="仿宋" w:eastAsia="方正小标宋简体"/>
          <w:sz w:val="44"/>
          <w:szCs w:val="44"/>
        </w:rPr>
      </w:pPr>
    </w:p>
    <w:p w14:paraId="72B97A83">
      <w:pPr>
        <w:spacing w:after="0" w:line="560" w:lineRule="exact"/>
        <w:ind w:firstLine="902"/>
        <w:rPr>
          <w:rFonts w:ascii="方正小标宋简体" w:hAnsi="仿宋" w:eastAsia="方正小标宋简体"/>
          <w:sz w:val="44"/>
          <w:szCs w:val="44"/>
        </w:rPr>
      </w:pPr>
    </w:p>
    <w:p w14:paraId="6CADA297">
      <w:pPr>
        <w:keepNext w:val="0"/>
        <w:keepLines w:val="0"/>
        <w:pageBreakBefore w:val="0"/>
        <w:widowControl/>
        <w:kinsoku/>
        <w:wordWrap/>
        <w:overflowPunct/>
        <w:topLinePunct w:val="0"/>
        <w:autoSpaceDE/>
        <w:autoSpaceDN/>
        <w:bidi w:val="0"/>
        <w:adjustRightInd/>
        <w:snapToGrid/>
        <w:spacing w:after="0" w:line="560" w:lineRule="exact"/>
        <w:ind w:firstLine="0" w:firstLineChars="0"/>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前</w:t>
      </w:r>
      <w:r>
        <w:rPr>
          <w:rFonts w:hint="eastAsia" w:ascii="方正小标宋简体" w:hAnsi="仿宋" w:eastAsia="方正小标宋简体"/>
          <w:sz w:val="44"/>
          <w:szCs w:val="44"/>
          <w:lang w:val="en-US" w:eastAsia="zh-CN"/>
        </w:rPr>
        <w:t xml:space="preserve">  </w:t>
      </w:r>
      <w:r>
        <w:rPr>
          <w:rFonts w:hint="eastAsia" w:ascii="方正小标宋简体" w:hAnsi="仿宋" w:eastAsia="方正小标宋简体"/>
          <w:sz w:val="44"/>
          <w:szCs w:val="44"/>
        </w:rPr>
        <w:t>言</w:t>
      </w:r>
    </w:p>
    <w:p w14:paraId="61E20E93">
      <w:pPr>
        <w:spacing w:after="0" w:line="560" w:lineRule="exact"/>
        <w:ind w:firstLine="3322" w:firstLineChars="755"/>
        <w:rPr>
          <w:rFonts w:ascii="方正小标宋简体" w:hAnsi="仿宋" w:eastAsia="方正小标宋简体"/>
          <w:sz w:val="44"/>
          <w:szCs w:val="44"/>
        </w:rPr>
      </w:pPr>
    </w:p>
    <w:p w14:paraId="62E4F360">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中国二氧化碳排放力争于2030年前达峰，努力争取于2060年前实现碳中和”,是习近平总书记对国际社会的庄严承诺，是党中央、国务院统筹国际国内两个大局作出的重大战略部署，彰显了中国积极应对气候变化、努力构建人类命运共同体、走绿色低碳发展道路的坚定决心。碳市场是推进“双碳”工作的重要市场化机制，碳排放数据是开展交易的基础，数据质量是碳市场的生命线，第三方数据核查是确保数据质量稳定可靠的重要手段。为切实提升本市碳排放权交易相关数据的科学性和规范性，结合实际工作，通过《北京市碳排放单位二氧化碳排放核算和报告要求》对重点碳排放单位年度核算和报告进行了规范，同时也对第三方核查报告编制提出了新的工作要求，各核查机构应结合新的核算要求，进一步提高相关人员专业技术能力，科学核算各排放单位的二氧化碳排放量，丰富和完善核查报告，为本市碳排放权交易工作提供技术支撑。</w:t>
      </w:r>
    </w:p>
    <w:p w14:paraId="3A3B9FB5">
      <w:pPr>
        <w:spacing w:after="0" w:line="240" w:lineRule="auto"/>
        <w:rPr>
          <w:rFonts w:ascii="仿宋_GB2312" w:hAnsi="仿宋" w:eastAsia="仿宋_GB2312"/>
          <w:sz w:val="32"/>
          <w:szCs w:val="32"/>
        </w:rPr>
        <w:sectPr>
          <w:footerReference r:id="rId5" w:type="default"/>
          <w:footerReference r:id="rId6" w:type="even"/>
          <w:pgSz w:w="11906" w:h="16838"/>
          <w:pgMar w:top="2098" w:right="1474" w:bottom="1984" w:left="1587" w:header="851" w:footer="1587" w:gutter="0"/>
          <w:pgNumType w:fmt="decimal"/>
          <w:cols w:space="0" w:num="1"/>
          <w:titlePg/>
          <w:rtlGutter w:val="0"/>
          <w:docGrid w:type="lines" w:linePitch="312" w:charSpace="0"/>
        </w:sectPr>
      </w:pPr>
    </w:p>
    <w:p w14:paraId="2539A3D9">
      <w:pPr>
        <w:spacing w:after="0" w:line="560" w:lineRule="exact"/>
        <w:ind w:firstLine="656" w:firstLineChars="205"/>
        <w:outlineLvl w:val="0"/>
        <w:rPr>
          <w:rFonts w:ascii="黑体" w:hAnsi="黑体" w:eastAsia="黑体"/>
          <w:sz w:val="32"/>
          <w:szCs w:val="32"/>
        </w:rPr>
      </w:pPr>
      <w:bookmarkStart w:id="4" w:name="_Toc353116421"/>
      <w:r>
        <w:rPr>
          <w:rFonts w:hint="eastAsia" w:ascii="黑体" w:hAnsi="黑体" w:eastAsia="黑体"/>
          <w:sz w:val="32"/>
          <w:szCs w:val="32"/>
        </w:rPr>
        <w:t>一、适用范围</w:t>
      </w:r>
      <w:bookmarkEnd w:id="4"/>
    </w:p>
    <w:p w14:paraId="362D1480">
      <w:pPr>
        <w:spacing w:after="0" w:line="560" w:lineRule="exact"/>
        <w:ind w:firstLine="656" w:firstLineChars="205"/>
        <w:rPr>
          <w:rFonts w:ascii="仿宋_GB2312" w:hAnsi="仿宋" w:eastAsia="仿宋_GB2312"/>
          <w:sz w:val="32"/>
          <w:szCs w:val="32"/>
        </w:rPr>
      </w:pPr>
      <w:r>
        <w:rPr>
          <w:rFonts w:hint="eastAsia" w:ascii="仿宋_GB2312" w:hAnsi="仿宋" w:eastAsia="仿宋_GB2312"/>
          <w:sz w:val="32"/>
          <w:szCs w:val="32"/>
        </w:rPr>
        <w:t>本指南用于指导第三方核查机构对北京市碳排放权交易试点机制下二氧化碳重点排放单位（以下简称“重点碳排放单位”）及自愿参与交易的一般二氧化碳报告单位提交的二氧化碳排放报告实施核查后的二氧化碳排放核查报告编制工作。</w:t>
      </w:r>
    </w:p>
    <w:p w14:paraId="64A200EF">
      <w:pPr>
        <w:spacing w:after="0" w:line="560" w:lineRule="exact"/>
        <w:ind w:firstLine="656" w:firstLineChars="205"/>
        <w:outlineLvl w:val="0"/>
        <w:rPr>
          <w:rFonts w:ascii="黑体" w:hAnsi="黑体" w:eastAsia="黑体"/>
          <w:sz w:val="32"/>
          <w:szCs w:val="32"/>
        </w:rPr>
      </w:pPr>
      <w:bookmarkStart w:id="5" w:name="_Toc353116422"/>
      <w:r>
        <w:rPr>
          <w:rFonts w:hint="eastAsia" w:ascii="黑体" w:hAnsi="黑体" w:eastAsia="黑体"/>
          <w:sz w:val="32"/>
          <w:szCs w:val="32"/>
        </w:rPr>
        <w:t>二、核查报告编制依据</w:t>
      </w:r>
      <w:bookmarkEnd w:id="5"/>
    </w:p>
    <w:p w14:paraId="3AC5E943">
      <w:pPr>
        <w:widowControl w:val="0"/>
        <w:spacing w:after="0" w:line="560" w:lineRule="exact"/>
        <w:ind w:left="220" w:leftChars="100" w:firstLine="640" w:firstLineChars="200"/>
        <w:jc w:val="both"/>
        <w:rPr>
          <w:rFonts w:ascii="仿宋_GB2312" w:hAnsi="仿宋" w:eastAsia="仿宋_GB2312"/>
          <w:sz w:val="32"/>
          <w:szCs w:val="32"/>
        </w:rPr>
      </w:pPr>
      <w:r>
        <w:rPr>
          <w:rFonts w:hint="eastAsia" w:ascii="仿宋_GB2312" w:hAnsi="仿宋" w:eastAsia="仿宋_GB2312"/>
          <w:sz w:val="32"/>
          <w:szCs w:val="32"/>
        </w:rPr>
        <w:t>二氧化碳排放核查报告的编制依据包括以下文件。</w:t>
      </w:r>
    </w:p>
    <w:p w14:paraId="611C469C">
      <w:pPr>
        <w:widowControl w:val="0"/>
        <w:spacing w:after="0" w:line="560" w:lineRule="exact"/>
        <w:ind w:left="220" w:leftChars="100" w:firstLine="640" w:firstLineChars="200"/>
        <w:jc w:val="both"/>
        <w:rPr>
          <w:rFonts w:ascii="仿宋_GB2312" w:hAnsi="仿宋" w:eastAsia="仿宋_GB2312"/>
          <w:sz w:val="32"/>
          <w:szCs w:val="32"/>
        </w:rPr>
      </w:pPr>
      <w:bookmarkStart w:id="6" w:name="_Toc353116425"/>
      <w:r>
        <w:rPr>
          <w:rFonts w:ascii="仿宋_GB2312" w:hAnsi="仿宋" w:eastAsia="仿宋_GB2312"/>
          <w:sz w:val="32"/>
          <w:szCs w:val="32"/>
        </w:rPr>
        <w:t>-</w:t>
      </w:r>
      <w:r>
        <w:rPr>
          <w:rFonts w:hint="eastAsia" w:ascii="仿宋_GB2312" w:hAnsi="仿宋" w:eastAsia="仿宋_GB2312"/>
          <w:sz w:val="32"/>
          <w:szCs w:val="32"/>
        </w:rPr>
        <w:t>《二氧化碳排放核算和报告要求</w:t>
      </w:r>
      <w:r>
        <w:rPr>
          <w:rFonts w:ascii="仿宋_GB2312" w:hAnsi="仿宋" w:eastAsia="仿宋_GB2312"/>
          <w:sz w:val="32"/>
          <w:szCs w:val="32"/>
        </w:rPr>
        <w:t>电力生产业（</w:t>
      </w:r>
      <w:r>
        <w:rPr>
          <w:rFonts w:hint="eastAsia" w:ascii="仿宋_GB2312" w:hAnsi="仿宋" w:eastAsia="仿宋_GB2312"/>
          <w:sz w:val="32"/>
          <w:szCs w:val="32"/>
        </w:rPr>
        <w:t>D</w:t>
      </w:r>
      <w:r>
        <w:rPr>
          <w:rFonts w:ascii="仿宋_GB2312" w:hAnsi="仿宋" w:eastAsia="仿宋_GB2312"/>
          <w:sz w:val="32"/>
          <w:szCs w:val="32"/>
        </w:rPr>
        <w:t>B11/T</w:t>
      </w:r>
      <w:r>
        <w:rPr>
          <w:rFonts w:hint="eastAsia" w:ascii="仿宋_GB2312" w:hAnsi="仿宋" w:eastAsia="仿宋_GB2312"/>
          <w:sz w:val="32"/>
          <w:szCs w:val="32"/>
        </w:rPr>
        <w:t>1</w:t>
      </w:r>
      <w:r>
        <w:rPr>
          <w:rFonts w:ascii="仿宋_GB2312" w:hAnsi="仿宋" w:eastAsia="仿宋_GB2312"/>
          <w:sz w:val="32"/>
          <w:szCs w:val="32"/>
        </w:rPr>
        <w:t>781-2020</w:t>
      </w:r>
      <w:r>
        <w:rPr>
          <w:rFonts w:hint="eastAsia" w:ascii="仿宋_GB2312" w:hAnsi="仿宋" w:eastAsia="仿宋_GB2312"/>
          <w:sz w:val="32"/>
          <w:szCs w:val="32"/>
        </w:rPr>
        <w:t>》</w:t>
      </w:r>
      <w:r>
        <w:rPr>
          <w:rFonts w:ascii="仿宋_GB2312" w:hAnsi="仿宋" w:eastAsia="仿宋_GB2312"/>
          <w:sz w:val="32"/>
          <w:szCs w:val="32"/>
        </w:rPr>
        <w:t>；</w:t>
      </w:r>
    </w:p>
    <w:p w14:paraId="24BCB727">
      <w:pPr>
        <w:widowControl w:val="0"/>
        <w:spacing w:after="0" w:line="560" w:lineRule="exact"/>
        <w:ind w:left="220" w:leftChars="100" w:firstLine="640" w:firstLineChars="200"/>
        <w:jc w:val="both"/>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《二氧化碳排放核算和报告要求</w:t>
      </w:r>
      <w:r>
        <w:rPr>
          <w:rFonts w:ascii="仿宋_GB2312" w:hAnsi="仿宋" w:eastAsia="仿宋_GB2312"/>
          <w:sz w:val="32"/>
          <w:szCs w:val="32"/>
        </w:rPr>
        <w:t>水泥制造业（</w:t>
      </w:r>
      <w:r>
        <w:rPr>
          <w:rFonts w:hint="eastAsia" w:ascii="仿宋_GB2312" w:hAnsi="仿宋" w:eastAsia="仿宋_GB2312"/>
          <w:sz w:val="32"/>
          <w:szCs w:val="32"/>
        </w:rPr>
        <w:t>D</w:t>
      </w:r>
      <w:r>
        <w:rPr>
          <w:rFonts w:ascii="仿宋_GB2312" w:hAnsi="仿宋" w:eastAsia="仿宋_GB2312"/>
          <w:sz w:val="32"/>
          <w:szCs w:val="32"/>
        </w:rPr>
        <w:t>B11/T</w:t>
      </w:r>
      <w:r>
        <w:rPr>
          <w:rFonts w:hint="eastAsia" w:ascii="仿宋_GB2312" w:hAnsi="仿宋" w:eastAsia="仿宋_GB2312"/>
          <w:sz w:val="32"/>
          <w:szCs w:val="32"/>
        </w:rPr>
        <w:t>1</w:t>
      </w:r>
      <w:r>
        <w:rPr>
          <w:rFonts w:ascii="仿宋_GB2312" w:hAnsi="仿宋" w:eastAsia="仿宋_GB2312"/>
          <w:sz w:val="32"/>
          <w:szCs w:val="32"/>
        </w:rPr>
        <w:t>782-2020</w:t>
      </w:r>
      <w:r>
        <w:rPr>
          <w:rFonts w:hint="eastAsia" w:ascii="仿宋_GB2312" w:hAnsi="仿宋" w:eastAsia="仿宋_GB2312"/>
          <w:sz w:val="32"/>
          <w:szCs w:val="32"/>
        </w:rPr>
        <w:t>》；</w:t>
      </w:r>
    </w:p>
    <w:p w14:paraId="21A293D7">
      <w:pPr>
        <w:widowControl w:val="0"/>
        <w:spacing w:after="0" w:line="560" w:lineRule="exact"/>
        <w:ind w:left="220" w:leftChars="100" w:firstLine="640" w:firstLineChars="200"/>
        <w:jc w:val="both"/>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《二氧化碳排放核算和报告要求</w:t>
      </w:r>
      <w:r>
        <w:rPr>
          <w:rFonts w:ascii="仿宋_GB2312" w:hAnsi="仿宋" w:eastAsia="仿宋_GB2312"/>
          <w:sz w:val="32"/>
          <w:szCs w:val="32"/>
        </w:rPr>
        <w:t>石油化工生产业（</w:t>
      </w:r>
      <w:r>
        <w:rPr>
          <w:rFonts w:hint="eastAsia" w:ascii="仿宋_GB2312" w:hAnsi="仿宋" w:eastAsia="仿宋_GB2312"/>
          <w:sz w:val="32"/>
          <w:szCs w:val="32"/>
        </w:rPr>
        <w:t>D</w:t>
      </w:r>
      <w:r>
        <w:rPr>
          <w:rFonts w:ascii="仿宋_GB2312" w:hAnsi="仿宋" w:eastAsia="仿宋_GB2312"/>
          <w:sz w:val="32"/>
          <w:szCs w:val="32"/>
        </w:rPr>
        <w:t>B11/T</w:t>
      </w:r>
      <w:r>
        <w:rPr>
          <w:rFonts w:hint="eastAsia" w:ascii="仿宋_GB2312" w:hAnsi="仿宋" w:eastAsia="仿宋_GB2312"/>
          <w:sz w:val="32"/>
          <w:szCs w:val="32"/>
        </w:rPr>
        <w:t>1</w:t>
      </w:r>
      <w:r>
        <w:rPr>
          <w:rFonts w:ascii="仿宋_GB2312" w:hAnsi="仿宋" w:eastAsia="仿宋_GB2312"/>
          <w:sz w:val="32"/>
          <w:szCs w:val="32"/>
        </w:rPr>
        <w:t>783-2020</w:t>
      </w:r>
      <w:r>
        <w:rPr>
          <w:rFonts w:hint="eastAsia" w:ascii="仿宋_GB2312" w:hAnsi="仿宋" w:eastAsia="仿宋_GB2312"/>
          <w:sz w:val="32"/>
          <w:szCs w:val="32"/>
        </w:rPr>
        <w:t>》；</w:t>
      </w:r>
    </w:p>
    <w:p w14:paraId="0EB33A46">
      <w:pPr>
        <w:widowControl w:val="0"/>
        <w:spacing w:after="0" w:line="560" w:lineRule="exact"/>
        <w:ind w:left="220" w:leftChars="100" w:firstLine="640" w:firstLineChars="200"/>
        <w:jc w:val="both"/>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《二氧化碳排放核算和报告要求</w:t>
      </w:r>
      <w:r>
        <w:rPr>
          <w:rFonts w:ascii="仿宋_GB2312" w:hAnsi="仿宋" w:eastAsia="仿宋_GB2312"/>
          <w:sz w:val="32"/>
          <w:szCs w:val="32"/>
        </w:rPr>
        <w:t>热力生产和供应业（</w:t>
      </w:r>
      <w:r>
        <w:rPr>
          <w:rFonts w:hint="eastAsia" w:ascii="仿宋_GB2312" w:hAnsi="仿宋" w:eastAsia="仿宋_GB2312"/>
          <w:sz w:val="32"/>
          <w:szCs w:val="32"/>
        </w:rPr>
        <w:t>D</w:t>
      </w:r>
      <w:r>
        <w:rPr>
          <w:rFonts w:ascii="仿宋_GB2312" w:hAnsi="仿宋" w:eastAsia="仿宋_GB2312"/>
          <w:sz w:val="32"/>
          <w:szCs w:val="32"/>
        </w:rPr>
        <w:t>B11/T</w:t>
      </w:r>
      <w:r>
        <w:rPr>
          <w:rFonts w:hint="eastAsia" w:ascii="仿宋_GB2312" w:hAnsi="仿宋" w:eastAsia="仿宋_GB2312"/>
          <w:sz w:val="32"/>
          <w:szCs w:val="32"/>
        </w:rPr>
        <w:t>1</w:t>
      </w:r>
      <w:r>
        <w:rPr>
          <w:rFonts w:ascii="仿宋_GB2312" w:hAnsi="仿宋" w:eastAsia="仿宋_GB2312"/>
          <w:sz w:val="32"/>
          <w:szCs w:val="32"/>
        </w:rPr>
        <w:t>784-2020</w:t>
      </w:r>
      <w:r>
        <w:rPr>
          <w:rFonts w:hint="eastAsia" w:ascii="仿宋_GB2312" w:hAnsi="仿宋" w:eastAsia="仿宋_GB2312"/>
          <w:sz w:val="32"/>
          <w:szCs w:val="32"/>
        </w:rPr>
        <w:t>》；</w:t>
      </w:r>
    </w:p>
    <w:p w14:paraId="340DFCDB">
      <w:pPr>
        <w:widowControl w:val="0"/>
        <w:spacing w:after="0" w:line="560" w:lineRule="exact"/>
        <w:ind w:left="220" w:leftChars="100" w:firstLine="640" w:firstLineChars="200"/>
        <w:jc w:val="both"/>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《二氧化碳排放核算和报告要求</w:t>
      </w:r>
      <w:r>
        <w:rPr>
          <w:rFonts w:ascii="仿宋_GB2312" w:hAnsi="仿宋" w:eastAsia="仿宋_GB2312"/>
          <w:sz w:val="32"/>
          <w:szCs w:val="32"/>
        </w:rPr>
        <w:t>服务业（</w:t>
      </w:r>
      <w:r>
        <w:rPr>
          <w:rFonts w:hint="eastAsia" w:ascii="仿宋_GB2312" w:hAnsi="仿宋" w:eastAsia="仿宋_GB2312"/>
          <w:sz w:val="32"/>
          <w:szCs w:val="32"/>
        </w:rPr>
        <w:t>D</w:t>
      </w:r>
      <w:r>
        <w:rPr>
          <w:rFonts w:ascii="仿宋_GB2312" w:hAnsi="仿宋" w:eastAsia="仿宋_GB2312"/>
          <w:sz w:val="32"/>
          <w:szCs w:val="32"/>
        </w:rPr>
        <w:t>B11/T</w:t>
      </w:r>
      <w:r>
        <w:rPr>
          <w:rFonts w:hint="eastAsia" w:ascii="仿宋_GB2312" w:hAnsi="仿宋" w:eastAsia="仿宋_GB2312"/>
          <w:sz w:val="32"/>
          <w:szCs w:val="32"/>
        </w:rPr>
        <w:t>1</w:t>
      </w:r>
      <w:r>
        <w:rPr>
          <w:rFonts w:ascii="仿宋_GB2312" w:hAnsi="仿宋" w:eastAsia="仿宋_GB2312"/>
          <w:sz w:val="32"/>
          <w:szCs w:val="32"/>
        </w:rPr>
        <w:t>785-2020</w:t>
      </w:r>
      <w:r>
        <w:rPr>
          <w:rFonts w:hint="eastAsia" w:ascii="仿宋_GB2312" w:hAnsi="仿宋" w:eastAsia="仿宋_GB2312"/>
          <w:sz w:val="32"/>
          <w:szCs w:val="32"/>
        </w:rPr>
        <w:t>》；</w:t>
      </w:r>
    </w:p>
    <w:p w14:paraId="3635F4B9">
      <w:pPr>
        <w:widowControl w:val="0"/>
        <w:spacing w:after="0" w:line="560" w:lineRule="exact"/>
        <w:ind w:left="220" w:leftChars="100" w:firstLine="640" w:firstLineChars="200"/>
        <w:jc w:val="both"/>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《二氧化碳排放核算和报告要求</w:t>
      </w:r>
      <w:r>
        <w:rPr>
          <w:rFonts w:ascii="仿宋_GB2312" w:hAnsi="仿宋" w:eastAsia="仿宋_GB2312"/>
          <w:sz w:val="32"/>
          <w:szCs w:val="32"/>
        </w:rPr>
        <w:t>道路运输业（</w:t>
      </w:r>
      <w:r>
        <w:rPr>
          <w:rFonts w:hint="eastAsia" w:ascii="仿宋_GB2312" w:hAnsi="仿宋" w:eastAsia="仿宋_GB2312"/>
          <w:sz w:val="32"/>
          <w:szCs w:val="32"/>
        </w:rPr>
        <w:t>D</w:t>
      </w:r>
      <w:r>
        <w:rPr>
          <w:rFonts w:ascii="仿宋_GB2312" w:hAnsi="仿宋" w:eastAsia="仿宋_GB2312"/>
          <w:sz w:val="32"/>
          <w:szCs w:val="32"/>
        </w:rPr>
        <w:t>B11/T</w:t>
      </w:r>
      <w:r>
        <w:rPr>
          <w:rFonts w:hint="eastAsia" w:ascii="仿宋_GB2312" w:hAnsi="仿宋" w:eastAsia="仿宋_GB2312"/>
          <w:sz w:val="32"/>
          <w:szCs w:val="32"/>
        </w:rPr>
        <w:t>1</w:t>
      </w:r>
      <w:r>
        <w:rPr>
          <w:rFonts w:ascii="仿宋_GB2312" w:hAnsi="仿宋" w:eastAsia="仿宋_GB2312"/>
          <w:sz w:val="32"/>
          <w:szCs w:val="32"/>
        </w:rPr>
        <w:t>786-2020</w:t>
      </w:r>
      <w:r>
        <w:rPr>
          <w:rFonts w:hint="eastAsia" w:ascii="仿宋_GB2312" w:hAnsi="仿宋" w:eastAsia="仿宋_GB2312"/>
          <w:sz w:val="32"/>
          <w:szCs w:val="32"/>
        </w:rPr>
        <w:t>》</w:t>
      </w:r>
      <w:r>
        <w:rPr>
          <w:rFonts w:ascii="仿宋_GB2312" w:hAnsi="仿宋" w:eastAsia="仿宋_GB2312"/>
          <w:sz w:val="32"/>
          <w:szCs w:val="32"/>
        </w:rPr>
        <w:t>；</w:t>
      </w:r>
    </w:p>
    <w:p w14:paraId="18469F5D">
      <w:pPr>
        <w:widowControl w:val="0"/>
        <w:spacing w:after="0" w:line="560" w:lineRule="exact"/>
        <w:ind w:left="220" w:leftChars="100" w:firstLine="640" w:firstLineChars="200"/>
        <w:jc w:val="both"/>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 xml:space="preserve">《二氧化碳排放核算和报告要求 </w:t>
      </w:r>
      <w:r>
        <w:rPr>
          <w:rFonts w:ascii="仿宋_GB2312" w:hAnsi="仿宋" w:eastAsia="仿宋_GB2312"/>
          <w:sz w:val="32"/>
          <w:szCs w:val="32"/>
        </w:rPr>
        <w:t>其它行业（</w:t>
      </w:r>
      <w:r>
        <w:rPr>
          <w:rFonts w:hint="eastAsia" w:ascii="仿宋_GB2312" w:hAnsi="仿宋" w:eastAsia="仿宋_GB2312"/>
          <w:sz w:val="32"/>
          <w:szCs w:val="32"/>
        </w:rPr>
        <w:t>D</w:t>
      </w:r>
      <w:r>
        <w:rPr>
          <w:rFonts w:ascii="仿宋_GB2312" w:hAnsi="仿宋" w:eastAsia="仿宋_GB2312"/>
          <w:sz w:val="32"/>
          <w:szCs w:val="32"/>
        </w:rPr>
        <w:t>B11/T</w:t>
      </w:r>
      <w:r>
        <w:rPr>
          <w:rFonts w:hint="eastAsia" w:ascii="仿宋_GB2312" w:hAnsi="仿宋" w:eastAsia="仿宋_GB2312"/>
          <w:sz w:val="32"/>
          <w:szCs w:val="32"/>
        </w:rPr>
        <w:t>1</w:t>
      </w:r>
      <w:r>
        <w:rPr>
          <w:rFonts w:ascii="仿宋_GB2312" w:hAnsi="仿宋" w:eastAsia="仿宋_GB2312"/>
          <w:sz w:val="32"/>
          <w:szCs w:val="32"/>
        </w:rPr>
        <w:t>787-2020</w:t>
      </w:r>
      <w:r>
        <w:rPr>
          <w:rFonts w:hint="eastAsia" w:ascii="仿宋_GB2312" w:hAnsi="仿宋" w:eastAsia="仿宋_GB2312"/>
          <w:sz w:val="32"/>
          <w:szCs w:val="32"/>
        </w:rPr>
        <w:t>》</w:t>
      </w:r>
    </w:p>
    <w:p w14:paraId="45A14425">
      <w:pPr>
        <w:widowControl w:val="0"/>
        <w:spacing w:after="0" w:line="560" w:lineRule="exact"/>
        <w:ind w:left="220" w:leftChars="100" w:firstLine="640" w:firstLineChars="200"/>
        <w:jc w:val="both"/>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《北京市碳排放单位二氧化碳排放核算和报告要求》。</w:t>
      </w:r>
    </w:p>
    <w:bookmarkEnd w:id="6"/>
    <w:p w14:paraId="480603B0">
      <w:pPr>
        <w:spacing w:after="0" w:line="560" w:lineRule="exact"/>
        <w:ind w:firstLine="656" w:firstLineChars="205"/>
        <w:outlineLvl w:val="0"/>
        <w:rPr>
          <w:rFonts w:ascii="黑体" w:hAnsi="黑体" w:eastAsia="黑体"/>
          <w:sz w:val="32"/>
          <w:szCs w:val="32"/>
        </w:rPr>
      </w:pPr>
      <w:bookmarkStart w:id="7" w:name="_Toc353116426"/>
      <w:r>
        <w:rPr>
          <w:rFonts w:hint="eastAsia" w:ascii="黑体" w:hAnsi="黑体" w:eastAsia="黑体"/>
          <w:sz w:val="32"/>
          <w:szCs w:val="32"/>
        </w:rPr>
        <w:t>三、核查报告编制原则和方法</w:t>
      </w:r>
      <w:bookmarkEnd w:id="7"/>
    </w:p>
    <w:p w14:paraId="2BC65FC3">
      <w:pPr>
        <w:spacing w:after="0" w:line="560" w:lineRule="exact"/>
        <w:ind w:firstLine="880" w:firstLineChars="274"/>
        <w:outlineLvl w:val="0"/>
        <w:rPr>
          <w:rFonts w:ascii="楷体_GB2312" w:hAnsi="仿宋" w:eastAsia="楷体_GB2312"/>
          <w:b/>
          <w:sz w:val="32"/>
          <w:szCs w:val="32"/>
        </w:rPr>
      </w:pPr>
      <w:bookmarkStart w:id="8" w:name="_Toc353116427"/>
      <w:r>
        <w:rPr>
          <w:rFonts w:hint="eastAsia" w:ascii="楷体_GB2312" w:hAnsi="仿宋" w:eastAsia="楷体_GB2312"/>
          <w:b/>
          <w:sz w:val="32"/>
          <w:szCs w:val="32"/>
        </w:rPr>
        <w:t>（一）编制原则</w:t>
      </w:r>
      <w:bookmarkEnd w:id="8"/>
    </w:p>
    <w:p w14:paraId="0F31E960">
      <w:pPr>
        <w:pStyle w:val="58"/>
        <w:numPr>
          <w:ilvl w:val="0"/>
          <w:numId w:val="1"/>
        </w:numPr>
        <w:spacing w:line="560" w:lineRule="exact"/>
        <w:ind w:left="110" w:firstLine="770"/>
        <w:rPr>
          <w:rFonts w:ascii="仿宋_GB2312" w:hAnsi="仿宋" w:eastAsia="仿宋_GB2312"/>
          <w:sz w:val="32"/>
          <w:szCs w:val="32"/>
        </w:rPr>
      </w:pPr>
      <w:r>
        <w:rPr>
          <w:rFonts w:hint="eastAsia" w:ascii="仿宋_GB2312" w:hAnsi="仿宋" w:eastAsia="仿宋_GB2312"/>
          <w:sz w:val="32"/>
          <w:szCs w:val="32"/>
        </w:rPr>
        <w:t>核查报告的编写应当遵循客观独立、公平公正、诚实守信、实事求是的原则。核查机构应独立于重点碳排放单位，避免可能的直接或间接利益冲突，核查员在核查过程中应保持客观，核查结论应以核查过程中获得的客观依据为基础，避免任何偏见，不受其它利益方的影响；</w:t>
      </w:r>
    </w:p>
    <w:p w14:paraId="2FC29DE1">
      <w:pPr>
        <w:pStyle w:val="58"/>
        <w:numPr>
          <w:ilvl w:val="0"/>
          <w:numId w:val="1"/>
        </w:numPr>
        <w:spacing w:line="560" w:lineRule="exact"/>
        <w:ind w:left="110" w:firstLine="770"/>
        <w:rPr>
          <w:rFonts w:ascii="仿宋_GB2312" w:hAnsi="仿宋" w:eastAsia="仿宋_GB2312"/>
          <w:sz w:val="32"/>
          <w:szCs w:val="32"/>
        </w:rPr>
      </w:pPr>
      <w:r>
        <w:rPr>
          <w:rFonts w:hint="eastAsia" w:ascii="仿宋_GB2312" w:hAnsi="仿宋" w:eastAsia="仿宋_GB2312"/>
          <w:sz w:val="32"/>
          <w:szCs w:val="32"/>
        </w:rPr>
        <w:t>核查机构应当采用文档查阅、现场观察和访问、分析计算等方法获取编制核查报告所需的资料和数据。</w:t>
      </w:r>
    </w:p>
    <w:p w14:paraId="12D0B93F">
      <w:pPr>
        <w:pStyle w:val="58"/>
        <w:numPr>
          <w:ilvl w:val="0"/>
          <w:numId w:val="1"/>
        </w:numPr>
        <w:spacing w:line="560" w:lineRule="exact"/>
        <w:ind w:left="110" w:firstLine="770"/>
        <w:rPr>
          <w:rFonts w:ascii="仿宋_GB2312" w:hAnsi="仿宋" w:eastAsia="仿宋_GB2312"/>
          <w:sz w:val="32"/>
          <w:szCs w:val="32"/>
        </w:rPr>
      </w:pPr>
      <w:r>
        <w:rPr>
          <w:rFonts w:hint="eastAsia" w:ascii="仿宋_GB2312" w:hAnsi="仿宋" w:eastAsia="仿宋_GB2312"/>
          <w:sz w:val="32"/>
          <w:szCs w:val="32"/>
        </w:rPr>
        <w:t>核查机构在核查过程中应当保持一致性。一致性体现在:在整个报告期内的核算和报告的准则保持一致；历史排放报告和年度排放报告的核查方法保持一致；在不同重点碳排放单位存在类似情形时，核查方法保持一致。</w:t>
      </w:r>
    </w:p>
    <w:p w14:paraId="61F4C060">
      <w:pPr>
        <w:pStyle w:val="58"/>
        <w:numPr>
          <w:ilvl w:val="0"/>
          <w:numId w:val="1"/>
        </w:numPr>
        <w:spacing w:line="560" w:lineRule="exact"/>
        <w:ind w:left="110" w:firstLine="770"/>
        <w:rPr>
          <w:rFonts w:ascii="仿宋_GB2312" w:hAnsi="仿宋" w:eastAsia="仿宋_GB2312"/>
          <w:sz w:val="32"/>
          <w:szCs w:val="32"/>
        </w:rPr>
      </w:pPr>
      <w:r>
        <w:rPr>
          <w:rFonts w:hint="eastAsia" w:ascii="仿宋_GB2312" w:hAnsi="仿宋" w:eastAsia="仿宋_GB2312"/>
          <w:sz w:val="32"/>
          <w:szCs w:val="32"/>
        </w:rPr>
        <w:t>核查机构在核查过程中应当保持透明性。透明性体现在核查报告中的信息应以一种开放的、清晰的、实际的、中立的和相关的方式来表达，并且以文件化的证据为基础，应清晰地标明引用文件。</w:t>
      </w:r>
    </w:p>
    <w:p w14:paraId="0A8F9A32">
      <w:pPr>
        <w:pStyle w:val="58"/>
        <w:numPr>
          <w:ilvl w:val="0"/>
          <w:numId w:val="1"/>
        </w:numPr>
        <w:spacing w:line="560" w:lineRule="exact"/>
        <w:ind w:left="110" w:firstLine="770"/>
        <w:rPr>
          <w:rFonts w:ascii="仿宋_GB2312" w:hAnsi="仿宋" w:eastAsia="仿宋_GB2312"/>
          <w:sz w:val="32"/>
          <w:szCs w:val="32"/>
        </w:rPr>
      </w:pPr>
      <w:r>
        <w:rPr>
          <w:rFonts w:hint="eastAsia" w:ascii="仿宋_GB2312" w:hAnsi="仿宋" w:eastAsia="仿宋_GB2312"/>
          <w:sz w:val="32"/>
          <w:szCs w:val="32"/>
        </w:rPr>
        <w:t>核查机构应当保守重点碳排放单位的商业秘密及相关数据和资料。核查员应遵守核查机构与重点碳排放单位签订的核查协议中约定的保密条款，对核查过程中所获取的信息负有保密责任。</w:t>
      </w:r>
    </w:p>
    <w:p w14:paraId="5278DE34">
      <w:pPr>
        <w:spacing w:after="0" w:line="560" w:lineRule="exact"/>
        <w:ind w:firstLine="880" w:firstLineChars="274"/>
        <w:outlineLvl w:val="0"/>
        <w:rPr>
          <w:rFonts w:ascii="楷体_GB2312" w:hAnsi="仿宋" w:eastAsia="楷体_GB2312"/>
          <w:b/>
          <w:sz w:val="32"/>
          <w:szCs w:val="32"/>
        </w:rPr>
      </w:pPr>
      <w:bookmarkStart w:id="9" w:name="_Toc353116428"/>
      <w:r>
        <w:rPr>
          <w:rFonts w:hint="eastAsia" w:ascii="楷体_GB2312" w:hAnsi="仿宋" w:eastAsia="楷体_GB2312"/>
          <w:b/>
          <w:sz w:val="32"/>
          <w:szCs w:val="32"/>
        </w:rPr>
        <w:t>（二）编制方法</w:t>
      </w:r>
      <w:bookmarkEnd w:id="9"/>
    </w:p>
    <w:p w14:paraId="03445230">
      <w:pPr>
        <w:spacing w:after="0" w:line="560" w:lineRule="exact"/>
        <w:ind w:firstLine="656" w:firstLineChars="205"/>
        <w:outlineLvl w:val="0"/>
        <w:rPr>
          <w:rFonts w:ascii="仿宋_GB2312" w:hAnsi="仿宋" w:eastAsia="仿宋_GB2312"/>
          <w:sz w:val="32"/>
          <w:szCs w:val="32"/>
        </w:rPr>
      </w:pPr>
      <w:r>
        <w:rPr>
          <w:rFonts w:hint="eastAsia" w:ascii="仿宋_GB2312" w:hAnsi="仿宋" w:eastAsia="仿宋_GB2312"/>
          <w:sz w:val="32"/>
          <w:szCs w:val="32"/>
        </w:rPr>
        <w:t>1.基本原理</w:t>
      </w:r>
    </w:p>
    <w:p w14:paraId="5E24EA6D">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二氧化碳排放核算和核查所依据的基本原理包括：物料平衡原理、排放因子计算方法以及实时监测原理。实时监测办法测量结果的不确定性不能高于采用基于物料平衡或基于排放因子的方法学的计算结果。</w:t>
      </w:r>
    </w:p>
    <w:p w14:paraId="022C2C29">
      <w:pPr>
        <w:spacing w:after="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2.基本方法</w:t>
      </w:r>
    </w:p>
    <w:p w14:paraId="0D463668">
      <w:pPr>
        <w:pStyle w:val="58"/>
        <w:spacing w:line="560" w:lineRule="exact"/>
        <w:ind w:firstLine="640" w:firstLineChars="200"/>
        <w:rPr>
          <w:rFonts w:ascii="仿宋_GB2312" w:hAnsi="仿宋" w:eastAsia="仿宋_GB2312" w:cs="Arial"/>
          <w:sz w:val="32"/>
          <w:szCs w:val="32"/>
        </w:rPr>
      </w:pPr>
      <w:r>
        <w:rPr>
          <w:rFonts w:hint="eastAsia" w:ascii="仿宋_GB2312" w:hAnsi="仿宋" w:eastAsia="仿宋_GB2312" w:cs="Arial"/>
          <w:sz w:val="32"/>
          <w:szCs w:val="32"/>
        </w:rPr>
        <w:t>核查机构应使用标准的核查方法来评估重点碳排放单位提供信息的质量，并编写核查报告。方法包括但不限于：</w:t>
      </w:r>
    </w:p>
    <w:p w14:paraId="40B2B243">
      <w:pPr>
        <w:pStyle w:val="58"/>
        <w:spacing w:line="560" w:lineRule="exact"/>
        <w:ind w:firstLine="640" w:firstLineChars="200"/>
        <w:rPr>
          <w:rFonts w:ascii="仿宋_GB2312" w:hAnsi="仿宋" w:eastAsia="仿宋_GB2312" w:cs="Arial"/>
          <w:sz w:val="32"/>
          <w:szCs w:val="32"/>
        </w:rPr>
      </w:pPr>
      <w:r>
        <w:rPr>
          <w:rFonts w:hint="eastAsia" w:ascii="仿宋_GB2312" w:hAnsi="仿宋" w:eastAsia="仿宋_GB2312" w:cs="Arial"/>
          <w:sz w:val="32"/>
          <w:szCs w:val="32"/>
        </w:rPr>
        <w:t>1）文件评审，包括：</w:t>
      </w:r>
    </w:p>
    <w:p w14:paraId="33721CEB">
      <w:pPr>
        <w:pStyle w:val="58"/>
        <w:numPr>
          <w:ilvl w:val="0"/>
          <w:numId w:val="2"/>
        </w:numPr>
        <w:spacing w:line="560" w:lineRule="exact"/>
        <w:ind w:left="0" w:firstLine="480"/>
        <w:rPr>
          <w:rFonts w:ascii="仿宋_GB2312" w:hAnsi="仿宋" w:eastAsia="仿宋_GB2312"/>
          <w:sz w:val="32"/>
          <w:szCs w:val="32"/>
        </w:rPr>
      </w:pPr>
      <w:r>
        <w:rPr>
          <w:rFonts w:hint="eastAsia" w:ascii="仿宋_GB2312" w:hAnsi="仿宋" w:eastAsia="仿宋_GB2312" w:cs="Arial"/>
          <w:sz w:val="32"/>
          <w:szCs w:val="32"/>
        </w:rPr>
        <w:t>评审重点碳排放单位提供的数据和信息的完整性，判断排放是否包括了所有的相关地方标准或适用核算和报告指南所界定的化石燃料燃烧的二氧化碳排放、工业生产过程的二氧化碳排放、废弃物处理等二氧化碳直接排放以及电力消耗隐含的电力生产时的二氧化碳间接排放</w:t>
      </w:r>
      <w:r>
        <w:rPr>
          <w:rFonts w:hint="eastAsia" w:ascii="仿宋_GB2312" w:hAnsi="仿宋" w:eastAsia="仿宋_GB2312"/>
          <w:sz w:val="32"/>
          <w:szCs w:val="32"/>
        </w:rPr>
        <w:t>；</w:t>
      </w:r>
    </w:p>
    <w:p w14:paraId="4F0E9A56">
      <w:pPr>
        <w:pStyle w:val="58"/>
        <w:numPr>
          <w:ilvl w:val="0"/>
          <w:numId w:val="3"/>
        </w:numPr>
        <w:spacing w:line="560" w:lineRule="exact"/>
        <w:ind w:left="0" w:firstLine="480"/>
        <w:rPr>
          <w:rFonts w:ascii="仿宋_GB2312" w:hAnsi="仿宋" w:eastAsia="仿宋_GB2312" w:cs="Arial"/>
          <w:sz w:val="32"/>
          <w:szCs w:val="32"/>
        </w:rPr>
      </w:pPr>
      <w:r>
        <w:rPr>
          <w:rFonts w:hint="eastAsia" w:ascii="仿宋_GB2312" w:hAnsi="仿宋" w:eastAsia="仿宋_GB2312" w:cs="Arial"/>
          <w:sz w:val="32"/>
          <w:szCs w:val="32"/>
        </w:rPr>
        <w:t>若发现异常值、异常波动和趋势、数据缺失、与其他相关信息不一致或与预期数值、比率显著不同的数据，应要求重点碳排放单位对此提供解释，同时提供其他的相关证据予以支持。根据提供的解释和其他证据，核查机构应评估这些异常对所报告数据产生的影响。</w:t>
      </w:r>
    </w:p>
    <w:p w14:paraId="09B871F5">
      <w:pPr>
        <w:pStyle w:val="58"/>
        <w:spacing w:line="560" w:lineRule="exact"/>
        <w:ind w:firstLine="640" w:firstLineChars="200"/>
        <w:rPr>
          <w:rFonts w:ascii="仿宋_GB2312" w:hAnsi="仿宋" w:eastAsia="仿宋_GB2312" w:cs="Arial"/>
          <w:sz w:val="32"/>
          <w:szCs w:val="32"/>
        </w:rPr>
      </w:pPr>
      <w:r>
        <w:rPr>
          <w:rFonts w:hint="eastAsia" w:ascii="仿宋_GB2312" w:hAnsi="仿宋" w:eastAsia="仿宋_GB2312" w:cs="Arial"/>
          <w:sz w:val="32"/>
          <w:szCs w:val="32"/>
        </w:rPr>
        <w:t>2)现场访问，包括：</w:t>
      </w:r>
    </w:p>
    <w:p w14:paraId="7E86C9DF">
      <w:pPr>
        <w:pStyle w:val="58"/>
        <w:numPr>
          <w:ilvl w:val="0"/>
          <w:numId w:val="3"/>
        </w:numPr>
        <w:spacing w:line="560" w:lineRule="exact"/>
        <w:ind w:left="0" w:firstLine="480"/>
        <w:rPr>
          <w:rFonts w:ascii="仿宋_GB2312" w:hAnsi="仿宋" w:eastAsia="仿宋_GB2312" w:cs="Arial"/>
          <w:sz w:val="32"/>
          <w:szCs w:val="32"/>
        </w:rPr>
      </w:pPr>
      <w:r>
        <w:rPr>
          <w:rFonts w:hint="eastAsia" w:ascii="仿宋_GB2312" w:hAnsi="仿宋" w:eastAsia="仿宋_GB2312" w:cs="Arial"/>
          <w:sz w:val="32"/>
          <w:szCs w:val="32"/>
        </w:rPr>
        <w:t>评审设施的边界以及排放源的完整性，检查设备的名称、设备型号和物理位置，还可根据风险的大小决定是否需要访问重点碳排放单位的其他地点，包括开展数据流管理和其他质量控制活动的其他地点，例如集团总部和不在该现场的其他办公场所；</w:t>
      </w:r>
    </w:p>
    <w:p w14:paraId="3312BEA3">
      <w:pPr>
        <w:pStyle w:val="58"/>
        <w:numPr>
          <w:ilvl w:val="0"/>
          <w:numId w:val="3"/>
        </w:numPr>
        <w:spacing w:line="560" w:lineRule="exact"/>
        <w:ind w:left="0" w:firstLine="480"/>
        <w:rPr>
          <w:rFonts w:ascii="仿宋_GB2312" w:hAnsi="仿宋" w:eastAsia="仿宋_GB2312" w:cs="Arial"/>
          <w:sz w:val="32"/>
          <w:szCs w:val="32"/>
        </w:rPr>
      </w:pPr>
      <w:r>
        <w:rPr>
          <w:rFonts w:hint="eastAsia" w:ascii="仿宋_GB2312" w:hAnsi="仿宋" w:eastAsia="仿宋_GB2312" w:cs="Arial"/>
          <w:sz w:val="32"/>
          <w:szCs w:val="32"/>
        </w:rPr>
        <w:t>访谈相关人员以判断数据收集程序与</w:t>
      </w:r>
      <w:r>
        <w:rPr>
          <w:rFonts w:hint="eastAsia" w:ascii="仿宋_GB2312" w:hAnsi="仿宋" w:eastAsia="仿宋_GB2312"/>
          <w:sz w:val="32"/>
          <w:szCs w:val="32"/>
        </w:rPr>
        <w:t>相关行业指南的要求是否保持一致。并且确保对于同一企业的同一种生产活动，其二氧化碳排放的核算方法应保持不变</w:t>
      </w:r>
      <w:r>
        <w:rPr>
          <w:rFonts w:hint="eastAsia" w:ascii="仿宋_GB2312" w:hAnsi="仿宋" w:eastAsia="仿宋_GB2312" w:cs="Arial"/>
          <w:sz w:val="32"/>
          <w:szCs w:val="32"/>
        </w:rPr>
        <w:t>；</w:t>
      </w:r>
    </w:p>
    <w:p w14:paraId="7603F254">
      <w:pPr>
        <w:pStyle w:val="58"/>
        <w:numPr>
          <w:ilvl w:val="0"/>
          <w:numId w:val="3"/>
        </w:numPr>
        <w:spacing w:line="560" w:lineRule="exact"/>
        <w:ind w:left="0" w:firstLine="480"/>
        <w:rPr>
          <w:rFonts w:ascii="仿宋_GB2312" w:hAnsi="仿宋" w:eastAsia="仿宋_GB2312" w:cs="Arial"/>
          <w:sz w:val="32"/>
          <w:szCs w:val="32"/>
        </w:rPr>
      </w:pPr>
      <w:r>
        <w:rPr>
          <w:rFonts w:hint="eastAsia" w:ascii="仿宋_GB2312" w:hAnsi="仿宋" w:eastAsia="仿宋_GB2312" w:cs="Arial"/>
          <w:sz w:val="32"/>
          <w:szCs w:val="32"/>
        </w:rPr>
        <w:t>检查测量设备</w:t>
      </w:r>
      <w:r>
        <w:rPr>
          <w:rFonts w:hint="eastAsia" w:ascii="仿宋_GB2312" w:hAnsi="仿宋" w:eastAsia="仿宋_GB2312"/>
          <w:sz w:val="32"/>
          <w:szCs w:val="32"/>
        </w:rPr>
        <w:t>，</w:t>
      </w:r>
      <w:r>
        <w:rPr>
          <w:rFonts w:hint="eastAsia" w:ascii="仿宋_GB2312" w:hAnsi="仿宋" w:eastAsia="仿宋_GB2312" w:cs="Arial"/>
          <w:sz w:val="32"/>
          <w:szCs w:val="32"/>
        </w:rPr>
        <w:t>包括检查设备的精度及校准记录及观察测量设备的运行，评审数据的监测频次，判断数据的监测和监测计划的制定与实施是否符合适用的地方标准或核算和报告指南的要求；</w:t>
      </w:r>
    </w:p>
    <w:p w14:paraId="01E5580F">
      <w:pPr>
        <w:pStyle w:val="58"/>
        <w:numPr>
          <w:ilvl w:val="0"/>
          <w:numId w:val="3"/>
        </w:numPr>
        <w:spacing w:line="560" w:lineRule="exact"/>
        <w:ind w:left="0" w:firstLine="480"/>
        <w:rPr>
          <w:rFonts w:ascii="仿宋_GB2312" w:hAnsi="仿宋" w:eastAsia="仿宋_GB2312" w:cs="Arial"/>
          <w:sz w:val="32"/>
          <w:szCs w:val="32"/>
        </w:rPr>
      </w:pPr>
      <w:r>
        <w:rPr>
          <w:rFonts w:hint="eastAsia" w:ascii="仿宋_GB2312" w:hAnsi="仿宋" w:eastAsia="仿宋_GB2312" w:cs="Arial"/>
          <w:sz w:val="32"/>
          <w:szCs w:val="32"/>
        </w:rPr>
        <w:t>评审数据产生、数据记录、数据传递、数据</w:t>
      </w:r>
      <w:r>
        <w:rPr>
          <w:rFonts w:hint="eastAsia" w:ascii="仿宋_GB2312" w:hAnsi="仿宋" w:eastAsia="仿宋_GB2312"/>
          <w:sz w:val="32"/>
          <w:szCs w:val="32"/>
        </w:rPr>
        <w:t>汇总</w:t>
      </w:r>
      <w:r>
        <w:rPr>
          <w:rFonts w:hint="eastAsia" w:ascii="仿宋_GB2312" w:hAnsi="仿宋" w:eastAsia="仿宋_GB2312" w:cs="Arial"/>
          <w:sz w:val="32"/>
          <w:szCs w:val="32"/>
        </w:rPr>
        <w:t>和数据报告的信息流，判断重点碳排放单位是否以透明的方式获得、记录、分析二氧化碳排放相关数据，包括活动水平数据、排放因子数据等；</w:t>
      </w:r>
    </w:p>
    <w:p w14:paraId="54A76642">
      <w:pPr>
        <w:pStyle w:val="58"/>
        <w:numPr>
          <w:ilvl w:val="0"/>
          <w:numId w:val="3"/>
        </w:numPr>
        <w:spacing w:line="560" w:lineRule="exact"/>
        <w:ind w:left="0" w:firstLine="480"/>
        <w:rPr>
          <w:rFonts w:ascii="仿宋_GB2312" w:hAnsi="仿宋" w:eastAsia="仿宋_GB2312" w:cs="Arial"/>
          <w:sz w:val="32"/>
          <w:szCs w:val="32"/>
        </w:rPr>
      </w:pPr>
      <w:r>
        <w:rPr>
          <w:rFonts w:hint="eastAsia" w:ascii="仿宋_GB2312" w:hAnsi="仿宋" w:eastAsia="仿宋_GB2312"/>
          <w:sz w:val="32"/>
          <w:szCs w:val="32"/>
        </w:rPr>
        <w:t>交叉</w:t>
      </w:r>
      <w:r>
        <w:rPr>
          <w:rFonts w:hint="eastAsia" w:ascii="仿宋_GB2312" w:hAnsi="仿宋" w:eastAsia="仿宋_GB2312" w:cs="Arial"/>
          <w:sz w:val="32"/>
          <w:szCs w:val="32"/>
        </w:rPr>
        <w:t>核对排放报告</w:t>
      </w:r>
      <w:r>
        <w:rPr>
          <w:rFonts w:hint="eastAsia" w:ascii="仿宋_GB2312" w:hAnsi="仿宋" w:eastAsia="仿宋_GB2312"/>
          <w:sz w:val="32"/>
          <w:szCs w:val="32"/>
        </w:rPr>
        <w:t>提供</w:t>
      </w:r>
      <w:r>
        <w:rPr>
          <w:rFonts w:hint="eastAsia" w:ascii="仿宋_GB2312" w:hAnsi="仿宋" w:eastAsia="仿宋_GB2312" w:cs="Arial"/>
          <w:sz w:val="32"/>
          <w:szCs w:val="32"/>
        </w:rPr>
        <w:t>的信息和其他来源的数据（比如运行日志，库存，采购记录或其他相似数据来源），判断排放量的计算和相关数据的确定是否存在系统性的错误或者人为的故意错误，排放量计算结果是否能够真实地反映报告企业（单位）的实际情况；</w:t>
      </w:r>
    </w:p>
    <w:p w14:paraId="6584C937">
      <w:pPr>
        <w:pStyle w:val="58"/>
        <w:numPr>
          <w:ilvl w:val="0"/>
          <w:numId w:val="3"/>
        </w:numPr>
        <w:spacing w:line="560" w:lineRule="exact"/>
        <w:ind w:left="0" w:firstLine="480"/>
        <w:rPr>
          <w:rFonts w:ascii="仿宋_GB2312" w:hAnsi="仿宋" w:eastAsia="仿宋_GB2312" w:cs="Arial"/>
          <w:sz w:val="32"/>
          <w:szCs w:val="32"/>
        </w:rPr>
      </w:pPr>
      <w:r>
        <w:rPr>
          <w:rFonts w:hint="eastAsia" w:ascii="仿宋_GB2312" w:hAnsi="仿宋" w:eastAsia="仿宋_GB2312" w:cs="Arial"/>
          <w:sz w:val="32"/>
          <w:szCs w:val="32"/>
        </w:rPr>
        <w:t>评审在确定二氧化碳排放时所</w:t>
      </w:r>
      <w:r>
        <w:rPr>
          <w:rFonts w:hint="eastAsia" w:ascii="仿宋_GB2312" w:hAnsi="仿宋" w:eastAsia="仿宋_GB2312"/>
          <w:sz w:val="32"/>
          <w:szCs w:val="32"/>
        </w:rPr>
        <w:t>做</w:t>
      </w:r>
      <w:r>
        <w:rPr>
          <w:rFonts w:hint="eastAsia" w:ascii="仿宋_GB2312" w:hAnsi="仿宋" w:eastAsia="仿宋_GB2312" w:cs="Arial"/>
          <w:sz w:val="32"/>
          <w:szCs w:val="32"/>
        </w:rPr>
        <w:t>的计算和假设，复原、验算排放的计算，判断计算结果是否正确；</w:t>
      </w:r>
    </w:p>
    <w:p w14:paraId="088CBDB9">
      <w:pPr>
        <w:pStyle w:val="58"/>
        <w:numPr>
          <w:ilvl w:val="0"/>
          <w:numId w:val="3"/>
        </w:numPr>
        <w:spacing w:line="560" w:lineRule="exact"/>
        <w:ind w:left="0" w:firstLine="480"/>
        <w:rPr>
          <w:rFonts w:ascii="仿宋_GB2312" w:hAnsi="仿宋" w:eastAsia="仿宋_GB2312" w:cs="Arial"/>
          <w:sz w:val="32"/>
          <w:szCs w:val="32"/>
        </w:rPr>
      </w:pPr>
      <w:r>
        <w:rPr>
          <w:rFonts w:hint="eastAsia" w:ascii="仿宋_GB2312" w:hAnsi="仿宋" w:eastAsia="仿宋_GB2312" w:cs="Arial"/>
          <w:sz w:val="32"/>
          <w:szCs w:val="32"/>
        </w:rPr>
        <w:t>评审企业建立的核算和报告质量管理体系是否符合要求。</w:t>
      </w:r>
    </w:p>
    <w:p w14:paraId="0A2774F3">
      <w:pPr>
        <w:spacing w:after="0" w:line="560" w:lineRule="exact"/>
        <w:ind w:firstLine="656" w:firstLineChars="205"/>
        <w:jc w:val="both"/>
        <w:outlineLvl w:val="0"/>
        <w:rPr>
          <w:rFonts w:ascii="黑体" w:hAnsi="黑体" w:eastAsia="黑体"/>
          <w:sz w:val="32"/>
          <w:szCs w:val="32"/>
        </w:rPr>
      </w:pPr>
      <w:bookmarkStart w:id="10" w:name="_Toc353116429"/>
      <w:r>
        <w:rPr>
          <w:rFonts w:hint="eastAsia" w:ascii="黑体" w:hAnsi="黑体" w:eastAsia="黑体"/>
          <w:sz w:val="32"/>
          <w:szCs w:val="32"/>
        </w:rPr>
        <w:t>四、二氧化碳排放核查报告基本</w:t>
      </w:r>
      <w:bookmarkEnd w:id="10"/>
      <w:r>
        <w:rPr>
          <w:rFonts w:hint="eastAsia" w:ascii="黑体" w:hAnsi="黑体" w:eastAsia="黑体"/>
          <w:sz w:val="32"/>
          <w:szCs w:val="32"/>
        </w:rPr>
        <w:t>框架</w:t>
      </w:r>
    </w:p>
    <w:p w14:paraId="18291386">
      <w:pPr>
        <w:spacing w:after="0" w:line="560" w:lineRule="exact"/>
        <w:ind w:firstLine="659" w:firstLineChars="205"/>
        <w:jc w:val="both"/>
        <w:outlineLvl w:val="0"/>
        <w:rPr>
          <w:rFonts w:ascii="楷体_GB2312" w:hAnsi="仿宋" w:eastAsia="楷体_GB2312"/>
          <w:b/>
          <w:sz w:val="32"/>
          <w:szCs w:val="32"/>
        </w:rPr>
      </w:pPr>
      <w:bookmarkStart w:id="11" w:name="_Toc353116430"/>
      <w:bookmarkStart w:id="12" w:name="_Toc314496529"/>
      <w:r>
        <w:rPr>
          <w:rFonts w:hint="eastAsia" w:ascii="楷体_GB2312" w:hAnsi="仿宋" w:eastAsia="楷体_GB2312"/>
          <w:b/>
          <w:sz w:val="32"/>
          <w:szCs w:val="32"/>
        </w:rPr>
        <w:t>（一）报告文本</w:t>
      </w:r>
      <w:bookmarkEnd w:id="11"/>
      <w:bookmarkEnd w:id="12"/>
    </w:p>
    <w:p w14:paraId="4B664BFB">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二氧化碳排放核查报告文本应包括以下内容，并按如下顺序装订成册：</w:t>
      </w:r>
    </w:p>
    <w:p w14:paraId="7CAE4B9A">
      <w:pPr>
        <w:widowControl w:val="0"/>
        <w:numPr>
          <w:ilvl w:val="0"/>
          <w:numId w:val="4"/>
        </w:numPr>
        <w:spacing w:after="0" w:line="560" w:lineRule="exact"/>
        <w:ind w:firstLine="240"/>
        <w:jc w:val="both"/>
        <w:rPr>
          <w:rFonts w:ascii="仿宋_GB2312" w:hAnsi="仿宋" w:eastAsia="仿宋_GB2312"/>
          <w:sz w:val="32"/>
          <w:szCs w:val="32"/>
        </w:rPr>
      </w:pPr>
      <w:r>
        <w:rPr>
          <w:rFonts w:hint="eastAsia" w:ascii="仿宋_GB2312" w:hAnsi="仿宋" w:eastAsia="仿宋_GB2312"/>
          <w:sz w:val="32"/>
          <w:szCs w:val="32"/>
        </w:rPr>
        <w:t>1.封面</w:t>
      </w:r>
    </w:p>
    <w:p w14:paraId="660C2279">
      <w:pPr>
        <w:widowControl w:val="0"/>
        <w:numPr>
          <w:ilvl w:val="0"/>
          <w:numId w:val="4"/>
        </w:numPr>
        <w:spacing w:after="0" w:line="560" w:lineRule="exact"/>
        <w:ind w:firstLine="240"/>
        <w:jc w:val="both"/>
        <w:rPr>
          <w:rFonts w:ascii="仿宋_GB2312" w:hAnsi="仿宋" w:eastAsia="仿宋_GB2312"/>
          <w:sz w:val="32"/>
          <w:szCs w:val="32"/>
        </w:rPr>
      </w:pPr>
      <w:r>
        <w:rPr>
          <w:rFonts w:hint="eastAsia" w:ascii="仿宋_GB2312" w:hAnsi="仿宋" w:eastAsia="仿宋_GB2312"/>
          <w:sz w:val="32"/>
          <w:szCs w:val="32"/>
        </w:rPr>
        <w:t>2.扉页</w:t>
      </w:r>
    </w:p>
    <w:p w14:paraId="7024C903">
      <w:pPr>
        <w:widowControl w:val="0"/>
        <w:numPr>
          <w:ilvl w:val="0"/>
          <w:numId w:val="4"/>
        </w:numPr>
        <w:spacing w:after="0" w:line="560" w:lineRule="exact"/>
        <w:ind w:firstLine="240"/>
        <w:jc w:val="both"/>
        <w:rPr>
          <w:rFonts w:ascii="仿宋_GB2312" w:hAnsi="仿宋" w:eastAsia="仿宋_GB2312"/>
          <w:sz w:val="32"/>
          <w:szCs w:val="32"/>
        </w:rPr>
      </w:pPr>
      <w:r>
        <w:rPr>
          <w:rFonts w:hint="eastAsia" w:ascii="仿宋_GB2312" w:hAnsi="仿宋" w:eastAsia="仿宋_GB2312"/>
          <w:sz w:val="32"/>
          <w:szCs w:val="32"/>
        </w:rPr>
        <w:t>3.目录</w:t>
      </w:r>
    </w:p>
    <w:p w14:paraId="5CF2F3C9">
      <w:pPr>
        <w:widowControl w:val="0"/>
        <w:numPr>
          <w:ilvl w:val="0"/>
          <w:numId w:val="4"/>
        </w:numPr>
        <w:spacing w:after="0" w:line="560" w:lineRule="exact"/>
        <w:ind w:firstLine="240"/>
        <w:jc w:val="both"/>
        <w:rPr>
          <w:rFonts w:ascii="仿宋_GB2312" w:hAnsi="仿宋" w:eastAsia="仿宋_GB2312"/>
          <w:sz w:val="32"/>
          <w:szCs w:val="32"/>
        </w:rPr>
      </w:pPr>
      <w:r>
        <w:rPr>
          <w:rFonts w:hint="eastAsia" w:ascii="仿宋_GB2312" w:hAnsi="仿宋" w:eastAsia="仿宋_GB2312"/>
          <w:sz w:val="32"/>
          <w:szCs w:val="32"/>
        </w:rPr>
        <w:t>4.正文</w:t>
      </w:r>
    </w:p>
    <w:p w14:paraId="56B3526F">
      <w:pPr>
        <w:widowControl w:val="0"/>
        <w:numPr>
          <w:ilvl w:val="0"/>
          <w:numId w:val="4"/>
        </w:numPr>
        <w:spacing w:after="0" w:line="560" w:lineRule="exact"/>
        <w:ind w:firstLine="240"/>
        <w:jc w:val="both"/>
        <w:rPr>
          <w:rFonts w:ascii="仿宋_GB2312" w:hAnsi="仿宋" w:eastAsia="仿宋_GB2312"/>
          <w:sz w:val="32"/>
          <w:szCs w:val="32"/>
        </w:rPr>
      </w:pPr>
      <w:r>
        <w:rPr>
          <w:rFonts w:hint="eastAsia" w:ascii="仿宋_GB2312" w:hAnsi="仿宋" w:eastAsia="仿宋_GB2312"/>
          <w:sz w:val="32"/>
          <w:szCs w:val="32"/>
        </w:rPr>
        <w:t>5.参考文件</w:t>
      </w:r>
    </w:p>
    <w:p w14:paraId="7EF03CAD">
      <w:pPr>
        <w:spacing w:after="0" w:line="560" w:lineRule="exact"/>
        <w:ind w:firstLine="659" w:firstLineChars="205"/>
        <w:jc w:val="both"/>
        <w:outlineLvl w:val="0"/>
        <w:rPr>
          <w:rFonts w:ascii="楷体_GB2312" w:hAnsi="仿宋" w:eastAsia="楷体_GB2312"/>
          <w:b/>
          <w:sz w:val="32"/>
          <w:szCs w:val="32"/>
        </w:rPr>
      </w:pPr>
      <w:bookmarkStart w:id="13" w:name="_Toc353116431"/>
      <w:bookmarkStart w:id="14" w:name="_Toc314496530"/>
      <w:r>
        <w:rPr>
          <w:rFonts w:hint="eastAsia" w:ascii="楷体_GB2312" w:hAnsi="仿宋" w:eastAsia="楷体_GB2312"/>
          <w:b/>
          <w:sz w:val="32"/>
          <w:szCs w:val="32"/>
        </w:rPr>
        <w:t>（二）报告正文</w:t>
      </w:r>
      <w:bookmarkEnd w:id="13"/>
      <w:bookmarkEnd w:id="14"/>
    </w:p>
    <w:p w14:paraId="5D9DA561">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报告正文应包括如下内容：</w:t>
      </w:r>
    </w:p>
    <w:p w14:paraId="10FD3B11">
      <w:pPr>
        <w:widowControl w:val="0"/>
        <w:numPr>
          <w:ilvl w:val="0"/>
          <w:numId w:val="5"/>
        </w:numPr>
        <w:spacing w:after="0" w:line="560" w:lineRule="exact"/>
        <w:ind w:firstLine="240" w:firstLineChars="75"/>
        <w:jc w:val="both"/>
        <w:rPr>
          <w:rFonts w:ascii="仿宋_GB2312" w:hAnsi="仿宋" w:eastAsia="仿宋_GB2312"/>
          <w:sz w:val="32"/>
          <w:szCs w:val="32"/>
        </w:rPr>
      </w:pPr>
      <w:r>
        <w:rPr>
          <w:rFonts w:hint="eastAsia" w:ascii="仿宋_GB2312" w:hAnsi="仿宋" w:eastAsia="仿宋_GB2312"/>
          <w:sz w:val="32"/>
          <w:szCs w:val="32"/>
        </w:rPr>
        <w:t>1. 概述</w:t>
      </w:r>
    </w:p>
    <w:p w14:paraId="7066A1FA">
      <w:pPr>
        <w:widowControl w:val="0"/>
        <w:numPr>
          <w:ilvl w:val="0"/>
          <w:numId w:val="5"/>
        </w:numPr>
        <w:spacing w:after="0" w:line="560" w:lineRule="exact"/>
        <w:ind w:firstLine="240" w:firstLineChars="75"/>
        <w:jc w:val="both"/>
        <w:rPr>
          <w:rFonts w:ascii="仿宋_GB2312" w:hAnsi="仿宋" w:eastAsia="仿宋_GB2312"/>
          <w:sz w:val="32"/>
          <w:szCs w:val="32"/>
        </w:rPr>
      </w:pPr>
      <w:r>
        <w:rPr>
          <w:rFonts w:hint="eastAsia" w:ascii="仿宋_GB2312" w:hAnsi="仿宋" w:eastAsia="仿宋_GB2312"/>
          <w:sz w:val="32"/>
          <w:szCs w:val="32"/>
        </w:rPr>
        <w:t>2. 核查过程和方法</w:t>
      </w:r>
    </w:p>
    <w:p w14:paraId="2FCD844F">
      <w:pPr>
        <w:widowControl w:val="0"/>
        <w:numPr>
          <w:ilvl w:val="0"/>
          <w:numId w:val="5"/>
        </w:numPr>
        <w:spacing w:after="0" w:line="560" w:lineRule="exact"/>
        <w:ind w:firstLine="240" w:firstLineChars="75"/>
        <w:jc w:val="both"/>
        <w:rPr>
          <w:rFonts w:ascii="仿宋_GB2312" w:hAnsi="仿宋" w:eastAsia="仿宋_GB2312"/>
          <w:sz w:val="32"/>
          <w:szCs w:val="32"/>
        </w:rPr>
      </w:pPr>
      <w:r>
        <w:rPr>
          <w:rFonts w:hint="eastAsia" w:ascii="仿宋_GB2312" w:hAnsi="仿宋" w:eastAsia="仿宋_GB2312"/>
          <w:sz w:val="32"/>
          <w:szCs w:val="32"/>
        </w:rPr>
        <w:t>3. 核查发现</w:t>
      </w:r>
    </w:p>
    <w:p w14:paraId="26F0C182">
      <w:pPr>
        <w:widowControl w:val="0"/>
        <w:numPr>
          <w:ilvl w:val="0"/>
          <w:numId w:val="5"/>
        </w:numPr>
        <w:spacing w:after="0" w:line="560" w:lineRule="exact"/>
        <w:ind w:firstLine="240" w:firstLineChars="75"/>
        <w:jc w:val="both"/>
        <w:rPr>
          <w:rFonts w:ascii="仿宋_GB2312" w:hAnsi="仿宋" w:eastAsia="仿宋_GB2312"/>
          <w:sz w:val="32"/>
          <w:szCs w:val="32"/>
        </w:rPr>
      </w:pPr>
      <w:r>
        <w:rPr>
          <w:rFonts w:hint="eastAsia" w:ascii="仿宋_GB2312" w:hAnsi="仿宋" w:eastAsia="仿宋_GB2312"/>
          <w:sz w:val="32"/>
          <w:szCs w:val="32"/>
        </w:rPr>
        <w:t>4. 核查结论</w:t>
      </w:r>
    </w:p>
    <w:p w14:paraId="19176BCB">
      <w:pPr>
        <w:widowControl w:val="0"/>
        <w:numPr>
          <w:ilvl w:val="0"/>
          <w:numId w:val="5"/>
        </w:numPr>
        <w:spacing w:after="0" w:line="560" w:lineRule="exact"/>
        <w:ind w:firstLine="240" w:firstLineChars="75"/>
        <w:jc w:val="both"/>
        <w:rPr>
          <w:rFonts w:ascii="仿宋_GB2312" w:hAnsi="仿宋" w:eastAsia="仿宋_GB2312"/>
          <w:sz w:val="32"/>
          <w:szCs w:val="32"/>
        </w:rPr>
      </w:pPr>
      <w:r>
        <w:rPr>
          <w:rFonts w:hint="eastAsia" w:ascii="仿宋_GB2312" w:hAnsi="仿宋" w:eastAsia="仿宋_GB2312"/>
          <w:sz w:val="32"/>
          <w:szCs w:val="32"/>
        </w:rPr>
        <w:t>5. 附件</w:t>
      </w:r>
    </w:p>
    <w:p w14:paraId="48873CD2">
      <w:pPr>
        <w:spacing w:after="0" w:line="560" w:lineRule="exact"/>
        <w:ind w:firstLine="656" w:firstLineChars="205"/>
        <w:jc w:val="both"/>
        <w:outlineLvl w:val="0"/>
        <w:rPr>
          <w:rFonts w:ascii="黑体" w:hAnsi="黑体" w:eastAsia="黑体"/>
          <w:sz w:val="32"/>
          <w:szCs w:val="32"/>
        </w:rPr>
      </w:pPr>
      <w:bookmarkStart w:id="15" w:name="_Toc353116432"/>
      <w:r>
        <w:rPr>
          <w:rFonts w:hint="eastAsia" w:ascii="黑体" w:hAnsi="黑体" w:eastAsia="黑体"/>
          <w:sz w:val="32"/>
          <w:szCs w:val="32"/>
        </w:rPr>
        <w:t>五、二氧化碳排放核查报告编写基本内容</w:t>
      </w:r>
      <w:bookmarkEnd w:id="15"/>
    </w:p>
    <w:p w14:paraId="616868A9">
      <w:pPr>
        <w:spacing w:after="0" w:line="560" w:lineRule="exact"/>
        <w:ind w:firstLine="659" w:firstLineChars="205"/>
        <w:jc w:val="both"/>
        <w:outlineLvl w:val="0"/>
        <w:rPr>
          <w:rFonts w:ascii="楷体_GB2312" w:hAnsi="仿宋" w:eastAsia="楷体_GB2312"/>
          <w:b/>
          <w:sz w:val="32"/>
          <w:szCs w:val="32"/>
        </w:rPr>
      </w:pPr>
      <w:bookmarkStart w:id="16" w:name="_Toc353116433"/>
      <w:r>
        <w:rPr>
          <w:rFonts w:hint="eastAsia" w:ascii="楷体_GB2312" w:hAnsi="仿宋" w:eastAsia="楷体_GB2312"/>
          <w:b/>
          <w:sz w:val="32"/>
          <w:szCs w:val="32"/>
        </w:rPr>
        <w:t>（一）封面</w:t>
      </w:r>
    </w:p>
    <w:p w14:paraId="5F18731B">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1．重点碳排放单位名称</w:t>
      </w:r>
    </w:p>
    <w:p w14:paraId="3C0F79F4">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“重点碳排放单位”是北京市行政区域内年二氧化碳排放量大于5000吨（含）的单位。</w:t>
      </w:r>
    </w:p>
    <w:p w14:paraId="30F9DFE5">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注1：重点碳排放单位的名称应与市主管部门公布清单中的名称一致。</w:t>
      </w:r>
    </w:p>
    <w:p w14:paraId="6DC28FCA">
      <w:pPr>
        <w:spacing w:after="0" w:line="560" w:lineRule="exact"/>
        <w:ind w:firstLine="656" w:firstLineChars="205"/>
        <w:rPr>
          <w:rFonts w:ascii="仿宋_GB2312" w:hAnsi="仿宋" w:eastAsia="仿宋_GB2312"/>
          <w:sz w:val="32"/>
          <w:szCs w:val="32"/>
        </w:rPr>
      </w:pPr>
      <w:r>
        <w:rPr>
          <w:rFonts w:hint="eastAsia" w:ascii="仿宋_GB2312" w:hAnsi="仿宋" w:eastAsia="仿宋_GB2312"/>
          <w:sz w:val="32"/>
          <w:szCs w:val="32"/>
        </w:rPr>
        <w:t>注2：自愿参与碳排放权交易的一般二氧化碳报告单位的排放报告及其核查要求同重点碳排放单位。</w:t>
      </w:r>
    </w:p>
    <w:p w14:paraId="40866B7A">
      <w:pPr>
        <w:spacing w:after="0" w:line="560" w:lineRule="exact"/>
        <w:ind w:firstLine="656" w:firstLineChars="205"/>
        <w:rPr>
          <w:rFonts w:ascii="仿宋_GB2312" w:hAnsi="仿宋" w:eastAsia="仿宋_GB2312"/>
          <w:sz w:val="32"/>
          <w:szCs w:val="32"/>
        </w:rPr>
      </w:pPr>
      <w:r>
        <w:rPr>
          <w:rFonts w:hint="eastAsia" w:ascii="仿宋_GB2312" w:hAnsi="仿宋" w:eastAsia="仿宋_GB2312"/>
          <w:sz w:val="32"/>
          <w:szCs w:val="32"/>
        </w:rPr>
        <w:t>2．报告年度</w:t>
      </w:r>
    </w:p>
    <w:p w14:paraId="429B4D20">
      <w:pPr>
        <w:spacing w:after="0" w:line="560" w:lineRule="exact"/>
        <w:ind w:firstLine="656" w:firstLineChars="205"/>
        <w:rPr>
          <w:rFonts w:ascii="仿宋_GB2312" w:hAnsi="仿宋" w:eastAsia="仿宋_GB2312"/>
          <w:sz w:val="32"/>
          <w:szCs w:val="32"/>
        </w:rPr>
      </w:pPr>
      <w:r>
        <w:rPr>
          <w:rFonts w:hint="eastAsia" w:ascii="仿宋_GB2312" w:hAnsi="仿宋" w:eastAsia="仿宋_GB2312"/>
          <w:sz w:val="32"/>
          <w:szCs w:val="32"/>
        </w:rPr>
        <w:t xml:space="preserve">3．核查机构名称（公章）                      </w:t>
      </w:r>
    </w:p>
    <w:p w14:paraId="47D991AD">
      <w:pPr>
        <w:spacing w:after="0" w:line="560" w:lineRule="exact"/>
        <w:ind w:firstLine="656" w:firstLineChars="205"/>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．报告日期</w:t>
      </w:r>
    </w:p>
    <w:p w14:paraId="1F4BE85C">
      <w:pPr>
        <w:spacing w:after="0" w:line="560" w:lineRule="exact"/>
        <w:ind w:firstLine="656" w:firstLineChars="205"/>
        <w:rPr>
          <w:rFonts w:ascii="仿宋_GB2312" w:hAnsi="仿宋" w:eastAsia="仿宋_GB2312"/>
          <w:sz w:val="32"/>
          <w:szCs w:val="32"/>
        </w:rPr>
      </w:pPr>
      <w:r>
        <w:rPr>
          <w:rFonts w:hint="eastAsia" w:ascii="仿宋_GB2312" w:hAnsi="仿宋" w:eastAsia="仿宋_GB2312"/>
          <w:sz w:val="32"/>
          <w:szCs w:val="32"/>
        </w:rPr>
        <w:t>报告日期应当与扉页中的批准人签署日期一致。</w:t>
      </w:r>
    </w:p>
    <w:p w14:paraId="6C260A90">
      <w:pPr>
        <w:spacing w:after="0" w:line="560" w:lineRule="exact"/>
        <w:ind w:firstLine="659" w:firstLineChars="205"/>
        <w:jc w:val="both"/>
        <w:outlineLvl w:val="0"/>
        <w:rPr>
          <w:rFonts w:ascii="楷体_GB2312" w:hAnsi="仿宋" w:eastAsia="楷体_GB2312"/>
          <w:b/>
          <w:sz w:val="32"/>
          <w:szCs w:val="32"/>
        </w:rPr>
      </w:pPr>
      <w:r>
        <w:rPr>
          <w:rFonts w:hint="eastAsia" w:ascii="楷体_GB2312" w:hAnsi="仿宋" w:eastAsia="楷体_GB2312"/>
          <w:b/>
          <w:sz w:val="32"/>
          <w:szCs w:val="32"/>
        </w:rPr>
        <w:t>（二）扉页</w:t>
      </w:r>
      <w:bookmarkEnd w:id="16"/>
    </w:p>
    <w:p w14:paraId="6D79E362">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1.委托方名称、地址、联系人及联系方式；</w:t>
      </w:r>
    </w:p>
    <w:p w14:paraId="3969BD0A">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“委托方”是与核查机构签署合同的机构，委托方的名称应当与核查合同中的甲方名称相一致。</w:t>
      </w:r>
    </w:p>
    <w:p w14:paraId="7D1100B0">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2．重点碳排放单位名称、地址、联系人及联系方式；</w:t>
      </w:r>
    </w:p>
    <w:p w14:paraId="5EC10956">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3．二氧化碳排放报告初始版本日期及最终版本日期</w:t>
      </w:r>
    </w:p>
    <w:p w14:paraId="2C6796B3">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二氧化碳排放报告（初始）为重点碳排放单位提交给核查机构进行核查的排放报告。最终版本是重点碳排放单位根据核查机构提出的不符合整改后的修订版本。</w:t>
      </w:r>
    </w:p>
    <w:p w14:paraId="2E901D0D">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4．报告期</w:t>
      </w:r>
    </w:p>
    <w:p w14:paraId="7AB42628">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报告期为“二氧化碳排放报告”覆盖的时期。</w:t>
      </w:r>
    </w:p>
    <w:p w14:paraId="1F584DFE">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5.核算和报告边界</w:t>
      </w:r>
    </w:p>
    <w:p w14:paraId="5E3C5357">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详细</w:t>
      </w:r>
      <w:r>
        <w:rPr>
          <w:rFonts w:ascii="仿宋_GB2312" w:hAnsi="仿宋" w:eastAsia="仿宋_GB2312"/>
          <w:sz w:val="32"/>
          <w:szCs w:val="32"/>
        </w:rPr>
        <w:t>表述报告期内</w:t>
      </w:r>
      <w:r>
        <w:rPr>
          <w:rFonts w:hint="eastAsia" w:ascii="仿宋_GB2312" w:hAnsi="仿宋" w:eastAsia="仿宋_GB2312"/>
          <w:sz w:val="32"/>
          <w:szCs w:val="32"/>
        </w:rPr>
        <w:t>的</w:t>
      </w:r>
      <w:r>
        <w:rPr>
          <w:rFonts w:ascii="仿宋_GB2312" w:hAnsi="仿宋" w:eastAsia="仿宋_GB2312"/>
          <w:sz w:val="32"/>
          <w:szCs w:val="32"/>
        </w:rPr>
        <w:t>核算边界，以及与</w:t>
      </w:r>
      <w:r>
        <w:rPr>
          <w:rFonts w:hint="eastAsia" w:ascii="仿宋_GB2312" w:hAnsi="仿宋" w:eastAsia="仿宋_GB2312"/>
          <w:sz w:val="32"/>
          <w:szCs w:val="32"/>
        </w:rPr>
        <w:t>历史</w:t>
      </w:r>
      <w:r>
        <w:rPr>
          <w:rFonts w:ascii="仿宋_GB2312" w:hAnsi="仿宋" w:eastAsia="仿宋_GB2312"/>
          <w:sz w:val="32"/>
          <w:szCs w:val="32"/>
        </w:rPr>
        <w:t>基准年和上一年度的</w:t>
      </w:r>
      <w:r>
        <w:rPr>
          <w:rFonts w:hint="eastAsia" w:ascii="仿宋_GB2312" w:hAnsi="仿宋" w:eastAsia="仿宋_GB2312"/>
          <w:sz w:val="32"/>
          <w:szCs w:val="32"/>
        </w:rPr>
        <w:t>核算</w:t>
      </w:r>
      <w:r>
        <w:rPr>
          <w:rFonts w:ascii="仿宋_GB2312" w:hAnsi="仿宋" w:eastAsia="仿宋_GB2312"/>
          <w:sz w:val="32"/>
          <w:szCs w:val="32"/>
        </w:rPr>
        <w:t>边界变化情况。</w:t>
      </w:r>
      <w:r>
        <w:rPr>
          <w:rFonts w:hint="eastAsia" w:ascii="仿宋_GB2312" w:hAnsi="仿宋" w:eastAsia="仿宋_GB2312"/>
          <w:sz w:val="32"/>
          <w:szCs w:val="32"/>
        </w:rPr>
        <w:t>例如：对于物业企业需按照不同服务业态（居民、商业、工业等），对建筑面积、实际物业管理面积、实际运营面积、建筑入住率等</w:t>
      </w:r>
      <w:r>
        <w:rPr>
          <w:rFonts w:ascii="仿宋_GB2312" w:hAnsi="仿宋" w:eastAsia="仿宋_GB2312"/>
          <w:sz w:val="32"/>
          <w:szCs w:val="32"/>
        </w:rPr>
        <w:t>详细情况进行核实。</w:t>
      </w:r>
    </w:p>
    <w:p w14:paraId="1DA8950A">
      <w:pPr>
        <w:spacing w:after="0" w:line="560" w:lineRule="exact"/>
        <w:ind w:firstLine="656" w:firstLineChars="205"/>
        <w:jc w:val="both"/>
        <w:rPr>
          <w:rFonts w:ascii="仿宋_GB2312" w:hAnsi="仿宋" w:eastAsia="仿宋_GB2312"/>
          <w:sz w:val="32"/>
          <w:szCs w:val="32"/>
        </w:rPr>
      </w:pPr>
      <w:r>
        <w:rPr>
          <w:rFonts w:ascii="仿宋_GB2312" w:hAnsi="仿宋" w:eastAsia="仿宋_GB2312"/>
          <w:sz w:val="32"/>
          <w:szCs w:val="32"/>
        </w:rPr>
        <w:t>6</w:t>
      </w:r>
      <w:r>
        <w:rPr>
          <w:rFonts w:hint="eastAsia" w:ascii="仿宋_GB2312" w:hAnsi="仿宋" w:eastAsia="仿宋_GB2312"/>
          <w:sz w:val="32"/>
          <w:szCs w:val="32"/>
        </w:rPr>
        <w:t>.二氧化碳排放量</w:t>
      </w:r>
    </w:p>
    <w:p w14:paraId="1292821A">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包括报告期内排放单位的二氧化碳排放量、退出</w:t>
      </w:r>
      <w:r>
        <w:rPr>
          <w:rFonts w:ascii="仿宋_GB2312" w:hAnsi="仿宋" w:eastAsia="仿宋_GB2312"/>
          <w:sz w:val="32"/>
          <w:szCs w:val="32"/>
        </w:rPr>
        <w:t>的</w:t>
      </w:r>
      <w:r>
        <w:rPr>
          <w:rFonts w:hint="eastAsia" w:ascii="仿宋_GB2312" w:hAnsi="仿宋" w:eastAsia="仿宋_GB2312"/>
          <w:sz w:val="32"/>
          <w:szCs w:val="32"/>
        </w:rPr>
        <w:t>既有设施在历史基准年的排放量及</w:t>
      </w:r>
      <w:r>
        <w:rPr>
          <w:rFonts w:ascii="仿宋_GB2312" w:hAnsi="仿宋" w:eastAsia="仿宋_GB2312"/>
          <w:sz w:val="32"/>
          <w:szCs w:val="32"/>
        </w:rPr>
        <w:t>排放强度</w:t>
      </w:r>
      <w:r>
        <w:rPr>
          <w:rFonts w:hint="eastAsia" w:ascii="仿宋_GB2312" w:hAnsi="仿宋" w:eastAsia="仿宋_GB2312"/>
          <w:sz w:val="32"/>
          <w:szCs w:val="32"/>
        </w:rPr>
        <w:t>、新增设施的排放量及排放强度和替代既有设施的新增设施排放量。</w:t>
      </w:r>
    </w:p>
    <w:p w14:paraId="0597BE5D">
      <w:pPr>
        <w:spacing w:after="0" w:line="560" w:lineRule="exact"/>
        <w:ind w:firstLine="656" w:firstLineChars="205"/>
        <w:jc w:val="both"/>
        <w:rPr>
          <w:rFonts w:ascii="仿宋_GB2312" w:hAnsi="仿宋" w:eastAsia="仿宋_GB2312"/>
          <w:sz w:val="32"/>
          <w:szCs w:val="32"/>
        </w:rPr>
      </w:pPr>
      <w:r>
        <w:rPr>
          <w:rFonts w:ascii="仿宋_GB2312" w:hAnsi="仿宋" w:eastAsia="仿宋_GB2312"/>
          <w:sz w:val="32"/>
          <w:szCs w:val="32"/>
        </w:rPr>
        <w:t>7</w:t>
      </w:r>
      <w:r>
        <w:rPr>
          <w:rFonts w:hint="eastAsia" w:ascii="仿宋_GB2312" w:hAnsi="仿宋" w:eastAsia="仿宋_GB2312"/>
          <w:sz w:val="32"/>
          <w:szCs w:val="32"/>
        </w:rPr>
        <w:t>.重点碳排放单位所属行业领域</w:t>
      </w:r>
    </w:p>
    <w:p w14:paraId="16D5F8E1">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在此处按如下代码填写，例如“01／02／03／04／05／06／07/</w:t>
      </w:r>
      <w:r>
        <w:rPr>
          <w:rFonts w:ascii="仿宋_GB2312" w:hAnsi="仿宋" w:eastAsia="仿宋_GB2312"/>
          <w:sz w:val="32"/>
          <w:szCs w:val="32"/>
        </w:rPr>
        <w:t>08</w:t>
      </w:r>
      <w:r>
        <w:rPr>
          <w:rFonts w:hint="eastAsia" w:ascii="仿宋_GB2312" w:hAnsi="仿宋" w:eastAsia="仿宋_GB2312"/>
          <w:sz w:val="32"/>
          <w:szCs w:val="32"/>
        </w:rPr>
        <w:t>”。（01为“热力生产和供应”；02为“火力发电”；03为“水泥制造”；04为“石化生产”；05为“其他行业”；06为“其他服务业”；07为“交通运输业”； 0</w:t>
      </w:r>
      <w:r>
        <w:rPr>
          <w:rFonts w:ascii="仿宋_GB2312" w:hAnsi="仿宋" w:eastAsia="仿宋_GB2312"/>
          <w:sz w:val="32"/>
          <w:szCs w:val="32"/>
        </w:rPr>
        <w:t>8</w:t>
      </w:r>
      <w:r>
        <w:rPr>
          <w:rFonts w:hint="eastAsia" w:ascii="仿宋_GB2312" w:hAnsi="仿宋" w:eastAsia="仿宋_GB2312"/>
          <w:sz w:val="32"/>
          <w:szCs w:val="32"/>
        </w:rPr>
        <w:t>为“民用航空运输业”）</w:t>
      </w:r>
    </w:p>
    <w:p w14:paraId="529E9392">
      <w:pPr>
        <w:spacing w:after="0" w:line="560" w:lineRule="exact"/>
        <w:ind w:firstLine="656" w:firstLineChars="205"/>
        <w:rPr>
          <w:rFonts w:ascii="仿宋_GB2312" w:hAnsi="仿宋" w:eastAsia="仿宋_GB2312"/>
          <w:sz w:val="32"/>
          <w:szCs w:val="32"/>
        </w:rPr>
      </w:pPr>
      <w:r>
        <w:rPr>
          <w:rFonts w:ascii="仿宋_GB2312" w:hAnsi="仿宋" w:eastAsia="仿宋_GB2312"/>
          <w:sz w:val="32"/>
          <w:szCs w:val="32"/>
        </w:rPr>
        <w:t>8</w:t>
      </w:r>
      <w:r>
        <w:rPr>
          <w:rFonts w:hint="eastAsia" w:ascii="仿宋_GB2312" w:hAnsi="仿宋" w:eastAsia="仿宋_GB2312"/>
          <w:sz w:val="32"/>
          <w:szCs w:val="32"/>
        </w:rPr>
        <w:t>．标准及方法学</w:t>
      </w:r>
    </w:p>
    <w:p w14:paraId="5B5550EF">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在此栏填写适用的地方标准或要求。</w:t>
      </w:r>
    </w:p>
    <w:p w14:paraId="720C041D">
      <w:pPr>
        <w:spacing w:after="0" w:line="560" w:lineRule="exact"/>
        <w:ind w:firstLine="656" w:firstLineChars="205"/>
        <w:rPr>
          <w:rFonts w:ascii="仿宋_GB2312" w:hAnsi="仿宋" w:eastAsia="仿宋_GB2312"/>
          <w:sz w:val="32"/>
          <w:szCs w:val="32"/>
        </w:rPr>
      </w:pPr>
      <w:r>
        <w:rPr>
          <w:rFonts w:ascii="仿宋_GB2312" w:hAnsi="仿宋" w:eastAsia="仿宋_GB2312"/>
          <w:sz w:val="32"/>
          <w:szCs w:val="32"/>
        </w:rPr>
        <w:t>9</w:t>
      </w:r>
      <w:r>
        <w:rPr>
          <w:rFonts w:hint="eastAsia" w:ascii="仿宋_GB2312" w:hAnsi="仿宋" w:eastAsia="仿宋_GB2312"/>
          <w:sz w:val="32"/>
          <w:szCs w:val="32"/>
        </w:rPr>
        <w:t>．核查结论</w:t>
      </w:r>
    </w:p>
    <w:p w14:paraId="5ED8511D">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此栏的核查结论应与报告正文中的核查结论一致（详见附件2</w:t>
      </w:r>
      <w:r>
        <w:rPr>
          <w:rFonts w:ascii="仿宋_GB2312" w:hAnsi="仿宋" w:eastAsia="仿宋_GB2312"/>
          <w:sz w:val="32"/>
          <w:szCs w:val="32"/>
        </w:rPr>
        <w:t>的核查结论模板</w:t>
      </w:r>
      <w:r>
        <w:rPr>
          <w:rFonts w:hint="eastAsia" w:ascii="仿宋_GB2312" w:hAnsi="仿宋" w:eastAsia="仿宋_GB2312"/>
          <w:sz w:val="32"/>
          <w:szCs w:val="32"/>
        </w:rPr>
        <w:t>）。</w:t>
      </w:r>
    </w:p>
    <w:p w14:paraId="7404BD3D">
      <w:pPr>
        <w:spacing w:after="0" w:line="560" w:lineRule="exact"/>
        <w:ind w:firstLine="656" w:firstLineChars="205"/>
        <w:rPr>
          <w:rFonts w:ascii="仿宋_GB2312" w:hAnsi="仿宋" w:eastAsia="仿宋_GB2312"/>
          <w:sz w:val="32"/>
          <w:szCs w:val="32"/>
        </w:rPr>
      </w:pPr>
      <w:r>
        <w:rPr>
          <w:rFonts w:ascii="仿宋_GB2312" w:hAnsi="仿宋" w:eastAsia="仿宋_GB2312"/>
          <w:sz w:val="32"/>
          <w:szCs w:val="32"/>
        </w:rPr>
        <w:t>10</w:t>
      </w:r>
      <w:r>
        <w:rPr>
          <w:rFonts w:hint="eastAsia" w:ascii="仿宋_GB2312" w:hAnsi="仿宋" w:eastAsia="仿宋_GB2312"/>
          <w:sz w:val="32"/>
          <w:szCs w:val="32"/>
        </w:rPr>
        <w:t>．核查组组长</w:t>
      </w:r>
    </w:p>
    <w:p w14:paraId="4B567AFE">
      <w:pPr>
        <w:spacing w:after="0" w:line="560" w:lineRule="exact"/>
        <w:ind w:firstLine="656" w:firstLineChars="205"/>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1</w:t>
      </w:r>
      <w:r>
        <w:rPr>
          <w:rFonts w:hint="eastAsia" w:ascii="仿宋_GB2312" w:hAnsi="仿宋" w:eastAsia="仿宋_GB2312"/>
          <w:sz w:val="32"/>
          <w:szCs w:val="32"/>
        </w:rPr>
        <w:t>．核查组成员</w:t>
      </w:r>
    </w:p>
    <w:p w14:paraId="0404F3F5">
      <w:pPr>
        <w:spacing w:after="0" w:line="560" w:lineRule="exact"/>
        <w:ind w:firstLine="656" w:firstLineChars="205"/>
        <w:jc w:val="both"/>
        <w:rPr>
          <w:rFonts w:ascii="仿宋_GB2312" w:hAnsi="仿宋" w:eastAsia="仿宋_GB2312"/>
          <w:sz w:val="32"/>
          <w:szCs w:val="32"/>
        </w:rPr>
      </w:pPr>
      <w:r>
        <w:rPr>
          <w:rFonts w:ascii="仿宋_GB2312" w:hAnsi="仿宋" w:eastAsia="仿宋_GB2312"/>
          <w:sz w:val="32"/>
          <w:szCs w:val="32"/>
        </w:rPr>
        <w:t>核查机构应确保核查组（核查组长、核查组成员）具备</w:t>
      </w:r>
      <w:r>
        <w:rPr>
          <w:rFonts w:hint="eastAsia" w:ascii="仿宋_GB2312" w:hAnsi="仿宋" w:eastAsia="仿宋_GB2312"/>
          <w:sz w:val="32"/>
          <w:szCs w:val="32"/>
        </w:rPr>
        <w:t>相应核查</w:t>
      </w:r>
      <w:r>
        <w:rPr>
          <w:rFonts w:ascii="仿宋_GB2312" w:hAnsi="仿宋" w:eastAsia="仿宋_GB2312"/>
          <w:sz w:val="32"/>
          <w:szCs w:val="32"/>
        </w:rPr>
        <w:t>行业领域的专业知识。</w:t>
      </w:r>
    </w:p>
    <w:p w14:paraId="0A0BFCC1">
      <w:pPr>
        <w:spacing w:after="0" w:line="560" w:lineRule="exact"/>
        <w:ind w:firstLine="656" w:firstLineChars="205"/>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2</w:t>
      </w:r>
      <w:r>
        <w:rPr>
          <w:rFonts w:hint="eastAsia" w:ascii="仿宋_GB2312" w:hAnsi="仿宋" w:eastAsia="仿宋_GB2312"/>
          <w:sz w:val="32"/>
          <w:szCs w:val="32"/>
        </w:rPr>
        <w:t>．技术复核人</w:t>
      </w:r>
    </w:p>
    <w:p w14:paraId="301AFBA4">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技术复核人由核查机构内部独立于核查组的核查员实施。核查机构应确保技术复核人具备相应核查行业领域的专业知识。</w:t>
      </w:r>
    </w:p>
    <w:p w14:paraId="3C0F9F13">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3</w:t>
      </w:r>
      <w:r>
        <w:rPr>
          <w:rFonts w:hint="eastAsia" w:ascii="仿宋_GB2312" w:hAnsi="仿宋" w:eastAsia="仿宋_GB2312"/>
          <w:sz w:val="32"/>
          <w:szCs w:val="32"/>
        </w:rPr>
        <w:t>．批准人</w:t>
      </w:r>
    </w:p>
    <w:p w14:paraId="555ABDEF">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核查报告应当由核查机构的最高管理者或指定的核查工作负责人签署批准。</w:t>
      </w:r>
    </w:p>
    <w:p w14:paraId="062AFC0B">
      <w:pPr>
        <w:spacing w:after="0" w:line="560" w:lineRule="exact"/>
        <w:ind w:firstLine="659" w:firstLineChars="205"/>
        <w:jc w:val="both"/>
        <w:outlineLvl w:val="0"/>
        <w:rPr>
          <w:rFonts w:ascii="楷体_GB2312" w:hAnsi="仿宋" w:eastAsia="楷体_GB2312"/>
          <w:b/>
          <w:sz w:val="32"/>
          <w:szCs w:val="32"/>
        </w:rPr>
      </w:pPr>
      <w:r>
        <w:rPr>
          <w:rFonts w:hint="eastAsia" w:ascii="楷体_GB2312" w:hAnsi="仿宋" w:eastAsia="楷体_GB2312"/>
          <w:b/>
          <w:sz w:val="32"/>
          <w:szCs w:val="32"/>
        </w:rPr>
        <w:t>（三）目录</w:t>
      </w:r>
    </w:p>
    <w:p w14:paraId="301D44EA">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核查报告应将主要标题列为目录，以便阅读。</w:t>
      </w:r>
    </w:p>
    <w:p w14:paraId="5F46C560">
      <w:pPr>
        <w:spacing w:after="0" w:line="560" w:lineRule="exact"/>
        <w:ind w:firstLine="659" w:firstLineChars="205"/>
        <w:jc w:val="both"/>
        <w:outlineLvl w:val="0"/>
        <w:rPr>
          <w:rFonts w:ascii="楷体_GB2312" w:hAnsi="仿宋" w:eastAsia="楷体_GB2312"/>
          <w:b/>
          <w:sz w:val="32"/>
          <w:szCs w:val="32"/>
        </w:rPr>
      </w:pPr>
      <w:bookmarkStart w:id="17" w:name="_Toc353116434"/>
      <w:r>
        <w:rPr>
          <w:rFonts w:hint="eastAsia" w:ascii="楷体_GB2312" w:hAnsi="仿宋" w:eastAsia="楷体_GB2312"/>
          <w:b/>
          <w:sz w:val="32"/>
          <w:szCs w:val="32"/>
        </w:rPr>
        <w:t>（四）</w:t>
      </w:r>
      <w:bookmarkEnd w:id="17"/>
      <w:bookmarkStart w:id="18" w:name="_Toc353116435"/>
      <w:r>
        <w:rPr>
          <w:rFonts w:hint="eastAsia" w:ascii="楷体_GB2312" w:hAnsi="仿宋" w:eastAsia="楷体_GB2312"/>
          <w:b/>
          <w:sz w:val="32"/>
          <w:szCs w:val="32"/>
        </w:rPr>
        <w:t>报告正文</w:t>
      </w:r>
      <w:bookmarkEnd w:id="18"/>
    </w:p>
    <w:p w14:paraId="6AA77E83">
      <w:pPr>
        <w:spacing w:after="0" w:line="560" w:lineRule="exact"/>
        <w:ind w:firstLine="659" w:firstLineChars="205"/>
        <w:jc w:val="both"/>
        <w:outlineLvl w:val="0"/>
        <w:rPr>
          <w:rFonts w:ascii="仿宋_GB2312" w:hAnsi="仿宋" w:eastAsia="仿宋_GB2312"/>
          <w:b/>
          <w:sz w:val="32"/>
          <w:szCs w:val="32"/>
        </w:rPr>
      </w:pPr>
      <w:r>
        <w:rPr>
          <w:rFonts w:hint="eastAsia" w:ascii="仿宋_GB2312" w:hAnsi="仿宋" w:eastAsia="仿宋_GB2312"/>
          <w:b/>
          <w:sz w:val="32"/>
          <w:szCs w:val="32"/>
        </w:rPr>
        <w:t>1. 概述</w:t>
      </w:r>
    </w:p>
    <w:p w14:paraId="5DBDFA6D">
      <w:pPr>
        <w:spacing w:after="0" w:line="560" w:lineRule="exact"/>
        <w:ind w:firstLine="659" w:firstLineChars="205"/>
        <w:jc w:val="both"/>
        <w:outlineLvl w:val="0"/>
        <w:rPr>
          <w:rFonts w:ascii="仿宋_GB2312" w:hAnsi="仿宋" w:eastAsia="仿宋_GB2312"/>
          <w:b/>
          <w:sz w:val="32"/>
          <w:szCs w:val="32"/>
        </w:rPr>
      </w:pPr>
      <w:r>
        <w:rPr>
          <w:rFonts w:hint="eastAsia" w:ascii="仿宋_GB2312" w:hAnsi="仿宋" w:eastAsia="仿宋_GB2312"/>
          <w:b/>
          <w:sz w:val="32"/>
          <w:szCs w:val="32"/>
        </w:rPr>
        <w:t>1.1 核查目的</w:t>
      </w:r>
    </w:p>
    <w:p w14:paraId="4DD75E0A">
      <w:pPr>
        <w:pStyle w:val="58"/>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核查机构应在核查报告中清晰地说明核查目的，内容包括落实国家《关于开展碳排放权交易试点工作的通知》及北京市碳排放权交易试点工作的总体安排、为有效实施碳配额发放和交易提供可靠的数据质量保证服务等内容。核查具体目的表述可包含如下内容：</w:t>
      </w:r>
    </w:p>
    <w:p w14:paraId="40654456">
      <w:pPr>
        <w:pStyle w:val="58"/>
        <w:numPr>
          <w:ilvl w:val="0"/>
          <w:numId w:val="6"/>
        </w:numPr>
        <w:spacing w:line="560" w:lineRule="exact"/>
        <w:rPr>
          <w:rFonts w:ascii="仿宋_GB2312" w:hAnsi="仿宋" w:eastAsia="仿宋_GB2312" w:cs="Arial"/>
          <w:sz w:val="32"/>
          <w:szCs w:val="32"/>
        </w:rPr>
      </w:pPr>
      <w:r>
        <w:rPr>
          <w:rFonts w:hint="eastAsia" w:ascii="仿宋_GB2312" w:hAnsi="仿宋" w:eastAsia="仿宋_GB2312"/>
          <w:sz w:val="32"/>
          <w:szCs w:val="32"/>
        </w:rPr>
        <w:t>核查重点碳排放单位的二氧化碳核算和报告的职责、权限是否已经落实；</w:t>
      </w:r>
    </w:p>
    <w:p w14:paraId="7463B000">
      <w:pPr>
        <w:pStyle w:val="58"/>
        <w:numPr>
          <w:ilvl w:val="0"/>
          <w:numId w:val="6"/>
        </w:numPr>
        <w:spacing w:line="560" w:lineRule="exact"/>
        <w:rPr>
          <w:rFonts w:ascii="仿宋_GB2312" w:hAnsi="仿宋" w:eastAsia="仿宋_GB2312" w:cs="Arial"/>
          <w:sz w:val="32"/>
          <w:szCs w:val="32"/>
        </w:rPr>
      </w:pPr>
      <w:r>
        <w:rPr>
          <w:rFonts w:hint="eastAsia" w:ascii="仿宋_GB2312" w:hAnsi="仿宋" w:eastAsia="仿宋_GB2312"/>
          <w:sz w:val="32"/>
          <w:szCs w:val="32"/>
        </w:rPr>
        <w:t>核查重点碳排放单位提供的二氧化碳排放报告及其他支持文件是否是完整可靠的，并且符合适用的地方标准或核算和报告指南的要求；</w:t>
      </w:r>
    </w:p>
    <w:p w14:paraId="2B411F58">
      <w:pPr>
        <w:pStyle w:val="58"/>
        <w:numPr>
          <w:ilvl w:val="0"/>
          <w:numId w:val="6"/>
        </w:numPr>
        <w:spacing w:line="560" w:lineRule="exact"/>
        <w:rPr>
          <w:rFonts w:ascii="仿宋_GB2312" w:hAnsi="仿宋" w:eastAsia="仿宋_GB2312" w:cs="Arial"/>
          <w:sz w:val="32"/>
          <w:szCs w:val="32"/>
        </w:rPr>
      </w:pPr>
      <w:r>
        <w:rPr>
          <w:rFonts w:hint="eastAsia" w:ascii="仿宋_GB2312" w:hAnsi="仿宋" w:eastAsia="仿宋_GB2312"/>
          <w:sz w:val="32"/>
          <w:szCs w:val="32"/>
        </w:rPr>
        <w:t>核查测量设备是否已经到位，测量是否符合适用的地方标准或核算和报告指南及相关标准的要求；</w:t>
      </w:r>
    </w:p>
    <w:p w14:paraId="3D3A2354">
      <w:pPr>
        <w:pStyle w:val="58"/>
        <w:numPr>
          <w:ilvl w:val="0"/>
          <w:numId w:val="6"/>
        </w:numPr>
        <w:spacing w:line="560" w:lineRule="exact"/>
        <w:rPr>
          <w:rFonts w:ascii="仿宋_GB2312" w:hAnsi="仿宋" w:eastAsia="仿宋_GB2312" w:cs="Arial"/>
          <w:sz w:val="32"/>
          <w:szCs w:val="32"/>
        </w:rPr>
      </w:pPr>
      <w:r>
        <w:rPr>
          <w:rFonts w:hint="eastAsia" w:ascii="仿宋_GB2312" w:hAnsi="仿宋" w:eastAsia="仿宋_GB2312"/>
          <w:sz w:val="32"/>
          <w:szCs w:val="32"/>
        </w:rPr>
        <w:t>根据地方标准或核算和报告指南的要求，对记录和存储的数据进行评审，判断数据及计算结果是否真实、可靠、正确。</w:t>
      </w:r>
    </w:p>
    <w:p w14:paraId="5A0AF308">
      <w:pPr>
        <w:spacing w:after="0" w:line="560" w:lineRule="exact"/>
        <w:ind w:firstLine="640" w:firstLineChars="200"/>
        <w:jc w:val="both"/>
        <w:outlineLvl w:val="0"/>
        <w:rPr>
          <w:rFonts w:ascii="仿宋_GB2312" w:hAnsi="仿宋" w:eastAsia="仿宋_GB2312"/>
          <w:sz w:val="32"/>
          <w:szCs w:val="32"/>
        </w:rPr>
      </w:pPr>
      <w:r>
        <w:rPr>
          <w:rFonts w:hint="eastAsia" w:ascii="仿宋_GB2312" w:hAnsi="仿宋" w:eastAsia="仿宋_GB2312"/>
          <w:sz w:val="32"/>
          <w:szCs w:val="32"/>
        </w:rPr>
        <w:t>1.2 核查范围</w:t>
      </w:r>
    </w:p>
    <w:p w14:paraId="03998DE2">
      <w:pPr>
        <w:spacing w:after="0" w:line="560" w:lineRule="exact"/>
        <w:ind w:firstLine="564"/>
        <w:jc w:val="both"/>
        <w:rPr>
          <w:rFonts w:ascii="仿宋_GB2312" w:hAnsi="仿宋" w:eastAsia="仿宋_GB2312"/>
          <w:sz w:val="32"/>
          <w:szCs w:val="32"/>
        </w:rPr>
      </w:pPr>
      <w:r>
        <w:rPr>
          <w:rFonts w:hint="eastAsia" w:ascii="仿宋_GB2312" w:hAnsi="仿宋" w:eastAsia="仿宋_GB2312"/>
          <w:sz w:val="32"/>
          <w:szCs w:val="32"/>
        </w:rPr>
        <w:t>核查机构应在核查报告中清晰地说明核查范围。北京市二氧化碳排放报告制度遵循“谁排放谁报告”的原则，因此核查范围应包括列入北京市碳排放权交易试点工作的重点碳排放单位和自愿参与交易的一般二氧化碳报告单位的所有在北京市辖区内的固定设施和以北京为注册地的城市电汽车客运、城市轨道交通、道路货物运输、民用航空运输企业移动设施导致的二氧化碳直接排放和二氧化碳间接排放。</w:t>
      </w:r>
    </w:p>
    <w:p w14:paraId="0A0A2B6A">
      <w:pPr>
        <w:spacing w:after="0" w:line="56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对于存在京内移动源和京外化石燃料消费的重点碳排放单位，京内移动源和京外化石燃料消费也应当纳入核查范围。</w:t>
      </w:r>
      <w:bookmarkStart w:id="19" w:name="OLE_LINK8"/>
      <w:bookmarkStart w:id="20" w:name="OLE_LINK7"/>
      <w:r>
        <w:rPr>
          <w:rFonts w:hint="eastAsia" w:ascii="仿宋_GB2312" w:hAnsi="仿宋" w:eastAsia="仿宋_GB2312"/>
          <w:sz w:val="32"/>
          <w:szCs w:val="32"/>
        </w:rPr>
        <w:t>其中，航空器排放核算应遵循注册地原则。</w:t>
      </w:r>
      <w:bookmarkEnd w:id="19"/>
      <w:bookmarkEnd w:id="20"/>
    </w:p>
    <w:p w14:paraId="466C626C">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1.3 核查准则</w:t>
      </w:r>
    </w:p>
    <w:p w14:paraId="0034F8A6">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核查机构应在核查报告中清晰地说明核查准则。核查机构应在核查报告中列出适用的地方标准或相应的核算和报告指南，以及活动水平数据、排放因子和计量设备所适用的北京市地方或国家法规及标准。</w:t>
      </w:r>
    </w:p>
    <w:p w14:paraId="31702A62">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2. 核查过程和方法</w:t>
      </w:r>
    </w:p>
    <w:p w14:paraId="7A3E3463">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2.1 核查组安排</w:t>
      </w:r>
    </w:p>
    <w:p w14:paraId="76811CBE">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核查机构应统一采用列表的方式说明核查组成员，表格格式统一如下：</w:t>
      </w:r>
    </w:p>
    <w:p w14:paraId="2D79A815">
      <w:pPr>
        <w:spacing w:after="0" w:line="560" w:lineRule="exact"/>
        <w:jc w:val="center"/>
        <w:rPr>
          <w:rFonts w:ascii="仿宋_GB2312" w:hAnsi="仿宋" w:eastAsia="仿宋_GB2312"/>
          <w:b/>
          <w:sz w:val="28"/>
          <w:szCs w:val="28"/>
        </w:rPr>
      </w:pPr>
      <w:r>
        <w:rPr>
          <w:rFonts w:hint="eastAsia" w:ascii="仿宋_GB2312" w:hAnsi="仿宋" w:eastAsia="仿宋_GB2312"/>
          <w:b/>
          <w:sz w:val="28"/>
          <w:szCs w:val="28"/>
        </w:rPr>
        <w:t>核查组成员表</w:t>
      </w:r>
    </w:p>
    <w:tbl>
      <w:tblPr>
        <w:tblStyle w:val="3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35"/>
        <w:gridCol w:w="1434"/>
        <w:gridCol w:w="4452"/>
        <w:gridCol w:w="1740"/>
      </w:tblGrid>
      <w:tr w14:paraId="16FFA2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92" w:type="pct"/>
            <w:tcBorders>
              <w:top w:val="single" w:color="auto" w:sz="12" w:space="0"/>
              <w:left w:val="single" w:color="auto" w:sz="12" w:space="0"/>
              <w:bottom w:val="single" w:color="auto" w:sz="6" w:space="0"/>
              <w:right w:val="single" w:color="auto" w:sz="6" w:space="0"/>
            </w:tcBorders>
            <w:vAlign w:val="center"/>
          </w:tcPr>
          <w:p w14:paraId="0DCD1D7C">
            <w:pPr>
              <w:spacing w:after="0" w:line="560" w:lineRule="exact"/>
              <w:jc w:val="center"/>
              <w:rPr>
                <w:rFonts w:ascii="仿宋_GB2312" w:hAnsi="仿宋" w:eastAsia="仿宋_GB2312"/>
                <w:b/>
                <w:sz w:val="24"/>
                <w:szCs w:val="24"/>
              </w:rPr>
            </w:pPr>
            <w:r>
              <w:rPr>
                <w:rFonts w:hint="eastAsia" w:ascii="仿宋_GB2312" w:hAnsi="仿宋" w:eastAsia="仿宋_GB2312"/>
                <w:b/>
                <w:sz w:val="24"/>
                <w:szCs w:val="24"/>
              </w:rPr>
              <w:t>序号</w:t>
            </w:r>
          </w:p>
        </w:tc>
        <w:tc>
          <w:tcPr>
            <w:tcW w:w="791" w:type="pct"/>
            <w:tcBorders>
              <w:top w:val="single" w:color="auto" w:sz="12" w:space="0"/>
              <w:left w:val="single" w:color="auto" w:sz="6" w:space="0"/>
              <w:bottom w:val="single" w:color="auto" w:sz="6" w:space="0"/>
              <w:right w:val="single" w:color="auto" w:sz="6" w:space="0"/>
            </w:tcBorders>
            <w:vAlign w:val="center"/>
          </w:tcPr>
          <w:p w14:paraId="172DB5BD">
            <w:pPr>
              <w:spacing w:after="0" w:line="560" w:lineRule="exact"/>
              <w:jc w:val="center"/>
              <w:rPr>
                <w:rFonts w:ascii="仿宋_GB2312" w:hAnsi="仿宋" w:eastAsia="仿宋_GB2312"/>
                <w:b/>
                <w:sz w:val="24"/>
                <w:szCs w:val="24"/>
              </w:rPr>
            </w:pPr>
            <w:r>
              <w:rPr>
                <w:rFonts w:hint="eastAsia" w:ascii="仿宋_GB2312" w:hAnsi="仿宋" w:eastAsia="仿宋_GB2312"/>
                <w:b/>
                <w:sz w:val="24"/>
                <w:szCs w:val="24"/>
              </w:rPr>
              <w:t>姓名</w:t>
            </w:r>
          </w:p>
        </w:tc>
        <w:tc>
          <w:tcPr>
            <w:tcW w:w="2456" w:type="pct"/>
            <w:tcBorders>
              <w:top w:val="single" w:color="auto" w:sz="12" w:space="0"/>
              <w:left w:val="single" w:color="auto" w:sz="6" w:space="0"/>
              <w:bottom w:val="single" w:color="auto" w:sz="6" w:space="0"/>
              <w:right w:val="single" w:color="auto" w:sz="6" w:space="0"/>
            </w:tcBorders>
            <w:vAlign w:val="center"/>
          </w:tcPr>
          <w:p w14:paraId="6CCC251B">
            <w:pPr>
              <w:spacing w:after="0" w:line="560" w:lineRule="exact"/>
              <w:jc w:val="center"/>
              <w:rPr>
                <w:rFonts w:ascii="仿宋_GB2312" w:hAnsi="仿宋" w:eastAsia="仿宋_GB2312"/>
                <w:b/>
                <w:sz w:val="24"/>
                <w:szCs w:val="24"/>
              </w:rPr>
            </w:pPr>
            <w:r>
              <w:rPr>
                <w:rFonts w:hint="eastAsia" w:ascii="仿宋_GB2312" w:hAnsi="仿宋" w:eastAsia="仿宋_GB2312"/>
                <w:b/>
                <w:sz w:val="24"/>
                <w:szCs w:val="24"/>
              </w:rPr>
              <w:t>核查工作分工内容</w:t>
            </w:r>
          </w:p>
        </w:tc>
        <w:tc>
          <w:tcPr>
            <w:tcW w:w="960" w:type="pct"/>
            <w:tcBorders>
              <w:top w:val="single" w:color="auto" w:sz="12" w:space="0"/>
              <w:left w:val="single" w:color="auto" w:sz="6" w:space="0"/>
              <w:bottom w:val="single" w:color="auto" w:sz="6" w:space="0"/>
              <w:right w:val="single" w:color="auto" w:sz="12" w:space="0"/>
            </w:tcBorders>
            <w:vAlign w:val="center"/>
          </w:tcPr>
          <w:p w14:paraId="627B4BCA">
            <w:pPr>
              <w:spacing w:after="0" w:line="560" w:lineRule="exact"/>
              <w:jc w:val="center"/>
              <w:rPr>
                <w:rFonts w:ascii="仿宋_GB2312" w:hAnsi="仿宋" w:eastAsia="仿宋_GB2312"/>
                <w:b/>
                <w:sz w:val="24"/>
                <w:szCs w:val="24"/>
              </w:rPr>
            </w:pPr>
            <w:r>
              <w:rPr>
                <w:rFonts w:hint="eastAsia" w:ascii="仿宋_GB2312" w:hAnsi="仿宋" w:eastAsia="仿宋_GB2312"/>
                <w:b/>
                <w:sz w:val="24"/>
                <w:szCs w:val="24"/>
              </w:rPr>
              <w:t>专业代码</w:t>
            </w:r>
          </w:p>
        </w:tc>
      </w:tr>
      <w:tr w14:paraId="764472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792" w:type="pct"/>
            <w:tcBorders>
              <w:top w:val="single" w:color="auto" w:sz="6" w:space="0"/>
              <w:left w:val="single" w:color="auto" w:sz="12" w:space="0"/>
              <w:bottom w:val="single" w:color="auto" w:sz="6" w:space="0"/>
              <w:right w:val="single" w:color="auto" w:sz="6" w:space="0"/>
            </w:tcBorders>
            <w:vAlign w:val="center"/>
          </w:tcPr>
          <w:p w14:paraId="49A7932A">
            <w:pPr>
              <w:tabs>
                <w:tab w:val="left" w:pos="540"/>
              </w:tabs>
              <w:spacing w:after="0" w:line="560" w:lineRule="exact"/>
              <w:jc w:val="center"/>
              <w:rPr>
                <w:rFonts w:ascii="仿宋_GB2312" w:hAnsi="仿宋" w:eastAsia="仿宋_GB2312"/>
                <w:sz w:val="24"/>
                <w:szCs w:val="24"/>
              </w:rPr>
            </w:pPr>
            <w:r>
              <w:rPr>
                <w:rFonts w:ascii="仿宋_GB2312" w:hAnsi="仿宋" w:eastAsia="仿宋_GB2312"/>
                <w:sz w:val="24"/>
                <w:szCs w:val="24"/>
              </w:rPr>
              <w:t>1</w:t>
            </w:r>
          </w:p>
        </w:tc>
        <w:tc>
          <w:tcPr>
            <w:tcW w:w="791" w:type="pct"/>
            <w:tcBorders>
              <w:top w:val="single" w:color="auto" w:sz="6" w:space="0"/>
              <w:left w:val="single" w:color="auto" w:sz="6" w:space="0"/>
              <w:bottom w:val="single" w:color="auto" w:sz="6" w:space="0"/>
              <w:right w:val="single" w:color="auto" w:sz="6" w:space="0"/>
            </w:tcBorders>
            <w:vAlign w:val="center"/>
          </w:tcPr>
          <w:p w14:paraId="779B3EBB">
            <w:pPr>
              <w:tabs>
                <w:tab w:val="left" w:pos="540"/>
              </w:tabs>
              <w:spacing w:after="0" w:line="560" w:lineRule="exact"/>
              <w:jc w:val="center"/>
              <w:rPr>
                <w:rFonts w:ascii="仿宋_GB2312" w:hAnsi="仿宋" w:eastAsia="仿宋_GB2312"/>
                <w:sz w:val="24"/>
                <w:szCs w:val="24"/>
              </w:rPr>
            </w:pPr>
          </w:p>
        </w:tc>
        <w:tc>
          <w:tcPr>
            <w:tcW w:w="2456" w:type="pct"/>
            <w:tcBorders>
              <w:top w:val="single" w:color="auto" w:sz="6" w:space="0"/>
              <w:left w:val="single" w:color="auto" w:sz="6" w:space="0"/>
              <w:bottom w:val="single" w:color="auto" w:sz="6" w:space="0"/>
              <w:right w:val="single" w:color="auto" w:sz="6" w:space="0"/>
            </w:tcBorders>
            <w:vAlign w:val="center"/>
          </w:tcPr>
          <w:p w14:paraId="44A61535">
            <w:pPr>
              <w:tabs>
                <w:tab w:val="left" w:pos="540"/>
              </w:tabs>
              <w:spacing w:after="0" w:line="560" w:lineRule="exact"/>
              <w:jc w:val="center"/>
              <w:rPr>
                <w:rFonts w:ascii="仿宋_GB2312" w:hAnsi="仿宋" w:eastAsia="仿宋_GB2312"/>
                <w:sz w:val="24"/>
                <w:szCs w:val="24"/>
              </w:rPr>
            </w:pPr>
          </w:p>
        </w:tc>
        <w:tc>
          <w:tcPr>
            <w:tcW w:w="960" w:type="pct"/>
            <w:tcBorders>
              <w:top w:val="single" w:color="auto" w:sz="6" w:space="0"/>
              <w:left w:val="single" w:color="auto" w:sz="6" w:space="0"/>
              <w:bottom w:val="single" w:color="auto" w:sz="6" w:space="0"/>
              <w:right w:val="single" w:color="auto" w:sz="12" w:space="0"/>
            </w:tcBorders>
            <w:vAlign w:val="center"/>
          </w:tcPr>
          <w:p w14:paraId="73469A5C">
            <w:pPr>
              <w:tabs>
                <w:tab w:val="left" w:pos="540"/>
              </w:tabs>
              <w:spacing w:after="0" w:line="560" w:lineRule="exact"/>
              <w:jc w:val="center"/>
              <w:rPr>
                <w:rFonts w:ascii="仿宋_GB2312" w:hAnsi="仿宋" w:eastAsia="仿宋_GB2312"/>
                <w:sz w:val="24"/>
                <w:szCs w:val="24"/>
              </w:rPr>
            </w:pPr>
          </w:p>
        </w:tc>
      </w:tr>
      <w:tr w14:paraId="785B33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2" w:type="pct"/>
            <w:tcBorders>
              <w:top w:val="single" w:color="auto" w:sz="6" w:space="0"/>
              <w:left w:val="single" w:color="auto" w:sz="12" w:space="0"/>
              <w:bottom w:val="single" w:color="auto" w:sz="6" w:space="0"/>
              <w:right w:val="single" w:color="auto" w:sz="6" w:space="0"/>
            </w:tcBorders>
            <w:vAlign w:val="center"/>
          </w:tcPr>
          <w:p w14:paraId="468E25D7">
            <w:pPr>
              <w:spacing w:after="0" w:line="560" w:lineRule="exact"/>
              <w:jc w:val="center"/>
              <w:rPr>
                <w:rFonts w:ascii="仿宋_GB2312" w:hAnsi="仿宋" w:eastAsia="仿宋_GB2312"/>
                <w:sz w:val="24"/>
                <w:szCs w:val="24"/>
              </w:rPr>
            </w:pPr>
            <w:r>
              <w:rPr>
                <w:rFonts w:ascii="仿宋_GB2312" w:hAnsi="仿宋" w:eastAsia="仿宋_GB2312"/>
                <w:sz w:val="24"/>
                <w:szCs w:val="24"/>
              </w:rPr>
              <w:t>2</w:t>
            </w:r>
          </w:p>
        </w:tc>
        <w:tc>
          <w:tcPr>
            <w:tcW w:w="791" w:type="pct"/>
            <w:tcBorders>
              <w:top w:val="single" w:color="auto" w:sz="6" w:space="0"/>
              <w:left w:val="single" w:color="auto" w:sz="6" w:space="0"/>
              <w:bottom w:val="single" w:color="auto" w:sz="6" w:space="0"/>
              <w:right w:val="single" w:color="auto" w:sz="6" w:space="0"/>
            </w:tcBorders>
            <w:vAlign w:val="center"/>
          </w:tcPr>
          <w:p w14:paraId="4D2546D4">
            <w:pPr>
              <w:spacing w:after="0" w:line="560" w:lineRule="exact"/>
              <w:jc w:val="center"/>
              <w:rPr>
                <w:rFonts w:ascii="仿宋_GB2312" w:hAnsi="仿宋" w:eastAsia="仿宋_GB2312"/>
                <w:sz w:val="24"/>
                <w:szCs w:val="24"/>
              </w:rPr>
            </w:pPr>
          </w:p>
        </w:tc>
        <w:tc>
          <w:tcPr>
            <w:tcW w:w="2456" w:type="pct"/>
            <w:tcBorders>
              <w:top w:val="single" w:color="auto" w:sz="6" w:space="0"/>
              <w:left w:val="single" w:color="auto" w:sz="6" w:space="0"/>
              <w:bottom w:val="single" w:color="auto" w:sz="6" w:space="0"/>
              <w:right w:val="single" w:color="auto" w:sz="6" w:space="0"/>
            </w:tcBorders>
            <w:vAlign w:val="center"/>
          </w:tcPr>
          <w:p w14:paraId="12B4DCCB">
            <w:pPr>
              <w:spacing w:after="0" w:line="560" w:lineRule="exact"/>
              <w:jc w:val="center"/>
              <w:rPr>
                <w:rFonts w:ascii="仿宋_GB2312" w:hAnsi="仿宋" w:eastAsia="仿宋_GB2312"/>
                <w:sz w:val="24"/>
                <w:szCs w:val="24"/>
              </w:rPr>
            </w:pPr>
          </w:p>
        </w:tc>
        <w:tc>
          <w:tcPr>
            <w:tcW w:w="960" w:type="pct"/>
            <w:tcBorders>
              <w:top w:val="single" w:color="auto" w:sz="6" w:space="0"/>
              <w:left w:val="single" w:color="auto" w:sz="6" w:space="0"/>
              <w:bottom w:val="single" w:color="auto" w:sz="6" w:space="0"/>
              <w:right w:val="single" w:color="auto" w:sz="12" w:space="0"/>
            </w:tcBorders>
            <w:vAlign w:val="center"/>
          </w:tcPr>
          <w:p w14:paraId="586C147B">
            <w:pPr>
              <w:tabs>
                <w:tab w:val="left" w:pos="540"/>
              </w:tabs>
              <w:spacing w:after="0" w:line="560" w:lineRule="exact"/>
              <w:jc w:val="center"/>
              <w:rPr>
                <w:rFonts w:ascii="仿宋_GB2312" w:hAnsi="仿宋" w:eastAsia="仿宋_GB2312"/>
                <w:sz w:val="24"/>
                <w:szCs w:val="24"/>
              </w:rPr>
            </w:pPr>
          </w:p>
        </w:tc>
      </w:tr>
      <w:tr w14:paraId="15EF48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2" w:type="pct"/>
            <w:tcBorders>
              <w:top w:val="single" w:color="auto" w:sz="6" w:space="0"/>
              <w:left w:val="single" w:color="auto" w:sz="12" w:space="0"/>
              <w:bottom w:val="single" w:color="auto" w:sz="6" w:space="0"/>
              <w:right w:val="single" w:color="auto" w:sz="6" w:space="0"/>
            </w:tcBorders>
            <w:vAlign w:val="center"/>
          </w:tcPr>
          <w:p w14:paraId="380CDC6B">
            <w:pPr>
              <w:spacing w:after="0" w:line="560" w:lineRule="exact"/>
              <w:jc w:val="center"/>
              <w:rPr>
                <w:rFonts w:ascii="仿宋_GB2312" w:hAnsi="仿宋" w:eastAsia="仿宋_GB2312"/>
                <w:sz w:val="24"/>
                <w:szCs w:val="24"/>
              </w:rPr>
            </w:pPr>
            <w:r>
              <w:rPr>
                <w:rFonts w:ascii="仿宋_GB2312" w:hAnsi="仿宋" w:eastAsia="仿宋_GB2312"/>
                <w:sz w:val="24"/>
                <w:szCs w:val="24"/>
              </w:rPr>
              <w:t>3</w:t>
            </w:r>
          </w:p>
        </w:tc>
        <w:tc>
          <w:tcPr>
            <w:tcW w:w="791" w:type="pct"/>
            <w:tcBorders>
              <w:top w:val="single" w:color="auto" w:sz="6" w:space="0"/>
              <w:left w:val="single" w:color="auto" w:sz="6" w:space="0"/>
              <w:bottom w:val="single" w:color="auto" w:sz="6" w:space="0"/>
              <w:right w:val="single" w:color="auto" w:sz="6" w:space="0"/>
            </w:tcBorders>
            <w:vAlign w:val="center"/>
          </w:tcPr>
          <w:p w14:paraId="271FCB21">
            <w:pPr>
              <w:spacing w:after="0" w:line="560" w:lineRule="exact"/>
              <w:jc w:val="center"/>
              <w:rPr>
                <w:rFonts w:ascii="仿宋_GB2312" w:hAnsi="仿宋" w:eastAsia="仿宋_GB2312"/>
                <w:sz w:val="24"/>
                <w:szCs w:val="24"/>
              </w:rPr>
            </w:pPr>
          </w:p>
        </w:tc>
        <w:tc>
          <w:tcPr>
            <w:tcW w:w="2456" w:type="pct"/>
            <w:tcBorders>
              <w:top w:val="single" w:color="auto" w:sz="6" w:space="0"/>
              <w:left w:val="single" w:color="auto" w:sz="6" w:space="0"/>
              <w:bottom w:val="single" w:color="auto" w:sz="6" w:space="0"/>
              <w:right w:val="single" w:color="auto" w:sz="6" w:space="0"/>
            </w:tcBorders>
            <w:vAlign w:val="center"/>
          </w:tcPr>
          <w:p w14:paraId="641FED25">
            <w:pPr>
              <w:spacing w:after="0" w:line="560" w:lineRule="exact"/>
              <w:jc w:val="center"/>
              <w:rPr>
                <w:rFonts w:ascii="仿宋_GB2312" w:hAnsi="仿宋" w:eastAsia="仿宋_GB2312"/>
                <w:sz w:val="24"/>
                <w:szCs w:val="24"/>
              </w:rPr>
            </w:pPr>
          </w:p>
        </w:tc>
        <w:tc>
          <w:tcPr>
            <w:tcW w:w="960" w:type="pct"/>
            <w:tcBorders>
              <w:top w:val="single" w:color="auto" w:sz="6" w:space="0"/>
              <w:left w:val="single" w:color="auto" w:sz="6" w:space="0"/>
              <w:bottom w:val="single" w:color="auto" w:sz="6" w:space="0"/>
              <w:right w:val="single" w:color="auto" w:sz="12" w:space="0"/>
            </w:tcBorders>
            <w:vAlign w:val="center"/>
          </w:tcPr>
          <w:p w14:paraId="07B8816B">
            <w:pPr>
              <w:tabs>
                <w:tab w:val="left" w:pos="540"/>
              </w:tabs>
              <w:spacing w:after="0" w:line="560" w:lineRule="exact"/>
              <w:jc w:val="center"/>
              <w:rPr>
                <w:rFonts w:ascii="仿宋_GB2312" w:hAnsi="仿宋" w:eastAsia="仿宋_GB2312"/>
                <w:sz w:val="24"/>
                <w:szCs w:val="24"/>
              </w:rPr>
            </w:pPr>
          </w:p>
        </w:tc>
      </w:tr>
      <w:tr w14:paraId="7B9652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2" w:type="pct"/>
            <w:tcBorders>
              <w:top w:val="single" w:color="auto" w:sz="6" w:space="0"/>
              <w:left w:val="single" w:color="auto" w:sz="12" w:space="0"/>
              <w:bottom w:val="single" w:color="auto" w:sz="12" w:space="0"/>
              <w:right w:val="single" w:color="auto" w:sz="6" w:space="0"/>
            </w:tcBorders>
            <w:vAlign w:val="center"/>
          </w:tcPr>
          <w:p w14:paraId="01532F58">
            <w:pPr>
              <w:spacing w:after="0" w:line="560" w:lineRule="exact"/>
              <w:jc w:val="center"/>
              <w:rPr>
                <w:rFonts w:ascii="仿宋_GB2312" w:hAnsi="仿宋" w:eastAsia="仿宋_GB2312"/>
                <w:sz w:val="24"/>
                <w:szCs w:val="24"/>
              </w:rPr>
            </w:pPr>
            <w:r>
              <w:rPr>
                <w:rFonts w:hint="eastAsia" w:ascii="仿宋_GB2312" w:hAnsi="仿宋" w:eastAsia="仿宋_GB2312"/>
                <w:sz w:val="24"/>
                <w:szCs w:val="24"/>
              </w:rPr>
              <w:t>…</w:t>
            </w:r>
          </w:p>
        </w:tc>
        <w:tc>
          <w:tcPr>
            <w:tcW w:w="791" w:type="pct"/>
            <w:tcBorders>
              <w:top w:val="single" w:color="auto" w:sz="6" w:space="0"/>
              <w:left w:val="single" w:color="auto" w:sz="6" w:space="0"/>
              <w:bottom w:val="single" w:color="auto" w:sz="12" w:space="0"/>
              <w:right w:val="single" w:color="auto" w:sz="6" w:space="0"/>
            </w:tcBorders>
            <w:vAlign w:val="center"/>
          </w:tcPr>
          <w:p w14:paraId="74ACF532">
            <w:pPr>
              <w:spacing w:after="0" w:line="560" w:lineRule="exact"/>
              <w:jc w:val="center"/>
              <w:rPr>
                <w:rFonts w:ascii="仿宋_GB2312" w:hAnsi="仿宋" w:eastAsia="仿宋_GB2312"/>
                <w:sz w:val="24"/>
                <w:szCs w:val="24"/>
              </w:rPr>
            </w:pPr>
          </w:p>
        </w:tc>
        <w:tc>
          <w:tcPr>
            <w:tcW w:w="2456" w:type="pct"/>
            <w:tcBorders>
              <w:top w:val="single" w:color="auto" w:sz="6" w:space="0"/>
              <w:left w:val="single" w:color="auto" w:sz="6" w:space="0"/>
              <w:bottom w:val="single" w:color="auto" w:sz="12" w:space="0"/>
              <w:right w:val="single" w:color="auto" w:sz="6" w:space="0"/>
            </w:tcBorders>
            <w:vAlign w:val="center"/>
          </w:tcPr>
          <w:p w14:paraId="23093EB8">
            <w:pPr>
              <w:spacing w:after="0" w:line="560" w:lineRule="exact"/>
              <w:jc w:val="center"/>
              <w:rPr>
                <w:rFonts w:ascii="仿宋_GB2312" w:hAnsi="仿宋" w:eastAsia="仿宋_GB2312"/>
                <w:sz w:val="24"/>
                <w:szCs w:val="24"/>
              </w:rPr>
            </w:pPr>
          </w:p>
        </w:tc>
        <w:tc>
          <w:tcPr>
            <w:tcW w:w="960" w:type="pct"/>
            <w:tcBorders>
              <w:top w:val="single" w:color="auto" w:sz="6" w:space="0"/>
              <w:left w:val="single" w:color="auto" w:sz="6" w:space="0"/>
              <w:bottom w:val="single" w:color="auto" w:sz="12" w:space="0"/>
              <w:right w:val="single" w:color="auto" w:sz="12" w:space="0"/>
            </w:tcBorders>
            <w:vAlign w:val="center"/>
          </w:tcPr>
          <w:p w14:paraId="5F3F0E10">
            <w:pPr>
              <w:tabs>
                <w:tab w:val="left" w:pos="540"/>
              </w:tabs>
              <w:spacing w:after="0" w:line="560" w:lineRule="exact"/>
              <w:jc w:val="center"/>
              <w:rPr>
                <w:rFonts w:ascii="仿宋_GB2312" w:hAnsi="仿宋" w:eastAsia="仿宋_GB2312"/>
                <w:sz w:val="24"/>
                <w:szCs w:val="24"/>
              </w:rPr>
            </w:pPr>
          </w:p>
        </w:tc>
      </w:tr>
    </w:tbl>
    <w:p w14:paraId="76815FEE">
      <w:pPr>
        <w:spacing w:after="0" w:line="560" w:lineRule="exact"/>
        <w:ind w:firstLine="160" w:firstLineChars="50"/>
        <w:rPr>
          <w:rFonts w:ascii="仿宋_GB2312" w:hAnsi="仿宋" w:eastAsia="仿宋_GB2312"/>
          <w:sz w:val="32"/>
          <w:szCs w:val="32"/>
        </w:rPr>
      </w:pPr>
      <w:r>
        <w:rPr>
          <w:rFonts w:hint="eastAsia" w:ascii="仿宋_GB2312" w:hAnsi="仿宋" w:eastAsia="仿宋_GB2312"/>
          <w:sz w:val="32"/>
          <w:szCs w:val="32"/>
        </w:rPr>
        <w:t>注：</w:t>
      </w:r>
    </w:p>
    <w:p w14:paraId="03621EB4">
      <w:pPr>
        <w:widowControl w:val="0"/>
        <w:numPr>
          <w:ilvl w:val="0"/>
          <w:numId w:val="7"/>
        </w:numPr>
        <w:spacing w:after="0" w:line="560" w:lineRule="exact"/>
        <w:ind w:left="0" w:firstLine="567"/>
        <w:jc w:val="both"/>
        <w:rPr>
          <w:rFonts w:ascii="仿宋_GB2312" w:hAnsi="仿宋" w:eastAsia="仿宋_GB2312"/>
          <w:bCs/>
          <w:sz w:val="32"/>
          <w:szCs w:val="32"/>
        </w:rPr>
      </w:pPr>
      <w:r>
        <w:rPr>
          <w:rFonts w:hint="eastAsia" w:ascii="仿宋_GB2312" w:hAnsi="仿宋" w:eastAsia="仿宋_GB2312"/>
          <w:bCs/>
          <w:sz w:val="32"/>
          <w:szCs w:val="32"/>
        </w:rPr>
        <w:t>核查机构应根据核查员的专业领域和技术能力、重点碳排放单位的规模和经营场所数量等实际情况，组成至少两名核查员的核查组实施核查。</w:t>
      </w:r>
    </w:p>
    <w:p w14:paraId="62A086D9">
      <w:pPr>
        <w:widowControl w:val="0"/>
        <w:numPr>
          <w:ilvl w:val="0"/>
          <w:numId w:val="7"/>
        </w:numPr>
        <w:spacing w:after="0" w:line="560" w:lineRule="exact"/>
        <w:ind w:left="0" w:firstLine="567"/>
        <w:jc w:val="both"/>
        <w:rPr>
          <w:rFonts w:ascii="仿宋_GB2312" w:hAnsi="仿宋" w:eastAsia="仿宋_GB2312"/>
          <w:bCs/>
          <w:sz w:val="32"/>
          <w:szCs w:val="32"/>
        </w:rPr>
      </w:pPr>
      <w:r>
        <w:rPr>
          <w:rFonts w:hint="eastAsia" w:ascii="仿宋_GB2312" w:hAnsi="仿宋" w:eastAsia="仿宋_GB2312"/>
          <w:bCs/>
          <w:sz w:val="32"/>
          <w:szCs w:val="32"/>
        </w:rPr>
        <w:t>核查机构对报告客观真实性和报告质量负责。</w:t>
      </w:r>
    </w:p>
    <w:p w14:paraId="37598907">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2.2 文件评审</w:t>
      </w:r>
    </w:p>
    <w:p w14:paraId="6235CB79">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核查机构应在报告中描述其文件评审的时间、过程及主要内容。核查机构对文件评审的描述应包含如下内容：</w:t>
      </w:r>
    </w:p>
    <w:p w14:paraId="4D872815">
      <w:pPr>
        <w:widowControl w:val="0"/>
        <w:numPr>
          <w:ilvl w:val="0"/>
          <w:numId w:val="8"/>
        </w:numPr>
        <w:spacing w:after="0" w:line="560" w:lineRule="exact"/>
        <w:ind w:left="0" w:firstLine="660"/>
        <w:jc w:val="both"/>
        <w:rPr>
          <w:rFonts w:ascii="仿宋_GB2312" w:hAnsi="仿宋" w:eastAsia="仿宋_GB2312"/>
          <w:sz w:val="32"/>
          <w:szCs w:val="32"/>
        </w:rPr>
      </w:pPr>
      <w:r>
        <w:rPr>
          <w:rFonts w:hint="eastAsia" w:ascii="仿宋_GB2312" w:hAnsi="仿宋" w:eastAsia="仿宋_GB2312"/>
          <w:sz w:val="32"/>
          <w:szCs w:val="32"/>
        </w:rPr>
        <w:t>重点碳排放单位提交二氧化碳排放报告初始版本和最终版本的日期；</w:t>
      </w:r>
    </w:p>
    <w:p w14:paraId="7ECE7BA2">
      <w:pPr>
        <w:widowControl w:val="0"/>
        <w:numPr>
          <w:ilvl w:val="0"/>
          <w:numId w:val="8"/>
        </w:numPr>
        <w:spacing w:after="0" w:line="560" w:lineRule="exact"/>
        <w:ind w:left="0" w:firstLine="660"/>
        <w:jc w:val="both"/>
        <w:rPr>
          <w:rFonts w:ascii="仿宋_GB2312" w:hAnsi="仿宋" w:eastAsia="仿宋_GB2312"/>
          <w:sz w:val="32"/>
          <w:szCs w:val="32"/>
        </w:rPr>
      </w:pPr>
      <w:r>
        <w:rPr>
          <w:rFonts w:hint="eastAsia" w:ascii="仿宋_GB2312" w:hAnsi="仿宋" w:eastAsia="仿宋_GB2312"/>
          <w:sz w:val="32"/>
          <w:szCs w:val="32"/>
        </w:rPr>
        <w:t>重点碳排放单位提供的支持性文件（详细文件清单，包括版本和日期应清晰地列在核查报告的第五部分“参考文件” 中），支持文件可包括但不限于：</w:t>
      </w:r>
    </w:p>
    <w:p w14:paraId="5E401ED6">
      <w:pPr>
        <w:widowControl w:val="0"/>
        <w:numPr>
          <w:ilvl w:val="0"/>
          <w:numId w:val="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营业执照；</w:t>
      </w:r>
    </w:p>
    <w:p w14:paraId="5D1A8841">
      <w:pPr>
        <w:widowControl w:val="0"/>
        <w:numPr>
          <w:ilvl w:val="0"/>
          <w:numId w:val="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工艺流程图；</w:t>
      </w:r>
    </w:p>
    <w:p w14:paraId="64F7A800">
      <w:pPr>
        <w:widowControl w:val="0"/>
        <w:numPr>
          <w:ilvl w:val="0"/>
          <w:numId w:val="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能源平衡表；</w:t>
      </w:r>
    </w:p>
    <w:p w14:paraId="0A0AEF13">
      <w:pPr>
        <w:widowControl w:val="0"/>
        <w:numPr>
          <w:ilvl w:val="0"/>
          <w:numId w:val="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物料平衡表(如有)；</w:t>
      </w:r>
    </w:p>
    <w:p w14:paraId="35E8B0A5">
      <w:pPr>
        <w:widowControl w:val="0"/>
        <w:numPr>
          <w:ilvl w:val="0"/>
          <w:numId w:val="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能源审计报告；</w:t>
      </w:r>
    </w:p>
    <w:p w14:paraId="6E0F9F47">
      <w:pPr>
        <w:widowControl w:val="0"/>
        <w:numPr>
          <w:ilvl w:val="0"/>
          <w:numId w:val="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能源统计报表；</w:t>
      </w:r>
    </w:p>
    <w:p w14:paraId="2EB43783">
      <w:pPr>
        <w:widowControl w:val="0"/>
        <w:numPr>
          <w:ilvl w:val="0"/>
          <w:numId w:val="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核查组在文件评审中使用其它的支持性文件。</w:t>
      </w:r>
    </w:p>
    <w:p w14:paraId="0B5F578B">
      <w:pPr>
        <w:spacing w:after="0" w:line="560" w:lineRule="exact"/>
        <w:ind w:left="420" w:firstLine="320" w:firstLineChars="100"/>
        <w:jc w:val="both"/>
        <w:rPr>
          <w:rFonts w:ascii="仿宋_GB2312" w:hAnsi="仿宋" w:eastAsia="仿宋_GB2312"/>
          <w:sz w:val="32"/>
          <w:szCs w:val="32"/>
        </w:rPr>
      </w:pPr>
      <w:r>
        <w:rPr>
          <w:rFonts w:hint="eastAsia" w:ascii="仿宋_GB2312" w:hAnsi="仿宋" w:eastAsia="仿宋_GB2312"/>
          <w:sz w:val="32"/>
          <w:szCs w:val="32"/>
        </w:rPr>
        <w:t>c) 文件评审识别出的现场访问的重点。</w:t>
      </w:r>
    </w:p>
    <w:p w14:paraId="28764253">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2.3 现场访问</w:t>
      </w:r>
    </w:p>
    <w:p w14:paraId="43FE2E24">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核查机构应在报告中描述其现场访问的时间、对象及主要内容，并用如下表格格式汇总现场访问的实施。</w:t>
      </w:r>
    </w:p>
    <w:tbl>
      <w:tblPr>
        <w:tblStyle w:val="3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2226"/>
        <w:gridCol w:w="2168"/>
        <w:gridCol w:w="3402"/>
      </w:tblGrid>
      <w:tr w14:paraId="6291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14:paraId="5927C3CC">
            <w:pPr>
              <w:spacing w:after="0" w:line="560" w:lineRule="exact"/>
              <w:jc w:val="center"/>
              <w:rPr>
                <w:rFonts w:ascii="仿宋_GB2312" w:hAnsi="仿宋" w:eastAsia="仿宋_GB2312" w:cs="Arial"/>
                <w:b/>
                <w:bCs/>
                <w:sz w:val="24"/>
                <w:szCs w:val="24"/>
              </w:rPr>
            </w:pPr>
            <w:r>
              <w:rPr>
                <w:rFonts w:hint="eastAsia" w:ascii="仿宋_GB2312" w:hAnsi="仿宋" w:eastAsia="仿宋_GB2312" w:cs="Arial"/>
                <w:b/>
                <w:bCs/>
                <w:sz w:val="24"/>
                <w:szCs w:val="24"/>
              </w:rPr>
              <w:t>时间</w:t>
            </w:r>
          </w:p>
        </w:tc>
        <w:tc>
          <w:tcPr>
            <w:tcW w:w="2226" w:type="dxa"/>
            <w:vAlign w:val="center"/>
          </w:tcPr>
          <w:p w14:paraId="09535589">
            <w:pPr>
              <w:spacing w:after="0" w:line="560" w:lineRule="exact"/>
              <w:jc w:val="center"/>
              <w:rPr>
                <w:rFonts w:ascii="仿宋_GB2312" w:hAnsi="仿宋" w:eastAsia="仿宋_GB2312"/>
                <w:b/>
                <w:bCs/>
                <w:sz w:val="24"/>
                <w:szCs w:val="24"/>
              </w:rPr>
            </w:pPr>
            <w:r>
              <w:rPr>
                <w:rFonts w:hint="eastAsia" w:ascii="仿宋_GB2312" w:hAnsi="仿宋" w:eastAsia="仿宋_GB2312"/>
                <w:b/>
                <w:bCs/>
                <w:sz w:val="24"/>
                <w:szCs w:val="24"/>
              </w:rPr>
              <w:t>访谈对象</w:t>
            </w:r>
          </w:p>
          <w:p w14:paraId="3AA04B62">
            <w:pPr>
              <w:spacing w:after="0" w:line="560" w:lineRule="exact"/>
              <w:jc w:val="center"/>
              <w:rPr>
                <w:rFonts w:ascii="仿宋_GB2312" w:hAnsi="仿宋" w:eastAsia="仿宋_GB2312"/>
                <w:b/>
                <w:bCs/>
                <w:sz w:val="24"/>
                <w:szCs w:val="24"/>
              </w:rPr>
            </w:pPr>
            <w:r>
              <w:rPr>
                <w:rFonts w:hint="eastAsia" w:ascii="仿宋_GB2312" w:hAnsi="仿宋" w:eastAsia="仿宋_GB2312"/>
                <w:b/>
                <w:bCs/>
                <w:sz w:val="24"/>
                <w:szCs w:val="24"/>
              </w:rPr>
              <w:t>（姓名／职位）</w:t>
            </w:r>
          </w:p>
        </w:tc>
        <w:tc>
          <w:tcPr>
            <w:tcW w:w="2168" w:type="dxa"/>
            <w:vAlign w:val="center"/>
          </w:tcPr>
          <w:p w14:paraId="400C1BE8">
            <w:pPr>
              <w:spacing w:after="0" w:line="560" w:lineRule="exact"/>
              <w:jc w:val="center"/>
              <w:rPr>
                <w:rFonts w:ascii="仿宋_GB2312" w:hAnsi="仿宋" w:eastAsia="仿宋_GB2312" w:cs="Arial"/>
                <w:b/>
                <w:bCs/>
                <w:sz w:val="24"/>
                <w:szCs w:val="24"/>
              </w:rPr>
            </w:pPr>
            <w:r>
              <w:rPr>
                <w:rFonts w:hint="eastAsia" w:ascii="仿宋_GB2312" w:hAnsi="仿宋" w:eastAsia="仿宋_GB2312" w:cs="Arial"/>
                <w:b/>
                <w:bCs/>
                <w:sz w:val="24"/>
                <w:szCs w:val="24"/>
              </w:rPr>
              <w:t>部门</w:t>
            </w:r>
          </w:p>
        </w:tc>
        <w:tc>
          <w:tcPr>
            <w:tcW w:w="3402" w:type="dxa"/>
            <w:vAlign w:val="center"/>
          </w:tcPr>
          <w:p w14:paraId="3A31A0C8">
            <w:pPr>
              <w:spacing w:after="0" w:line="560" w:lineRule="exact"/>
              <w:jc w:val="center"/>
              <w:rPr>
                <w:rFonts w:ascii="仿宋_GB2312" w:hAnsi="仿宋" w:eastAsia="仿宋_GB2312" w:cs="Arial"/>
                <w:b/>
                <w:bCs/>
                <w:sz w:val="24"/>
                <w:szCs w:val="24"/>
              </w:rPr>
            </w:pPr>
            <w:r>
              <w:rPr>
                <w:rFonts w:hint="eastAsia" w:ascii="仿宋_GB2312" w:hAnsi="仿宋" w:eastAsia="仿宋_GB2312" w:cs="Arial"/>
                <w:b/>
                <w:bCs/>
                <w:sz w:val="24"/>
                <w:szCs w:val="24"/>
              </w:rPr>
              <w:t>访谈内容</w:t>
            </w:r>
          </w:p>
        </w:tc>
      </w:tr>
      <w:tr w14:paraId="2AAE7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14:paraId="4A9F795A">
            <w:pPr>
              <w:spacing w:after="0" w:line="560" w:lineRule="exact"/>
              <w:rPr>
                <w:rFonts w:ascii="仿宋_GB2312" w:hAnsi="仿宋" w:eastAsia="仿宋_GB2312"/>
                <w:sz w:val="24"/>
                <w:szCs w:val="24"/>
              </w:rPr>
            </w:pPr>
          </w:p>
        </w:tc>
        <w:tc>
          <w:tcPr>
            <w:tcW w:w="2226" w:type="dxa"/>
          </w:tcPr>
          <w:p w14:paraId="4929EFE6">
            <w:pPr>
              <w:spacing w:after="0" w:line="560" w:lineRule="exact"/>
              <w:rPr>
                <w:rFonts w:ascii="仿宋_GB2312" w:hAnsi="仿宋" w:eastAsia="仿宋_GB2312"/>
                <w:sz w:val="24"/>
                <w:szCs w:val="24"/>
              </w:rPr>
            </w:pPr>
          </w:p>
        </w:tc>
        <w:tc>
          <w:tcPr>
            <w:tcW w:w="2168" w:type="dxa"/>
          </w:tcPr>
          <w:p w14:paraId="51861D9B">
            <w:pPr>
              <w:spacing w:after="0" w:line="560" w:lineRule="exact"/>
              <w:rPr>
                <w:rFonts w:ascii="仿宋_GB2312" w:hAnsi="仿宋" w:eastAsia="仿宋_GB2312"/>
                <w:sz w:val="24"/>
                <w:szCs w:val="24"/>
              </w:rPr>
            </w:pPr>
          </w:p>
        </w:tc>
        <w:tc>
          <w:tcPr>
            <w:tcW w:w="3402" w:type="dxa"/>
          </w:tcPr>
          <w:p w14:paraId="6EBB7F73">
            <w:pPr>
              <w:spacing w:after="0" w:line="560" w:lineRule="exact"/>
              <w:rPr>
                <w:rFonts w:ascii="仿宋_GB2312" w:hAnsi="仿宋" w:eastAsia="仿宋_GB2312"/>
                <w:sz w:val="24"/>
                <w:szCs w:val="24"/>
              </w:rPr>
            </w:pPr>
          </w:p>
        </w:tc>
      </w:tr>
      <w:tr w14:paraId="32FC9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14:paraId="688CAB00">
            <w:pPr>
              <w:spacing w:after="0" w:line="560" w:lineRule="exact"/>
              <w:rPr>
                <w:rFonts w:ascii="仿宋_GB2312" w:hAnsi="仿宋" w:eastAsia="仿宋_GB2312"/>
                <w:sz w:val="24"/>
                <w:szCs w:val="24"/>
              </w:rPr>
            </w:pPr>
          </w:p>
        </w:tc>
        <w:tc>
          <w:tcPr>
            <w:tcW w:w="2226" w:type="dxa"/>
          </w:tcPr>
          <w:p w14:paraId="0CD77C46">
            <w:pPr>
              <w:spacing w:after="0" w:line="560" w:lineRule="exact"/>
              <w:rPr>
                <w:rFonts w:ascii="仿宋_GB2312" w:hAnsi="仿宋" w:eastAsia="仿宋_GB2312"/>
                <w:sz w:val="24"/>
                <w:szCs w:val="24"/>
              </w:rPr>
            </w:pPr>
          </w:p>
        </w:tc>
        <w:tc>
          <w:tcPr>
            <w:tcW w:w="2168" w:type="dxa"/>
          </w:tcPr>
          <w:p w14:paraId="051227E3">
            <w:pPr>
              <w:spacing w:after="0" w:line="560" w:lineRule="exact"/>
              <w:rPr>
                <w:rFonts w:ascii="仿宋_GB2312" w:hAnsi="仿宋" w:eastAsia="仿宋_GB2312"/>
                <w:sz w:val="24"/>
                <w:szCs w:val="24"/>
              </w:rPr>
            </w:pPr>
          </w:p>
        </w:tc>
        <w:tc>
          <w:tcPr>
            <w:tcW w:w="3402" w:type="dxa"/>
          </w:tcPr>
          <w:p w14:paraId="22311519">
            <w:pPr>
              <w:spacing w:after="0" w:line="560" w:lineRule="exact"/>
              <w:rPr>
                <w:rFonts w:ascii="仿宋_GB2312" w:hAnsi="仿宋" w:eastAsia="仿宋_GB2312"/>
                <w:sz w:val="24"/>
                <w:szCs w:val="24"/>
              </w:rPr>
            </w:pPr>
          </w:p>
        </w:tc>
      </w:tr>
      <w:tr w14:paraId="6F40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14:paraId="3A53E5A7">
            <w:pPr>
              <w:spacing w:after="0" w:line="560" w:lineRule="exact"/>
              <w:rPr>
                <w:rFonts w:ascii="仿宋_GB2312" w:hAnsi="仿宋" w:eastAsia="仿宋_GB2312"/>
                <w:sz w:val="24"/>
                <w:szCs w:val="24"/>
              </w:rPr>
            </w:pPr>
          </w:p>
        </w:tc>
        <w:tc>
          <w:tcPr>
            <w:tcW w:w="2226" w:type="dxa"/>
          </w:tcPr>
          <w:p w14:paraId="05B4F94D">
            <w:pPr>
              <w:spacing w:after="0" w:line="560" w:lineRule="exact"/>
              <w:rPr>
                <w:rFonts w:ascii="仿宋_GB2312" w:hAnsi="仿宋" w:eastAsia="仿宋_GB2312"/>
                <w:sz w:val="24"/>
                <w:szCs w:val="24"/>
              </w:rPr>
            </w:pPr>
          </w:p>
        </w:tc>
        <w:tc>
          <w:tcPr>
            <w:tcW w:w="2168" w:type="dxa"/>
          </w:tcPr>
          <w:p w14:paraId="774871EC">
            <w:pPr>
              <w:spacing w:after="0" w:line="560" w:lineRule="exact"/>
              <w:rPr>
                <w:rFonts w:ascii="仿宋_GB2312" w:hAnsi="仿宋" w:eastAsia="仿宋_GB2312"/>
                <w:sz w:val="24"/>
                <w:szCs w:val="24"/>
              </w:rPr>
            </w:pPr>
          </w:p>
        </w:tc>
        <w:tc>
          <w:tcPr>
            <w:tcW w:w="3402" w:type="dxa"/>
          </w:tcPr>
          <w:p w14:paraId="1029A5C1">
            <w:pPr>
              <w:spacing w:after="0" w:line="560" w:lineRule="exact"/>
              <w:rPr>
                <w:rFonts w:ascii="仿宋_GB2312" w:hAnsi="仿宋" w:eastAsia="仿宋_GB2312"/>
                <w:sz w:val="24"/>
                <w:szCs w:val="24"/>
              </w:rPr>
            </w:pPr>
          </w:p>
        </w:tc>
      </w:tr>
      <w:tr w14:paraId="61754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14:paraId="24970684">
            <w:pPr>
              <w:spacing w:after="0" w:line="560" w:lineRule="exact"/>
              <w:rPr>
                <w:rFonts w:ascii="仿宋_GB2312" w:hAnsi="仿宋" w:eastAsia="仿宋_GB2312"/>
                <w:sz w:val="24"/>
                <w:szCs w:val="24"/>
              </w:rPr>
            </w:pPr>
          </w:p>
        </w:tc>
        <w:tc>
          <w:tcPr>
            <w:tcW w:w="2226" w:type="dxa"/>
          </w:tcPr>
          <w:p w14:paraId="44283CA1">
            <w:pPr>
              <w:spacing w:after="0" w:line="560" w:lineRule="exact"/>
              <w:rPr>
                <w:rFonts w:ascii="仿宋_GB2312" w:hAnsi="仿宋" w:eastAsia="仿宋_GB2312"/>
                <w:sz w:val="24"/>
                <w:szCs w:val="24"/>
              </w:rPr>
            </w:pPr>
          </w:p>
        </w:tc>
        <w:tc>
          <w:tcPr>
            <w:tcW w:w="2168" w:type="dxa"/>
          </w:tcPr>
          <w:p w14:paraId="785EC9D6">
            <w:pPr>
              <w:spacing w:after="0" w:line="560" w:lineRule="exact"/>
              <w:rPr>
                <w:rFonts w:ascii="仿宋_GB2312" w:hAnsi="仿宋" w:eastAsia="仿宋_GB2312"/>
                <w:sz w:val="24"/>
                <w:szCs w:val="24"/>
              </w:rPr>
            </w:pPr>
          </w:p>
        </w:tc>
        <w:tc>
          <w:tcPr>
            <w:tcW w:w="3402" w:type="dxa"/>
          </w:tcPr>
          <w:p w14:paraId="28206E35">
            <w:pPr>
              <w:spacing w:after="0" w:line="560" w:lineRule="exact"/>
              <w:rPr>
                <w:rFonts w:ascii="仿宋_GB2312" w:hAnsi="仿宋" w:eastAsia="仿宋_GB2312"/>
                <w:sz w:val="24"/>
                <w:szCs w:val="24"/>
              </w:rPr>
            </w:pPr>
          </w:p>
        </w:tc>
      </w:tr>
    </w:tbl>
    <w:p w14:paraId="06070EB8">
      <w:pPr>
        <w:spacing w:after="0" w:line="560" w:lineRule="exact"/>
        <w:jc w:val="both"/>
        <w:rPr>
          <w:rFonts w:ascii="仿宋_GB2312" w:hAnsi="仿宋" w:eastAsia="仿宋_GB2312"/>
          <w:sz w:val="32"/>
          <w:szCs w:val="32"/>
        </w:rPr>
      </w:pPr>
      <w:r>
        <w:rPr>
          <w:rFonts w:hint="eastAsia" w:ascii="仿宋_GB2312" w:hAnsi="仿宋" w:eastAsia="仿宋_GB2312"/>
          <w:sz w:val="32"/>
          <w:szCs w:val="32"/>
        </w:rPr>
        <w:t xml:space="preserve">    文件评审及现场访问的核查发现将具体在报告的第三部分详细描述。</w:t>
      </w:r>
    </w:p>
    <w:p w14:paraId="43DEC453">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2.4 核查报告编写及内部技术复核</w:t>
      </w:r>
    </w:p>
    <w:p w14:paraId="5CFCA4D7">
      <w:pPr>
        <w:spacing w:after="0" w:line="560" w:lineRule="exact"/>
        <w:ind w:firstLine="552"/>
        <w:jc w:val="both"/>
        <w:rPr>
          <w:rFonts w:ascii="仿宋_GB2312" w:hAnsi="仿宋" w:eastAsia="仿宋_GB2312"/>
          <w:sz w:val="32"/>
          <w:szCs w:val="32"/>
        </w:rPr>
      </w:pPr>
      <w:r>
        <w:rPr>
          <w:rFonts w:hint="eastAsia" w:ascii="仿宋_GB2312" w:hAnsi="仿宋" w:eastAsia="仿宋_GB2312"/>
          <w:sz w:val="32"/>
          <w:szCs w:val="32"/>
        </w:rPr>
        <w:t>核查机构应在核查报告中描述核查报告编写的过程和内部技术复核的过程，内容可包括：</w:t>
      </w:r>
    </w:p>
    <w:p w14:paraId="4A366DDD">
      <w:pPr>
        <w:widowControl w:val="0"/>
        <w:numPr>
          <w:ilvl w:val="0"/>
          <w:numId w:val="1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核查组开具了几个不符合；</w:t>
      </w:r>
    </w:p>
    <w:p w14:paraId="6F08F267">
      <w:pPr>
        <w:widowControl w:val="0"/>
        <w:numPr>
          <w:ilvl w:val="0"/>
          <w:numId w:val="1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将不符合发给重点碳排放单位的时间以及不符合关闭的时间；</w:t>
      </w:r>
    </w:p>
    <w:p w14:paraId="33525482">
      <w:pPr>
        <w:widowControl w:val="0"/>
        <w:numPr>
          <w:ilvl w:val="0"/>
          <w:numId w:val="1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准备核查报告的时间；</w:t>
      </w:r>
    </w:p>
    <w:p w14:paraId="67CA62F1">
      <w:pPr>
        <w:widowControl w:val="0"/>
        <w:numPr>
          <w:ilvl w:val="0"/>
          <w:numId w:val="10"/>
        </w:numPr>
        <w:spacing w:after="0" w:line="560" w:lineRule="exact"/>
        <w:ind w:left="851" w:hanging="299"/>
        <w:jc w:val="both"/>
        <w:rPr>
          <w:rFonts w:ascii="仿宋_GB2312" w:hAnsi="仿宋" w:eastAsia="仿宋_GB2312"/>
          <w:sz w:val="32"/>
          <w:szCs w:val="32"/>
        </w:rPr>
      </w:pPr>
      <w:r>
        <w:rPr>
          <w:rFonts w:hint="eastAsia" w:ascii="仿宋_GB2312" w:hAnsi="仿宋" w:eastAsia="仿宋_GB2312"/>
          <w:sz w:val="32"/>
          <w:szCs w:val="32"/>
        </w:rPr>
        <w:t>核查机构如何安排内部技术复核以及采取其他的质量控制措施等。</w:t>
      </w:r>
    </w:p>
    <w:p w14:paraId="73CB6AAF">
      <w:pPr>
        <w:spacing w:after="0" w:line="560" w:lineRule="exact"/>
        <w:ind w:firstLine="549" w:firstLineChars="171"/>
        <w:outlineLvl w:val="0"/>
        <w:rPr>
          <w:rFonts w:ascii="仿宋_GB2312" w:hAnsi="仿宋" w:eastAsia="仿宋_GB2312"/>
          <w:b/>
          <w:sz w:val="32"/>
          <w:szCs w:val="32"/>
        </w:rPr>
      </w:pPr>
      <w:r>
        <w:rPr>
          <w:rFonts w:hint="eastAsia" w:ascii="仿宋_GB2312" w:hAnsi="仿宋" w:eastAsia="仿宋_GB2312"/>
          <w:b/>
          <w:sz w:val="32"/>
          <w:szCs w:val="32"/>
        </w:rPr>
        <w:t>3 .核查发现</w:t>
      </w:r>
    </w:p>
    <w:p w14:paraId="7C822ED0">
      <w:pPr>
        <w:widowControl w:val="0"/>
        <w:numPr>
          <w:ilvl w:val="1"/>
          <w:numId w:val="11"/>
        </w:numPr>
        <w:spacing w:after="0" w:line="560" w:lineRule="exact"/>
        <w:ind w:left="-2" w:leftChars="-1" w:firstLine="488" w:firstLineChars="152"/>
        <w:jc w:val="both"/>
        <w:rPr>
          <w:rFonts w:ascii="仿宋_GB2312" w:hAnsi="仿宋" w:eastAsia="仿宋_GB2312"/>
          <w:b/>
          <w:sz w:val="32"/>
          <w:szCs w:val="32"/>
        </w:rPr>
      </w:pPr>
      <w:r>
        <w:rPr>
          <w:rFonts w:hint="eastAsia" w:ascii="仿宋_GB2312" w:hAnsi="仿宋" w:eastAsia="仿宋_GB2312"/>
          <w:b/>
          <w:sz w:val="32"/>
          <w:szCs w:val="32"/>
        </w:rPr>
        <w:t>重点碳排放单位的基本信息</w:t>
      </w:r>
    </w:p>
    <w:p w14:paraId="2C188EFA">
      <w:pPr>
        <w:spacing w:after="0" w:line="560" w:lineRule="exact"/>
        <w:ind w:firstLine="549" w:firstLineChars="171"/>
        <w:outlineLvl w:val="0"/>
        <w:rPr>
          <w:rFonts w:ascii="仿宋_GB2312" w:hAnsi="仿宋" w:eastAsia="仿宋_GB2312"/>
          <w:b/>
          <w:sz w:val="32"/>
          <w:szCs w:val="32"/>
        </w:rPr>
      </w:pPr>
      <w:r>
        <w:rPr>
          <w:rFonts w:hint="eastAsia" w:ascii="仿宋_GB2312" w:hAnsi="仿宋" w:eastAsia="仿宋_GB2312"/>
          <w:b/>
          <w:sz w:val="32"/>
          <w:szCs w:val="32"/>
        </w:rPr>
        <w:t>A）报告内容</w:t>
      </w:r>
    </w:p>
    <w:p w14:paraId="0CE036CA">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核查机构应对重点碳排放单位报送的基本信息进行核查，并在核查报告中描述以下核查发现：</w:t>
      </w:r>
    </w:p>
    <w:p w14:paraId="23656AC9">
      <w:pPr>
        <w:widowControl w:val="0"/>
        <w:numPr>
          <w:ilvl w:val="0"/>
          <w:numId w:val="12"/>
        </w:numPr>
        <w:spacing w:after="0" w:line="560" w:lineRule="exact"/>
        <w:ind w:left="110" w:firstLine="550"/>
        <w:jc w:val="both"/>
        <w:rPr>
          <w:rFonts w:ascii="仿宋_GB2312" w:hAnsi="仿宋" w:eastAsia="仿宋_GB2312"/>
          <w:sz w:val="32"/>
          <w:szCs w:val="32"/>
        </w:rPr>
      </w:pPr>
      <w:r>
        <w:rPr>
          <w:rFonts w:hint="eastAsia" w:ascii="仿宋_GB2312" w:hAnsi="仿宋" w:eastAsia="仿宋_GB2312"/>
          <w:sz w:val="32"/>
          <w:szCs w:val="32"/>
        </w:rPr>
        <w:t>重点碳排放单位简介，如重点碳排放单位名称、所属行业、地理位置、成立时间、所有制性质、规模、隶属关系等；</w:t>
      </w:r>
    </w:p>
    <w:p w14:paraId="7C785201">
      <w:pPr>
        <w:widowControl w:val="0"/>
        <w:numPr>
          <w:ilvl w:val="0"/>
          <w:numId w:val="12"/>
        </w:numPr>
        <w:spacing w:after="0" w:line="560" w:lineRule="exact"/>
        <w:ind w:left="110" w:firstLine="550"/>
        <w:jc w:val="both"/>
        <w:rPr>
          <w:rFonts w:ascii="仿宋_GB2312" w:hAnsi="仿宋" w:eastAsia="仿宋_GB2312"/>
          <w:sz w:val="32"/>
          <w:szCs w:val="32"/>
        </w:rPr>
      </w:pPr>
      <w:r>
        <w:rPr>
          <w:rFonts w:hint="eastAsia" w:ascii="仿宋_GB2312" w:hAnsi="仿宋" w:eastAsia="仿宋_GB2312"/>
          <w:sz w:val="32"/>
          <w:szCs w:val="32"/>
        </w:rPr>
        <w:t>重点碳排放单位的组织结构；</w:t>
      </w:r>
    </w:p>
    <w:p w14:paraId="4E9C779C">
      <w:pPr>
        <w:widowControl w:val="0"/>
        <w:numPr>
          <w:ilvl w:val="0"/>
          <w:numId w:val="12"/>
        </w:numPr>
        <w:spacing w:after="0" w:line="560" w:lineRule="exact"/>
        <w:ind w:left="110" w:firstLine="550"/>
        <w:jc w:val="both"/>
        <w:rPr>
          <w:rFonts w:ascii="仿宋_GB2312" w:hAnsi="仿宋" w:eastAsia="仿宋_GB2312"/>
          <w:sz w:val="32"/>
          <w:szCs w:val="32"/>
        </w:rPr>
      </w:pPr>
      <w:r>
        <w:rPr>
          <w:rFonts w:hint="eastAsia" w:ascii="仿宋_GB2312" w:hAnsi="仿宋" w:eastAsia="仿宋_GB2312"/>
          <w:sz w:val="32"/>
          <w:szCs w:val="32"/>
        </w:rPr>
        <w:t>重点碳排放单位主要的产品或服务。如为工业企业，基本信息应包括生产的产品及生产工艺等相关指标；如为服务业，基本信息应包括服务范围及流程等；</w:t>
      </w:r>
    </w:p>
    <w:p w14:paraId="5C93E027">
      <w:pPr>
        <w:widowControl w:val="0"/>
        <w:numPr>
          <w:ilvl w:val="0"/>
          <w:numId w:val="12"/>
        </w:numPr>
        <w:spacing w:after="0" w:line="560" w:lineRule="exact"/>
        <w:ind w:left="110" w:firstLine="550"/>
        <w:jc w:val="both"/>
        <w:rPr>
          <w:rFonts w:ascii="仿宋_GB2312" w:hAnsi="仿宋" w:eastAsia="仿宋_GB2312"/>
          <w:sz w:val="32"/>
          <w:szCs w:val="32"/>
        </w:rPr>
      </w:pPr>
      <w:r>
        <w:rPr>
          <w:rFonts w:hint="eastAsia" w:ascii="仿宋_GB2312" w:hAnsi="仿宋" w:eastAsia="仿宋_GB2312"/>
          <w:sz w:val="32"/>
          <w:szCs w:val="32"/>
        </w:rPr>
        <w:t>重点碳排放单位能源管理现状，包括使用能源的品种，能源计量统计及能源审计情况、年度能源统计报告等；</w:t>
      </w:r>
    </w:p>
    <w:p w14:paraId="7C71CB82">
      <w:pPr>
        <w:widowControl w:val="0"/>
        <w:numPr>
          <w:ilvl w:val="0"/>
          <w:numId w:val="12"/>
        </w:numPr>
        <w:spacing w:after="0" w:line="560" w:lineRule="exact"/>
        <w:ind w:left="110" w:firstLine="550"/>
        <w:jc w:val="both"/>
        <w:rPr>
          <w:rFonts w:ascii="仿宋_GB2312" w:hAnsi="仿宋" w:eastAsia="仿宋_GB2312"/>
          <w:sz w:val="32"/>
          <w:szCs w:val="32"/>
        </w:rPr>
      </w:pPr>
      <w:r>
        <w:rPr>
          <w:rFonts w:hint="eastAsia" w:ascii="仿宋_GB2312" w:hAnsi="仿宋" w:eastAsia="仿宋_GB2312"/>
          <w:sz w:val="32"/>
          <w:szCs w:val="32"/>
        </w:rPr>
        <w:t>重点碳排放单位的废弃物处理（如适用）现状;</w:t>
      </w:r>
    </w:p>
    <w:p w14:paraId="62394C1E">
      <w:pPr>
        <w:widowControl w:val="0"/>
        <w:numPr>
          <w:ilvl w:val="0"/>
          <w:numId w:val="12"/>
        </w:numPr>
        <w:spacing w:after="0" w:line="560" w:lineRule="exact"/>
        <w:ind w:left="110" w:firstLine="550"/>
        <w:jc w:val="both"/>
        <w:rPr>
          <w:rFonts w:ascii="仿宋_GB2312" w:hAnsi="仿宋" w:eastAsia="仿宋_GB2312"/>
          <w:sz w:val="32"/>
          <w:szCs w:val="32"/>
        </w:rPr>
      </w:pPr>
      <w:r>
        <w:rPr>
          <w:rFonts w:hint="eastAsia" w:ascii="仿宋_GB2312" w:hAnsi="仿宋" w:eastAsia="仿宋_GB2312"/>
          <w:sz w:val="32"/>
          <w:szCs w:val="32"/>
        </w:rPr>
        <w:t>如重点碳排放单位存在既有设施退出、新增排放设施、新增替代既有设施的情况，应做简要描述；</w:t>
      </w:r>
    </w:p>
    <w:p w14:paraId="2F24A84E">
      <w:pPr>
        <w:widowControl w:val="0"/>
        <w:numPr>
          <w:ilvl w:val="0"/>
          <w:numId w:val="12"/>
        </w:numPr>
        <w:spacing w:after="0" w:line="560" w:lineRule="exact"/>
        <w:ind w:left="110" w:firstLine="550"/>
        <w:jc w:val="both"/>
        <w:rPr>
          <w:rFonts w:ascii="仿宋_GB2312" w:hAnsi="仿宋" w:eastAsia="仿宋_GB2312"/>
          <w:sz w:val="32"/>
          <w:szCs w:val="32"/>
        </w:rPr>
      </w:pPr>
      <w:r>
        <w:rPr>
          <w:rFonts w:hint="eastAsia" w:ascii="仿宋_GB2312" w:hAnsi="仿宋" w:eastAsia="仿宋_GB2312"/>
          <w:sz w:val="32"/>
          <w:szCs w:val="32"/>
        </w:rPr>
        <w:t>以往年份的二氧化碳排放的履约情况,包括履约的方式,比如自我控制排放的实施方式、购买信用额度以及购买配额的详细情况；</w:t>
      </w:r>
    </w:p>
    <w:p w14:paraId="5B791DB0">
      <w:pPr>
        <w:widowControl w:val="0"/>
        <w:numPr>
          <w:ilvl w:val="0"/>
          <w:numId w:val="12"/>
        </w:numPr>
        <w:spacing w:after="0" w:line="560" w:lineRule="exact"/>
        <w:ind w:left="110" w:firstLine="550"/>
        <w:jc w:val="both"/>
        <w:rPr>
          <w:rFonts w:ascii="仿宋_GB2312" w:hAnsi="仿宋" w:eastAsia="仿宋_GB2312"/>
          <w:sz w:val="32"/>
          <w:szCs w:val="32"/>
        </w:rPr>
      </w:pPr>
      <w:r>
        <w:rPr>
          <w:rFonts w:hint="eastAsia" w:ascii="仿宋_GB2312" w:hAnsi="仿宋" w:eastAsia="仿宋_GB2312"/>
          <w:sz w:val="32"/>
          <w:szCs w:val="32"/>
        </w:rPr>
        <w:t>简要描述不符合(如有),详细描述及纠正措施链接核查报告附件1。</w:t>
      </w:r>
    </w:p>
    <w:p w14:paraId="285DCFE5">
      <w:pPr>
        <w:spacing w:after="0" w:line="560" w:lineRule="exact"/>
        <w:ind w:firstLine="790" w:firstLineChars="246"/>
        <w:outlineLvl w:val="0"/>
        <w:rPr>
          <w:rFonts w:ascii="仿宋_GB2312" w:hAnsi="仿宋" w:eastAsia="仿宋_GB2312"/>
          <w:b/>
          <w:sz w:val="32"/>
          <w:szCs w:val="32"/>
        </w:rPr>
      </w:pPr>
      <w:r>
        <w:rPr>
          <w:rFonts w:hint="eastAsia" w:ascii="仿宋_GB2312" w:hAnsi="仿宋" w:eastAsia="仿宋_GB2312"/>
          <w:b/>
          <w:sz w:val="32"/>
          <w:szCs w:val="32"/>
        </w:rPr>
        <w:t>B）核查方法</w:t>
      </w:r>
    </w:p>
    <w:p w14:paraId="43EDDB81">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查阅重点碳排放单位的法人证书、机构简介，与机构相关负责人进行交流访谈；</w:t>
      </w:r>
    </w:p>
    <w:p w14:paraId="337B96D0">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了解能源和二氧化碳管理机构，查阅相关部门、岗位的职责书及培训记录。</w:t>
      </w:r>
    </w:p>
    <w:p w14:paraId="586648F4">
      <w:pPr>
        <w:spacing w:after="0" w:line="560" w:lineRule="exact"/>
        <w:ind w:firstLine="659" w:firstLineChars="205"/>
        <w:rPr>
          <w:rFonts w:ascii="仿宋_GB2312" w:hAnsi="仿宋" w:eastAsia="仿宋_GB2312"/>
          <w:b/>
          <w:sz w:val="32"/>
          <w:szCs w:val="32"/>
        </w:rPr>
      </w:pPr>
      <w:r>
        <w:rPr>
          <w:rFonts w:hint="eastAsia" w:ascii="仿宋_GB2312" w:hAnsi="仿宋" w:eastAsia="仿宋_GB2312"/>
          <w:b/>
          <w:sz w:val="32"/>
          <w:szCs w:val="32"/>
        </w:rPr>
        <w:t>3.2 重点碳排放单位的设施边界及排放源识别</w:t>
      </w:r>
    </w:p>
    <w:p w14:paraId="23481538">
      <w:pPr>
        <w:spacing w:after="0" w:line="560" w:lineRule="exact"/>
        <w:ind w:firstLine="659" w:firstLineChars="205"/>
        <w:outlineLvl w:val="0"/>
        <w:rPr>
          <w:rFonts w:ascii="仿宋_GB2312" w:hAnsi="仿宋" w:eastAsia="仿宋_GB2312"/>
          <w:b/>
          <w:sz w:val="32"/>
          <w:szCs w:val="32"/>
        </w:rPr>
      </w:pPr>
      <w:r>
        <w:rPr>
          <w:rFonts w:hint="eastAsia" w:ascii="仿宋_GB2312" w:hAnsi="仿宋" w:eastAsia="仿宋_GB2312"/>
          <w:b/>
          <w:sz w:val="32"/>
          <w:szCs w:val="32"/>
        </w:rPr>
        <w:t>A)报告内容</w:t>
      </w:r>
    </w:p>
    <w:p w14:paraId="3F5E2FB9">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核查机构应对重点碳排放单位报送设备信息和重点排放设施等的信息进行核查，并在核查报告中描述如下核查发现：</w:t>
      </w:r>
    </w:p>
    <w:p w14:paraId="74358C32">
      <w:pPr>
        <w:widowControl w:val="0"/>
        <w:numPr>
          <w:ilvl w:val="0"/>
          <w:numId w:val="14"/>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重点碳排放单位的场所边界、设施边界是否与以往年份保持一致；</w:t>
      </w:r>
    </w:p>
    <w:p w14:paraId="125613DA">
      <w:pPr>
        <w:widowControl w:val="0"/>
        <w:numPr>
          <w:ilvl w:val="0"/>
          <w:numId w:val="14"/>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重点碳排放单位的场所边界、设施边界与适用的地方标准或核算和报告指南的符合情况；</w:t>
      </w:r>
    </w:p>
    <w:p w14:paraId="42F89D0D">
      <w:pPr>
        <w:widowControl w:val="0"/>
        <w:numPr>
          <w:ilvl w:val="0"/>
          <w:numId w:val="14"/>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非道路运输行业的排放报告中的每一个排放设施的名称、型号和物理位置是否与现场确认的一致；</w:t>
      </w:r>
    </w:p>
    <w:p w14:paraId="5D8F8D9D">
      <w:pPr>
        <w:widowControl w:val="0"/>
        <w:numPr>
          <w:ilvl w:val="0"/>
          <w:numId w:val="14"/>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道路运输业企业的排放报告中公共电汽车车辆、运营车辆总数、飞</w:t>
      </w:r>
      <w:r>
        <w:rPr>
          <w:rFonts w:ascii="仿宋_GB2312" w:hAnsi="仿宋" w:eastAsia="仿宋_GB2312"/>
          <w:sz w:val="32"/>
          <w:szCs w:val="32"/>
        </w:rPr>
        <w:t>机</w:t>
      </w:r>
      <w:r>
        <w:rPr>
          <w:rFonts w:hint="eastAsia" w:ascii="仿宋_GB2312" w:hAnsi="仿宋" w:eastAsia="仿宋_GB2312"/>
          <w:sz w:val="32"/>
          <w:szCs w:val="32"/>
        </w:rPr>
        <w:t>总数及燃料消耗类型等是否与现场确认的一致；</w:t>
      </w:r>
    </w:p>
    <w:p w14:paraId="627C7E42">
      <w:pPr>
        <w:widowControl w:val="0"/>
        <w:numPr>
          <w:ilvl w:val="0"/>
          <w:numId w:val="14"/>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道路运输业企业的排放报告中轨道交通的线路、配属车辆数量等是否与现场确认的一致；</w:t>
      </w:r>
    </w:p>
    <w:p w14:paraId="34C5F0A7">
      <w:pPr>
        <w:widowControl w:val="0"/>
        <w:numPr>
          <w:ilvl w:val="0"/>
          <w:numId w:val="14"/>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如核查机构采用对场所和数据抽样的方式实施核查，应在核查报告中详细说明抽样方案与数量等，同时核查报告中应清楚描述出本年度场所抽样与去年场所抽样情况的差别并确定是否核查指南的要求；</w:t>
      </w:r>
    </w:p>
    <w:p w14:paraId="14609729">
      <w:pPr>
        <w:widowControl w:val="0"/>
        <w:numPr>
          <w:ilvl w:val="0"/>
          <w:numId w:val="14"/>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简要描述不符合(如有),详细描述及纠正措施链接核查报告附件1。</w:t>
      </w:r>
    </w:p>
    <w:p w14:paraId="62E638B6">
      <w:pPr>
        <w:spacing w:after="0" w:line="560" w:lineRule="exact"/>
        <w:ind w:firstLine="472" w:firstLineChars="147"/>
        <w:outlineLvl w:val="0"/>
        <w:rPr>
          <w:rFonts w:ascii="仿宋_GB2312" w:hAnsi="仿宋" w:eastAsia="仿宋_GB2312"/>
          <w:b/>
          <w:sz w:val="32"/>
          <w:szCs w:val="32"/>
        </w:rPr>
      </w:pPr>
      <w:r>
        <w:rPr>
          <w:rFonts w:hint="eastAsia" w:ascii="仿宋_GB2312" w:hAnsi="仿宋" w:eastAsia="仿宋_GB2312"/>
          <w:b/>
          <w:sz w:val="32"/>
          <w:szCs w:val="32"/>
        </w:rPr>
        <w:t>B)核查方法</w:t>
      </w:r>
    </w:p>
    <w:p w14:paraId="745BA8A5">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核查机构可通过以下方式来验证重点碳排放单位报告的设施的真实性：</w:t>
      </w:r>
    </w:p>
    <w:p w14:paraId="413225C8">
      <w:pPr>
        <w:widowControl w:val="0"/>
        <w:numPr>
          <w:ilvl w:val="0"/>
          <w:numId w:val="1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与设备管理人员进行交谈；</w:t>
      </w:r>
    </w:p>
    <w:p w14:paraId="3309050C">
      <w:pPr>
        <w:widowControl w:val="0"/>
        <w:numPr>
          <w:ilvl w:val="0"/>
          <w:numId w:val="1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现场观察设施或交通运输业运行线路图或统计信息；</w:t>
      </w:r>
    </w:p>
    <w:p w14:paraId="00867A32">
      <w:pPr>
        <w:widowControl w:val="0"/>
        <w:numPr>
          <w:ilvl w:val="0"/>
          <w:numId w:val="1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查阅可行性研究报告的批复；</w:t>
      </w:r>
    </w:p>
    <w:p w14:paraId="26EDE49C">
      <w:pPr>
        <w:widowControl w:val="0"/>
        <w:numPr>
          <w:ilvl w:val="0"/>
          <w:numId w:val="1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查阅环境影响评价报告及年度环境监测报告等。</w:t>
      </w:r>
    </w:p>
    <w:p w14:paraId="3A864AE4">
      <w:pPr>
        <w:spacing w:after="0" w:line="560" w:lineRule="exact"/>
        <w:ind w:firstLine="659" w:firstLineChars="205"/>
        <w:rPr>
          <w:rFonts w:ascii="仿宋_GB2312" w:hAnsi="仿宋" w:eastAsia="仿宋_GB2312"/>
          <w:b/>
          <w:sz w:val="32"/>
          <w:szCs w:val="32"/>
        </w:rPr>
      </w:pPr>
      <w:r>
        <w:rPr>
          <w:rFonts w:hint="eastAsia" w:ascii="仿宋_GB2312" w:hAnsi="仿宋" w:eastAsia="仿宋_GB2312"/>
          <w:b/>
          <w:sz w:val="32"/>
          <w:szCs w:val="32"/>
        </w:rPr>
        <w:t>3.3 核算方法</w:t>
      </w:r>
      <w:r>
        <w:rPr>
          <w:rFonts w:hint="eastAsia" w:ascii="仿宋_GB2312" w:hAnsi="仿宋" w:eastAsia="仿宋_GB2312"/>
          <w:sz w:val="32"/>
          <w:szCs w:val="32"/>
        </w:rPr>
        <w:t>、</w:t>
      </w:r>
      <w:r>
        <w:rPr>
          <w:rFonts w:hint="eastAsia" w:ascii="仿宋_GB2312" w:hAnsi="仿宋" w:eastAsia="仿宋_GB2312"/>
          <w:b/>
          <w:sz w:val="32"/>
          <w:szCs w:val="32"/>
        </w:rPr>
        <w:t>数据与《企业(单位)二氧化碳核算与报告指南》的符合性</w:t>
      </w:r>
    </w:p>
    <w:p w14:paraId="29BDB2CD">
      <w:pPr>
        <w:spacing w:after="0" w:line="560" w:lineRule="exact"/>
        <w:ind w:firstLine="659" w:firstLineChars="205"/>
        <w:outlineLvl w:val="0"/>
        <w:rPr>
          <w:rFonts w:ascii="仿宋_GB2312" w:hAnsi="仿宋" w:eastAsia="仿宋_GB2312"/>
          <w:b/>
          <w:sz w:val="32"/>
          <w:szCs w:val="32"/>
        </w:rPr>
      </w:pPr>
      <w:r>
        <w:rPr>
          <w:rFonts w:hint="eastAsia" w:ascii="仿宋_GB2312" w:hAnsi="仿宋" w:eastAsia="仿宋_GB2312"/>
          <w:b/>
          <w:sz w:val="32"/>
          <w:szCs w:val="32"/>
        </w:rPr>
        <w:t>A)报告内容</w:t>
      </w:r>
    </w:p>
    <w:p w14:paraId="2994335F">
      <w:pPr>
        <w:spacing w:after="0" w:line="560" w:lineRule="exact"/>
        <w:ind w:firstLine="659" w:firstLineChars="205"/>
        <w:rPr>
          <w:rFonts w:ascii="仿宋_GB2312" w:hAnsi="仿宋" w:eastAsia="仿宋_GB2312"/>
          <w:b/>
          <w:sz w:val="32"/>
          <w:szCs w:val="32"/>
        </w:rPr>
      </w:pPr>
      <w:r>
        <w:rPr>
          <w:rFonts w:hint="eastAsia" w:ascii="仿宋_GB2312" w:hAnsi="仿宋" w:eastAsia="仿宋_GB2312"/>
          <w:b/>
          <w:sz w:val="32"/>
          <w:szCs w:val="32"/>
        </w:rPr>
        <w:t>3.3.1核算方法的符合性</w:t>
      </w:r>
    </w:p>
    <w:p w14:paraId="00F1FC6E">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核查机构应对重点碳排放单位的二氧化碳核算方法进行核查,确定核算方法的选择符合适用地方标准或核算和报告指南的要求。对任何偏离指南要求的核算应予以详细说明。</w:t>
      </w:r>
    </w:p>
    <w:p w14:paraId="0716AE6F">
      <w:pPr>
        <w:spacing w:after="0" w:line="560" w:lineRule="exact"/>
        <w:ind w:firstLine="659" w:firstLineChars="205"/>
        <w:rPr>
          <w:rFonts w:ascii="仿宋_GB2312" w:hAnsi="仿宋" w:eastAsia="仿宋_GB2312"/>
          <w:b/>
          <w:sz w:val="32"/>
          <w:szCs w:val="32"/>
        </w:rPr>
      </w:pPr>
      <w:r>
        <w:rPr>
          <w:rFonts w:hint="eastAsia" w:ascii="仿宋_GB2312" w:hAnsi="仿宋" w:eastAsia="仿宋_GB2312"/>
          <w:b/>
          <w:sz w:val="32"/>
          <w:szCs w:val="32"/>
        </w:rPr>
        <w:t>3.3.2数据的符合性</w:t>
      </w:r>
    </w:p>
    <w:p w14:paraId="1B1BA12A">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核查机构应按照如下格式报告重点排放单位所核算参数的单位、描述以及是否制订监测计划。并在下面的3.3.2.1～3.3.2.4章节报告每个参数的详细核查发现。</w:t>
      </w:r>
    </w:p>
    <w:tbl>
      <w:tblPr>
        <w:tblStyle w:val="35"/>
        <w:tblW w:w="87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7"/>
        <w:gridCol w:w="457"/>
        <w:gridCol w:w="1164"/>
        <w:gridCol w:w="989"/>
        <w:gridCol w:w="990"/>
        <w:gridCol w:w="3181"/>
        <w:gridCol w:w="1520"/>
      </w:tblGrid>
      <w:tr w14:paraId="6065C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blHeader/>
          <w:jc w:val="center"/>
        </w:trPr>
        <w:tc>
          <w:tcPr>
            <w:tcW w:w="2075" w:type="dxa"/>
            <w:gridSpan w:val="3"/>
            <w:vAlign w:val="center"/>
          </w:tcPr>
          <w:p w14:paraId="31121331">
            <w:pPr>
              <w:keepNext w:val="0"/>
              <w:keepLines w:val="0"/>
              <w:pageBreakBefore w:val="0"/>
              <w:kinsoku/>
              <w:wordWrap/>
              <w:overflowPunct/>
              <w:topLinePunct w:val="0"/>
              <w:autoSpaceDE/>
              <w:autoSpaceDN/>
              <w:bidi w:val="0"/>
              <w:adjustRightInd/>
              <w:snapToGrid/>
              <w:spacing w:after="0" w:line="320" w:lineRule="exact"/>
              <w:jc w:val="center"/>
              <w:textAlignment w:val="auto"/>
              <w:rPr>
                <w:rFonts w:ascii="仿宋" w:hAnsi="仿宋" w:eastAsia="仿宋"/>
                <w:b/>
                <w:sz w:val="24"/>
                <w:szCs w:val="24"/>
              </w:rPr>
            </w:pPr>
          </w:p>
        </w:tc>
        <w:tc>
          <w:tcPr>
            <w:tcW w:w="989" w:type="dxa"/>
            <w:vAlign w:val="center"/>
          </w:tcPr>
          <w:p w14:paraId="1E0A1866">
            <w:pPr>
              <w:keepNext w:val="0"/>
              <w:keepLines w:val="0"/>
              <w:pageBreakBefore w:val="0"/>
              <w:kinsoku/>
              <w:wordWrap/>
              <w:overflowPunct/>
              <w:topLinePunct w:val="0"/>
              <w:autoSpaceDE/>
              <w:autoSpaceDN/>
              <w:bidi w:val="0"/>
              <w:adjustRightInd/>
              <w:snapToGrid/>
              <w:spacing w:after="0" w:line="320" w:lineRule="exact"/>
              <w:jc w:val="center"/>
              <w:textAlignment w:val="auto"/>
              <w:rPr>
                <w:rFonts w:ascii="仿宋" w:hAnsi="仿宋" w:eastAsia="仿宋"/>
                <w:b/>
                <w:sz w:val="24"/>
                <w:szCs w:val="24"/>
              </w:rPr>
            </w:pPr>
            <w:r>
              <w:rPr>
                <w:rFonts w:hint="eastAsia" w:ascii="仿宋" w:hAnsi="仿宋" w:eastAsia="仿宋"/>
                <w:b/>
                <w:sz w:val="24"/>
                <w:szCs w:val="24"/>
              </w:rPr>
              <w:t>参数</w:t>
            </w:r>
          </w:p>
        </w:tc>
        <w:tc>
          <w:tcPr>
            <w:tcW w:w="990" w:type="dxa"/>
            <w:vAlign w:val="center"/>
          </w:tcPr>
          <w:p w14:paraId="51C2F773">
            <w:pPr>
              <w:keepNext w:val="0"/>
              <w:keepLines w:val="0"/>
              <w:pageBreakBefore w:val="0"/>
              <w:kinsoku/>
              <w:wordWrap/>
              <w:overflowPunct/>
              <w:topLinePunct w:val="0"/>
              <w:autoSpaceDE/>
              <w:autoSpaceDN/>
              <w:bidi w:val="0"/>
              <w:adjustRightInd/>
              <w:snapToGrid/>
              <w:spacing w:after="0" w:line="320" w:lineRule="exact"/>
              <w:jc w:val="center"/>
              <w:textAlignment w:val="auto"/>
              <w:rPr>
                <w:rFonts w:ascii="仿宋" w:hAnsi="仿宋" w:eastAsia="仿宋"/>
                <w:b/>
                <w:sz w:val="24"/>
                <w:szCs w:val="24"/>
              </w:rPr>
            </w:pPr>
            <w:r>
              <w:rPr>
                <w:rFonts w:hint="eastAsia" w:ascii="仿宋" w:hAnsi="仿宋" w:eastAsia="仿宋"/>
                <w:b/>
                <w:sz w:val="24"/>
                <w:szCs w:val="24"/>
              </w:rPr>
              <w:t>单位</w:t>
            </w:r>
          </w:p>
        </w:tc>
        <w:tc>
          <w:tcPr>
            <w:tcW w:w="3183" w:type="dxa"/>
            <w:vAlign w:val="center"/>
          </w:tcPr>
          <w:p w14:paraId="7E3149EE">
            <w:pPr>
              <w:keepNext w:val="0"/>
              <w:keepLines w:val="0"/>
              <w:pageBreakBefore w:val="0"/>
              <w:kinsoku/>
              <w:wordWrap/>
              <w:overflowPunct/>
              <w:topLinePunct w:val="0"/>
              <w:autoSpaceDE/>
              <w:autoSpaceDN/>
              <w:bidi w:val="0"/>
              <w:adjustRightInd/>
              <w:snapToGrid/>
              <w:spacing w:after="0" w:line="320" w:lineRule="exact"/>
              <w:jc w:val="center"/>
              <w:textAlignment w:val="auto"/>
              <w:rPr>
                <w:rFonts w:ascii="仿宋" w:hAnsi="仿宋" w:eastAsia="仿宋"/>
                <w:b/>
                <w:sz w:val="24"/>
                <w:szCs w:val="24"/>
              </w:rPr>
            </w:pPr>
            <w:r>
              <w:rPr>
                <w:rFonts w:hint="eastAsia" w:ascii="仿宋" w:hAnsi="仿宋" w:eastAsia="仿宋"/>
                <w:b/>
                <w:sz w:val="24"/>
                <w:szCs w:val="24"/>
              </w:rPr>
              <w:t>参数描述</w:t>
            </w:r>
          </w:p>
        </w:tc>
        <w:tc>
          <w:tcPr>
            <w:tcW w:w="1521" w:type="dxa"/>
            <w:vAlign w:val="center"/>
          </w:tcPr>
          <w:p w14:paraId="5BC91BAC">
            <w:pPr>
              <w:keepNext w:val="0"/>
              <w:keepLines w:val="0"/>
              <w:pageBreakBefore w:val="0"/>
              <w:kinsoku/>
              <w:wordWrap/>
              <w:overflowPunct/>
              <w:topLinePunct w:val="0"/>
              <w:autoSpaceDE/>
              <w:autoSpaceDN/>
              <w:bidi w:val="0"/>
              <w:adjustRightInd/>
              <w:snapToGrid/>
              <w:spacing w:after="0" w:line="320" w:lineRule="exact"/>
              <w:jc w:val="center"/>
              <w:textAlignment w:val="auto"/>
              <w:rPr>
                <w:rFonts w:ascii="仿宋" w:hAnsi="仿宋" w:eastAsia="仿宋"/>
                <w:b/>
                <w:sz w:val="24"/>
                <w:szCs w:val="24"/>
              </w:rPr>
            </w:pPr>
            <w:r>
              <w:rPr>
                <w:rFonts w:hint="eastAsia" w:ascii="仿宋" w:hAnsi="仿宋" w:eastAsia="仿宋"/>
                <w:b/>
                <w:sz w:val="24"/>
                <w:szCs w:val="24"/>
              </w:rPr>
              <w:t>是否制订</w:t>
            </w:r>
          </w:p>
          <w:p w14:paraId="501A087D">
            <w:pPr>
              <w:keepNext w:val="0"/>
              <w:keepLines w:val="0"/>
              <w:pageBreakBefore w:val="0"/>
              <w:kinsoku/>
              <w:wordWrap/>
              <w:overflowPunct/>
              <w:topLinePunct w:val="0"/>
              <w:autoSpaceDE/>
              <w:autoSpaceDN/>
              <w:bidi w:val="0"/>
              <w:adjustRightInd/>
              <w:snapToGrid/>
              <w:spacing w:after="0" w:line="320" w:lineRule="exact"/>
              <w:jc w:val="center"/>
              <w:textAlignment w:val="auto"/>
              <w:rPr>
                <w:rFonts w:ascii="仿宋" w:hAnsi="仿宋" w:eastAsia="仿宋"/>
                <w:b/>
                <w:sz w:val="24"/>
                <w:szCs w:val="24"/>
              </w:rPr>
            </w:pPr>
            <w:r>
              <w:rPr>
                <w:rFonts w:hint="eastAsia" w:ascii="仿宋" w:hAnsi="仿宋" w:eastAsia="仿宋"/>
                <w:b/>
                <w:sz w:val="24"/>
                <w:szCs w:val="24"/>
              </w:rPr>
              <w:t>监测计划</w:t>
            </w:r>
          </w:p>
        </w:tc>
      </w:tr>
      <w:tr w14:paraId="2AC95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455" w:type="dxa"/>
            <w:vMerge w:val="restart"/>
            <w:vAlign w:val="center"/>
          </w:tcPr>
          <w:p w14:paraId="09E5A3EC">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r>
              <w:rPr>
                <w:rFonts w:hint="eastAsia" w:ascii="仿宋" w:hAnsi="仿宋" w:eastAsia="仿宋"/>
                <w:b/>
                <w:sz w:val="24"/>
                <w:szCs w:val="24"/>
              </w:rPr>
              <w:t>活</w:t>
            </w:r>
          </w:p>
          <w:p w14:paraId="2A316A72">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r>
              <w:rPr>
                <w:rFonts w:hint="eastAsia" w:ascii="仿宋" w:hAnsi="仿宋" w:eastAsia="仿宋"/>
                <w:b/>
                <w:sz w:val="24"/>
                <w:szCs w:val="24"/>
              </w:rPr>
              <w:t>动</w:t>
            </w:r>
          </w:p>
          <w:p w14:paraId="2F1F2718">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r>
              <w:rPr>
                <w:rFonts w:hint="eastAsia" w:ascii="仿宋" w:hAnsi="仿宋" w:eastAsia="仿宋"/>
                <w:b/>
                <w:sz w:val="24"/>
                <w:szCs w:val="24"/>
              </w:rPr>
              <w:t>水</w:t>
            </w:r>
          </w:p>
          <w:p w14:paraId="287801D5">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r>
              <w:rPr>
                <w:rFonts w:hint="eastAsia" w:ascii="仿宋" w:hAnsi="仿宋" w:eastAsia="仿宋"/>
                <w:b/>
                <w:sz w:val="24"/>
                <w:szCs w:val="24"/>
              </w:rPr>
              <w:t>平</w:t>
            </w:r>
          </w:p>
          <w:p w14:paraId="7C28E604">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r>
              <w:rPr>
                <w:rFonts w:hint="eastAsia" w:ascii="仿宋" w:hAnsi="仿宋" w:eastAsia="仿宋"/>
                <w:b/>
                <w:sz w:val="24"/>
                <w:szCs w:val="24"/>
              </w:rPr>
              <w:t>数</w:t>
            </w:r>
          </w:p>
          <w:p w14:paraId="5CC2DFD8">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r>
              <w:rPr>
                <w:rFonts w:hint="eastAsia" w:ascii="仿宋" w:hAnsi="仿宋" w:eastAsia="仿宋"/>
                <w:b/>
                <w:sz w:val="24"/>
                <w:szCs w:val="24"/>
              </w:rPr>
              <w:t>据</w:t>
            </w:r>
          </w:p>
        </w:tc>
        <w:tc>
          <w:tcPr>
            <w:tcW w:w="455" w:type="dxa"/>
            <w:vMerge w:val="restart"/>
            <w:vAlign w:val="center"/>
          </w:tcPr>
          <w:p w14:paraId="728B7722">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r>
              <w:rPr>
                <w:rFonts w:hint="eastAsia" w:ascii="仿宋" w:hAnsi="仿宋" w:eastAsia="仿宋"/>
                <w:b/>
                <w:sz w:val="24"/>
                <w:szCs w:val="24"/>
              </w:rPr>
              <w:t>直</w:t>
            </w:r>
          </w:p>
          <w:p w14:paraId="714C4EDB">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r>
              <w:rPr>
                <w:rFonts w:hint="eastAsia" w:ascii="仿宋" w:hAnsi="仿宋" w:eastAsia="仿宋"/>
                <w:b/>
                <w:sz w:val="24"/>
                <w:szCs w:val="24"/>
              </w:rPr>
              <w:t>接</w:t>
            </w:r>
          </w:p>
          <w:p w14:paraId="11167E47">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r>
              <w:rPr>
                <w:rFonts w:hint="eastAsia" w:ascii="仿宋" w:hAnsi="仿宋" w:eastAsia="仿宋"/>
                <w:b/>
                <w:sz w:val="24"/>
                <w:szCs w:val="24"/>
              </w:rPr>
              <w:t>排</w:t>
            </w:r>
          </w:p>
          <w:p w14:paraId="20F0E9CF">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r>
              <w:rPr>
                <w:rFonts w:hint="eastAsia" w:ascii="仿宋" w:hAnsi="仿宋" w:eastAsia="仿宋"/>
                <w:b/>
                <w:sz w:val="24"/>
                <w:szCs w:val="24"/>
              </w:rPr>
              <w:t>放</w:t>
            </w:r>
          </w:p>
        </w:tc>
        <w:tc>
          <w:tcPr>
            <w:tcW w:w="1165" w:type="dxa"/>
            <w:vAlign w:val="center"/>
          </w:tcPr>
          <w:p w14:paraId="64A06056">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ascii="仿宋" w:hAnsi="仿宋" w:eastAsia="仿宋"/>
                <w:b/>
                <w:sz w:val="24"/>
                <w:szCs w:val="24"/>
              </w:rPr>
            </w:pPr>
            <w:r>
              <w:rPr>
                <w:rFonts w:hint="eastAsia" w:ascii="仿宋" w:hAnsi="仿宋" w:eastAsia="仿宋"/>
                <w:b/>
                <w:sz w:val="24"/>
                <w:szCs w:val="24"/>
              </w:rPr>
              <w:t>数据1</w:t>
            </w:r>
          </w:p>
        </w:tc>
        <w:tc>
          <w:tcPr>
            <w:tcW w:w="989" w:type="dxa"/>
            <w:vAlign w:val="center"/>
          </w:tcPr>
          <w:p w14:paraId="143592A3">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990" w:type="dxa"/>
          </w:tcPr>
          <w:p w14:paraId="45F95D13">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3183" w:type="dxa"/>
            <w:vAlign w:val="center"/>
          </w:tcPr>
          <w:p w14:paraId="0A616415">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1521" w:type="dxa"/>
            <w:vAlign w:val="center"/>
          </w:tcPr>
          <w:p w14:paraId="3CD4BB8E">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r>
      <w:tr w14:paraId="27326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455" w:type="dxa"/>
            <w:vMerge w:val="continue"/>
            <w:vAlign w:val="center"/>
          </w:tcPr>
          <w:p w14:paraId="730651EB">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p>
        </w:tc>
        <w:tc>
          <w:tcPr>
            <w:tcW w:w="455" w:type="dxa"/>
            <w:vMerge w:val="continue"/>
            <w:vAlign w:val="center"/>
          </w:tcPr>
          <w:p w14:paraId="477A27FC">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p>
        </w:tc>
        <w:tc>
          <w:tcPr>
            <w:tcW w:w="1165" w:type="dxa"/>
            <w:vAlign w:val="center"/>
          </w:tcPr>
          <w:p w14:paraId="0B0B60F3">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ascii="仿宋" w:hAnsi="仿宋" w:eastAsia="仿宋"/>
                <w:b/>
                <w:sz w:val="24"/>
                <w:szCs w:val="24"/>
              </w:rPr>
            </w:pPr>
            <w:r>
              <w:rPr>
                <w:rFonts w:hint="eastAsia" w:ascii="仿宋" w:hAnsi="仿宋" w:eastAsia="仿宋"/>
                <w:b/>
                <w:sz w:val="24"/>
                <w:szCs w:val="24"/>
              </w:rPr>
              <w:t>数据2</w:t>
            </w:r>
          </w:p>
        </w:tc>
        <w:tc>
          <w:tcPr>
            <w:tcW w:w="989" w:type="dxa"/>
            <w:vAlign w:val="center"/>
          </w:tcPr>
          <w:p w14:paraId="2ED0E785">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990" w:type="dxa"/>
          </w:tcPr>
          <w:p w14:paraId="439794FA">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3183" w:type="dxa"/>
            <w:vAlign w:val="center"/>
          </w:tcPr>
          <w:p w14:paraId="2BA69CC6">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1521" w:type="dxa"/>
            <w:vAlign w:val="center"/>
          </w:tcPr>
          <w:p w14:paraId="07161E64">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r>
      <w:tr w14:paraId="3A513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455" w:type="dxa"/>
            <w:vMerge w:val="continue"/>
            <w:vAlign w:val="center"/>
          </w:tcPr>
          <w:p w14:paraId="7EF92CEB">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p>
        </w:tc>
        <w:tc>
          <w:tcPr>
            <w:tcW w:w="455" w:type="dxa"/>
            <w:vMerge w:val="continue"/>
            <w:vAlign w:val="center"/>
          </w:tcPr>
          <w:p w14:paraId="2046CAA6">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p>
        </w:tc>
        <w:tc>
          <w:tcPr>
            <w:tcW w:w="1165" w:type="dxa"/>
            <w:vAlign w:val="center"/>
          </w:tcPr>
          <w:p w14:paraId="22CBA17D">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ascii="仿宋" w:hAnsi="仿宋" w:eastAsia="仿宋"/>
                <w:b/>
                <w:sz w:val="24"/>
                <w:szCs w:val="24"/>
              </w:rPr>
            </w:pPr>
            <w:r>
              <w:rPr>
                <w:rFonts w:hint="eastAsia" w:ascii="仿宋" w:hAnsi="仿宋" w:eastAsia="仿宋"/>
                <w:b/>
                <w:sz w:val="24"/>
                <w:szCs w:val="24"/>
              </w:rPr>
              <w:t>数据3</w:t>
            </w:r>
          </w:p>
        </w:tc>
        <w:tc>
          <w:tcPr>
            <w:tcW w:w="989" w:type="dxa"/>
            <w:vAlign w:val="center"/>
          </w:tcPr>
          <w:p w14:paraId="1F056727">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990" w:type="dxa"/>
          </w:tcPr>
          <w:p w14:paraId="24D67009">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3183" w:type="dxa"/>
            <w:vAlign w:val="center"/>
          </w:tcPr>
          <w:p w14:paraId="1D37767A">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1521" w:type="dxa"/>
            <w:vAlign w:val="center"/>
          </w:tcPr>
          <w:p w14:paraId="1D46245F">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r>
      <w:tr w14:paraId="0B90D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455" w:type="dxa"/>
            <w:vMerge w:val="continue"/>
            <w:vAlign w:val="center"/>
          </w:tcPr>
          <w:p w14:paraId="5D539E44">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p>
        </w:tc>
        <w:tc>
          <w:tcPr>
            <w:tcW w:w="455" w:type="dxa"/>
            <w:vMerge w:val="continue"/>
            <w:vAlign w:val="center"/>
          </w:tcPr>
          <w:p w14:paraId="352FED9F">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p>
        </w:tc>
        <w:tc>
          <w:tcPr>
            <w:tcW w:w="1165" w:type="dxa"/>
            <w:vAlign w:val="center"/>
          </w:tcPr>
          <w:p w14:paraId="529EDAB2">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ascii="仿宋" w:hAnsi="仿宋" w:eastAsia="仿宋"/>
                <w:b/>
                <w:sz w:val="24"/>
                <w:szCs w:val="24"/>
              </w:rPr>
            </w:pPr>
            <w:r>
              <w:rPr>
                <w:rFonts w:hint="eastAsia" w:ascii="仿宋" w:hAnsi="仿宋" w:eastAsia="仿宋"/>
                <w:b/>
                <w:sz w:val="24"/>
                <w:szCs w:val="24"/>
              </w:rPr>
              <w:t>数据4</w:t>
            </w:r>
          </w:p>
        </w:tc>
        <w:tc>
          <w:tcPr>
            <w:tcW w:w="989" w:type="dxa"/>
            <w:vAlign w:val="center"/>
          </w:tcPr>
          <w:p w14:paraId="297E518E">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990" w:type="dxa"/>
          </w:tcPr>
          <w:p w14:paraId="07F7AA70">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3183" w:type="dxa"/>
            <w:vAlign w:val="center"/>
          </w:tcPr>
          <w:p w14:paraId="188D1E70">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1521" w:type="dxa"/>
            <w:vAlign w:val="center"/>
          </w:tcPr>
          <w:p w14:paraId="5BCF5DAE">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r>
      <w:tr w14:paraId="09764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455" w:type="dxa"/>
            <w:vMerge w:val="continue"/>
            <w:vAlign w:val="center"/>
          </w:tcPr>
          <w:p w14:paraId="7F4B22A9">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p>
        </w:tc>
        <w:tc>
          <w:tcPr>
            <w:tcW w:w="455" w:type="dxa"/>
            <w:vMerge w:val="continue"/>
            <w:vAlign w:val="center"/>
          </w:tcPr>
          <w:p w14:paraId="4B15F9FB">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p>
        </w:tc>
        <w:tc>
          <w:tcPr>
            <w:tcW w:w="1165" w:type="dxa"/>
            <w:vAlign w:val="center"/>
          </w:tcPr>
          <w:p w14:paraId="314E1889">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ascii="仿宋" w:hAnsi="仿宋" w:eastAsia="仿宋"/>
                <w:b/>
                <w:sz w:val="24"/>
                <w:szCs w:val="24"/>
              </w:rPr>
            </w:pPr>
            <w:r>
              <w:rPr>
                <w:rFonts w:hint="eastAsia" w:ascii="仿宋" w:hAnsi="仿宋" w:eastAsia="仿宋"/>
                <w:b/>
                <w:sz w:val="24"/>
                <w:szCs w:val="24"/>
              </w:rPr>
              <w:t>数据…</w:t>
            </w:r>
          </w:p>
        </w:tc>
        <w:tc>
          <w:tcPr>
            <w:tcW w:w="989" w:type="dxa"/>
            <w:vAlign w:val="center"/>
          </w:tcPr>
          <w:p w14:paraId="07907229">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990" w:type="dxa"/>
          </w:tcPr>
          <w:p w14:paraId="6E51BCF8">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3183" w:type="dxa"/>
            <w:vAlign w:val="center"/>
          </w:tcPr>
          <w:p w14:paraId="53C8B2F6">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1521" w:type="dxa"/>
            <w:vAlign w:val="center"/>
          </w:tcPr>
          <w:p w14:paraId="5602A275">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r>
      <w:tr w14:paraId="2D326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455" w:type="dxa"/>
            <w:vMerge w:val="continue"/>
            <w:vAlign w:val="center"/>
          </w:tcPr>
          <w:p w14:paraId="7813943B">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p>
        </w:tc>
        <w:tc>
          <w:tcPr>
            <w:tcW w:w="455" w:type="dxa"/>
            <w:vMerge w:val="restart"/>
            <w:vAlign w:val="center"/>
          </w:tcPr>
          <w:p w14:paraId="5C6DDA56">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r>
              <w:rPr>
                <w:rFonts w:hint="eastAsia" w:ascii="仿宋" w:hAnsi="仿宋" w:eastAsia="仿宋"/>
                <w:b/>
                <w:sz w:val="24"/>
                <w:szCs w:val="24"/>
              </w:rPr>
              <w:t>间</w:t>
            </w:r>
          </w:p>
          <w:p w14:paraId="3F967763">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r>
              <w:rPr>
                <w:rFonts w:hint="eastAsia" w:ascii="仿宋" w:hAnsi="仿宋" w:eastAsia="仿宋"/>
                <w:b/>
                <w:sz w:val="24"/>
                <w:szCs w:val="24"/>
              </w:rPr>
              <w:t>接</w:t>
            </w:r>
          </w:p>
          <w:p w14:paraId="1218D154">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r>
              <w:rPr>
                <w:rFonts w:hint="eastAsia" w:ascii="仿宋" w:hAnsi="仿宋" w:eastAsia="仿宋"/>
                <w:b/>
                <w:sz w:val="24"/>
                <w:szCs w:val="24"/>
              </w:rPr>
              <w:t>排</w:t>
            </w:r>
          </w:p>
          <w:p w14:paraId="638D2F6D">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r>
              <w:rPr>
                <w:rFonts w:hint="eastAsia" w:ascii="仿宋" w:hAnsi="仿宋" w:eastAsia="仿宋"/>
                <w:b/>
                <w:sz w:val="24"/>
                <w:szCs w:val="24"/>
              </w:rPr>
              <w:t>放</w:t>
            </w:r>
          </w:p>
        </w:tc>
        <w:tc>
          <w:tcPr>
            <w:tcW w:w="1165" w:type="dxa"/>
            <w:vAlign w:val="center"/>
          </w:tcPr>
          <w:p w14:paraId="6BC5C8EC">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ascii="仿宋" w:hAnsi="仿宋" w:eastAsia="仿宋"/>
                <w:b/>
                <w:sz w:val="24"/>
                <w:szCs w:val="24"/>
              </w:rPr>
            </w:pPr>
            <w:r>
              <w:rPr>
                <w:rFonts w:hint="eastAsia" w:ascii="仿宋" w:hAnsi="仿宋" w:eastAsia="仿宋"/>
                <w:b/>
                <w:sz w:val="24"/>
                <w:szCs w:val="24"/>
              </w:rPr>
              <w:t>数据1</w:t>
            </w:r>
          </w:p>
        </w:tc>
        <w:tc>
          <w:tcPr>
            <w:tcW w:w="989" w:type="dxa"/>
            <w:vAlign w:val="center"/>
          </w:tcPr>
          <w:p w14:paraId="74A114E8">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990" w:type="dxa"/>
          </w:tcPr>
          <w:p w14:paraId="0D67C2CB">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3183" w:type="dxa"/>
            <w:vAlign w:val="center"/>
          </w:tcPr>
          <w:p w14:paraId="079AE3ED">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1521" w:type="dxa"/>
            <w:vAlign w:val="center"/>
          </w:tcPr>
          <w:p w14:paraId="773E2FA5">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r>
      <w:tr w14:paraId="77ADA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455" w:type="dxa"/>
            <w:vMerge w:val="continue"/>
            <w:vAlign w:val="center"/>
          </w:tcPr>
          <w:p w14:paraId="2C058E54">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p>
        </w:tc>
        <w:tc>
          <w:tcPr>
            <w:tcW w:w="455" w:type="dxa"/>
            <w:vMerge w:val="continue"/>
            <w:vAlign w:val="center"/>
          </w:tcPr>
          <w:p w14:paraId="5A7F2331">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p>
        </w:tc>
        <w:tc>
          <w:tcPr>
            <w:tcW w:w="1165" w:type="dxa"/>
            <w:vAlign w:val="center"/>
          </w:tcPr>
          <w:p w14:paraId="24DDEAEA">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ascii="仿宋" w:hAnsi="仿宋" w:eastAsia="仿宋"/>
                <w:b/>
                <w:sz w:val="24"/>
                <w:szCs w:val="24"/>
              </w:rPr>
            </w:pPr>
            <w:r>
              <w:rPr>
                <w:rFonts w:hint="eastAsia" w:ascii="仿宋" w:hAnsi="仿宋" w:eastAsia="仿宋"/>
                <w:b/>
                <w:sz w:val="24"/>
                <w:szCs w:val="24"/>
              </w:rPr>
              <w:t>数据2</w:t>
            </w:r>
          </w:p>
        </w:tc>
        <w:tc>
          <w:tcPr>
            <w:tcW w:w="989" w:type="dxa"/>
            <w:vAlign w:val="center"/>
          </w:tcPr>
          <w:p w14:paraId="57B460E2">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990" w:type="dxa"/>
          </w:tcPr>
          <w:p w14:paraId="0B3FECF7">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3183" w:type="dxa"/>
            <w:vAlign w:val="center"/>
          </w:tcPr>
          <w:p w14:paraId="3594007C">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1521" w:type="dxa"/>
            <w:vAlign w:val="center"/>
          </w:tcPr>
          <w:p w14:paraId="0BAF173E">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r>
      <w:tr w14:paraId="35EB6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455" w:type="dxa"/>
            <w:vMerge w:val="continue"/>
            <w:vAlign w:val="center"/>
          </w:tcPr>
          <w:p w14:paraId="3BA63C60">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p>
        </w:tc>
        <w:tc>
          <w:tcPr>
            <w:tcW w:w="455" w:type="dxa"/>
            <w:vMerge w:val="continue"/>
            <w:vAlign w:val="center"/>
          </w:tcPr>
          <w:p w14:paraId="2C45A0C0">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p>
        </w:tc>
        <w:tc>
          <w:tcPr>
            <w:tcW w:w="1165" w:type="dxa"/>
            <w:vAlign w:val="center"/>
          </w:tcPr>
          <w:p w14:paraId="1D352DCB">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ascii="仿宋" w:hAnsi="仿宋" w:eastAsia="仿宋"/>
                <w:b/>
                <w:sz w:val="24"/>
                <w:szCs w:val="24"/>
              </w:rPr>
            </w:pPr>
            <w:r>
              <w:rPr>
                <w:rFonts w:hint="eastAsia" w:ascii="仿宋" w:hAnsi="仿宋" w:eastAsia="仿宋"/>
                <w:b/>
                <w:sz w:val="24"/>
                <w:szCs w:val="24"/>
              </w:rPr>
              <w:t>数据3</w:t>
            </w:r>
          </w:p>
        </w:tc>
        <w:tc>
          <w:tcPr>
            <w:tcW w:w="989" w:type="dxa"/>
            <w:vAlign w:val="center"/>
          </w:tcPr>
          <w:p w14:paraId="7BF87761">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990" w:type="dxa"/>
          </w:tcPr>
          <w:p w14:paraId="1CFBAB84">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3183" w:type="dxa"/>
            <w:vAlign w:val="center"/>
          </w:tcPr>
          <w:p w14:paraId="4C3640B5">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1521" w:type="dxa"/>
            <w:vAlign w:val="center"/>
          </w:tcPr>
          <w:p w14:paraId="63E4525B">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r>
      <w:tr w14:paraId="6311F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455" w:type="dxa"/>
            <w:vMerge w:val="continue"/>
            <w:vAlign w:val="center"/>
          </w:tcPr>
          <w:p w14:paraId="09AE9973">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p>
        </w:tc>
        <w:tc>
          <w:tcPr>
            <w:tcW w:w="455" w:type="dxa"/>
            <w:vMerge w:val="continue"/>
            <w:vAlign w:val="center"/>
          </w:tcPr>
          <w:p w14:paraId="43E685B4">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p>
        </w:tc>
        <w:tc>
          <w:tcPr>
            <w:tcW w:w="1165" w:type="dxa"/>
            <w:vAlign w:val="center"/>
          </w:tcPr>
          <w:p w14:paraId="007EA72A">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ascii="仿宋" w:hAnsi="仿宋" w:eastAsia="仿宋"/>
                <w:b/>
                <w:sz w:val="24"/>
                <w:szCs w:val="24"/>
              </w:rPr>
            </w:pPr>
            <w:r>
              <w:rPr>
                <w:rFonts w:hint="eastAsia" w:ascii="仿宋" w:hAnsi="仿宋" w:eastAsia="仿宋"/>
                <w:b/>
                <w:sz w:val="24"/>
                <w:szCs w:val="24"/>
              </w:rPr>
              <w:t>数据4</w:t>
            </w:r>
          </w:p>
        </w:tc>
        <w:tc>
          <w:tcPr>
            <w:tcW w:w="989" w:type="dxa"/>
            <w:vAlign w:val="center"/>
          </w:tcPr>
          <w:p w14:paraId="10B0CBCB">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990" w:type="dxa"/>
          </w:tcPr>
          <w:p w14:paraId="22476938">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3183" w:type="dxa"/>
            <w:vAlign w:val="center"/>
          </w:tcPr>
          <w:p w14:paraId="1F888A4F">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1521" w:type="dxa"/>
            <w:vAlign w:val="center"/>
          </w:tcPr>
          <w:p w14:paraId="3A2452BE">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r>
      <w:tr w14:paraId="73E3D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455" w:type="dxa"/>
            <w:vMerge w:val="continue"/>
            <w:vAlign w:val="center"/>
          </w:tcPr>
          <w:p w14:paraId="485EDEF5">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p>
        </w:tc>
        <w:tc>
          <w:tcPr>
            <w:tcW w:w="455" w:type="dxa"/>
            <w:vMerge w:val="continue"/>
            <w:vAlign w:val="center"/>
          </w:tcPr>
          <w:p w14:paraId="31FBABDD">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p>
        </w:tc>
        <w:tc>
          <w:tcPr>
            <w:tcW w:w="1165" w:type="dxa"/>
            <w:vAlign w:val="center"/>
          </w:tcPr>
          <w:p w14:paraId="5B749BB8">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ascii="仿宋" w:hAnsi="仿宋" w:eastAsia="仿宋"/>
                <w:b/>
                <w:sz w:val="24"/>
                <w:szCs w:val="24"/>
              </w:rPr>
            </w:pPr>
            <w:r>
              <w:rPr>
                <w:rFonts w:hint="eastAsia" w:ascii="仿宋" w:hAnsi="仿宋" w:eastAsia="仿宋"/>
                <w:b/>
                <w:sz w:val="24"/>
                <w:szCs w:val="24"/>
              </w:rPr>
              <w:t>数据…</w:t>
            </w:r>
          </w:p>
        </w:tc>
        <w:tc>
          <w:tcPr>
            <w:tcW w:w="989" w:type="dxa"/>
            <w:vAlign w:val="center"/>
          </w:tcPr>
          <w:p w14:paraId="2DD251B1">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990" w:type="dxa"/>
          </w:tcPr>
          <w:p w14:paraId="2CD1CD86">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3183" w:type="dxa"/>
            <w:vAlign w:val="center"/>
          </w:tcPr>
          <w:p w14:paraId="7B169CE2">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1521" w:type="dxa"/>
            <w:vAlign w:val="center"/>
          </w:tcPr>
          <w:p w14:paraId="2DA084E4">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r>
      <w:tr w14:paraId="1FA6C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455" w:type="dxa"/>
            <w:vMerge w:val="restart"/>
            <w:vAlign w:val="center"/>
          </w:tcPr>
          <w:p w14:paraId="37BBDF09">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r>
              <w:rPr>
                <w:rFonts w:hint="eastAsia" w:ascii="仿宋" w:hAnsi="仿宋" w:eastAsia="仿宋"/>
                <w:b/>
                <w:sz w:val="24"/>
                <w:szCs w:val="24"/>
              </w:rPr>
              <w:t>排</w:t>
            </w:r>
          </w:p>
          <w:p w14:paraId="43ED5A4F">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r>
              <w:rPr>
                <w:rFonts w:hint="eastAsia" w:ascii="仿宋" w:hAnsi="仿宋" w:eastAsia="仿宋"/>
                <w:b/>
                <w:sz w:val="24"/>
                <w:szCs w:val="24"/>
              </w:rPr>
              <w:t>放</w:t>
            </w:r>
          </w:p>
          <w:p w14:paraId="753EC9A8">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r>
              <w:rPr>
                <w:rFonts w:hint="eastAsia" w:ascii="仿宋" w:hAnsi="仿宋" w:eastAsia="仿宋"/>
                <w:b/>
                <w:sz w:val="24"/>
                <w:szCs w:val="24"/>
              </w:rPr>
              <w:t>因</w:t>
            </w:r>
          </w:p>
          <w:p w14:paraId="3EE7DAC9">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r>
              <w:rPr>
                <w:rFonts w:hint="eastAsia" w:ascii="仿宋" w:hAnsi="仿宋" w:eastAsia="仿宋"/>
                <w:b/>
                <w:sz w:val="24"/>
                <w:szCs w:val="24"/>
              </w:rPr>
              <w:t>子</w:t>
            </w:r>
          </w:p>
        </w:tc>
        <w:tc>
          <w:tcPr>
            <w:tcW w:w="455" w:type="dxa"/>
            <w:vMerge w:val="restart"/>
            <w:vAlign w:val="center"/>
          </w:tcPr>
          <w:p w14:paraId="7F1AB3D3">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r>
              <w:rPr>
                <w:rFonts w:hint="eastAsia" w:ascii="仿宋" w:hAnsi="仿宋" w:eastAsia="仿宋"/>
                <w:b/>
                <w:sz w:val="24"/>
                <w:szCs w:val="24"/>
              </w:rPr>
              <w:t>直</w:t>
            </w:r>
          </w:p>
          <w:p w14:paraId="0D10CC9E">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r>
              <w:rPr>
                <w:rFonts w:hint="eastAsia" w:ascii="仿宋" w:hAnsi="仿宋" w:eastAsia="仿宋"/>
                <w:b/>
                <w:sz w:val="24"/>
                <w:szCs w:val="24"/>
              </w:rPr>
              <w:t>接</w:t>
            </w:r>
          </w:p>
          <w:p w14:paraId="171F55E3">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r>
              <w:rPr>
                <w:rFonts w:hint="eastAsia" w:ascii="仿宋" w:hAnsi="仿宋" w:eastAsia="仿宋"/>
                <w:b/>
                <w:sz w:val="24"/>
                <w:szCs w:val="24"/>
              </w:rPr>
              <w:t>排</w:t>
            </w:r>
          </w:p>
          <w:p w14:paraId="24509DE3">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r>
              <w:rPr>
                <w:rFonts w:hint="eastAsia" w:ascii="仿宋" w:hAnsi="仿宋" w:eastAsia="仿宋"/>
                <w:b/>
                <w:sz w:val="24"/>
                <w:szCs w:val="24"/>
              </w:rPr>
              <w:t>放</w:t>
            </w:r>
          </w:p>
        </w:tc>
        <w:tc>
          <w:tcPr>
            <w:tcW w:w="1165" w:type="dxa"/>
            <w:vAlign w:val="center"/>
          </w:tcPr>
          <w:p w14:paraId="7E9E7104">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ascii="仿宋" w:hAnsi="仿宋" w:eastAsia="仿宋"/>
                <w:b/>
                <w:sz w:val="24"/>
                <w:szCs w:val="24"/>
              </w:rPr>
            </w:pPr>
            <w:r>
              <w:rPr>
                <w:rFonts w:hint="eastAsia" w:ascii="仿宋" w:hAnsi="仿宋" w:eastAsia="仿宋"/>
                <w:b/>
                <w:sz w:val="24"/>
                <w:szCs w:val="24"/>
              </w:rPr>
              <w:t>数据1</w:t>
            </w:r>
          </w:p>
        </w:tc>
        <w:tc>
          <w:tcPr>
            <w:tcW w:w="989" w:type="dxa"/>
            <w:vAlign w:val="center"/>
          </w:tcPr>
          <w:p w14:paraId="5E3B3A24">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990" w:type="dxa"/>
          </w:tcPr>
          <w:p w14:paraId="66134D29">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3183" w:type="dxa"/>
            <w:vAlign w:val="center"/>
          </w:tcPr>
          <w:p w14:paraId="1B57BC02">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1521" w:type="dxa"/>
            <w:vAlign w:val="center"/>
          </w:tcPr>
          <w:p w14:paraId="18F479C4">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r>
      <w:tr w14:paraId="2EE8E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455" w:type="dxa"/>
            <w:vMerge w:val="continue"/>
            <w:vAlign w:val="center"/>
          </w:tcPr>
          <w:p w14:paraId="09DDE83F">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p>
        </w:tc>
        <w:tc>
          <w:tcPr>
            <w:tcW w:w="455" w:type="dxa"/>
            <w:vMerge w:val="continue"/>
            <w:vAlign w:val="center"/>
          </w:tcPr>
          <w:p w14:paraId="774C2AD5">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p>
        </w:tc>
        <w:tc>
          <w:tcPr>
            <w:tcW w:w="1165" w:type="dxa"/>
            <w:vAlign w:val="center"/>
          </w:tcPr>
          <w:p w14:paraId="6BAEE729">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ascii="仿宋" w:hAnsi="仿宋" w:eastAsia="仿宋"/>
                <w:b/>
                <w:sz w:val="24"/>
                <w:szCs w:val="24"/>
              </w:rPr>
            </w:pPr>
            <w:r>
              <w:rPr>
                <w:rFonts w:hint="eastAsia" w:ascii="仿宋" w:hAnsi="仿宋" w:eastAsia="仿宋"/>
                <w:b/>
                <w:sz w:val="24"/>
                <w:szCs w:val="24"/>
              </w:rPr>
              <w:t>数据2</w:t>
            </w:r>
          </w:p>
        </w:tc>
        <w:tc>
          <w:tcPr>
            <w:tcW w:w="989" w:type="dxa"/>
            <w:vAlign w:val="center"/>
          </w:tcPr>
          <w:p w14:paraId="39900ABE">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990" w:type="dxa"/>
          </w:tcPr>
          <w:p w14:paraId="073844E6">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3183" w:type="dxa"/>
            <w:vAlign w:val="center"/>
          </w:tcPr>
          <w:p w14:paraId="0E8D3461">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1521" w:type="dxa"/>
            <w:vAlign w:val="center"/>
          </w:tcPr>
          <w:p w14:paraId="045BDF05">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r>
      <w:tr w14:paraId="2138E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455" w:type="dxa"/>
            <w:vMerge w:val="continue"/>
            <w:vAlign w:val="center"/>
          </w:tcPr>
          <w:p w14:paraId="0A0829D6">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p>
        </w:tc>
        <w:tc>
          <w:tcPr>
            <w:tcW w:w="455" w:type="dxa"/>
            <w:vMerge w:val="continue"/>
            <w:vAlign w:val="center"/>
          </w:tcPr>
          <w:p w14:paraId="667497D6">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p>
        </w:tc>
        <w:tc>
          <w:tcPr>
            <w:tcW w:w="1165" w:type="dxa"/>
            <w:vAlign w:val="center"/>
          </w:tcPr>
          <w:p w14:paraId="43141886">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ascii="仿宋" w:hAnsi="仿宋" w:eastAsia="仿宋"/>
                <w:b/>
                <w:sz w:val="24"/>
                <w:szCs w:val="24"/>
              </w:rPr>
            </w:pPr>
            <w:r>
              <w:rPr>
                <w:rFonts w:hint="eastAsia" w:ascii="仿宋" w:hAnsi="仿宋" w:eastAsia="仿宋"/>
                <w:b/>
                <w:sz w:val="24"/>
                <w:szCs w:val="24"/>
              </w:rPr>
              <w:t>数据3</w:t>
            </w:r>
          </w:p>
        </w:tc>
        <w:tc>
          <w:tcPr>
            <w:tcW w:w="989" w:type="dxa"/>
            <w:vAlign w:val="center"/>
          </w:tcPr>
          <w:p w14:paraId="1A94674A">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990" w:type="dxa"/>
          </w:tcPr>
          <w:p w14:paraId="45950A57">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3183" w:type="dxa"/>
            <w:vAlign w:val="center"/>
          </w:tcPr>
          <w:p w14:paraId="675C13ED">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1521" w:type="dxa"/>
            <w:vAlign w:val="center"/>
          </w:tcPr>
          <w:p w14:paraId="59168C8C">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r>
      <w:tr w14:paraId="7C28B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455" w:type="dxa"/>
            <w:vMerge w:val="continue"/>
            <w:vAlign w:val="center"/>
          </w:tcPr>
          <w:p w14:paraId="6B24A9A7">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p>
        </w:tc>
        <w:tc>
          <w:tcPr>
            <w:tcW w:w="455" w:type="dxa"/>
            <w:vMerge w:val="continue"/>
            <w:vAlign w:val="center"/>
          </w:tcPr>
          <w:p w14:paraId="3E8ABDC0">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p>
        </w:tc>
        <w:tc>
          <w:tcPr>
            <w:tcW w:w="1165" w:type="dxa"/>
            <w:vAlign w:val="center"/>
          </w:tcPr>
          <w:p w14:paraId="7A95DBD5">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ascii="仿宋" w:hAnsi="仿宋" w:eastAsia="仿宋"/>
                <w:b/>
                <w:sz w:val="24"/>
                <w:szCs w:val="24"/>
              </w:rPr>
            </w:pPr>
            <w:r>
              <w:rPr>
                <w:rFonts w:hint="eastAsia" w:ascii="仿宋" w:hAnsi="仿宋" w:eastAsia="仿宋"/>
                <w:b/>
                <w:sz w:val="24"/>
                <w:szCs w:val="24"/>
              </w:rPr>
              <w:t>数据4</w:t>
            </w:r>
          </w:p>
        </w:tc>
        <w:tc>
          <w:tcPr>
            <w:tcW w:w="989" w:type="dxa"/>
            <w:vAlign w:val="center"/>
          </w:tcPr>
          <w:p w14:paraId="4D6295DF">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990" w:type="dxa"/>
          </w:tcPr>
          <w:p w14:paraId="0E33FA9E">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3183" w:type="dxa"/>
            <w:vAlign w:val="center"/>
          </w:tcPr>
          <w:p w14:paraId="50B06568">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1521" w:type="dxa"/>
            <w:vAlign w:val="center"/>
          </w:tcPr>
          <w:p w14:paraId="4F4BF220">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r>
      <w:tr w14:paraId="6BF4F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455" w:type="dxa"/>
            <w:vMerge w:val="continue"/>
            <w:vAlign w:val="center"/>
          </w:tcPr>
          <w:p w14:paraId="618256C8">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p>
        </w:tc>
        <w:tc>
          <w:tcPr>
            <w:tcW w:w="455" w:type="dxa"/>
            <w:vMerge w:val="continue"/>
            <w:vAlign w:val="center"/>
          </w:tcPr>
          <w:p w14:paraId="17CA1D56">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p>
        </w:tc>
        <w:tc>
          <w:tcPr>
            <w:tcW w:w="1165" w:type="dxa"/>
            <w:vAlign w:val="center"/>
          </w:tcPr>
          <w:p w14:paraId="1320073B">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ascii="仿宋" w:hAnsi="仿宋" w:eastAsia="仿宋"/>
                <w:b/>
                <w:sz w:val="24"/>
                <w:szCs w:val="24"/>
              </w:rPr>
            </w:pPr>
            <w:r>
              <w:rPr>
                <w:rFonts w:hint="eastAsia" w:ascii="仿宋" w:hAnsi="仿宋" w:eastAsia="仿宋"/>
                <w:b/>
                <w:sz w:val="24"/>
                <w:szCs w:val="24"/>
              </w:rPr>
              <w:t>数据…</w:t>
            </w:r>
          </w:p>
        </w:tc>
        <w:tc>
          <w:tcPr>
            <w:tcW w:w="989" w:type="dxa"/>
            <w:vAlign w:val="center"/>
          </w:tcPr>
          <w:p w14:paraId="0AD7DBCF">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990" w:type="dxa"/>
          </w:tcPr>
          <w:p w14:paraId="434D4B9D">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3183" w:type="dxa"/>
            <w:vAlign w:val="center"/>
          </w:tcPr>
          <w:p w14:paraId="401BF3F1">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1521" w:type="dxa"/>
            <w:vAlign w:val="center"/>
          </w:tcPr>
          <w:p w14:paraId="4803A928">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r>
      <w:tr w14:paraId="22009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455" w:type="dxa"/>
            <w:vMerge w:val="continue"/>
            <w:vAlign w:val="center"/>
          </w:tcPr>
          <w:p w14:paraId="041A06BC">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p>
        </w:tc>
        <w:tc>
          <w:tcPr>
            <w:tcW w:w="455" w:type="dxa"/>
            <w:vMerge w:val="restart"/>
            <w:vAlign w:val="center"/>
          </w:tcPr>
          <w:p w14:paraId="6F42A764">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r>
              <w:rPr>
                <w:rFonts w:hint="eastAsia" w:ascii="仿宋" w:hAnsi="仿宋" w:eastAsia="仿宋"/>
                <w:b/>
                <w:sz w:val="24"/>
                <w:szCs w:val="24"/>
              </w:rPr>
              <w:t>间接</w:t>
            </w:r>
          </w:p>
          <w:p w14:paraId="49248810">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r>
              <w:rPr>
                <w:rFonts w:hint="eastAsia" w:ascii="仿宋" w:hAnsi="仿宋" w:eastAsia="仿宋"/>
                <w:b/>
                <w:sz w:val="24"/>
                <w:szCs w:val="24"/>
              </w:rPr>
              <w:t>排放</w:t>
            </w:r>
          </w:p>
        </w:tc>
        <w:tc>
          <w:tcPr>
            <w:tcW w:w="1165" w:type="dxa"/>
            <w:vAlign w:val="center"/>
          </w:tcPr>
          <w:p w14:paraId="60D543EF">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ascii="仿宋" w:hAnsi="仿宋" w:eastAsia="仿宋"/>
                <w:b/>
                <w:sz w:val="24"/>
                <w:szCs w:val="24"/>
              </w:rPr>
            </w:pPr>
            <w:r>
              <w:rPr>
                <w:rFonts w:hint="eastAsia" w:ascii="仿宋" w:hAnsi="仿宋" w:eastAsia="仿宋"/>
                <w:b/>
                <w:sz w:val="24"/>
                <w:szCs w:val="24"/>
              </w:rPr>
              <w:t>数据1</w:t>
            </w:r>
          </w:p>
        </w:tc>
        <w:tc>
          <w:tcPr>
            <w:tcW w:w="989" w:type="dxa"/>
            <w:vAlign w:val="center"/>
          </w:tcPr>
          <w:p w14:paraId="4AF83A16">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990" w:type="dxa"/>
          </w:tcPr>
          <w:p w14:paraId="05D4844E">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3183" w:type="dxa"/>
            <w:vAlign w:val="center"/>
          </w:tcPr>
          <w:p w14:paraId="737A38A2">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1521" w:type="dxa"/>
            <w:vAlign w:val="center"/>
          </w:tcPr>
          <w:p w14:paraId="4DAA2FB5">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r>
      <w:tr w14:paraId="3962D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455" w:type="dxa"/>
            <w:vMerge w:val="continue"/>
            <w:vAlign w:val="center"/>
          </w:tcPr>
          <w:p w14:paraId="6F997249">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p>
        </w:tc>
        <w:tc>
          <w:tcPr>
            <w:tcW w:w="455" w:type="dxa"/>
            <w:vMerge w:val="continue"/>
            <w:vAlign w:val="center"/>
          </w:tcPr>
          <w:p w14:paraId="4C909153">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p>
        </w:tc>
        <w:tc>
          <w:tcPr>
            <w:tcW w:w="1165" w:type="dxa"/>
            <w:vAlign w:val="center"/>
          </w:tcPr>
          <w:p w14:paraId="1A05D49B">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ascii="仿宋" w:hAnsi="仿宋" w:eastAsia="仿宋"/>
                <w:b/>
                <w:sz w:val="24"/>
                <w:szCs w:val="24"/>
              </w:rPr>
            </w:pPr>
            <w:r>
              <w:rPr>
                <w:rFonts w:hint="eastAsia" w:ascii="仿宋" w:hAnsi="仿宋" w:eastAsia="仿宋"/>
                <w:b/>
                <w:sz w:val="24"/>
                <w:szCs w:val="24"/>
              </w:rPr>
              <w:t>数据2</w:t>
            </w:r>
          </w:p>
        </w:tc>
        <w:tc>
          <w:tcPr>
            <w:tcW w:w="989" w:type="dxa"/>
            <w:vAlign w:val="center"/>
          </w:tcPr>
          <w:p w14:paraId="3665918C">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990" w:type="dxa"/>
          </w:tcPr>
          <w:p w14:paraId="1B0B9900">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3183" w:type="dxa"/>
            <w:vAlign w:val="center"/>
          </w:tcPr>
          <w:p w14:paraId="6950C55F">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1521" w:type="dxa"/>
            <w:vAlign w:val="center"/>
          </w:tcPr>
          <w:p w14:paraId="2EF8249D">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r>
      <w:tr w14:paraId="437B1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455" w:type="dxa"/>
            <w:vMerge w:val="continue"/>
            <w:vAlign w:val="center"/>
          </w:tcPr>
          <w:p w14:paraId="4B86798A">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p>
        </w:tc>
        <w:tc>
          <w:tcPr>
            <w:tcW w:w="455" w:type="dxa"/>
            <w:vMerge w:val="continue"/>
            <w:vAlign w:val="center"/>
          </w:tcPr>
          <w:p w14:paraId="44319380">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p>
        </w:tc>
        <w:tc>
          <w:tcPr>
            <w:tcW w:w="1165" w:type="dxa"/>
            <w:vAlign w:val="center"/>
          </w:tcPr>
          <w:p w14:paraId="3CC41747">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ascii="仿宋" w:hAnsi="仿宋" w:eastAsia="仿宋"/>
                <w:b/>
                <w:sz w:val="24"/>
                <w:szCs w:val="24"/>
              </w:rPr>
            </w:pPr>
            <w:r>
              <w:rPr>
                <w:rFonts w:hint="eastAsia" w:ascii="仿宋" w:hAnsi="仿宋" w:eastAsia="仿宋"/>
                <w:b/>
                <w:sz w:val="24"/>
                <w:szCs w:val="24"/>
              </w:rPr>
              <w:t>数据3</w:t>
            </w:r>
          </w:p>
        </w:tc>
        <w:tc>
          <w:tcPr>
            <w:tcW w:w="989" w:type="dxa"/>
            <w:vAlign w:val="center"/>
          </w:tcPr>
          <w:p w14:paraId="63132BBC">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990" w:type="dxa"/>
          </w:tcPr>
          <w:p w14:paraId="30A3C394">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3183" w:type="dxa"/>
            <w:vAlign w:val="center"/>
          </w:tcPr>
          <w:p w14:paraId="09F9A685">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1521" w:type="dxa"/>
            <w:vAlign w:val="center"/>
          </w:tcPr>
          <w:p w14:paraId="6C8E59BC">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r>
      <w:tr w14:paraId="1C3FD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455" w:type="dxa"/>
            <w:vMerge w:val="continue"/>
            <w:vAlign w:val="center"/>
          </w:tcPr>
          <w:p w14:paraId="4B67A512">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p>
        </w:tc>
        <w:tc>
          <w:tcPr>
            <w:tcW w:w="455" w:type="dxa"/>
            <w:vMerge w:val="continue"/>
            <w:vAlign w:val="center"/>
          </w:tcPr>
          <w:p w14:paraId="6CC5F71C">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p>
        </w:tc>
        <w:tc>
          <w:tcPr>
            <w:tcW w:w="1165" w:type="dxa"/>
            <w:vAlign w:val="center"/>
          </w:tcPr>
          <w:p w14:paraId="0F9F1C87">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ascii="仿宋" w:hAnsi="仿宋" w:eastAsia="仿宋"/>
                <w:b/>
                <w:sz w:val="24"/>
                <w:szCs w:val="24"/>
              </w:rPr>
            </w:pPr>
            <w:r>
              <w:rPr>
                <w:rFonts w:hint="eastAsia" w:ascii="仿宋" w:hAnsi="仿宋" w:eastAsia="仿宋"/>
                <w:b/>
                <w:sz w:val="24"/>
                <w:szCs w:val="24"/>
              </w:rPr>
              <w:t>数据4</w:t>
            </w:r>
          </w:p>
        </w:tc>
        <w:tc>
          <w:tcPr>
            <w:tcW w:w="989" w:type="dxa"/>
            <w:vAlign w:val="center"/>
          </w:tcPr>
          <w:p w14:paraId="42B276F1">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990" w:type="dxa"/>
          </w:tcPr>
          <w:p w14:paraId="67452A09">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3183" w:type="dxa"/>
            <w:vAlign w:val="center"/>
          </w:tcPr>
          <w:p w14:paraId="4FFF5609">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1521" w:type="dxa"/>
            <w:vAlign w:val="center"/>
          </w:tcPr>
          <w:p w14:paraId="77445387">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r>
      <w:tr w14:paraId="5AB7B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455" w:type="dxa"/>
            <w:vMerge w:val="continue"/>
            <w:vAlign w:val="center"/>
          </w:tcPr>
          <w:p w14:paraId="28B85DE2">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p>
        </w:tc>
        <w:tc>
          <w:tcPr>
            <w:tcW w:w="455" w:type="dxa"/>
            <w:vMerge w:val="continue"/>
            <w:vAlign w:val="center"/>
          </w:tcPr>
          <w:p w14:paraId="391BDC12">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p>
        </w:tc>
        <w:tc>
          <w:tcPr>
            <w:tcW w:w="1165" w:type="dxa"/>
            <w:vAlign w:val="center"/>
          </w:tcPr>
          <w:p w14:paraId="6D6DAD23">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ascii="仿宋" w:hAnsi="仿宋" w:eastAsia="仿宋"/>
                <w:b/>
                <w:sz w:val="24"/>
                <w:szCs w:val="24"/>
              </w:rPr>
            </w:pPr>
            <w:r>
              <w:rPr>
                <w:rFonts w:hint="eastAsia" w:ascii="仿宋" w:hAnsi="仿宋" w:eastAsia="仿宋"/>
                <w:b/>
                <w:sz w:val="24"/>
                <w:szCs w:val="24"/>
              </w:rPr>
              <w:t>数据…</w:t>
            </w:r>
          </w:p>
        </w:tc>
        <w:tc>
          <w:tcPr>
            <w:tcW w:w="989" w:type="dxa"/>
            <w:vAlign w:val="center"/>
          </w:tcPr>
          <w:p w14:paraId="0379B69A">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990" w:type="dxa"/>
          </w:tcPr>
          <w:p w14:paraId="07994AF6">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3183" w:type="dxa"/>
            <w:vAlign w:val="center"/>
          </w:tcPr>
          <w:p w14:paraId="7A1D22D5">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1521" w:type="dxa"/>
            <w:vAlign w:val="center"/>
          </w:tcPr>
          <w:p w14:paraId="55576281">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r>
      <w:tr w14:paraId="79F13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10" w:type="dxa"/>
            <w:gridSpan w:val="2"/>
            <w:vMerge w:val="restart"/>
            <w:vAlign w:val="center"/>
          </w:tcPr>
          <w:p w14:paraId="28E0C49E">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r>
              <w:rPr>
                <w:rFonts w:hint="eastAsia" w:ascii="仿宋" w:hAnsi="仿宋" w:eastAsia="仿宋"/>
                <w:b/>
                <w:sz w:val="24"/>
                <w:szCs w:val="24"/>
              </w:rPr>
              <w:t>其他</w:t>
            </w:r>
          </w:p>
          <w:p w14:paraId="6CF9974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ascii="仿宋" w:hAnsi="仿宋" w:eastAsia="仿宋"/>
                <w:b/>
                <w:sz w:val="24"/>
                <w:szCs w:val="24"/>
              </w:rPr>
            </w:pPr>
            <w:r>
              <w:rPr>
                <w:rFonts w:hint="eastAsia" w:ascii="仿宋" w:hAnsi="仿宋" w:eastAsia="仿宋"/>
                <w:b/>
                <w:sz w:val="24"/>
                <w:szCs w:val="24"/>
              </w:rPr>
              <w:t>数据</w:t>
            </w:r>
          </w:p>
        </w:tc>
        <w:tc>
          <w:tcPr>
            <w:tcW w:w="1165" w:type="dxa"/>
            <w:vAlign w:val="center"/>
          </w:tcPr>
          <w:p w14:paraId="605B8058">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ascii="仿宋" w:hAnsi="仿宋" w:eastAsia="仿宋"/>
                <w:b/>
                <w:sz w:val="24"/>
                <w:szCs w:val="24"/>
              </w:rPr>
            </w:pPr>
            <w:r>
              <w:rPr>
                <w:rFonts w:hint="eastAsia" w:ascii="仿宋" w:hAnsi="仿宋" w:eastAsia="仿宋"/>
                <w:b/>
                <w:sz w:val="24"/>
                <w:szCs w:val="24"/>
              </w:rPr>
              <w:t>数据1</w:t>
            </w:r>
          </w:p>
        </w:tc>
        <w:tc>
          <w:tcPr>
            <w:tcW w:w="989" w:type="dxa"/>
            <w:vAlign w:val="center"/>
          </w:tcPr>
          <w:p w14:paraId="2F629F13">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990" w:type="dxa"/>
          </w:tcPr>
          <w:p w14:paraId="6904D537">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3183" w:type="dxa"/>
            <w:vAlign w:val="center"/>
          </w:tcPr>
          <w:p w14:paraId="52708412">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1521" w:type="dxa"/>
            <w:vAlign w:val="center"/>
          </w:tcPr>
          <w:p w14:paraId="6D710F76">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r>
      <w:tr w14:paraId="25C84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10" w:type="dxa"/>
            <w:gridSpan w:val="2"/>
            <w:vMerge w:val="continue"/>
            <w:vAlign w:val="center"/>
          </w:tcPr>
          <w:p w14:paraId="16158C96">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p>
        </w:tc>
        <w:tc>
          <w:tcPr>
            <w:tcW w:w="1165" w:type="dxa"/>
            <w:vAlign w:val="center"/>
          </w:tcPr>
          <w:p w14:paraId="582312DE">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ascii="仿宋" w:hAnsi="仿宋" w:eastAsia="仿宋"/>
                <w:b/>
                <w:sz w:val="24"/>
                <w:szCs w:val="24"/>
              </w:rPr>
            </w:pPr>
            <w:r>
              <w:rPr>
                <w:rFonts w:hint="eastAsia" w:ascii="仿宋" w:hAnsi="仿宋" w:eastAsia="仿宋"/>
                <w:b/>
                <w:sz w:val="24"/>
                <w:szCs w:val="24"/>
              </w:rPr>
              <w:t>数据2</w:t>
            </w:r>
          </w:p>
        </w:tc>
        <w:tc>
          <w:tcPr>
            <w:tcW w:w="989" w:type="dxa"/>
            <w:vAlign w:val="center"/>
          </w:tcPr>
          <w:p w14:paraId="75E34CA1">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990" w:type="dxa"/>
          </w:tcPr>
          <w:p w14:paraId="4C7F5FB8">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3183" w:type="dxa"/>
            <w:vAlign w:val="center"/>
          </w:tcPr>
          <w:p w14:paraId="41ACA034">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1521" w:type="dxa"/>
            <w:vAlign w:val="center"/>
          </w:tcPr>
          <w:p w14:paraId="1EF21C0C">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r>
      <w:tr w14:paraId="61867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10" w:type="dxa"/>
            <w:gridSpan w:val="2"/>
            <w:vMerge w:val="continue"/>
            <w:vAlign w:val="center"/>
          </w:tcPr>
          <w:p w14:paraId="01D6D9E5">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p>
        </w:tc>
        <w:tc>
          <w:tcPr>
            <w:tcW w:w="1165" w:type="dxa"/>
            <w:vAlign w:val="center"/>
          </w:tcPr>
          <w:p w14:paraId="26A1D536">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ascii="仿宋" w:hAnsi="仿宋" w:eastAsia="仿宋"/>
                <w:b/>
                <w:sz w:val="24"/>
                <w:szCs w:val="24"/>
              </w:rPr>
            </w:pPr>
            <w:r>
              <w:rPr>
                <w:rFonts w:hint="eastAsia" w:ascii="仿宋" w:hAnsi="仿宋" w:eastAsia="仿宋"/>
                <w:b/>
                <w:sz w:val="24"/>
                <w:szCs w:val="24"/>
              </w:rPr>
              <w:t>数据3</w:t>
            </w:r>
          </w:p>
        </w:tc>
        <w:tc>
          <w:tcPr>
            <w:tcW w:w="989" w:type="dxa"/>
            <w:vAlign w:val="center"/>
          </w:tcPr>
          <w:p w14:paraId="7AF011EA">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990" w:type="dxa"/>
          </w:tcPr>
          <w:p w14:paraId="7ABA22A2">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3183" w:type="dxa"/>
            <w:vAlign w:val="center"/>
          </w:tcPr>
          <w:p w14:paraId="0E1DB03B">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1521" w:type="dxa"/>
            <w:vAlign w:val="center"/>
          </w:tcPr>
          <w:p w14:paraId="3AF60DE0">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r>
      <w:tr w14:paraId="10377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10" w:type="dxa"/>
            <w:gridSpan w:val="2"/>
            <w:vMerge w:val="continue"/>
            <w:vAlign w:val="center"/>
          </w:tcPr>
          <w:p w14:paraId="4EDF7981">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p>
        </w:tc>
        <w:tc>
          <w:tcPr>
            <w:tcW w:w="1165" w:type="dxa"/>
            <w:vAlign w:val="center"/>
          </w:tcPr>
          <w:p w14:paraId="3BE698A0">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ascii="仿宋" w:hAnsi="仿宋" w:eastAsia="仿宋"/>
                <w:b/>
                <w:sz w:val="24"/>
                <w:szCs w:val="24"/>
              </w:rPr>
            </w:pPr>
            <w:r>
              <w:rPr>
                <w:rFonts w:hint="eastAsia" w:ascii="仿宋" w:hAnsi="仿宋" w:eastAsia="仿宋"/>
                <w:b/>
                <w:sz w:val="24"/>
                <w:szCs w:val="24"/>
              </w:rPr>
              <w:t>数据4</w:t>
            </w:r>
          </w:p>
        </w:tc>
        <w:tc>
          <w:tcPr>
            <w:tcW w:w="989" w:type="dxa"/>
            <w:vAlign w:val="center"/>
          </w:tcPr>
          <w:p w14:paraId="02D60375">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990" w:type="dxa"/>
          </w:tcPr>
          <w:p w14:paraId="475CF5DE">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3183" w:type="dxa"/>
            <w:vAlign w:val="center"/>
          </w:tcPr>
          <w:p w14:paraId="00C1C8FD">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1521" w:type="dxa"/>
            <w:vAlign w:val="center"/>
          </w:tcPr>
          <w:p w14:paraId="6302533A">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r>
      <w:tr w14:paraId="5C06B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10" w:type="dxa"/>
            <w:gridSpan w:val="2"/>
            <w:vMerge w:val="continue"/>
            <w:vAlign w:val="center"/>
          </w:tcPr>
          <w:p w14:paraId="57898809">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p>
        </w:tc>
        <w:tc>
          <w:tcPr>
            <w:tcW w:w="1165" w:type="dxa"/>
            <w:vAlign w:val="center"/>
          </w:tcPr>
          <w:p w14:paraId="0CB3959E">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ascii="仿宋" w:hAnsi="仿宋" w:eastAsia="仿宋"/>
                <w:b/>
                <w:sz w:val="24"/>
                <w:szCs w:val="24"/>
              </w:rPr>
            </w:pPr>
            <w:r>
              <w:rPr>
                <w:rFonts w:hint="eastAsia" w:ascii="仿宋" w:hAnsi="仿宋" w:eastAsia="仿宋"/>
                <w:b/>
                <w:sz w:val="24"/>
                <w:szCs w:val="24"/>
              </w:rPr>
              <w:t>数据…</w:t>
            </w:r>
          </w:p>
        </w:tc>
        <w:tc>
          <w:tcPr>
            <w:tcW w:w="989" w:type="dxa"/>
            <w:vAlign w:val="center"/>
          </w:tcPr>
          <w:p w14:paraId="30861B28">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990" w:type="dxa"/>
          </w:tcPr>
          <w:p w14:paraId="4C0D0B20">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3183" w:type="dxa"/>
            <w:vAlign w:val="center"/>
          </w:tcPr>
          <w:p w14:paraId="1354D8E2">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1521" w:type="dxa"/>
            <w:vAlign w:val="center"/>
          </w:tcPr>
          <w:p w14:paraId="53F5679E">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r>
      <w:tr w14:paraId="493E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10" w:type="dxa"/>
            <w:gridSpan w:val="2"/>
            <w:vMerge w:val="restart"/>
            <w:vAlign w:val="center"/>
          </w:tcPr>
          <w:p w14:paraId="215DD821">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r>
              <w:rPr>
                <w:rFonts w:hint="eastAsia" w:ascii="仿宋" w:hAnsi="仿宋" w:eastAsia="仿宋"/>
                <w:b/>
                <w:sz w:val="24"/>
                <w:szCs w:val="24"/>
              </w:rPr>
              <w:t>补充</w:t>
            </w:r>
          </w:p>
          <w:p w14:paraId="3986D95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ascii="仿宋" w:hAnsi="仿宋" w:eastAsia="仿宋"/>
                <w:b/>
                <w:sz w:val="24"/>
                <w:szCs w:val="24"/>
              </w:rPr>
            </w:pPr>
            <w:r>
              <w:rPr>
                <w:rFonts w:hint="eastAsia" w:ascii="仿宋" w:hAnsi="仿宋" w:eastAsia="仿宋"/>
                <w:b/>
                <w:sz w:val="24"/>
                <w:szCs w:val="24"/>
              </w:rPr>
              <w:t>数据</w:t>
            </w:r>
          </w:p>
        </w:tc>
        <w:tc>
          <w:tcPr>
            <w:tcW w:w="1165" w:type="dxa"/>
            <w:vAlign w:val="center"/>
          </w:tcPr>
          <w:p w14:paraId="5546006C">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ascii="仿宋" w:hAnsi="仿宋" w:eastAsia="仿宋"/>
                <w:b/>
                <w:sz w:val="24"/>
                <w:szCs w:val="24"/>
              </w:rPr>
            </w:pPr>
            <w:r>
              <w:rPr>
                <w:rFonts w:hint="eastAsia" w:ascii="仿宋" w:hAnsi="仿宋" w:eastAsia="仿宋"/>
                <w:b/>
                <w:sz w:val="24"/>
                <w:szCs w:val="24"/>
              </w:rPr>
              <w:t>数据</w:t>
            </w:r>
            <w:r>
              <w:rPr>
                <w:rFonts w:ascii="仿宋" w:hAnsi="仿宋" w:eastAsia="仿宋"/>
                <w:b/>
                <w:sz w:val="24"/>
                <w:szCs w:val="24"/>
              </w:rPr>
              <w:t>1</w:t>
            </w:r>
          </w:p>
        </w:tc>
        <w:tc>
          <w:tcPr>
            <w:tcW w:w="989" w:type="dxa"/>
            <w:vAlign w:val="center"/>
          </w:tcPr>
          <w:p w14:paraId="6F366F01">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990" w:type="dxa"/>
          </w:tcPr>
          <w:p w14:paraId="1D3CE573">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3183" w:type="dxa"/>
            <w:vAlign w:val="center"/>
          </w:tcPr>
          <w:p w14:paraId="61C77590">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1521" w:type="dxa"/>
            <w:vAlign w:val="center"/>
          </w:tcPr>
          <w:p w14:paraId="30139C56">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r>
      <w:tr w14:paraId="3A52E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10" w:type="dxa"/>
            <w:gridSpan w:val="2"/>
            <w:vMerge w:val="continue"/>
            <w:vAlign w:val="center"/>
          </w:tcPr>
          <w:p w14:paraId="4C97298A">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p>
        </w:tc>
        <w:tc>
          <w:tcPr>
            <w:tcW w:w="1165" w:type="dxa"/>
            <w:vAlign w:val="center"/>
          </w:tcPr>
          <w:p w14:paraId="0E5D5D5D">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ascii="仿宋" w:hAnsi="仿宋" w:eastAsia="仿宋"/>
                <w:b/>
                <w:sz w:val="24"/>
                <w:szCs w:val="24"/>
              </w:rPr>
            </w:pPr>
            <w:r>
              <w:rPr>
                <w:rFonts w:hint="eastAsia" w:ascii="仿宋" w:hAnsi="仿宋" w:eastAsia="仿宋"/>
                <w:b/>
                <w:sz w:val="24"/>
                <w:szCs w:val="24"/>
              </w:rPr>
              <w:t>数据</w:t>
            </w:r>
            <w:r>
              <w:rPr>
                <w:rFonts w:ascii="仿宋" w:hAnsi="仿宋" w:eastAsia="仿宋"/>
                <w:b/>
                <w:sz w:val="24"/>
                <w:szCs w:val="24"/>
              </w:rPr>
              <w:t>2</w:t>
            </w:r>
          </w:p>
        </w:tc>
        <w:tc>
          <w:tcPr>
            <w:tcW w:w="989" w:type="dxa"/>
            <w:vAlign w:val="center"/>
          </w:tcPr>
          <w:p w14:paraId="796F833E">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990" w:type="dxa"/>
          </w:tcPr>
          <w:p w14:paraId="15000978">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3183" w:type="dxa"/>
            <w:vAlign w:val="center"/>
          </w:tcPr>
          <w:p w14:paraId="7220C9C1">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1521" w:type="dxa"/>
            <w:vAlign w:val="center"/>
          </w:tcPr>
          <w:p w14:paraId="7E8A1E8B">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r>
      <w:tr w14:paraId="066A3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10" w:type="dxa"/>
            <w:gridSpan w:val="2"/>
            <w:vMerge w:val="continue"/>
            <w:vAlign w:val="center"/>
          </w:tcPr>
          <w:p w14:paraId="2ABDA7A6">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p>
        </w:tc>
        <w:tc>
          <w:tcPr>
            <w:tcW w:w="1165" w:type="dxa"/>
            <w:vAlign w:val="center"/>
          </w:tcPr>
          <w:p w14:paraId="7EFEBE8E">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ascii="仿宋" w:hAnsi="仿宋" w:eastAsia="仿宋"/>
                <w:b/>
                <w:sz w:val="24"/>
                <w:szCs w:val="24"/>
              </w:rPr>
            </w:pPr>
            <w:r>
              <w:rPr>
                <w:rFonts w:hint="eastAsia" w:ascii="仿宋" w:hAnsi="仿宋" w:eastAsia="仿宋"/>
                <w:b/>
                <w:sz w:val="24"/>
                <w:szCs w:val="24"/>
              </w:rPr>
              <w:t>数据</w:t>
            </w:r>
            <w:r>
              <w:rPr>
                <w:rFonts w:ascii="仿宋" w:hAnsi="仿宋" w:eastAsia="仿宋"/>
                <w:b/>
                <w:sz w:val="24"/>
                <w:szCs w:val="24"/>
              </w:rPr>
              <w:t>3</w:t>
            </w:r>
          </w:p>
        </w:tc>
        <w:tc>
          <w:tcPr>
            <w:tcW w:w="989" w:type="dxa"/>
            <w:vAlign w:val="center"/>
          </w:tcPr>
          <w:p w14:paraId="3F040361">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990" w:type="dxa"/>
          </w:tcPr>
          <w:p w14:paraId="17EB405B">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3183" w:type="dxa"/>
            <w:vAlign w:val="center"/>
          </w:tcPr>
          <w:p w14:paraId="1C9B7E43">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1521" w:type="dxa"/>
            <w:vAlign w:val="center"/>
          </w:tcPr>
          <w:p w14:paraId="7FFE52E7">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r>
      <w:tr w14:paraId="28B90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10" w:type="dxa"/>
            <w:gridSpan w:val="2"/>
            <w:vMerge w:val="continue"/>
            <w:vAlign w:val="center"/>
          </w:tcPr>
          <w:p w14:paraId="03B4D250">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p>
        </w:tc>
        <w:tc>
          <w:tcPr>
            <w:tcW w:w="1165" w:type="dxa"/>
            <w:vAlign w:val="center"/>
          </w:tcPr>
          <w:p w14:paraId="3AB97ACE">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ascii="仿宋" w:hAnsi="仿宋" w:eastAsia="仿宋"/>
                <w:b/>
                <w:sz w:val="24"/>
                <w:szCs w:val="24"/>
              </w:rPr>
            </w:pPr>
            <w:r>
              <w:rPr>
                <w:rFonts w:hint="eastAsia" w:ascii="仿宋" w:hAnsi="仿宋" w:eastAsia="仿宋"/>
                <w:b/>
                <w:sz w:val="24"/>
                <w:szCs w:val="24"/>
              </w:rPr>
              <w:t>数据</w:t>
            </w:r>
            <w:r>
              <w:rPr>
                <w:rFonts w:ascii="仿宋" w:hAnsi="仿宋" w:eastAsia="仿宋"/>
                <w:b/>
                <w:sz w:val="24"/>
                <w:szCs w:val="24"/>
              </w:rPr>
              <w:t>4</w:t>
            </w:r>
          </w:p>
        </w:tc>
        <w:tc>
          <w:tcPr>
            <w:tcW w:w="989" w:type="dxa"/>
            <w:vAlign w:val="center"/>
          </w:tcPr>
          <w:p w14:paraId="6EEF098B">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990" w:type="dxa"/>
          </w:tcPr>
          <w:p w14:paraId="483310B0">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3183" w:type="dxa"/>
            <w:vAlign w:val="center"/>
          </w:tcPr>
          <w:p w14:paraId="359D0307">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1521" w:type="dxa"/>
            <w:vAlign w:val="center"/>
          </w:tcPr>
          <w:p w14:paraId="31E317D5">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r>
      <w:tr w14:paraId="6AA2F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10" w:type="dxa"/>
            <w:gridSpan w:val="2"/>
            <w:vMerge w:val="continue"/>
            <w:vAlign w:val="center"/>
          </w:tcPr>
          <w:p w14:paraId="5ED67BA8">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p>
        </w:tc>
        <w:tc>
          <w:tcPr>
            <w:tcW w:w="1165" w:type="dxa"/>
            <w:vAlign w:val="center"/>
          </w:tcPr>
          <w:p w14:paraId="7C7BF315">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ascii="仿宋" w:hAnsi="仿宋" w:eastAsia="仿宋"/>
                <w:b/>
                <w:sz w:val="24"/>
                <w:szCs w:val="24"/>
              </w:rPr>
            </w:pPr>
            <w:r>
              <w:rPr>
                <w:rFonts w:hint="eastAsia" w:ascii="仿宋" w:hAnsi="仿宋" w:eastAsia="仿宋"/>
                <w:b/>
                <w:sz w:val="24"/>
                <w:szCs w:val="24"/>
              </w:rPr>
              <w:t>数据…</w:t>
            </w:r>
          </w:p>
        </w:tc>
        <w:tc>
          <w:tcPr>
            <w:tcW w:w="989" w:type="dxa"/>
            <w:vAlign w:val="center"/>
          </w:tcPr>
          <w:p w14:paraId="05281A7B">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990" w:type="dxa"/>
          </w:tcPr>
          <w:p w14:paraId="26AAFDF3">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3183" w:type="dxa"/>
            <w:vAlign w:val="center"/>
          </w:tcPr>
          <w:p w14:paraId="21E349F8">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1521" w:type="dxa"/>
            <w:vAlign w:val="center"/>
          </w:tcPr>
          <w:p w14:paraId="2EC4F0D8">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r>
      <w:tr w14:paraId="446D6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10" w:type="dxa"/>
            <w:gridSpan w:val="2"/>
            <w:vMerge w:val="restart"/>
            <w:vAlign w:val="center"/>
          </w:tcPr>
          <w:p w14:paraId="6D364486">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r>
              <w:rPr>
                <w:rFonts w:hint="eastAsia" w:ascii="仿宋" w:hAnsi="仿宋" w:eastAsia="仿宋"/>
                <w:b/>
                <w:sz w:val="24"/>
                <w:szCs w:val="24"/>
              </w:rPr>
              <w:t>实时监测的数据</w:t>
            </w:r>
          </w:p>
        </w:tc>
        <w:tc>
          <w:tcPr>
            <w:tcW w:w="1165" w:type="dxa"/>
            <w:vAlign w:val="center"/>
          </w:tcPr>
          <w:p w14:paraId="721D4951">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ascii="仿宋" w:hAnsi="仿宋" w:eastAsia="仿宋"/>
                <w:b/>
                <w:sz w:val="24"/>
                <w:szCs w:val="24"/>
              </w:rPr>
            </w:pPr>
            <w:r>
              <w:rPr>
                <w:rFonts w:hint="eastAsia" w:ascii="仿宋" w:hAnsi="仿宋" w:eastAsia="仿宋"/>
                <w:b/>
                <w:sz w:val="24"/>
                <w:szCs w:val="24"/>
              </w:rPr>
              <w:t>数据1</w:t>
            </w:r>
          </w:p>
        </w:tc>
        <w:tc>
          <w:tcPr>
            <w:tcW w:w="989" w:type="dxa"/>
            <w:vAlign w:val="center"/>
          </w:tcPr>
          <w:p w14:paraId="254E2A13">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990" w:type="dxa"/>
          </w:tcPr>
          <w:p w14:paraId="605A7C42">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3183" w:type="dxa"/>
            <w:vAlign w:val="center"/>
          </w:tcPr>
          <w:p w14:paraId="579DC27F">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1521" w:type="dxa"/>
            <w:vAlign w:val="center"/>
          </w:tcPr>
          <w:p w14:paraId="6B802FB0">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r>
      <w:tr w14:paraId="13B42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10" w:type="dxa"/>
            <w:gridSpan w:val="2"/>
            <w:vMerge w:val="continue"/>
            <w:vAlign w:val="center"/>
          </w:tcPr>
          <w:p w14:paraId="4CEF90BD">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p>
        </w:tc>
        <w:tc>
          <w:tcPr>
            <w:tcW w:w="1165" w:type="dxa"/>
            <w:vAlign w:val="center"/>
          </w:tcPr>
          <w:p w14:paraId="6776B13E">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ascii="仿宋" w:hAnsi="仿宋" w:eastAsia="仿宋"/>
                <w:b/>
                <w:sz w:val="24"/>
                <w:szCs w:val="24"/>
              </w:rPr>
            </w:pPr>
            <w:r>
              <w:rPr>
                <w:rFonts w:hint="eastAsia" w:ascii="仿宋" w:hAnsi="仿宋" w:eastAsia="仿宋"/>
                <w:b/>
                <w:sz w:val="24"/>
                <w:szCs w:val="24"/>
              </w:rPr>
              <w:t>数据2</w:t>
            </w:r>
          </w:p>
        </w:tc>
        <w:tc>
          <w:tcPr>
            <w:tcW w:w="989" w:type="dxa"/>
            <w:vAlign w:val="center"/>
          </w:tcPr>
          <w:p w14:paraId="79F8D5ED">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990" w:type="dxa"/>
          </w:tcPr>
          <w:p w14:paraId="569D419D">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3183" w:type="dxa"/>
            <w:vAlign w:val="center"/>
          </w:tcPr>
          <w:p w14:paraId="4BFF4A92">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1521" w:type="dxa"/>
            <w:vAlign w:val="center"/>
          </w:tcPr>
          <w:p w14:paraId="41C9832B">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r>
      <w:tr w14:paraId="51829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10" w:type="dxa"/>
            <w:gridSpan w:val="2"/>
            <w:vMerge w:val="continue"/>
            <w:vAlign w:val="center"/>
          </w:tcPr>
          <w:p w14:paraId="21FC10CB">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p>
        </w:tc>
        <w:tc>
          <w:tcPr>
            <w:tcW w:w="1165" w:type="dxa"/>
            <w:vAlign w:val="center"/>
          </w:tcPr>
          <w:p w14:paraId="191866B7">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ascii="仿宋" w:hAnsi="仿宋" w:eastAsia="仿宋"/>
                <w:b/>
                <w:sz w:val="24"/>
                <w:szCs w:val="24"/>
              </w:rPr>
            </w:pPr>
            <w:r>
              <w:rPr>
                <w:rFonts w:hint="eastAsia" w:ascii="仿宋" w:hAnsi="仿宋" w:eastAsia="仿宋"/>
                <w:b/>
                <w:sz w:val="24"/>
                <w:szCs w:val="24"/>
              </w:rPr>
              <w:t>数据3</w:t>
            </w:r>
          </w:p>
        </w:tc>
        <w:tc>
          <w:tcPr>
            <w:tcW w:w="989" w:type="dxa"/>
            <w:vAlign w:val="center"/>
          </w:tcPr>
          <w:p w14:paraId="140B3CD0">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990" w:type="dxa"/>
          </w:tcPr>
          <w:p w14:paraId="75C37A84">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3183" w:type="dxa"/>
            <w:vAlign w:val="center"/>
          </w:tcPr>
          <w:p w14:paraId="37EEAD57">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1521" w:type="dxa"/>
            <w:vAlign w:val="center"/>
          </w:tcPr>
          <w:p w14:paraId="5829403B">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r>
      <w:tr w14:paraId="22772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10" w:type="dxa"/>
            <w:gridSpan w:val="2"/>
            <w:vMerge w:val="continue"/>
            <w:vAlign w:val="center"/>
          </w:tcPr>
          <w:p w14:paraId="29DE8E39">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p>
        </w:tc>
        <w:tc>
          <w:tcPr>
            <w:tcW w:w="1165" w:type="dxa"/>
            <w:vAlign w:val="center"/>
          </w:tcPr>
          <w:p w14:paraId="571604AC">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ascii="仿宋" w:hAnsi="仿宋" w:eastAsia="仿宋"/>
                <w:b/>
                <w:sz w:val="24"/>
                <w:szCs w:val="24"/>
              </w:rPr>
            </w:pPr>
            <w:r>
              <w:rPr>
                <w:rFonts w:hint="eastAsia" w:ascii="仿宋" w:hAnsi="仿宋" w:eastAsia="仿宋"/>
                <w:b/>
                <w:sz w:val="24"/>
                <w:szCs w:val="24"/>
              </w:rPr>
              <w:t>数据4</w:t>
            </w:r>
          </w:p>
        </w:tc>
        <w:tc>
          <w:tcPr>
            <w:tcW w:w="989" w:type="dxa"/>
            <w:vAlign w:val="center"/>
          </w:tcPr>
          <w:p w14:paraId="319D6171">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990" w:type="dxa"/>
          </w:tcPr>
          <w:p w14:paraId="16D9FDC2">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3183" w:type="dxa"/>
            <w:vAlign w:val="center"/>
          </w:tcPr>
          <w:p w14:paraId="49D21A75">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1521" w:type="dxa"/>
            <w:vAlign w:val="center"/>
          </w:tcPr>
          <w:p w14:paraId="7396CA8F">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r>
      <w:tr w14:paraId="1A13F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910" w:type="dxa"/>
            <w:gridSpan w:val="2"/>
            <w:vMerge w:val="continue"/>
            <w:vAlign w:val="center"/>
          </w:tcPr>
          <w:p w14:paraId="4B5DAFAD">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b/>
                <w:sz w:val="24"/>
                <w:szCs w:val="24"/>
              </w:rPr>
            </w:pPr>
          </w:p>
        </w:tc>
        <w:tc>
          <w:tcPr>
            <w:tcW w:w="1165" w:type="dxa"/>
            <w:vAlign w:val="center"/>
          </w:tcPr>
          <w:p w14:paraId="6815A979">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ascii="仿宋" w:hAnsi="仿宋" w:eastAsia="仿宋"/>
                <w:b/>
                <w:sz w:val="24"/>
                <w:szCs w:val="24"/>
              </w:rPr>
            </w:pPr>
            <w:r>
              <w:rPr>
                <w:rFonts w:hint="eastAsia" w:ascii="仿宋" w:hAnsi="仿宋" w:eastAsia="仿宋"/>
                <w:b/>
                <w:sz w:val="24"/>
                <w:szCs w:val="24"/>
              </w:rPr>
              <w:t>数据…</w:t>
            </w:r>
          </w:p>
        </w:tc>
        <w:tc>
          <w:tcPr>
            <w:tcW w:w="989" w:type="dxa"/>
            <w:vAlign w:val="center"/>
          </w:tcPr>
          <w:p w14:paraId="6FE3ECD1">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990" w:type="dxa"/>
          </w:tcPr>
          <w:p w14:paraId="6A11D23B">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3183" w:type="dxa"/>
            <w:vAlign w:val="center"/>
          </w:tcPr>
          <w:p w14:paraId="2A6A0EC1">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c>
          <w:tcPr>
            <w:tcW w:w="1521" w:type="dxa"/>
            <w:vAlign w:val="center"/>
          </w:tcPr>
          <w:p w14:paraId="74656FE5">
            <w:pPr>
              <w:keepNext w:val="0"/>
              <w:keepLines w:val="0"/>
              <w:pageBreakBefore w:val="0"/>
              <w:kinsoku/>
              <w:wordWrap/>
              <w:overflowPunct/>
              <w:topLinePunct w:val="0"/>
              <w:autoSpaceDE/>
              <w:autoSpaceDN/>
              <w:bidi w:val="0"/>
              <w:adjustRightInd/>
              <w:snapToGrid/>
              <w:spacing w:line="280" w:lineRule="exact"/>
              <w:textAlignment w:val="auto"/>
              <w:rPr>
                <w:rFonts w:ascii="仿宋" w:hAnsi="仿宋" w:eastAsia="仿宋"/>
                <w:sz w:val="24"/>
                <w:szCs w:val="24"/>
              </w:rPr>
            </w:pPr>
          </w:p>
        </w:tc>
      </w:tr>
    </w:tbl>
    <w:p w14:paraId="1AE80A24">
      <w:pPr>
        <w:spacing w:after="0" w:line="560" w:lineRule="exact"/>
        <w:ind w:firstLine="659" w:firstLineChars="205"/>
        <w:rPr>
          <w:rFonts w:ascii="仿宋_GB2312" w:hAnsi="仿宋" w:eastAsia="仿宋_GB2312"/>
          <w:b/>
          <w:sz w:val="32"/>
          <w:szCs w:val="32"/>
        </w:rPr>
      </w:pPr>
    </w:p>
    <w:p w14:paraId="02C6C5E4">
      <w:pPr>
        <w:spacing w:after="0" w:line="560" w:lineRule="exact"/>
        <w:ind w:firstLine="659" w:firstLineChars="205"/>
        <w:outlineLvl w:val="0"/>
        <w:rPr>
          <w:rFonts w:ascii="仿宋_GB2312" w:hAnsi="仿宋" w:eastAsia="仿宋_GB2312"/>
          <w:b/>
          <w:sz w:val="32"/>
          <w:szCs w:val="32"/>
        </w:rPr>
      </w:pPr>
      <w:r>
        <w:rPr>
          <w:rFonts w:hint="eastAsia" w:ascii="仿宋_GB2312" w:hAnsi="仿宋" w:eastAsia="仿宋_GB2312"/>
          <w:b/>
          <w:sz w:val="32"/>
          <w:szCs w:val="32"/>
        </w:rPr>
        <w:t>3.3.2.1 活动水平数据的符合性</w:t>
      </w:r>
    </w:p>
    <w:p w14:paraId="14852E8C">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核查重点碳排放单位报送二氧化碳直接和间接排放相关的活动水平数据及相应的表格。对每一个活动水平数据进行核查,核查的内容包括:单位、数据来源、监测方法、监测频次、记录频次、数据缺失处理、交叉核对内容，核查机构应对上述每一个核算数据的符合性进行报告。报告格式如下：</w:t>
      </w:r>
    </w:p>
    <w:p w14:paraId="1FE8F7D2">
      <w:pPr>
        <w:spacing w:after="0" w:line="560" w:lineRule="exact"/>
        <w:ind w:firstLine="630" w:firstLineChars="196"/>
        <w:rPr>
          <w:rFonts w:hint="eastAsia" w:ascii="仿宋_GB2312" w:hAnsi="仿宋" w:eastAsia="仿宋_GB2312"/>
          <w:b/>
          <w:sz w:val="32"/>
          <w:szCs w:val="32"/>
        </w:rPr>
      </w:pPr>
    </w:p>
    <w:p w14:paraId="59F3D840">
      <w:pPr>
        <w:spacing w:after="0" w:line="560" w:lineRule="exact"/>
        <w:ind w:firstLine="630" w:firstLineChars="196"/>
        <w:rPr>
          <w:rFonts w:ascii="仿宋_GB2312" w:hAnsi="仿宋" w:eastAsia="仿宋_GB2312"/>
          <w:b/>
          <w:sz w:val="32"/>
          <w:szCs w:val="32"/>
        </w:rPr>
      </w:pPr>
      <w:r>
        <w:rPr>
          <w:rFonts w:hint="eastAsia" w:ascii="仿宋_GB2312" w:hAnsi="仿宋" w:eastAsia="仿宋_GB2312"/>
          <w:b/>
          <w:sz w:val="32"/>
          <w:szCs w:val="32"/>
        </w:rPr>
        <w:t>活动水平数据1（直接排放）：</w:t>
      </w:r>
    </w:p>
    <w:p w14:paraId="00803FD7">
      <w:pPr>
        <w:widowControl w:val="0"/>
        <w:numPr>
          <w:ilvl w:val="0"/>
          <w:numId w:val="1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单位</w:t>
      </w:r>
    </w:p>
    <w:p w14:paraId="1E632543">
      <w:pPr>
        <w:widowControl w:val="0"/>
        <w:numPr>
          <w:ilvl w:val="0"/>
          <w:numId w:val="1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数据来源</w:t>
      </w:r>
    </w:p>
    <w:p w14:paraId="069FFE3B">
      <w:pPr>
        <w:widowControl w:val="0"/>
        <w:numPr>
          <w:ilvl w:val="0"/>
          <w:numId w:val="1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监测方法</w:t>
      </w:r>
    </w:p>
    <w:p w14:paraId="77ADB3E6">
      <w:pPr>
        <w:widowControl w:val="0"/>
        <w:numPr>
          <w:ilvl w:val="0"/>
          <w:numId w:val="1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监测频次</w:t>
      </w:r>
    </w:p>
    <w:p w14:paraId="10B9C68B">
      <w:pPr>
        <w:widowControl w:val="0"/>
        <w:numPr>
          <w:ilvl w:val="0"/>
          <w:numId w:val="1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记录频次</w:t>
      </w:r>
    </w:p>
    <w:p w14:paraId="2550FFA6">
      <w:pPr>
        <w:widowControl w:val="0"/>
        <w:numPr>
          <w:ilvl w:val="0"/>
          <w:numId w:val="1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数据缺失处理</w:t>
      </w:r>
    </w:p>
    <w:p w14:paraId="50A573BA">
      <w:pPr>
        <w:widowControl w:val="0"/>
        <w:numPr>
          <w:ilvl w:val="0"/>
          <w:numId w:val="1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交叉核对</w:t>
      </w:r>
    </w:p>
    <w:p w14:paraId="67E4135C">
      <w:pPr>
        <w:widowControl w:val="0"/>
        <w:numPr>
          <w:ilvl w:val="0"/>
          <w:numId w:val="1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确认的数值</w:t>
      </w:r>
    </w:p>
    <w:p w14:paraId="3EFB8887">
      <w:pPr>
        <w:widowControl w:val="0"/>
        <w:numPr>
          <w:ilvl w:val="0"/>
          <w:numId w:val="16"/>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核查结论（简要描述不符合，如有。详细描述及纠正措施链接附件1）</w:t>
      </w:r>
    </w:p>
    <w:p w14:paraId="00A763C5">
      <w:pPr>
        <w:spacing w:after="0" w:line="560" w:lineRule="exact"/>
        <w:ind w:firstLine="659" w:firstLineChars="205"/>
        <w:rPr>
          <w:rFonts w:ascii="仿宋_GB2312" w:hAnsi="仿宋" w:eastAsia="仿宋_GB2312"/>
          <w:b/>
          <w:sz w:val="32"/>
          <w:szCs w:val="32"/>
        </w:rPr>
      </w:pPr>
      <w:r>
        <w:rPr>
          <w:rFonts w:hint="eastAsia" w:ascii="仿宋_GB2312" w:hAnsi="仿宋" w:eastAsia="仿宋_GB2312"/>
          <w:b/>
          <w:sz w:val="32"/>
          <w:szCs w:val="32"/>
        </w:rPr>
        <w:t>活动水平数据2（直接排放）：</w:t>
      </w:r>
    </w:p>
    <w:p w14:paraId="0E71FEDA">
      <w:pPr>
        <w:spacing w:after="0" w:line="560" w:lineRule="exact"/>
        <w:ind w:firstLine="659" w:firstLineChars="205"/>
        <w:rPr>
          <w:rFonts w:ascii="仿宋_GB2312" w:hAnsi="仿宋" w:eastAsia="仿宋_GB2312"/>
          <w:b/>
          <w:sz w:val="32"/>
          <w:szCs w:val="32"/>
        </w:rPr>
      </w:pPr>
      <w:r>
        <w:rPr>
          <w:rFonts w:hint="eastAsia" w:ascii="仿宋_GB2312" w:hAnsi="仿宋" w:eastAsia="仿宋_GB2312"/>
          <w:b/>
          <w:sz w:val="32"/>
          <w:szCs w:val="32"/>
        </w:rPr>
        <w:t>活动水平数据1（间接排放）：</w:t>
      </w:r>
    </w:p>
    <w:p w14:paraId="2EF2E9DD">
      <w:pPr>
        <w:spacing w:after="0" w:line="560" w:lineRule="exact"/>
        <w:ind w:firstLine="659" w:firstLineChars="205"/>
        <w:outlineLvl w:val="0"/>
        <w:rPr>
          <w:rFonts w:ascii="仿宋_GB2312" w:hAnsi="仿宋" w:eastAsia="仿宋_GB2312"/>
          <w:b/>
          <w:sz w:val="32"/>
          <w:szCs w:val="32"/>
        </w:rPr>
      </w:pPr>
      <w:r>
        <w:rPr>
          <w:rFonts w:hint="eastAsia" w:ascii="仿宋_GB2312" w:hAnsi="仿宋" w:eastAsia="仿宋_GB2312"/>
          <w:b/>
          <w:sz w:val="32"/>
          <w:szCs w:val="32"/>
        </w:rPr>
        <w:t>3.3.2.2 排放因子的符合性</w:t>
      </w:r>
    </w:p>
    <w:p w14:paraId="545F07AE">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核查重点碳排放单位报送的排放因子数据及相应的表格以及各个行业的特定表格，应对每一个排放因子进行核查,核查的内容包括:单位、数据来源、监测方法、监测频次、记录频次、数据缺失处理、交叉核对内容，核查机构应对上述每一个核算数据的符合性进行报告。如果排放因子为缺省值,可适当删减上述核查内容。报告格式如下：</w:t>
      </w:r>
    </w:p>
    <w:p w14:paraId="0086E165">
      <w:pPr>
        <w:spacing w:after="0" w:line="560" w:lineRule="exact"/>
        <w:ind w:firstLine="630" w:firstLineChars="196"/>
        <w:rPr>
          <w:rFonts w:ascii="仿宋_GB2312" w:hAnsi="仿宋" w:eastAsia="仿宋_GB2312"/>
          <w:b/>
          <w:sz w:val="32"/>
          <w:szCs w:val="32"/>
        </w:rPr>
      </w:pPr>
      <w:r>
        <w:rPr>
          <w:rFonts w:hint="eastAsia" w:ascii="仿宋_GB2312" w:hAnsi="仿宋" w:eastAsia="仿宋_GB2312"/>
          <w:b/>
          <w:sz w:val="32"/>
          <w:szCs w:val="32"/>
        </w:rPr>
        <w:t>排放因子参数1（直接排放）：</w:t>
      </w:r>
    </w:p>
    <w:p w14:paraId="3D7A8BAE">
      <w:pPr>
        <w:widowControl w:val="0"/>
        <w:numPr>
          <w:ilvl w:val="0"/>
          <w:numId w:val="17"/>
        </w:numPr>
        <w:spacing w:after="0" w:line="560" w:lineRule="exact"/>
        <w:ind w:hanging="180"/>
        <w:jc w:val="both"/>
        <w:rPr>
          <w:rFonts w:ascii="仿宋_GB2312" w:hAnsi="仿宋" w:eastAsia="仿宋_GB2312"/>
          <w:sz w:val="32"/>
          <w:szCs w:val="32"/>
        </w:rPr>
      </w:pPr>
      <w:r>
        <w:rPr>
          <w:rFonts w:hint="eastAsia" w:ascii="仿宋_GB2312" w:hAnsi="仿宋" w:eastAsia="仿宋_GB2312"/>
          <w:sz w:val="32"/>
          <w:szCs w:val="32"/>
        </w:rPr>
        <w:t>单位</w:t>
      </w:r>
    </w:p>
    <w:p w14:paraId="706ACAB8">
      <w:pPr>
        <w:widowControl w:val="0"/>
        <w:numPr>
          <w:ilvl w:val="0"/>
          <w:numId w:val="17"/>
        </w:numPr>
        <w:spacing w:after="0" w:line="560" w:lineRule="exact"/>
        <w:ind w:hanging="180"/>
        <w:jc w:val="both"/>
        <w:rPr>
          <w:rFonts w:ascii="仿宋_GB2312" w:hAnsi="仿宋" w:eastAsia="仿宋_GB2312"/>
          <w:sz w:val="32"/>
          <w:szCs w:val="32"/>
        </w:rPr>
      </w:pPr>
      <w:r>
        <w:rPr>
          <w:rFonts w:hint="eastAsia" w:ascii="仿宋_GB2312" w:hAnsi="仿宋" w:eastAsia="仿宋_GB2312"/>
          <w:sz w:val="32"/>
          <w:szCs w:val="32"/>
        </w:rPr>
        <w:t>数据来源</w:t>
      </w:r>
    </w:p>
    <w:p w14:paraId="7F72EC32">
      <w:pPr>
        <w:widowControl w:val="0"/>
        <w:numPr>
          <w:ilvl w:val="0"/>
          <w:numId w:val="17"/>
        </w:numPr>
        <w:spacing w:after="0" w:line="560" w:lineRule="exact"/>
        <w:ind w:hanging="180"/>
        <w:jc w:val="both"/>
        <w:rPr>
          <w:rFonts w:ascii="仿宋_GB2312" w:hAnsi="仿宋" w:eastAsia="仿宋_GB2312"/>
          <w:sz w:val="32"/>
          <w:szCs w:val="32"/>
        </w:rPr>
      </w:pPr>
      <w:r>
        <w:rPr>
          <w:rFonts w:hint="eastAsia" w:ascii="仿宋_GB2312" w:hAnsi="仿宋" w:eastAsia="仿宋_GB2312"/>
          <w:sz w:val="32"/>
          <w:szCs w:val="32"/>
        </w:rPr>
        <w:t>监测方法</w:t>
      </w:r>
    </w:p>
    <w:p w14:paraId="04B5CF2B">
      <w:pPr>
        <w:widowControl w:val="0"/>
        <w:numPr>
          <w:ilvl w:val="0"/>
          <w:numId w:val="17"/>
        </w:numPr>
        <w:spacing w:after="0" w:line="560" w:lineRule="exact"/>
        <w:ind w:hanging="180"/>
        <w:jc w:val="both"/>
        <w:rPr>
          <w:rFonts w:ascii="仿宋_GB2312" w:hAnsi="仿宋" w:eastAsia="仿宋_GB2312"/>
          <w:sz w:val="32"/>
          <w:szCs w:val="32"/>
        </w:rPr>
      </w:pPr>
      <w:r>
        <w:rPr>
          <w:rFonts w:hint="eastAsia" w:ascii="仿宋_GB2312" w:hAnsi="仿宋" w:eastAsia="仿宋_GB2312"/>
          <w:sz w:val="32"/>
          <w:szCs w:val="32"/>
        </w:rPr>
        <w:t>监测频次</w:t>
      </w:r>
    </w:p>
    <w:p w14:paraId="5EDC06B7">
      <w:pPr>
        <w:widowControl w:val="0"/>
        <w:numPr>
          <w:ilvl w:val="0"/>
          <w:numId w:val="17"/>
        </w:numPr>
        <w:spacing w:after="0" w:line="560" w:lineRule="exact"/>
        <w:ind w:hanging="180"/>
        <w:jc w:val="both"/>
        <w:rPr>
          <w:rFonts w:ascii="仿宋_GB2312" w:hAnsi="仿宋" w:eastAsia="仿宋_GB2312"/>
          <w:sz w:val="32"/>
          <w:szCs w:val="32"/>
        </w:rPr>
      </w:pPr>
      <w:r>
        <w:rPr>
          <w:rFonts w:hint="eastAsia" w:ascii="仿宋_GB2312" w:hAnsi="仿宋" w:eastAsia="仿宋_GB2312"/>
          <w:sz w:val="32"/>
          <w:szCs w:val="32"/>
        </w:rPr>
        <w:t>记录频次</w:t>
      </w:r>
    </w:p>
    <w:p w14:paraId="23C06FE3">
      <w:pPr>
        <w:widowControl w:val="0"/>
        <w:numPr>
          <w:ilvl w:val="0"/>
          <w:numId w:val="17"/>
        </w:numPr>
        <w:spacing w:after="0" w:line="560" w:lineRule="exact"/>
        <w:ind w:hanging="180"/>
        <w:jc w:val="both"/>
        <w:rPr>
          <w:rFonts w:ascii="仿宋_GB2312" w:hAnsi="仿宋" w:eastAsia="仿宋_GB2312"/>
          <w:sz w:val="32"/>
          <w:szCs w:val="32"/>
        </w:rPr>
      </w:pPr>
      <w:r>
        <w:rPr>
          <w:rFonts w:hint="eastAsia" w:ascii="仿宋_GB2312" w:hAnsi="仿宋" w:eastAsia="仿宋_GB2312"/>
          <w:sz w:val="32"/>
          <w:szCs w:val="32"/>
        </w:rPr>
        <w:t>数据缺失处理</w:t>
      </w:r>
    </w:p>
    <w:p w14:paraId="0FB97515">
      <w:pPr>
        <w:widowControl w:val="0"/>
        <w:numPr>
          <w:ilvl w:val="0"/>
          <w:numId w:val="17"/>
        </w:numPr>
        <w:spacing w:after="0" w:line="560" w:lineRule="exact"/>
        <w:ind w:hanging="180"/>
        <w:jc w:val="both"/>
        <w:rPr>
          <w:rFonts w:ascii="仿宋_GB2312" w:hAnsi="仿宋" w:eastAsia="仿宋_GB2312"/>
          <w:sz w:val="32"/>
          <w:szCs w:val="32"/>
        </w:rPr>
      </w:pPr>
      <w:r>
        <w:rPr>
          <w:rFonts w:hint="eastAsia" w:ascii="仿宋_GB2312" w:hAnsi="仿宋" w:eastAsia="仿宋_GB2312"/>
          <w:sz w:val="32"/>
          <w:szCs w:val="32"/>
        </w:rPr>
        <w:t>交叉核对</w:t>
      </w:r>
    </w:p>
    <w:p w14:paraId="39885734">
      <w:pPr>
        <w:widowControl w:val="0"/>
        <w:numPr>
          <w:ilvl w:val="0"/>
          <w:numId w:val="17"/>
        </w:numPr>
        <w:spacing w:after="0" w:line="560" w:lineRule="exact"/>
        <w:ind w:hanging="180"/>
        <w:jc w:val="both"/>
        <w:rPr>
          <w:rFonts w:ascii="仿宋_GB2312" w:hAnsi="仿宋" w:eastAsia="仿宋_GB2312"/>
          <w:sz w:val="32"/>
          <w:szCs w:val="32"/>
        </w:rPr>
      </w:pPr>
      <w:r>
        <w:rPr>
          <w:rFonts w:hint="eastAsia" w:ascii="仿宋_GB2312" w:hAnsi="仿宋" w:eastAsia="仿宋_GB2312"/>
          <w:sz w:val="32"/>
          <w:szCs w:val="32"/>
        </w:rPr>
        <w:t>确认的数值</w:t>
      </w:r>
    </w:p>
    <w:p w14:paraId="48BD6269">
      <w:pPr>
        <w:widowControl w:val="0"/>
        <w:numPr>
          <w:ilvl w:val="0"/>
          <w:numId w:val="17"/>
        </w:numPr>
        <w:spacing w:after="0" w:line="560" w:lineRule="exact"/>
        <w:ind w:left="0" w:firstLine="660"/>
        <w:jc w:val="both"/>
        <w:rPr>
          <w:rFonts w:ascii="仿宋_GB2312" w:hAnsi="仿宋" w:eastAsia="仿宋_GB2312"/>
          <w:sz w:val="32"/>
          <w:szCs w:val="32"/>
        </w:rPr>
      </w:pPr>
      <w:r>
        <w:rPr>
          <w:rFonts w:hint="eastAsia" w:ascii="仿宋_GB2312" w:hAnsi="仿宋" w:eastAsia="仿宋_GB2312"/>
          <w:sz w:val="32"/>
          <w:szCs w:val="32"/>
        </w:rPr>
        <w:t>核查结论（简要描述不符合，如有。详细描述及纠正措施链接附件1）</w:t>
      </w:r>
    </w:p>
    <w:p w14:paraId="1DDD060C">
      <w:pPr>
        <w:spacing w:after="0" w:line="560" w:lineRule="exact"/>
        <w:ind w:firstLine="660"/>
        <w:rPr>
          <w:rFonts w:ascii="仿宋_GB2312" w:hAnsi="仿宋" w:eastAsia="仿宋_GB2312"/>
          <w:b/>
          <w:sz w:val="32"/>
          <w:szCs w:val="32"/>
        </w:rPr>
      </w:pPr>
      <w:r>
        <w:rPr>
          <w:rFonts w:hint="eastAsia" w:ascii="仿宋_GB2312" w:hAnsi="仿宋" w:eastAsia="仿宋_GB2312"/>
          <w:b/>
          <w:sz w:val="32"/>
          <w:szCs w:val="32"/>
        </w:rPr>
        <w:t>排放因子参数2（直接排放）：</w:t>
      </w:r>
    </w:p>
    <w:p w14:paraId="48BB397E">
      <w:pPr>
        <w:spacing w:after="0" w:line="560" w:lineRule="exact"/>
        <w:ind w:firstLine="660"/>
        <w:rPr>
          <w:rFonts w:ascii="仿宋_GB2312" w:hAnsi="仿宋" w:eastAsia="仿宋_GB2312"/>
          <w:b/>
          <w:sz w:val="32"/>
          <w:szCs w:val="32"/>
        </w:rPr>
      </w:pPr>
      <w:r>
        <w:rPr>
          <w:rFonts w:hint="eastAsia" w:ascii="仿宋_GB2312" w:hAnsi="仿宋" w:eastAsia="仿宋_GB2312"/>
          <w:b/>
          <w:sz w:val="32"/>
          <w:szCs w:val="32"/>
        </w:rPr>
        <w:t>排放因子参数1（间接排放）：</w:t>
      </w:r>
    </w:p>
    <w:p w14:paraId="6FCD508E">
      <w:pPr>
        <w:spacing w:after="0" w:line="560" w:lineRule="exact"/>
        <w:ind w:firstLine="660"/>
        <w:outlineLvl w:val="0"/>
        <w:rPr>
          <w:rFonts w:ascii="仿宋_GB2312" w:hAnsi="仿宋" w:eastAsia="仿宋_GB2312"/>
          <w:b/>
          <w:sz w:val="32"/>
          <w:szCs w:val="32"/>
        </w:rPr>
      </w:pPr>
      <w:r>
        <w:rPr>
          <w:rFonts w:hint="eastAsia" w:ascii="仿宋_GB2312" w:hAnsi="仿宋" w:eastAsia="仿宋_GB2312"/>
          <w:b/>
          <w:sz w:val="32"/>
          <w:szCs w:val="32"/>
        </w:rPr>
        <w:t>3.3.2.3 其他数据及补充</w:t>
      </w:r>
      <w:r>
        <w:rPr>
          <w:rFonts w:ascii="仿宋_GB2312" w:hAnsi="仿宋" w:eastAsia="仿宋_GB2312"/>
          <w:b/>
          <w:sz w:val="32"/>
          <w:szCs w:val="32"/>
        </w:rPr>
        <w:t>信息</w:t>
      </w:r>
      <w:r>
        <w:rPr>
          <w:rFonts w:hint="eastAsia" w:ascii="仿宋_GB2312" w:hAnsi="仿宋" w:eastAsia="仿宋_GB2312"/>
          <w:b/>
          <w:sz w:val="32"/>
          <w:szCs w:val="32"/>
        </w:rPr>
        <w:t>的符合性</w:t>
      </w:r>
    </w:p>
    <w:p w14:paraId="5A2A371D">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其它数据和补充信息包括石油化工</w:t>
      </w:r>
      <w:r>
        <w:rPr>
          <w:rFonts w:ascii="仿宋_GB2312" w:hAnsi="仿宋" w:eastAsia="仿宋_GB2312"/>
          <w:sz w:val="32"/>
          <w:szCs w:val="32"/>
        </w:rPr>
        <w:t>、</w:t>
      </w:r>
      <w:r>
        <w:rPr>
          <w:rFonts w:hint="eastAsia" w:ascii="仿宋_GB2312" w:hAnsi="仿宋" w:eastAsia="仿宋_GB2312"/>
          <w:sz w:val="32"/>
          <w:szCs w:val="32"/>
        </w:rPr>
        <w:t>热力生产和供应、水泥制造、其他服务业（物业、数据中心、通信）、其他行业（电网、汽车制造、生物药品制品制造、污水处理和再生水供应、自来水供应）等的</w:t>
      </w:r>
      <w:r>
        <w:rPr>
          <w:rFonts w:ascii="仿宋_GB2312" w:hAnsi="仿宋" w:eastAsia="仿宋_GB2312"/>
          <w:sz w:val="32"/>
          <w:szCs w:val="32"/>
        </w:rPr>
        <w:t>生产经营服务信息和碳排放补充信息</w:t>
      </w:r>
      <w:r>
        <w:rPr>
          <w:rFonts w:hint="eastAsia" w:ascii="仿宋_GB2312" w:hAnsi="仿宋" w:eastAsia="仿宋_GB2312"/>
          <w:sz w:val="32"/>
          <w:szCs w:val="32"/>
        </w:rPr>
        <w:t>，核查机构应对其它数据及补充数据信息进行核查。对涉及</w:t>
      </w:r>
      <w:bookmarkStart w:id="31" w:name="_GoBack"/>
      <w:bookmarkEnd w:id="31"/>
      <w:r>
        <w:rPr>
          <w:rFonts w:hint="eastAsia" w:ascii="仿宋_GB2312" w:hAnsi="仿宋" w:eastAsia="仿宋_GB2312"/>
          <w:sz w:val="32"/>
          <w:szCs w:val="32"/>
        </w:rPr>
        <w:t>的其它数据和补充信息的核查内容包括：数据的单位、数据来源、监测方法、监测频次、记录频次、参数交叉核对、数据缺失的处理方式等内容，核查机构应对其它数据和补充数据的每一个数据的符合性进行报告，若已经在核查报告中详细描述了核查过程且不降低核查质量的前提下，此处对于其它数据和补充信息的核查可以简化描述。</w:t>
      </w:r>
    </w:p>
    <w:p w14:paraId="07014A76">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其它数据和补充信息的符合性报告格式参考</w:t>
      </w:r>
      <w:r>
        <w:rPr>
          <w:rFonts w:ascii="仿宋_GB2312" w:hAnsi="仿宋" w:eastAsia="仿宋_GB2312"/>
          <w:sz w:val="32"/>
          <w:szCs w:val="32"/>
        </w:rPr>
        <w:t>3.3.2.1</w:t>
      </w:r>
      <w:r>
        <w:rPr>
          <w:rFonts w:hint="eastAsia" w:ascii="仿宋_GB2312" w:hAnsi="仿宋" w:eastAsia="仿宋_GB2312"/>
          <w:sz w:val="32"/>
          <w:szCs w:val="32"/>
        </w:rPr>
        <w:t>。</w:t>
      </w:r>
    </w:p>
    <w:p w14:paraId="5A2F5158">
      <w:pPr>
        <w:spacing w:after="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补充</w:t>
      </w:r>
      <w:r>
        <w:rPr>
          <w:rFonts w:ascii="仿宋_GB2312" w:hAnsi="仿宋" w:eastAsia="仿宋_GB2312"/>
          <w:sz w:val="32"/>
          <w:szCs w:val="32"/>
        </w:rPr>
        <w:t>数据表核查重点如下：</w:t>
      </w:r>
    </w:p>
    <w:p w14:paraId="152B040B">
      <w:pPr>
        <w:spacing w:after="0" w:line="560" w:lineRule="exact"/>
        <w:ind w:firstLine="643"/>
        <w:jc w:val="center"/>
        <w:rPr>
          <w:rFonts w:ascii="仿宋_GB2312" w:hAnsi="仿宋" w:eastAsia="仿宋_GB2312"/>
          <w:b/>
          <w:sz w:val="32"/>
          <w:szCs w:val="32"/>
          <w:lang w:val="en-US"/>
        </w:rPr>
      </w:pPr>
      <w:r>
        <w:rPr>
          <w:rFonts w:hint="eastAsia" w:ascii="仿宋_GB2312" w:hAnsi="仿宋" w:eastAsia="仿宋_GB2312"/>
          <w:b/>
          <w:sz w:val="32"/>
          <w:szCs w:val="32"/>
          <w:lang w:val="en-US"/>
        </w:rPr>
        <w:t>热力生产和供应企业补充</w:t>
      </w:r>
      <w:r>
        <w:rPr>
          <w:rFonts w:ascii="仿宋_GB2312" w:hAnsi="仿宋" w:eastAsia="仿宋_GB2312"/>
          <w:b/>
          <w:sz w:val="32"/>
          <w:szCs w:val="32"/>
          <w:lang w:val="en-US"/>
        </w:rPr>
        <w:t>数据表</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6311"/>
      </w:tblGrid>
      <w:tr w14:paraId="19FDA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689" w:type="dxa"/>
            <w:vAlign w:val="center"/>
          </w:tcPr>
          <w:p w14:paraId="6199D221">
            <w:pPr>
              <w:spacing w:after="0" w:line="300" w:lineRule="auto"/>
              <w:jc w:val="center"/>
              <w:rPr>
                <w:rFonts w:ascii="仿宋_GB2312" w:hAnsi="仿宋" w:eastAsia="仿宋_GB2312"/>
                <w:b/>
                <w:bCs/>
                <w:sz w:val="24"/>
                <w:szCs w:val="24"/>
                <w:lang w:val="en-US"/>
              </w:rPr>
            </w:pPr>
            <w:r>
              <w:rPr>
                <w:rFonts w:hint="eastAsia" w:ascii="仿宋_GB2312" w:hAnsi="仿宋" w:eastAsia="仿宋_GB2312"/>
                <w:b/>
                <w:bCs/>
                <w:sz w:val="24"/>
                <w:szCs w:val="24"/>
                <w:lang w:val="en-US"/>
              </w:rPr>
              <w:t>报告</w:t>
            </w:r>
            <w:r>
              <w:rPr>
                <w:rFonts w:ascii="仿宋_GB2312" w:hAnsi="仿宋" w:eastAsia="仿宋_GB2312"/>
                <w:b/>
                <w:bCs/>
                <w:sz w:val="24"/>
                <w:szCs w:val="24"/>
                <w:lang w:val="en-US"/>
              </w:rPr>
              <w:t>参数</w:t>
            </w:r>
          </w:p>
        </w:tc>
        <w:tc>
          <w:tcPr>
            <w:tcW w:w="6311" w:type="dxa"/>
            <w:vAlign w:val="center"/>
          </w:tcPr>
          <w:p w14:paraId="1C83FE96">
            <w:pPr>
              <w:spacing w:after="0" w:line="300" w:lineRule="auto"/>
              <w:ind w:firstLine="482"/>
              <w:jc w:val="center"/>
              <w:rPr>
                <w:rFonts w:ascii="仿宋_GB2312" w:hAnsi="仿宋" w:eastAsia="仿宋_GB2312"/>
                <w:b/>
                <w:bCs/>
                <w:sz w:val="24"/>
                <w:szCs w:val="24"/>
                <w:lang w:val="en-US"/>
              </w:rPr>
            </w:pPr>
            <w:r>
              <w:rPr>
                <w:rFonts w:hint="eastAsia" w:ascii="仿宋_GB2312" w:hAnsi="仿宋" w:eastAsia="仿宋_GB2312"/>
                <w:b/>
                <w:bCs/>
                <w:sz w:val="24"/>
                <w:szCs w:val="24"/>
                <w:lang w:val="en-US"/>
              </w:rPr>
              <w:t>核查要求</w:t>
            </w:r>
          </w:p>
        </w:tc>
      </w:tr>
      <w:tr w14:paraId="3F3FF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14:paraId="78DEE603">
            <w:pPr>
              <w:spacing w:after="120"/>
              <w:ind w:firstLine="480"/>
              <w:rPr>
                <w:rFonts w:ascii="仿宋_GB2312" w:hAnsi="仿宋" w:eastAsia="仿宋_GB2312"/>
                <w:sz w:val="24"/>
                <w:szCs w:val="24"/>
                <w:lang w:val="en-US"/>
              </w:rPr>
            </w:pPr>
            <w:r>
              <w:rPr>
                <w:rFonts w:hint="eastAsia" w:ascii="仿宋_GB2312" w:hAnsi="仿宋" w:eastAsia="仿宋_GB2312"/>
                <w:sz w:val="24"/>
                <w:szCs w:val="24"/>
                <w:lang w:val="en-US"/>
              </w:rPr>
              <w:t>各热量数据</w:t>
            </w:r>
          </w:p>
        </w:tc>
        <w:tc>
          <w:tcPr>
            <w:tcW w:w="6311" w:type="dxa"/>
            <w:vAlign w:val="center"/>
          </w:tcPr>
          <w:p w14:paraId="00110C53">
            <w:pPr>
              <w:spacing w:after="120"/>
              <w:ind w:firstLine="480" w:firstLineChars="200"/>
              <w:jc w:val="both"/>
              <w:rPr>
                <w:rFonts w:ascii="仿宋_GB2312" w:hAnsi="仿宋" w:eastAsia="仿宋_GB2312"/>
                <w:sz w:val="24"/>
                <w:szCs w:val="24"/>
                <w:lang w:val="en-US"/>
              </w:rPr>
            </w:pPr>
            <w:r>
              <w:rPr>
                <w:rFonts w:hint="eastAsia" w:ascii="仿宋_GB2312" w:hAnsi="仿宋" w:eastAsia="仿宋_GB2312"/>
                <w:sz w:val="24"/>
                <w:szCs w:val="24"/>
                <w:lang w:val="en-US"/>
              </w:rPr>
              <w:t>核查组首先应确定受核查方的供热类型（包括热源及热网类型，热源：燃气锅炉</w:t>
            </w:r>
            <w:r>
              <w:rPr>
                <w:rFonts w:ascii="仿宋_GB2312" w:hAnsi="仿宋" w:eastAsia="仿宋_GB2312"/>
                <w:sz w:val="24"/>
                <w:szCs w:val="24"/>
                <w:lang w:val="en-US"/>
              </w:rPr>
              <w:t>/燃煤锅炉/电锅炉/燃油锅炉/地源热泵/其他，热网：直供/间供），热量的数据来源是否与监测计划一致。如为计量数据，还应将报告的数据与热表抄表记录等数据交叉核对；如为计算数据，应确认计算方法的合理性，并保持各年度数据的可比性，计算用到的各</w:t>
            </w:r>
            <w:r>
              <w:rPr>
                <w:rFonts w:hint="eastAsia" w:ascii="仿宋_GB2312" w:hAnsi="仿宋" w:eastAsia="仿宋_GB2312"/>
                <w:sz w:val="24"/>
                <w:szCs w:val="24"/>
                <w:lang w:val="en-US"/>
              </w:rPr>
              <w:t>参数，均应确保其来源可信，如有测试报告，应附在核查报告中。</w:t>
            </w:r>
          </w:p>
        </w:tc>
      </w:tr>
      <w:tr w14:paraId="43F96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14:paraId="0D90752E">
            <w:pPr>
              <w:spacing w:after="120"/>
              <w:ind w:firstLine="480" w:firstLineChars="200"/>
              <w:jc w:val="both"/>
              <w:rPr>
                <w:rFonts w:ascii="仿宋_GB2312" w:hAnsi="仿宋" w:eastAsia="仿宋_GB2312"/>
                <w:sz w:val="24"/>
                <w:szCs w:val="24"/>
                <w:lang w:val="en-US"/>
              </w:rPr>
            </w:pPr>
            <w:r>
              <w:rPr>
                <w:rFonts w:hint="eastAsia" w:ascii="仿宋_GB2312" w:hAnsi="仿宋" w:eastAsia="仿宋_GB2312"/>
                <w:sz w:val="24"/>
                <w:szCs w:val="24"/>
                <w:lang w:val="en-US"/>
              </w:rPr>
              <w:t>不同用能单元（热源锅炉房、办公生活及其他）的直接排放量</w:t>
            </w:r>
          </w:p>
        </w:tc>
        <w:tc>
          <w:tcPr>
            <w:tcW w:w="6311" w:type="dxa"/>
            <w:vAlign w:val="center"/>
          </w:tcPr>
          <w:p w14:paraId="33E416C9">
            <w:pPr>
              <w:spacing w:after="120"/>
              <w:ind w:firstLine="480" w:firstLineChars="200"/>
              <w:jc w:val="both"/>
              <w:rPr>
                <w:rFonts w:ascii="仿宋_GB2312" w:hAnsi="仿宋" w:eastAsia="仿宋_GB2312"/>
                <w:sz w:val="24"/>
                <w:szCs w:val="24"/>
                <w:lang w:val="en-US"/>
              </w:rPr>
            </w:pPr>
            <w:r>
              <w:rPr>
                <w:rFonts w:hint="eastAsia" w:ascii="仿宋_GB2312" w:hAnsi="仿宋" w:eastAsia="仿宋_GB2312"/>
                <w:sz w:val="24"/>
                <w:szCs w:val="24"/>
                <w:lang w:val="en-US"/>
              </w:rPr>
              <w:t>核查组应确认受核查方化石燃料消耗量的数据来源是否与监测计划一致，并通过能源平衡表、生产月报表等相关记录交叉核对。</w:t>
            </w:r>
          </w:p>
          <w:p w14:paraId="49821931">
            <w:pPr>
              <w:spacing w:after="120"/>
              <w:ind w:firstLine="480" w:firstLineChars="200"/>
              <w:jc w:val="both"/>
              <w:rPr>
                <w:rFonts w:ascii="仿宋_GB2312" w:hAnsi="仿宋" w:eastAsia="仿宋_GB2312"/>
                <w:sz w:val="24"/>
                <w:szCs w:val="24"/>
                <w:lang w:val="en-US"/>
              </w:rPr>
            </w:pPr>
            <w:r>
              <w:rPr>
                <w:rFonts w:hint="eastAsia" w:ascii="仿宋_GB2312" w:hAnsi="仿宋" w:eastAsia="仿宋_GB2312"/>
                <w:sz w:val="24"/>
                <w:szCs w:val="24"/>
                <w:lang w:val="en-US"/>
              </w:rPr>
              <w:t>对于天然气等可单独计量的能源，还应将报告的数据与天然气抄表记录、财务数据等数据交叉核对。</w:t>
            </w:r>
          </w:p>
          <w:p w14:paraId="4745919F">
            <w:pPr>
              <w:spacing w:after="120"/>
              <w:ind w:firstLine="480" w:firstLineChars="200"/>
              <w:jc w:val="both"/>
              <w:rPr>
                <w:rFonts w:ascii="仿宋_GB2312" w:hAnsi="仿宋" w:eastAsia="仿宋_GB2312"/>
                <w:sz w:val="24"/>
                <w:szCs w:val="24"/>
                <w:lang w:val="en-US"/>
              </w:rPr>
            </w:pPr>
            <w:r>
              <w:rPr>
                <w:rFonts w:hint="eastAsia" w:ascii="仿宋_GB2312" w:hAnsi="仿宋" w:eastAsia="仿宋_GB2312"/>
                <w:sz w:val="24"/>
                <w:szCs w:val="24"/>
                <w:lang w:val="en-US"/>
              </w:rPr>
              <w:t>如重点排放单位使用化石燃料排放因子的缺省值，核查组应确认缺省值的数据、单位正确，如使用实测值，排放因子的核查应参考核查报告编写指南第</w:t>
            </w:r>
            <w:r>
              <w:rPr>
                <w:rFonts w:ascii="仿宋_GB2312" w:hAnsi="仿宋" w:eastAsia="仿宋_GB2312"/>
                <w:sz w:val="24"/>
                <w:szCs w:val="24"/>
                <w:lang w:val="en-US"/>
              </w:rPr>
              <w:t>3.3.2.2部分的要求。</w:t>
            </w:r>
          </w:p>
        </w:tc>
      </w:tr>
      <w:tr w14:paraId="5A0CD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14:paraId="0C50932C">
            <w:pPr>
              <w:spacing w:after="120"/>
              <w:ind w:firstLine="480" w:firstLineChars="200"/>
              <w:jc w:val="both"/>
              <w:rPr>
                <w:rFonts w:ascii="仿宋_GB2312" w:hAnsi="仿宋" w:eastAsia="仿宋_GB2312"/>
                <w:sz w:val="24"/>
                <w:szCs w:val="24"/>
                <w:lang w:val="en-US"/>
              </w:rPr>
            </w:pPr>
            <w:r>
              <w:rPr>
                <w:rFonts w:hint="eastAsia" w:ascii="仿宋_GB2312" w:hAnsi="仿宋" w:eastAsia="仿宋_GB2312"/>
                <w:sz w:val="24"/>
                <w:szCs w:val="24"/>
                <w:lang w:val="en-US"/>
              </w:rPr>
              <w:t>不同用能单元（热源锅炉房、热力站、中继泵站、办公生活及其他）的间接排放量</w:t>
            </w:r>
          </w:p>
        </w:tc>
        <w:tc>
          <w:tcPr>
            <w:tcW w:w="6311" w:type="dxa"/>
            <w:vAlign w:val="center"/>
          </w:tcPr>
          <w:p w14:paraId="4484CF59">
            <w:pPr>
              <w:spacing w:after="120"/>
              <w:ind w:firstLine="480" w:firstLineChars="200"/>
              <w:jc w:val="both"/>
              <w:rPr>
                <w:rFonts w:ascii="仿宋_GB2312" w:hAnsi="仿宋" w:eastAsia="仿宋_GB2312"/>
                <w:sz w:val="24"/>
                <w:szCs w:val="24"/>
                <w:lang w:val="en-US"/>
              </w:rPr>
            </w:pPr>
            <w:r>
              <w:rPr>
                <w:rFonts w:hint="eastAsia" w:ascii="仿宋_GB2312" w:hAnsi="仿宋" w:eastAsia="仿宋_GB2312"/>
                <w:sz w:val="24"/>
                <w:szCs w:val="24"/>
                <w:lang w:val="en-US"/>
              </w:rPr>
              <w:t>对于各用电单元单独计量的电量，应确认监测设备的校准、数据记录等活动是否符合监测计划的要求，并核对抄表记录、各车间能源消耗台账。</w:t>
            </w:r>
          </w:p>
          <w:p w14:paraId="1904E188">
            <w:pPr>
              <w:spacing w:after="120"/>
              <w:ind w:firstLine="480" w:firstLineChars="200"/>
              <w:jc w:val="both"/>
              <w:rPr>
                <w:rFonts w:ascii="仿宋_GB2312" w:hAnsi="仿宋" w:eastAsia="仿宋_GB2312"/>
                <w:sz w:val="24"/>
                <w:szCs w:val="24"/>
                <w:lang w:val="en-US"/>
              </w:rPr>
            </w:pPr>
            <w:r>
              <w:rPr>
                <w:rFonts w:hint="eastAsia" w:ascii="仿宋_GB2312" w:hAnsi="仿宋" w:eastAsia="仿宋_GB2312"/>
                <w:sz w:val="24"/>
                <w:szCs w:val="24"/>
                <w:lang w:val="en-US"/>
              </w:rPr>
              <w:t>如各用电单元对应的外购电力数据是通过拆分总外购电量计算得出，核查组应确认拆分的方式是否合理，并保持各年度数据的可比性。</w:t>
            </w:r>
          </w:p>
        </w:tc>
      </w:tr>
    </w:tbl>
    <w:p w14:paraId="28E25D0D">
      <w:pPr>
        <w:spacing w:after="0" w:line="560" w:lineRule="exact"/>
        <w:jc w:val="center"/>
        <w:rPr>
          <w:rFonts w:ascii="仿宋_GB2312" w:hAnsi="仿宋" w:eastAsia="仿宋_GB2312"/>
          <w:b/>
          <w:sz w:val="32"/>
          <w:szCs w:val="32"/>
          <w:lang w:val="en-US"/>
        </w:rPr>
      </w:pPr>
      <w:r>
        <w:rPr>
          <w:rFonts w:hint="eastAsia" w:ascii="仿宋_GB2312" w:hAnsi="仿宋" w:eastAsia="仿宋_GB2312"/>
          <w:b/>
          <w:sz w:val="32"/>
          <w:szCs w:val="32"/>
          <w:lang w:val="en-US"/>
        </w:rPr>
        <w:t>水泥企业协同处置废弃物补充数据</w:t>
      </w: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89"/>
        <w:gridCol w:w="6302"/>
      </w:tblGrid>
      <w:tr w14:paraId="7C8B3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tcPr>
          <w:p w14:paraId="660C79D8">
            <w:pPr>
              <w:spacing w:after="0" w:line="300" w:lineRule="auto"/>
              <w:jc w:val="center"/>
              <w:rPr>
                <w:rFonts w:ascii="仿宋_GB2312" w:hAnsi="楷体" w:eastAsia="仿宋_GB2312"/>
                <w:b/>
                <w:bCs/>
                <w:sz w:val="24"/>
                <w:szCs w:val="24"/>
              </w:rPr>
            </w:pPr>
            <w:r>
              <w:rPr>
                <w:rFonts w:hint="eastAsia" w:ascii="仿宋_GB2312" w:hAnsi="楷体" w:eastAsia="仿宋_GB2312"/>
                <w:b/>
                <w:bCs/>
                <w:sz w:val="24"/>
                <w:szCs w:val="24"/>
              </w:rPr>
              <w:t>报告参数</w:t>
            </w:r>
          </w:p>
        </w:tc>
        <w:tc>
          <w:tcPr>
            <w:tcW w:w="6302" w:type="dxa"/>
          </w:tcPr>
          <w:p w14:paraId="2D1BB647">
            <w:pPr>
              <w:spacing w:after="0" w:line="300" w:lineRule="auto"/>
              <w:jc w:val="center"/>
              <w:rPr>
                <w:rFonts w:ascii="仿宋_GB2312" w:hAnsi="楷体" w:eastAsia="仿宋_GB2312"/>
                <w:b/>
                <w:bCs/>
                <w:sz w:val="24"/>
                <w:szCs w:val="24"/>
              </w:rPr>
            </w:pPr>
            <w:r>
              <w:rPr>
                <w:rFonts w:hint="eastAsia" w:ascii="仿宋_GB2312" w:hAnsi="楷体" w:eastAsia="仿宋_GB2312"/>
                <w:b/>
                <w:bCs/>
                <w:sz w:val="24"/>
                <w:szCs w:val="24"/>
              </w:rPr>
              <w:t>核查要求</w:t>
            </w:r>
          </w:p>
        </w:tc>
      </w:tr>
      <w:tr w14:paraId="07CD4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6" w:hRule="atLeast"/>
        </w:trPr>
        <w:tc>
          <w:tcPr>
            <w:tcW w:w="2689" w:type="dxa"/>
            <w:vAlign w:val="center"/>
          </w:tcPr>
          <w:p w14:paraId="7B8D2C7D">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协同处置废弃物的种类</w:t>
            </w:r>
          </w:p>
        </w:tc>
        <w:tc>
          <w:tcPr>
            <w:tcW w:w="6302" w:type="dxa"/>
            <w:vAlign w:val="center"/>
          </w:tcPr>
          <w:p w14:paraId="47BACE02">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定受核查方协同处置废弃物的种类和数量。废弃物的种类和数量的数据除来自企业生产月报表外，可通过废弃物进厂数据记录、电表数据记录、不同部分的耗电量记录、能源消耗台账等相关记录交叉核对。</w:t>
            </w:r>
          </w:p>
        </w:tc>
      </w:tr>
      <w:tr w14:paraId="3C7EE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689" w:type="dxa"/>
            <w:vAlign w:val="center"/>
          </w:tcPr>
          <w:p w14:paraId="3EA7A9B6">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协同处置废弃物的数量</w:t>
            </w:r>
          </w:p>
        </w:tc>
        <w:tc>
          <w:tcPr>
            <w:tcW w:w="6302" w:type="dxa"/>
            <w:vAlign w:val="center"/>
          </w:tcPr>
          <w:p w14:paraId="4CF3381C">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定受核查方协同处置废弃物的种类和数量。废弃物的种类和数量的数据除来自企业生产月报表外，可通过废弃物进厂数据记录、电表数据记录、不同部分的耗电量记录、能源消耗台账等相关记录交叉核对。</w:t>
            </w:r>
          </w:p>
        </w:tc>
      </w:tr>
      <w:tr w14:paraId="64845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6" w:hRule="atLeast"/>
        </w:trPr>
        <w:tc>
          <w:tcPr>
            <w:tcW w:w="2689" w:type="dxa"/>
            <w:vAlign w:val="center"/>
          </w:tcPr>
          <w:p w14:paraId="4B762AFF">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废弃物预处理部分的耗电量</w:t>
            </w:r>
          </w:p>
        </w:tc>
        <w:tc>
          <w:tcPr>
            <w:tcW w:w="6302" w:type="dxa"/>
            <w:vAlign w:val="center"/>
          </w:tcPr>
          <w:p w14:paraId="02457F28">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核查组应确认受核查方废弃物预处理部分的耗电量的数据来源是否与监测计划一致，并通过生产月报表、电表数据记录、不同部分的耗电量记录、能源消耗台账等相关记录交叉核对。</w:t>
            </w:r>
          </w:p>
        </w:tc>
      </w:tr>
    </w:tbl>
    <w:p w14:paraId="195DBB0B">
      <w:pPr>
        <w:spacing w:after="0" w:line="560" w:lineRule="exact"/>
        <w:jc w:val="center"/>
        <w:rPr>
          <w:rFonts w:ascii="仿宋_GB2312" w:hAnsi="仿宋" w:eastAsia="仿宋_GB2312"/>
          <w:b/>
          <w:sz w:val="32"/>
          <w:szCs w:val="32"/>
          <w:lang w:val="en-US"/>
        </w:rPr>
      </w:pPr>
    </w:p>
    <w:p w14:paraId="187C1960">
      <w:pPr>
        <w:spacing w:after="0" w:line="560" w:lineRule="exact"/>
        <w:jc w:val="center"/>
        <w:rPr>
          <w:rFonts w:ascii="仿宋_GB2312" w:hAnsi="仿宋" w:eastAsia="仿宋_GB2312"/>
          <w:b/>
          <w:sz w:val="32"/>
          <w:szCs w:val="32"/>
          <w:lang w:val="en-US"/>
        </w:rPr>
      </w:pPr>
      <w:r>
        <w:rPr>
          <w:rFonts w:hint="eastAsia" w:ascii="仿宋_GB2312" w:hAnsi="仿宋" w:eastAsia="仿宋_GB2312"/>
          <w:b/>
          <w:sz w:val="32"/>
          <w:szCs w:val="32"/>
          <w:lang w:val="en-US"/>
        </w:rPr>
        <w:t>石油化工企业补充</w:t>
      </w:r>
      <w:r>
        <w:rPr>
          <w:rFonts w:ascii="仿宋_GB2312" w:hAnsi="仿宋" w:eastAsia="仿宋_GB2312"/>
          <w:b/>
          <w:sz w:val="32"/>
          <w:szCs w:val="32"/>
          <w:lang w:val="en-US"/>
        </w:rPr>
        <w:t>数据表</w:t>
      </w: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89"/>
        <w:gridCol w:w="6322"/>
      </w:tblGrid>
      <w:tr w14:paraId="1F3A2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blHeader/>
        </w:trPr>
        <w:tc>
          <w:tcPr>
            <w:tcW w:w="2689" w:type="dxa"/>
            <w:vAlign w:val="top"/>
          </w:tcPr>
          <w:p w14:paraId="1D41D992">
            <w:pPr>
              <w:spacing w:after="0" w:line="300" w:lineRule="auto"/>
              <w:jc w:val="center"/>
              <w:rPr>
                <w:rFonts w:ascii="仿宋_GB2312" w:hAnsi="楷体" w:eastAsia="仿宋_GB2312"/>
                <w:b/>
                <w:bCs/>
                <w:sz w:val="24"/>
                <w:szCs w:val="24"/>
              </w:rPr>
            </w:pPr>
            <w:r>
              <w:rPr>
                <w:rFonts w:hint="eastAsia" w:ascii="仿宋_GB2312" w:hAnsi="楷体" w:eastAsia="仿宋_GB2312"/>
                <w:b/>
                <w:bCs/>
                <w:sz w:val="24"/>
                <w:szCs w:val="24"/>
              </w:rPr>
              <w:t>报告参数</w:t>
            </w:r>
          </w:p>
        </w:tc>
        <w:tc>
          <w:tcPr>
            <w:tcW w:w="6322" w:type="dxa"/>
            <w:vAlign w:val="top"/>
          </w:tcPr>
          <w:p w14:paraId="7212906D">
            <w:pPr>
              <w:spacing w:after="0" w:line="300" w:lineRule="auto"/>
              <w:jc w:val="center"/>
              <w:rPr>
                <w:rFonts w:ascii="仿宋_GB2312" w:hAnsi="楷体" w:eastAsia="仿宋_GB2312"/>
                <w:b/>
                <w:bCs/>
                <w:sz w:val="24"/>
                <w:szCs w:val="24"/>
              </w:rPr>
            </w:pPr>
            <w:r>
              <w:rPr>
                <w:rFonts w:hint="eastAsia" w:ascii="仿宋_GB2312" w:hAnsi="楷体" w:eastAsia="仿宋_GB2312"/>
                <w:b/>
                <w:bCs/>
                <w:sz w:val="24"/>
                <w:szCs w:val="24"/>
              </w:rPr>
              <w:t>核查要求</w:t>
            </w:r>
          </w:p>
        </w:tc>
      </w:tr>
      <w:tr w14:paraId="288D0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5" w:hRule="atLeast"/>
        </w:trPr>
        <w:tc>
          <w:tcPr>
            <w:tcW w:w="2689" w:type="dxa"/>
            <w:vAlign w:val="center"/>
          </w:tcPr>
          <w:p w14:paraId="57C1B933">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产品类别</w:t>
            </w:r>
          </w:p>
        </w:tc>
        <w:tc>
          <w:tcPr>
            <w:tcW w:w="6322" w:type="dxa"/>
            <w:vAlign w:val="center"/>
          </w:tcPr>
          <w:p w14:paraId="1A04D499">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核查组应确定受核查方的主营产品类别，除原油及原料油加工、乙烯应单独报告外，企业生产的其他化工产品类别也应识别并报告。</w:t>
            </w:r>
          </w:p>
          <w:p w14:paraId="63616A31">
            <w:pPr>
              <w:spacing w:after="0" w:line="300" w:lineRule="auto"/>
              <w:ind w:firstLine="480" w:firstLineChars="200"/>
              <w:jc w:val="both"/>
              <w:rPr>
                <w:rFonts w:ascii="仿宋_GB2312" w:eastAsia="仿宋_GB2312"/>
              </w:rPr>
            </w:pPr>
            <w:r>
              <w:rPr>
                <w:rFonts w:hint="eastAsia" w:ascii="仿宋_GB2312" w:hAnsi="楷体" w:eastAsia="仿宋_GB2312"/>
                <w:sz w:val="24"/>
                <w:szCs w:val="24"/>
              </w:rPr>
              <w:t>受核查方以生产车间和/或工序为单位确定主营产品类别。</w:t>
            </w:r>
          </w:p>
        </w:tc>
      </w:tr>
      <w:tr w14:paraId="5E372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8" w:hRule="atLeast"/>
        </w:trPr>
        <w:tc>
          <w:tcPr>
            <w:tcW w:w="2689" w:type="dxa"/>
            <w:vAlign w:val="center"/>
          </w:tcPr>
          <w:p w14:paraId="4DD61779">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产品产量</w:t>
            </w:r>
          </w:p>
        </w:tc>
        <w:tc>
          <w:tcPr>
            <w:tcW w:w="6322" w:type="dxa"/>
            <w:vAlign w:val="center"/>
          </w:tcPr>
          <w:p w14:paraId="52E870F7">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核查组应确认受核查方产品产量的数据来自企业产量报表外，还应与上报统计局的产量产值相关数据核对。</w:t>
            </w:r>
          </w:p>
        </w:tc>
      </w:tr>
      <w:tr w14:paraId="26F25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8" w:hRule="atLeast"/>
        </w:trPr>
        <w:tc>
          <w:tcPr>
            <w:tcW w:w="2689" w:type="dxa"/>
            <w:vAlign w:val="center"/>
          </w:tcPr>
          <w:p w14:paraId="6D4AD8E9">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每类产品生产的直接排放-化石燃料燃烧排放量</w:t>
            </w:r>
          </w:p>
        </w:tc>
        <w:tc>
          <w:tcPr>
            <w:tcW w:w="6322" w:type="dxa"/>
            <w:vAlign w:val="center"/>
          </w:tcPr>
          <w:p w14:paraId="34F42752">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核查组应确认受核查方对每类产品生产过程化石燃料消耗量的数据来源是否与监测计划一致，并通过能源平衡表、生产月报表等相关记录交叉核对。</w:t>
            </w:r>
          </w:p>
          <w:p w14:paraId="170D59C4">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对于天然气等可单独计量的数据，还应将报告的数据与天然气抄表记录、财务数据等数据交叉核对。</w:t>
            </w:r>
          </w:p>
          <w:p w14:paraId="413B76D1">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如受核查方使用化石燃料排放因子的缺省值，核查组应确认缺省值的数据、单位正确，如使用实测值，排放因子的核查应参考核查报告编写指南第3.3.2.2部分的要求。</w:t>
            </w:r>
          </w:p>
          <w:p w14:paraId="6A3E89CA">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当两类或两类以上的主营产品车间/工序的化石燃料消耗量数据不能分开核算时，可以合并填写，核查组应在核查报告中说明。</w:t>
            </w:r>
          </w:p>
        </w:tc>
      </w:tr>
      <w:tr w14:paraId="196A9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9" w:hRule="atLeast"/>
        </w:trPr>
        <w:tc>
          <w:tcPr>
            <w:tcW w:w="2689" w:type="dxa"/>
            <w:vAlign w:val="center"/>
          </w:tcPr>
          <w:p w14:paraId="201A3F43">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每类产品生产的直接排放-过程排放量</w:t>
            </w:r>
          </w:p>
        </w:tc>
        <w:tc>
          <w:tcPr>
            <w:tcW w:w="6322" w:type="dxa"/>
            <w:vAlign w:val="center"/>
          </w:tcPr>
          <w:p w14:paraId="511A6350">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首先应分别识别每类产品生产是否存在过程排放，例如原油加工核算催化剂烧焦、制氢过程产生的二氧化碳排放量，乙烯生产核算乙烯裂解过程产生的二氧化碳排放量，其他化工产品生产仅核算环氧乙烷、醋酸乙烯生产过程产生的二氧化碳排放量。</w:t>
            </w:r>
          </w:p>
          <w:p w14:paraId="1904963B">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核查组确认每类产品过程排放核算方法是否与</w:t>
            </w:r>
            <w:r>
              <w:rPr>
                <w:rFonts w:ascii="仿宋_GB2312" w:hAnsi="楷体" w:eastAsia="仿宋_GB2312"/>
                <w:sz w:val="24"/>
                <w:szCs w:val="24"/>
              </w:rPr>
              <w:t>地方标准或适用的核算和报告指南</w:t>
            </w:r>
            <w:r>
              <w:rPr>
                <w:rFonts w:hint="eastAsia" w:ascii="仿宋_GB2312" w:hAnsi="楷体" w:eastAsia="仿宋_GB2312"/>
                <w:sz w:val="24"/>
                <w:szCs w:val="24"/>
              </w:rPr>
              <w:t>一致，各项参数数据来源是否与监测计划一致。对于直接监测计量的数据，将报告的数据与抄表记录等数据交叉核对；对于实验室监测汇总的数据，应确认监测方法符合相关标准，数据汇总方式合理，计算中用到的各参数，均应确保其来源可信。</w:t>
            </w:r>
          </w:p>
        </w:tc>
      </w:tr>
      <w:tr w14:paraId="6F822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8" w:hRule="atLeast"/>
        </w:trPr>
        <w:tc>
          <w:tcPr>
            <w:tcW w:w="2689" w:type="dxa"/>
            <w:vAlign w:val="center"/>
          </w:tcPr>
          <w:p w14:paraId="41D71568">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每类产品生产的间接排放量</w:t>
            </w:r>
          </w:p>
        </w:tc>
        <w:tc>
          <w:tcPr>
            <w:tcW w:w="6322" w:type="dxa"/>
            <w:vAlign w:val="center"/>
          </w:tcPr>
          <w:p w14:paraId="57BCB150">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对于各产品车间/工序单独计量的电量，应确认监测设备的校准、数据记录等活动是否符合监测计划的要求，并核对抄表记录、各车间能源消耗台账。</w:t>
            </w:r>
          </w:p>
          <w:p w14:paraId="722A3DAB">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如各成品车间/工序消耗对应的外购电力数据是通过拆分全厂总外购电量计算得出，核查组应确认拆分的方式是否合理，并保持各年度数据的可比性。</w:t>
            </w:r>
          </w:p>
          <w:p w14:paraId="71647858">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对于存在自发电的情况，核查组应根据企业实际情况确认其外购电与自发电分配的合理性，并保持各年度数据处理的一致性和可比性。</w:t>
            </w:r>
          </w:p>
          <w:p w14:paraId="5E2D75D3">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当两类或两类以上的主营产品车间/工序生产消耗的外购电量数据不能分开核算时，可以合并填写，核查组应在核查报告中做原因说明。</w:t>
            </w:r>
          </w:p>
        </w:tc>
      </w:tr>
    </w:tbl>
    <w:p w14:paraId="378DBB76">
      <w:pPr>
        <w:spacing w:after="0" w:line="560" w:lineRule="exact"/>
        <w:ind w:firstLine="640" w:firstLineChars="200"/>
        <w:jc w:val="center"/>
        <w:rPr>
          <w:rFonts w:ascii="仿宋_GB2312" w:hAnsi="仿宋" w:eastAsia="仿宋_GB2312"/>
          <w:sz w:val="32"/>
          <w:szCs w:val="32"/>
        </w:rPr>
      </w:pPr>
    </w:p>
    <w:p w14:paraId="7675D2E4">
      <w:pPr>
        <w:spacing w:after="0" w:line="560" w:lineRule="exact"/>
        <w:jc w:val="center"/>
        <w:rPr>
          <w:rFonts w:ascii="仿宋_GB2312" w:hAnsi="仿宋" w:eastAsia="仿宋_GB2312"/>
          <w:b/>
          <w:sz w:val="32"/>
          <w:szCs w:val="32"/>
          <w:lang w:val="en-US"/>
        </w:rPr>
      </w:pPr>
      <w:r>
        <w:rPr>
          <w:rFonts w:hint="eastAsia" w:ascii="仿宋_GB2312" w:hAnsi="仿宋" w:eastAsia="仿宋_GB2312"/>
          <w:b/>
          <w:sz w:val="32"/>
          <w:szCs w:val="32"/>
          <w:lang w:val="en-US"/>
        </w:rPr>
        <w:t>物业管理类企业补充</w:t>
      </w:r>
      <w:r>
        <w:rPr>
          <w:rFonts w:ascii="仿宋_GB2312" w:hAnsi="仿宋" w:eastAsia="仿宋_GB2312"/>
          <w:b/>
          <w:sz w:val="32"/>
          <w:szCs w:val="32"/>
          <w:lang w:val="en-US"/>
        </w:rPr>
        <w:t>数据表</w:t>
      </w:r>
    </w:p>
    <w:tbl>
      <w:tblPr>
        <w:tblStyle w:val="3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59"/>
        <w:gridCol w:w="6298"/>
      </w:tblGrid>
      <w:tr w14:paraId="72456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523" w:type="pct"/>
            <w:vAlign w:val="top"/>
          </w:tcPr>
          <w:p w14:paraId="5AF515E7">
            <w:pPr>
              <w:spacing w:after="0" w:line="300" w:lineRule="auto"/>
              <w:jc w:val="center"/>
              <w:rPr>
                <w:rFonts w:ascii="仿宋_GB2312" w:hAnsi="楷体" w:eastAsia="仿宋_GB2312"/>
                <w:b/>
                <w:bCs/>
                <w:sz w:val="24"/>
                <w:szCs w:val="24"/>
              </w:rPr>
            </w:pPr>
            <w:r>
              <w:rPr>
                <w:rFonts w:hint="eastAsia" w:ascii="仿宋_GB2312" w:hAnsi="楷体" w:eastAsia="仿宋_GB2312"/>
                <w:b/>
                <w:bCs/>
                <w:sz w:val="24"/>
                <w:szCs w:val="24"/>
              </w:rPr>
              <w:t>报告参数</w:t>
            </w:r>
          </w:p>
        </w:tc>
        <w:tc>
          <w:tcPr>
            <w:tcW w:w="3476" w:type="pct"/>
            <w:vAlign w:val="top"/>
          </w:tcPr>
          <w:p w14:paraId="65438100">
            <w:pPr>
              <w:spacing w:after="0" w:line="300" w:lineRule="auto"/>
              <w:jc w:val="center"/>
              <w:rPr>
                <w:rFonts w:ascii="仿宋_GB2312" w:hAnsi="楷体" w:eastAsia="仿宋_GB2312"/>
                <w:b/>
                <w:bCs/>
                <w:sz w:val="24"/>
                <w:szCs w:val="24"/>
              </w:rPr>
            </w:pPr>
            <w:r>
              <w:rPr>
                <w:rFonts w:hint="eastAsia" w:ascii="仿宋_GB2312" w:hAnsi="楷体" w:eastAsia="仿宋_GB2312"/>
                <w:b/>
                <w:bCs/>
                <w:sz w:val="24"/>
                <w:szCs w:val="24"/>
              </w:rPr>
              <w:t>核查要求</w:t>
            </w:r>
          </w:p>
        </w:tc>
      </w:tr>
      <w:tr w14:paraId="55757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3" w:type="pct"/>
            <w:vAlign w:val="center"/>
          </w:tcPr>
          <w:p w14:paraId="20D8C6E6">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建筑面积</w:t>
            </w:r>
            <w:r>
              <w:rPr>
                <w:rFonts w:ascii="仿宋_GB2312" w:hAnsi="楷体" w:eastAsia="仿宋_GB2312"/>
                <w:sz w:val="24"/>
                <w:szCs w:val="24"/>
                <w:lang w:val="en-US"/>
              </w:rPr>
              <w:t>/实际物业管理面积</w:t>
            </w:r>
          </w:p>
        </w:tc>
        <w:tc>
          <w:tcPr>
            <w:tcW w:w="3476" w:type="pct"/>
          </w:tcPr>
          <w:p w14:paraId="6B9BA68B">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通过查阅设计图纸、政府批复文件、竣工报告、房产证、能源审计报告、项目总平面图等资料并现场访问确定建筑面积。不同业态的建筑面积如果是估算获得，核查组需要求受核查方说明估算方法并提供相关资料依据，核查组应评估其合理性。</w:t>
            </w:r>
          </w:p>
        </w:tc>
      </w:tr>
      <w:tr w14:paraId="710CE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3" w:type="pct"/>
            <w:vAlign w:val="center"/>
          </w:tcPr>
          <w:p w14:paraId="4BCF4C24">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地下车库面积</w:t>
            </w:r>
          </w:p>
        </w:tc>
        <w:tc>
          <w:tcPr>
            <w:tcW w:w="3476" w:type="pct"/>
          </w:tcPr>
          <w:p w14:paraId="6D0A84BC">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通过查阅设计图纸、政府批复文件、竣工报告、房产证、能源审计报告等资料并现场访问确定地下车库面积。不同业态的地下车库面积如果是估算获得，核查组需要求受核查方说明估算方法并提供相关资料依据，核查组应评估其合理性。</w:t>
            </w:r>
          </w:p>
        </w:tc>
      </w:tr>
      <w:tr w14:paraId="5FB60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3" w:type="pct"/>
            <w:vAlign w:val="center"/>
          </w:tcPr>
          <w:p w14:paraId="5535ADD6">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产值</w:t>
            </w:r>
            <w:r>
              <w:rPr>
                <w:rFonts w:ascii="仿宋_GB2312" w:hAnsi="楷体" w:eastAsia="仿宋_GB2312"/>
                <w:sz w:val="24"/>
                <w:szCs w:val="24"/>
              </w:rPr>
              <w:t>/物业收入等财务数据</w:t>
            </w:r>
          </w:p>
        </w:tc>
        <w:tc>
          <w:tcPr>
            <w:tcW w:w="3476" w:type="pct"/>
          </w:tcPr>
          <w:p w14:paraId="401DF040">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核查组应通过查阅资产负债表、利润分配表等财务报表获得各财务数据。核查组应查阅月度财务报表，确认年度数据的正确性。核查组应交叉核对上报统计部门的相关数据，如有差异，需解释说明差异原因。</w:t>
            </w:r>
          </w:p>
        </w:tc>
      </w:tr>
      <w:tr w14:paraId="5368C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3" w:type="pct"/>
            <w:vAlign w:val="center"/>
          </w:tcPr>
          <w:p w14:paraId="3057D749">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入住率</w:t>
            </w:r>
            <w:r>
              <w:rPr>
                <w:rFonts w:ascii="仿宋_GB2312" w:hAnsi="楷体" w:eastAsia="仿宋_GB2312"/>
                <w:sz w:val="24"/>
                <w:szCs w:val="24"/>
              </w:rPr>
              <w:t>/入驻率/入园率</w:t>
            </w:r>
          </w:p>
        </w:tc>
        <w:tc>
          <w:tcPr>
            <w:tcW w:w="3476" w:type="pct"/>
          </w:tcPr>
          <w:p w14:paraId="18A83C27">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核查组应通过现场访问、查阅相关年报等方式获得该项数据。核查组应通过查阅入住登记表、租赁合同、物业费收缴明细、电费清单等方式，确认受核查方统计数据的正确性。</w:t>
            </w:r>
          </w:p>
        </w:tc>
      </w:tr>
      <w:tr w14:paraId="76C27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3" w:type="pct"/>
            <w:vAlign w:val="center"/>
          </w:tcPr>
          <w:p w14:paraId="64DED53A">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基准年内项目实际运营天数</w:t>
            </w:r>
          </w:p>
        </w:tc>
        <w:tc>
          <w:tcPr>
            <w:tcW w:w="3476" w:type="pct"/>
          </w:tcPr>
          <w:p w14:paraId="4383A659">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核查组应通过现场访问、查阅相关工作运行记录等方式获取该项数据。核查组应查阅电费清单，能源统计台账，统计局报表等方式，确认受核查方基准年内项目实际运营的天数。</w:t>
            </w:r>
          </w:p>
        </w:tc>
      </w:tr>
    </w:tbl>
    <w:p w14:paraId="73056B30">
      <w:pPr>
        <w:spacing w:after="0" w:line="560" w:lineRule="exact"/>
        <w:ind w:firstLine="640" w:firstLineChars="200"/>
        <w:jc w:val="center"/>
        <w:rPr>
          <w:rFonts w:ascii="仿宋_GB2312" w:hAnsi="仿宋" w:eastAsia="仿宋_GB2312"/>
          <w:sz w:val="32"/>
          <w:szCs w:val="32"/>
          <w:lang w:val="en-US"/>
        </w:rPr>
      </w:pPr>
    </w:p>
    <w:p w14:paraId="44CE1302">
      <w:pPr>
        <w:spacing w:after="0" w:line="560" w:lineRule="exact"/>
        <w:jc w:val="center"/>
        <w:rPr>
          <w:rFonts w:ascii="仿宋_GB2312" w:hAnsi="仿宋" w:eastAsia="仿宋_GB2312"/>
          <w:b/>
          <w:sz w:val="32"/>
          <w:szCs w:val="32"/>
          <w:lang w:val="en-US"/>
        </w:rPr>
      </w:pPr>
      <w:r>
        <w:rPr>
          <w:rFonts w:hint="eastAsia" w:ascii="仿宋_GB2312" w:hAnsi="仿宋" w:eastAsia="仿宋_GB2312"/>
          <w:b/>
          <w:sz w:val="32"/>
          <w:szCs w:val="32"/>
          <w:lang w:val="en-US"/>
        </w:rPr>
        <w:t>数据中心企业补充数据表</w:t>
      </w: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89"/>
        <w:gridCol w:w="6351"/>
      </w:tblGrid>
      <w:tr w14:paraId="3E1C8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2689" w:type="dxa"/>
            <w:vAlign w:val="top"/>
          </w:tcPr>
          <w:p w14:paraId="67F4843B">
            <w:pPr>
              <w:spacing w:after="0" w:line="300" w:lineRule="auto"/>
              <w:ind w:firstLine="419"/>
              <w:jc w:val="center"/>
              <w:rPr>
                <w:rFonts w:ascii="仿宋_GB2312" w:hAnsi="楷体" w:eastAsia="仿宋_GB2312"/>
                <w:b/>
                <w:bCs/>
                <w:sz w:val="24"/>
                <w:szCs w:val="24"/>
              </w:rPr>
            </w:pPr>
            <w:r>
              <w:rPr>
                <w:rFonts w:hint="eastAsia" w:ascii="仿宋_GB2312" w:hAnsi="楷体" w:eastAsia="仿宋_GB2312"/>
                <w:b/>
                <w:bCs/>
                <w:sz w:val="24"/>
                <w:szCs w:val="24"/>
              </w:rPr>
              <w:t>报告参数</w:t>
            </w:r>
          </w:p>
        </w:tc>
        <w:tc>
          <w:tcPr>
            <w:tcW w:w="6351" w:type="dxa"/>
            <w:vAlign w:val="top"/>
          </w:tcPr>
          <w:p w14:paraId="3873D41D">
            <w:pPr>
              <w:spacing w:after="0" w:line="300" w:lineRule="auto"/>
              <w:jc w:val="center"/>
              <w:rPr>
                <w:rFonts w:ascii="仿宋_GB2312" w:hAnsi="楷体" w:eastAsia="仿宋_GB2312"/>
                <w:b/>
                <w:bCs/>
                <w:sz w:val="24"/>
                <w:szCs w:val="24"/>
              </w:rPr>
            </w:pPr>
            <w:r>
              <w:rPr>
                <w:rFonts w:hint="eastAsia" w:ascii="仿宋_GB2312" w:hAnsi="楷体" w:eastAsia="仿宋_GB2312"/>
                <w:b/>
                <w:bCs/>
                <w:sz w:val="24"/>
                <w:szCs w:val="24"/>
              </w:rPr>
              <w:t>核查要求</w:t>
            </w:r>
          </w:p>
        </w:tc>
      </w:tr>
      <w:tr w14:paraId="53E07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580ED9FE">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数据中心行业子类</w:t>
            </w:r>
          </w:p>
        </w:tc>
        <w:tc>
          <w:tcPr>
            <w:tcW w:w="6351" w:type="dxa"/>
            <w:vAlign w:val="center"/>
          </w:tcPr>
          <w:p w14:paraId="67392F99">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核查组应根据受核查方基本情况介绍判断其数据中心所属子类，明确受核查方数据中心与非数据中心设施划分方法。</w:t>
            </w:r>
          </w:p>
        </w:tc>
      </w:tr>
      <w:tr w14:paraId="67C23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8" w:hRule="atLeast"/>
        </w:trPr>
        <w:tc>
          <w:tcPr>
            <w:tcW w:w="2689" w:type="dxa"/>
            <w:vAlign w:val="center"/>
          </w:tcPr>
          <w:p w14:paraId="0BB5643B">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数据中心标准机架数量</w:t>
            </w:r>
          </w:p>
        </w:tc>
        <w:tc>
          <w:tcPr>
            <w:tcW w:w="6351" w:type="dxa"/>
            <w:vAlign w:val="center"/>
          </w:tcPr>
          <w:p w14:paraId="18AB0102">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确认不同类型数据中心标准机架数量的数据来源是否与监测计划一致，核对相关证明材料。</w:t>
            </w:r>
          </w:p>
        </w:tc>
      </w:tr>
      <w:tr w14:paraId="31D61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689" w:type="dxa"/>
            <w:vAlign w:val="center"/>
          </w:tcPr>
          <w:p w14:paraId="233C965E">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数据中心总用电量</w:t>
            </w:r>
          </w:p>
        </w:tc>
        <w:tc>
          <w:tcPr>
            <w:tcW w:w="6351" w:type="dxa"/>
            <w:vAlign w:val="center"/>
          </w:tcPr>
          <w:p w14:paraId="70002CF8">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确认不同类型数据中心总用电量</w:t>
            </w:r>
            <w:r>
              <w:rPr>
                <w:rFonts w:ascii="仿宋_GB2312" w:hAnsi="楷体" w:eastAsia="仿宋_GB2312"/>
                <w:sz w:val="24"/>
                <w:szCs w:val="24"/>
              </w:rPr>
              <w:t>的数据来源是否与监测计划一致，如为实测计量数据，还应将报告的数据与电能表抄表记录等数据交叉核对；如为计算数据，应确认计算方法的合理性，并保持各年度数据的可比性。</w:t>
            </w:r>
          </w:p>
        </w:tc>
      </w:tr>
      <w:tr w14:paraId="5A067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6" w:hRule="atLeast"/>
        </w:trPr>
        <w:tc>
          <w:tcPr>
            <w:tcW w:w="2689" w:type="dxa"/>
            <w:vAlign w:val="center"/>
          </w:tcPr>
          <w:p w14:paraId="631A73AE">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数据中心总用电量</w:t>
            </w:r>
          </w:p>
        </w:tc>
        <w:tc>
          <w:tcPr>
            <w:tcW w:w="6351" w:type="dxa"/>
            <w:vAlign w:val="center"/>
          </w:tcPr>
          <w:p w14:paraId="29BEA21F">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确认不同类型数据中心总用电量的数据来源是否与监测计划一致，如为实测计量数据，还应将报告的数据与电能表抄表记录等数据交叉核对；如为计算数据，应确认计算方法的合理性，并保持各年度数据的可比性。</w:t>
            </w:r>
          </w:p>
        </w:tc>
      </w:tr>
      <w:tr w14:paraId="602A8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53426844">
            <w:pPr>
              <w:spacing w:after="0" w:line="300" w:lineRule="auto"/>
              <w:ind w:firstLine="480" w:firstLineChars="200"/>
              <w:jc w:val="both"/>
              <w:rPr>
                <w:rFonts w:ascii="仿宋_GB2312" w:hAnsi="楷体" w:eastAsia="仿宋_GB2312"/>
                <w:sz w:val="24"/>
                <w:szCs w:val="24"/>
              </w:rPr>
            </w:pPr>
            <w:r>
              <w:rPr>
                <w:rFonts w:ascii="仿宋_GB2312" w:hAnsi="楷体" w:eastAsia="仿宋_GB2312"/>
                <w:sz w:val="24"/>
                <w:szCs w:val="24"/>
              </w:rPr>
              <w:t>IT设备用电量</w:t>
            </w:r>
          </w:p>
        </w:tc>
        <w:tc>
          <w:tcPr>
            <w:tcW w:w="6351" w:type="dxa"/>
            <w:vAlign w:val="center"/>
          </w:tcPr>
          <w:p w14:paraId="58823715">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确认不同类型数据中心</w:t>
            </w:r>
            <w:r>
              <w:rPr>
                <w:rFonts w:ascii="仿宋_GB2312" w:hAnsi="楷体" w:eastAsia="仿宋_GB2312"/>
                <w:sz w:val="24"/>
                <w:szCs w:val="24"/>
              </w:rPr>
              <w:t>IT设备用电量的数据来源是否与监测计划一致，如为实测计量数据，还应将报告的数据与电能表抄表记录等数据交叉核对；如为计算数据，应确认计算方法的合理性，并保持各年度数据的可比性。</w:t>
            </w:r>
          </w:p>
        </w:tc>
      </w:tr>
      <w:tr w14:paraId="6A561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55BDA7FD">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非数据中心设施建筑面积</w:t>
            </w:r>
          </w:p>
        </w:tc>
        <w:tc>
          <w:tcPr>
            <w:tcW w:w="6351" w:type="dxa"/>
            <w:vAlign w:val="center"/>
          </w:tcPr>
          <w:p w14:paraId="287656A2">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确认非数据中心设施建筑面积的数据来源是否与监测计划一致，应将报告的数据与设施竣工验收等资料交叉核对。</w:t>
            </w:r>
          </w:p>
        </w:tc>
      </w:tr>
      <w:tr w14:paraId="61553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38A9AC6C">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不同子类（大型数据中心、中小型数据中心、该行业中非数据中心设施）的直接排放量</w:t>
            </w:r>
          </w:p>
        </w:tc>
        <w:tc>
          <w:tcPr>
            <w:tcW w:w="6351" w:type="dxa"/>
            <w:vAlign w:val="center"/>
          </w:tcPr>
          <w:p w14:paraId="66E392B5">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核查组应确认受核查方化石燃料消耗量的数据来源是否与监测计划一致，并通过能源平衡表、生产月报表等相关记录交叉核对。</w:t>
            </w:r>
          </w:p>
          <w:p w14:paraId="6E26FF95">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对于柴油等可单独计量的能源，还应将报告的数据与库存数据、财务数据等交叉核对。</w:t>
            </w:r>
          </w:p>
          <w:p w14:paraId="6C53AE76">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如重点排放单位使用化石燃料排放因子的缺省值，核查组应确认缺省值的数据、单位正确，如使用实测值，排放因子的核查应参考核查报告编写指南第</w:t>
            </w:r>
            <w:r>
              <w:rPr>
                <w:rFonts w:ascii="仿宋_GB2312" w:hAnsi="楷体" w:eastAsia="仿宋_GB2312"/>
                <w:sz w:val="24"/>
                <w:szCs w:val="24"/>
              </w:rPr>
              <w:t>3.3.2.2部分的要求。</w:t>
            </w:r>
          </w:p>
        </w:tc>
      </w:tr>
      <w:tr w14:paraId="3BD47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7B4680FB">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不同子类（大型数据中心、中小型数据中心、该行业中非数据中心设施）的间接排放量</w:t>
            </w:r>
          </w:p>
        </w:tc>
        <w:tc>
          <w:tcPr>
            <w:tcW w:w="6351" w:type="dxa"/>
            <w:vAlign w:val="center"/>
          </w:tcPr>
          <w:p w14:paraId="18EF2FAB">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对于不同类型数据中心、非数据中心固定设施的用电量，应确认监测设备的校准、数据记录等活动是否符合监测计划的要求，并核对抄表记录、能源消耗台账。</w:t>
            </w:r>
          </w:p>
          <w:p w14:paraId="14732C34">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如数据中心对应的外购电力数据是通过拆分总外购电量计算得出，核查组应确认拆分的方式是否合理，并保持各年度数据的可比性。</w:t>
            </w:r>
          </w:p>
        </w:tc>
      </w:tr>
    </w:tbl>
    <w:p w14:paraId="753B3ECB">
      <w:pPr>
        <w:spacing w:after="0" w:line="560" w:lineRule="exact"/>
        <w:ind w:firstLine="640" w:firstLineChars="200"/>
        <w:jc w:val="center"/>
        <w:rPr>
          <w:rFonts w:ascii="仿宋_GB2312" w:hAnsi="仿宋" w:eastAsia="仿宋_GB2312"/>
          <w:sz w:val="32"/>
          <w:szCs w:val="32"/>
          <w:lang w:val="en-US"/>
        </w:rPr>
      </w:pPr>
    </w:p>
    <w:p w14:paraId="6BA218C0">
      <w:pPr>
        <w:spacing w:after="0" w:line="560" w:lineRule="exact"/>
        <w:jc w:val="center"/>
        <w:rPr>
          <w:rFonts w:ascii="仿宋_GB2312" w:hAnsi="仿宋" w:eastAsia="仿宋_GB2312"/>
          <w:b/>
          <w:sz w:val="32"/>
          <w:szCs w:val="32"/>
          <w:lang w:val="en-US"/>
        </w:rPr>
      </w:pPr>
      <w:r>
        <w:rPr>
          <w:rFonts w:hint="eastAsia" w:ascii="仿宋_GB2312" w:hAnsi="仿宋" w:eastAsia="仿宋_GB2312"/>
          <w:b/>
          <w:sz w:val="32"/>
          <w:szCs w:val="32"/>
          <w:lang w:val="en-US"/>
        </w:rPr>
        <w:t>通信企业补充数据表</w:t>
      </w: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89"/>
        <w:gridCol w:w="6322"/>
      </w:tblGrid>
      <w:tr w14:paraId="690F4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blHeader/>
        </w:trPr>
        <w:tc>
          <w:tcPr>
            <w:tcW w:w="2689" w:type="dxa"/>
            <w:vAlign w:val="top"/>
          </w:tcPr>
          <w:p w14:paraId="4AB35F2F">
            <w:pPr>
              <w:keepNext w:val="0"/>
              <w:keepLines w:val="0"/>
              <w:pageBreakBefore w:val="0"/>
              <w:widowControl/>
              <w:kinsoku/>
              <w:wordWrap/>
              <w:overflowPunct/>
              <w:topLinePunct w:val="0"/>
              <w:autoSpaceDE/>
              <w:autoSpaceDN/>
              <w:bidi w:val="0"/>
              <w:adjustRightInd/>
              <w:snapToGrid/>
              <w:spacing w:after="0" w:line="240" w:lineRule="auto"/>
              <w:ind w:firstLine="419"/>
              <w:jc w:val="center"/>
              <w:textAlignment w:val="auto"/>
              <w:rPr>
                <w:rFonts w:ascii="仿宋_GB2312" w:hAnsi="楷体" w:eastAsia="仿宋_GB2312"/>
                <w:b/>
                <w:bCs/>
                <w:sz w:val="24"/>
                <w:szCs w:val="24"/>
              </w:rPr>
            </w:pPr>
            <w:r>
              <w:rPr>
                <w:rFonts w:hint="eastAsia" w:ascii="仿宋_GB2312" w:hAnsi="楷体" w:eastAsia="仿宋_GB2312"/>
                <w:b/>
                <w:bCs/>
                <w:sz w:val="24"/>
                <w:szCs w:val="24"/>
              </w:rPr>
              <w:t>报告参数</w:t>
            </w:r>
          </w:p>
        </w:tc>
        <w:tc>
          <w:tcPr>
            <w:tcW w:w="6322" w:type="dxa"/>
            <w:vAlign w:val="top"/>
          </w:tcPr>
          <w:p w14:paraId="6B1405A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仿宋_GB2312" w:hAnsi="楷体" w:eastAsia="仿宋_GB2312"/>
                <w:b/>
                <w:bCs/>
                <w:sz w:val="24"/>
                <w:szCs w:val="24"/>
              </w:rPr>
            </w:pPr>
            <w:r>
              <w:rPr>
                <w:rFonts w:hint="eastAsia" w:ascii="仿宋_GB2312" w:hAnsi="楷体" w:eastAsia="仿宋_GB2312"/>
                <w:b/>
                <w:bCs/>
                <w:sz w:val="24"/>
                <w:szCs w:val="24"/>
              </w:rPr>
              <w:t>核查要求</w:t>
            </w:r>
          </w:p>
        </w:tc>
      </w:tr>
      <w:tr w14:paraId="2FCFD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27975B0B">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电信业务量</w:t>
            </w:r>
          </w:p>
        </w:tc>
        <w:tc>
          <w:tcPr>
            <w:tcW w:w="6322" w:type="dxa"/>
          </w:tcPr>
          <w:p w14:paraId="567B430B">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核查组首先应确定受核查方的业务类型（移动业务、移动语音业务、移动数据与互联网业务、移动增值及其他业务、固网业务、数据中心、非数据中心），各业务类型电信业务量的数据来源是否与监测计划一致。</w:t>
            </w:r>
          </w:p>
          <w:p w14:paraId="1D0A38A3">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电信业务量的数据除来自企业报表外，还应与上报统计局的“邮电业主要指标”相关数据核对。</w:t>
            </w:r>
          </w:p>
        </w:tc>
      </w:tr>
      <w:tr w14:paraId="70DFC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1199CB6B">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数据中心标准机架数量</w:t>
            </w:r>
          </w:p>
        </w:tc>
        <w:tc>
          <w:tcPr>
            <w:tcW w:w="6322" w:type="dxa"/>
            <w:vAlign w:val="center"/>
          </w:tcPr>
          <w:p w14:paraId="3168C09D">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若涉及数据中心，则需核查以下内容：</w:t>
            </w:r>
          </w:p>
          <w:p w14:paraId="1554F7BB">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确认不同类型数据中心标准机架数量的数据来源是否与监测计划一致，核对相关证明材料。</w:t>
            </w:r>
          </w:p>
        </w:tc>
      </w:tr>
      <w:tr w14:paraId="3E163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5" w:hRule="atLeast"/>
        </w:trPr>
        <w:tc>
          <w:tcPr>
            <w:tcW w:w="2689" w:type="dxa"/>
            <w:vAlign w:val="center"/>
          </w:tcPr>
          <w:p w14:paraId="376602DA">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数据中心总用电量</w:t>
            </w:r>
          </w:p>
        </w:tc>
        <w:tc>
          <w:tcPr>
            <w:tcW w:w="6322" w:type="dxa"/>
            <w:vAlign w:val="center"/>
          </w:tcPr>
          <w:p w14:paraId="3E69ECFE">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若涉及数据中心，则需核查以下内容：</w:t>
            </w:r>
          </w:p>
          <w:p w14:paraId="51BF876A">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确认不同类型数据中心总用电量的数据来源是否与监测计划一致，如为实测计量数据，还应将报告的数据与电能表抄表记录等数据交叉核对；如为计算数据，应确认计算方法的合理性，并保持各年度数据的可比性。</w:t>
            </w:r>
          </w:p>
        </w:tc>
      </w:tr>
      <w:tr w14:paraId="2D7D7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3" w:hRule="atLeast"/>
        </w:trPr>
        <w:tc>
          <w:tcPr>
            <w:tcW w:w="2689" w:type="dxa"/>
            <w:vAlign w:val="center"/>
          </w:tcPr>
          <w:p w14:paraId="23249E9B">
            <w:pPr>
              <w:spacing w:after="0" w:line="300" w:lineRule="auto"/>
              <w:ind w:firstLine="480" w:firstLineChars="200"/>
              <w:jc w:val="both"/>
              <w:rPr>
                <w:rFonts w:ascii="仿宋_GB2312" w:hAnsi="楷体" w:eastAsia="仿宋_GB2312"/>
                <w:sz w:val="24"/>
                <w:szCs w:val="24"/>
              </w:rPr>
            </w:pPr>
            <w:r>
              <w:rPr>
                <w:rFonts w:ascii="仿宋_GB2312" w:hAnsi="楷体" w:eastAsia="仿宋_GB2312"/>
                <w:sz w:val="24"/>
                <w:szCs w:val="24"/>
              </w:rPr>
              <w:t>IT设备用电量</w:t>
            </w:r>
          </w:p>
        </w:tc>
        <w:tc>
          <w:tcPr>
            <w:tcW w:w="6322" w:type="dxa"/>
            <w:vAlign w:val="center"/>
          </w:tcPr>
          <w:p w14:paraId="4ACACC32">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若涉及数据中心，则需核查以下内容：</w:t>
            </w:r>
          </w:p>
          <w:p w14:paraId="705B8AE4">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核查组应根据受核查方基本情况介绍判断其数据中心所属子类，明确受核查方数据中心与非数据中心设施划分方法。确认不同类型数据中心</w:t>
            </w:r>
            <w:r>
              <w:rPr>
                <w:rFonts w:ascii="仿宋_GB2312" w:hAnsi="楷体" w:eastAsia="仿宋_GB2312"/>
                <w:sz w:val="24"/>
                <w:szCs w:val="24"/>
              </w:rPr>
              <w:t>IT设备用电量的数据来源是否与监测计划一致，如为实测计量数据，还应将报告的数据与电能表抄表记录等数据交叉核对；如为计算数据，应确认计算方法的合理性，并保持各年度数据的可比性。</w:t>
            </w:r>
          </w:p>
        </w:tc>
      </w:tr>
      <w:tr w14:paraId="35103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588DA4A4">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每种业务类型的直接排放量（移动业务、固网业务、数据中心、非数据中心）</w:t>
            </w:r>
          </w:p>
        </w:tc>
        <w:tc>
          <w:tcPr>
            <w:tcW w:w="6322" w:type="dxa"/>
          </w:tcPr>
          <w:p w14:paraId="03691ED2">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核查组应确认受核查方化石燃料消耗量的数据来源是否与监测计划一致，并通过能源平衡表、生产月报表等相关记录交叉核对。</w:t>
            </w:r>
          </w:p>
          <w:p w14:paraId="0B129F11">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对于天然气等可单独计量的数据，还应将报告的数据与天然气抄表记录、财务数据等数据交叉核对。</w:t>
            </w:r>
          </w:p>
          <w:p w14:paraId="6B37B1D5">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如重点排放单位使用化石燃料排放因子的缺省值，核查组应确认缺省值的数据、单位正确，如使用实测值，排放因子的核查应参考核查报告编写指南第</w:t>
            </w:r>
            <w:r>
              <w:rPr>
                <w:rFonts w:ascii="仿宋_GB2312" w:hAnsi="楷体" w:eastAsia="仿宋_GB2312"/>
                <w:sz w:val="24"/>
                <w:szCs w:val="24"/>
              </w:rPr>
              <w:t>3.3.2.2部分的要求。</w:t>
            </w:r>
          </w:p>
        </w:tc>
      </w:tr>
      <w:tr w14:paraId="0C5FD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4" w:hRule="atLeast"/>
        </w:trPr>
        <w:tc>
          <w:tcPr>
            <w:tcW w:w="2689" w:type="dxa"/>
            <w:vAlign w:val="center"/>
          </w:tcPr>
          <w:p w14:paraId="15FA9D3B">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每种业务类型的间接排放量（移动业务、固网业务、数据中心、非数据中心）</w:t>
            </w:r>
          </w:p>
        </w:tc>
        <w:tc>
          <w:tcPr>
            <w:tcW w:w="6322" w:type="dxa"/>
          </w:tcPr>
          <w:p w14:paraId="595549B9">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对于各业务类型单独计量的电量，应确认监测设备的校准、数据记录等活动是否符合监测计划的要求，并核对抄表记录、各车间能源消耗台账。</w:t>
            </w:r>
          </w:p>
          <w:p w14:paraId="4E607785">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如各业务类型对应的外购电力数据是通过拆分总外购电量计算得出，核查组应确认拆分的方式是否合理，并保持各年度数据的可比性。</w:t>
            </w:r>
          </w:p>
        </w:tc>
      </w:tr>
    </w:tbl>
    <w:p w14:paraId="01BA504E">
      <w:pPr>
        <w:spacing w:after="0" w:line="560" w:lineRule="exact"/>
        <w:ind w:firstLine="640" w:firstLineChars="200"/>
        <w:jc w:val="center"/>
        <w:rPr>
          <w:rFonts w:ascii="仿宋_GB2312" w:hAnsi="仿宋" w:eastAsia="仿宋_GB2312"/>
          <w:sz w:val="32"/>
          <w:szCs w:val="32"/>
        </w:rPr>
      </w:pPr>
    </w:p>
    <w:p w14:paraId="64BC0C5D">
      <w:pPr>
        <w:spacing w:after="0" w:line="560" w:lineRule="exact"/>
        <w:jc w:val="center"/>
        <w:rPr>
          <w:rFonts w:ascii="仿宋_GB2312" w:hAnsi="仿宋" w:eastAsia="仿宋_GB2312"/>
          <w:b/>
          <w:sz w:val="32"/>
          <w:szCs w:val="32"/>
          <w:lang w:val="en-US"/>
        </w:rPr>
      </w:pPr>
      <w:r>
        <w:rPr>
          <w:rFonts w:hint="eastAsia" w:ascii="仿宋_GB2312" w:hAnsi="仿宋" w:eastAsia="仿宋_GB2312"/>
          <w:b/>
          <w:sz w:val="32"/>
          <w:szCs w:val="32"/>
          <w:lang w:val="en-US"/>
        </w:rPr>
        <w:t>电网企业补充数据表</w:t>
      </w: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89"/>
        <w:gridCol w:w="6342"/>
      </w:tblGrid>
      <w:tr w14:paraId="551E6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tcPr>
          <w:p w14:paraId="62C16F4E">
            <w:pPr>
              <w:spacing w:after="0" w:line="300" w:lineRule="auto"/>
              <w:ind w:firstLine="419"/>
              <w:jc w:val="center"/>
              <w:rPr>
                <w:rFonts w:ascii="仿宋_GB2312" w:hAnsi="楷体" w:eastAsia="仿宋_GB2312"/>
                <w:b/>
                <w:bCs/>
                <w:sz w:val="24"/>
                <w:szCs w:val="24"/>
              </w:rPr>
            </w:pPr>
            <w:r>
              <w:rPr>
                <w:rFonts w:hint="eastAsia" w:ascii="仿宋_GB2312" w:hAnsi="楷体" w:eastAsia="仿宋_GB2312"/>
                <w:b/>
                <w:bCs/>
                <w:sz w:val="24"/>
                <w:szCs w:val="24"/>
              </w:rPr>
              <w:t>报告参数</w:t>
            </w:r>
          </w:p>
        </w:tc>
        <w:tc>
          <w:tcPr>
            <w:tcW w:w="6342" w:type="dxa"/>
          </w:tcPr>
          <w:p w14:paraId="53FDDE35">
            <w:pPr>
              <w:spacing w:after="0" w:line="300" w:lineRule="auto"/>
              <w:jc w:val="center"/>
              <w:rPr>
                <w:rFonts w:ascii="仿宋_GB2312" w:hAnsi="楷体" w:eastAsia="仿宋_GB2312"/>
                <w:b/>
                <w:bCs/>
                <w:sz w:val="24"/>
                <w:szCs w:val="24"/>
              </w:rPr>
            </w:pPr>
            <w:r>
              <w:rPr>
                <w:rFonts w:hint="eastAsia" w:ascii="仿宋_GB2312" w:hAnsi="楷体" w:eastAsia="仿宋_GB2312"/>
                <w:b/>
                <w:bCs/>
                <w:sz w:val="24"/>
                <w:szCs w:val="24"/>
              </w:rPr>
              <w:t>核查要求</w:t>
            </w:r>
          </w:p>
        </w:tc>
      </w:tr>
      <w:tr w14:paraId="0D047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2689" w:type="dxa"/>
            <w:vAlign w:val="center"/>
          </w:tcPr>
          <w:p w14:paraId="768BF6A2">
            <w:pPr>
              <w:spacing w:after="0" w:line="300" w:lineRule="auto"/>
              <w:ind w:firstLine="480" w:firstLineChars="200"/>
              <w:rPr>
                <w:rFonts w:ascii="仿宋_GB2312" w:hAnsi="楷体" w:eastAsia="仿宋_GB2312"/>
                <w:sz w:val="24"/>
                <w:szCs w:val="24"/>
              </w:rPr>
            </w:pPr>
            <w:r>
              <w:rPr>
                <w:rFonts w:hint="eastAsia" w:ascii="仿宋_GB2312" w:hAnsi="楷体" w:eastAsia="仿宋_GB2312"/>
                <w:sz w:val="24"/>
                <w:szCs w:val="24"/>
                <w:lang w:val="en-US"/>
              </w:rPr>
              <w:t>供电量</w:t>
            </w:r>
          </w:p>
        </w:tc>
        <w:tc>
          <w:tcPr>
            <w:tcW w:w="6342" w:type="dxa"/>
          </w:tcPr>
          <w:p w14:paraId="0311EB32">
            <w:pPr>
              <w:spacing w:after="0" w:line="300" w:lineRule="auto"/>
              <w:ind w:firstLine="480" w:firstLineChars="200"/>
              <w:rPr>
                <w:rFonts w:ascii="仿宋_GB2312" w:hAnsi="楷体" w:eastAsia="仿宋_GB2312"/>
                <w:sz w:val="24"/>
                <w:szCs w:val="24"/>
              </w:rPr>
            </w:pPr>
            <w:r>
              <w:rPr>
                <w:rFonts w:hint="eastAsia" w:ascii="仿宋_GB2312" w:hAnsi="楷体" w:eastAsia="仿宋_GB2312"/>
                <w:sz w:val="24"/>
                <w:szCs w:val="24"/>
                <w:lang w:val="en-US"/>
              </w:rPr>
              <w:t>供电量数据除来自企业统计</w:t>
            </w:r>
            <w:r>
              <w:rPr>
                <w:rFonts w:hint="eastAsia" w:ascii="仿宋_GB2312" w:hAnsi="楷体" w:eastAsia="仿宋_GB2312"/>
                <w:sz w:val="24"/>
                <w:szCs w:val="24"/>
              </w:rPr>
              <w:t>报表外，还应与上报统计局的相关数据核对</w:t>
            </w:r>
          </w:p>
        </w:tc>
      </w:tr>
      <w:tr w14:paraId="12CC3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1D17133A">
            <w:pPr>
              <w:spacing w:after="0" w:line="300" w:lineRule="auto"/>
              <w:ind w:firstLine="480" w:firstLineChars="200"/>
              <w:rPr>
                <w:rFonts w:ascii="仿宋_GB2312" w:hAnsi="楷体" w:eastAsia="仿宋_GB2312"/>
                <w:sz w:val="24"/>
                <w:szCs w:val="24"/>
              </w:rPr>
            </w:pPr>
            <w:r>
              <w:rPr>
                <w:rFonts w:hint="eastAsia" w:ascii="仿宋_GB2312" w:hAnsi="楷体" w:eastAsia="仿宋_GB2312"/>
                <w:sz w:val="24"/>
                <w:szCs w:val="24"/>
                <w:lang w:val="en-US"/>
              </w:rPr>
              <w:t>售电量</w:t>
            </w:r>
          </w:p>
        </w:tc>
        <w:tc>
          <w:tcPr>
            <w:tcW w:w="6342" w:type="dxa"/>
          </w:tcPr>
          <w:p w14:paraId="12598F54">
            <w:pPr>
              <w:spacing w:after="0" w:line="300" w:lineRule="auto"/>
              <w:ind w:firstLine="480" w:firstLineChars="200"/>
              <w:rPr>
                <w:rFonts w:ascii="仿宋_GB2312" w:hAnsi="楷体" w:eastAsia="仿宋_GB2312"/>
                <w:sz w:val="24"/>
                <w:szCs w:val="24"/>
              </w:rPr>
            </w:pPr>
            <w:r>
              <w:rPr>
                <w:rFonts w:hint="eastAsia" w:ascii="仿宋_GB2312" w:hAnsi="楷体" w:eastAsia="仿宋_GB2312"/>
                <w:sz w:val="24"/>
                <w:szCs w:val="24"/>
                <w:lang w:val="en-US"/>
              </w:rPr>
              <w:t>售电量</w:t>
            </w:r>
            <w:r>
              <w:rPr>
                <w:rFonts w:hint="eastAsia" w:ascii="仿宋_GB2312" w:hAnsi="楷体" w:eastAsia="仿宋_GB2312"/>
                <w:sz w:val="24"/>
                <w:szCs w:val="24"/>
              </w:rPr>
              <w:t>数据除来自企业</w:t>
            </w:r>
            <w:r>
              <w:rPr>
                <w:rFonts w:hint="eastAsia" w:ascii="仿宋_GB2312" w:hAnsi="楷体" w:eastAsia="仿宋_GB2312"/>
                <w:sz w:val="24"/>
                <w:szCs w:val="24"/>
                <w:lang w:val="en-US"/>
              </w:rPr>
              <w:t>统计</w:t>
            </w:r>
            <w:r>
              <w:rPr>
                <w:rFonts w:hint="eastAsia" w:ascii="仿宋_GB2312" w:hAnsi="楷体" w:eastAsia="仿宋_GB2312"/>
                <w:sz w:val="24"/>
                <w:szCs w:val="24"/>
              </w:rPr>
              <w:t>报表外，还应</w:t>
            </w:r>
            <w:r>
              <w:rPr>
                <w:rFonts w:hint="eastAsia" w:ascii="仿宋_GB2312" w:hAnsi="楷体" w:eastAsia="仿宋_GB2312"/>
                <w:sz w:val="24"/>
                <w:szCs w:val="24"/>
                <w:lang w:val="en-US"/>
              </w:rPr>
              <w:t>与根据外省输入电量数据、上网电量数据、外省输出电量数据计算出的售电量数据进行交叉核对；</w:t>
            </w:r>
            <w:r>
              <w:rPr>
                <w:rFonts w:hint="eastAsia" w:ascii="仿宋_GB2312" w:hAnsi="楷体" w:eastAsia="仿宋_GB2312"/>
                <w:sz w:val="24"/>
                <w:szCs w:val="24"/>
              </w:rPr>
              <w:t>与上报统计局相关数据核对</w:t>
            </w:r>
            <w:r>
              <w:rPr>
                <w:rFonts w:hint="eastAsia" w:ascii="仿宋_GB2312" w:hAnsi="楷体" w:eastAsia="仿宋_GB2312"/>
                <w:sz w:val="24"/>
                <w:szCs w:val="24"/>
                <w:lang w:val="en-US"/>
              </w:rPr>
              <w:t>。</w:t>
            </w:r>
          </w:p>
        </w:tc>
      </w:tr>
    </w:tbl>
    <w:p w14:paraId="179D4B81">
      <w:pPr>
        <w:spacing w:after="0" w:line="560" w:lineRule="exact"/>
        <w:ind w:firstLine="643" w:firstLineChars="200"/>
        <w:jc w:val="center"/>
        <w:rPr>
          <w:rFonts w:ascii="仿宋_GB2312" w:hAnsi="仿宋" w:eastAsia="仿宋_GB2312"/>
          <w:sz w:val="32"/>
          <w:szCs w:val="32"/>
        </w:rPr>
      </w:pPr>
      <w:r>
        <w:rPr>
          <w:rFonts w:hint="eastAsia" w:ascii="仿宋_GB2312" w:hAnsi="仿宋" w:eastAsia="仿宋_GB2312"/>
          <w:b/>
          <w:sz w:val="32"/>
          <w:szCs w:val="32"/>
          <w:lang w:val="en-US"/>
        </w:rPr>
        <w:t>汽车制造企业补充数据表</w:t>
      </w: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89"/>
        <w:gridCol w:w="6362"/>
      </w:tblGrid>
      <w:tr w14:paraId="3B8A9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trPr>
        <w:tc>
          <w:tcPr>
            <w:tcW w:w="2689" w:type="dxa"/>
            <w:vAlign w:val="top"/>
          </w:tcPr>
          <w:p w14:paraId="12B3CC1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仿宋_GB2312" w:hAnsi="楷体" w:eastAsia="仿宋_GB2312"/>
                <w:b/>
                <w:bCs/>
                <w:sz w:val="24"/>
                <w:szCs w:val="24"/>
              </w:rPr>
            </w:pPr>
            <w:r>
              <w:rPr>
                <w:rFonts w:hint="eastAsia" w:ascii="仿宋_GB2312" w:hAnsi="楷体" w:eastAsia="仿宋_GB2312"/>
                <w:b/>
                <w:bCs/>
                <w:sz w:val="24"/>
                <w:szCs w:val="24"/>
              </w:rPr>
              <w:t>报告参数</w:t>
            </w:r>
          </w:p>
        </w:tc>
        <w:tc>
          <w:tcPr>
            <w:tcW w:w="6362" w:type="dxa"/>
            <w:vAlign w:val="top"/>
          </w:tcPr>
          <w:p w14:paraId="394D245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仿宋_GB2312" w:hAnsi="楷体" w:eastAsia="仿宋_GB2312"/>
                <w:b/>
                <w:bCs/>
                <w:sz w:val="24"/>
                <w:szCs w:val="24"/>
              </w:rPr>
            </w:pPr>
            <w:r>
              <w:rPr>
                <w:rFonts w:hint="eastAsia" w:ascii="仿宋_GB2312" w:hAnsi="楷体" w:eastAsia="仿宋_GB2312"/>
                <w:b/>
                <w:bCs/>
                <w:sz w:val="24"/>
                <w:szCs w:val="24"/>
              </w:rPr>
              <w:t>核查要求</w:t>
            </w:r>
          </w:p>
        </w:tc>
      </w:tr>
      <w:tr w14:paraId="09130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61D7EF5B">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产品种类</w:t>
            </w:r>
          </w:p>
        </w:tc>
        <w:tc>
          <w:tcPr>
            <w:tcW w:w="6362" w:type="dxa"/>
          </w:tcPr>
          <w:p w14:paraId="5E78D007">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核查组首先应确定受核查方的产品种类，确认受核查方对汽车的分类是否符合相关标准的要求。</w:t>
            </w:r>
          </w:p>
          <w:p w14:paraId="268B68C0">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整车的产品种类分为：</w:t>
            </w:r>
          </w:p>
          <w:p w14:paraId="0D739510">
            <w:pPr>
              <w:pStyle w:val="50"/>
              <w:widowControl w:val="0"/>
              <w:numPr>
                <w:ilvl w:val="0"/>
                <w:numId w:val="18"/>
              </w:numPr>
              <w:spacing w:after="0" w:line="300" w:lineRule="auto"/>
              <w:contextualSpacing w:val="0"/>
              <w:jc w:val="both"/>
              <w:rPr>
                <w:rFonts w:ascii="仿宋_GB2312" w:hAnsi="楷体" w:eastAsia="仿宋_GB2312"/>
                <w:sz w:val="24"/>
                <w:szCs w:val="24"/>
              </w:rPr>
            </w:pPr>
            <w:r>
              <w:rPr>
                <w:rFonts w:hint="eastAsia" w:ascii="仿宋_GB2312" w:hAnsi="楷体" w:eastAsia="仿宋_GB2312"/>
                <w:sz w:val="24"/>
                <w:szCs w:val="24"/>
              </w:rPr>
              <w:t>普通轿车及普通运动型乘用车；</w:t>
            </w:r>
          </w:p>
          <w:p w14:paraId="58637937">
            <w:pPr>
              <w:pStyle w:val="50"/>
              <w:widowControl w:val="0"/>
              <w:numPr>
                <w:ilvl w:val="0"/>
                <w:numId w:val="18"/>
              </w:numPr>
              <w:spacing w:after="0" w:line="300" w:lineRule="auto"/>
              <w:contextualSpacing w:val="0"/>
              <w:jc w:val="both"/>
              <w:rPr>
                <w:rFonts w:ascii="仿宋_GB2312" w:hAnsi="楷体" w:eastAsia="仿宋_GB2312"/>
                <w:sz w:val="24"/>
                <w:szCs w:val="24"/>
              </w:rPr>
            </w:pPr>
            <w:r>
              <w:rPr>
                <w:rFonts w:hint="eastAsia" w:ascii="仿宋_GB2312" w:hAnsi="楷体" w:eastAsia="仿宋_GB2312"/>
                <w:sz w:val="24"/>
                <w:szCs w:val="24"/>
              </w:rPr>
              <w:t>高级轿车及高级运动型乘用车；</w:t>
            </w:r>
          </w:p>
          <w:p w14:paraId="06959B17">
            <w:pPr>
              <w:pStyle w:val="50"/>
              <w:widowControl w:val="0"/>
              <w:numPr>
                <w:ilvl w:val="0"/>
                <w:numId w:val="18"/>
              </w:numPr>
              <w:spacing w:after="0" w:line="300" w:lineRule="auto"/>
              <w:contextualSpacing w:val="0"/>
              <w:jc w:val="both"/>
              <w:rPr>
                <w:rFonts w:ascii="仿宋_GB2312" w:hAnsi="楷体" w:eastAsia="仿宋_GB2312"/>
                <w:sz w:val="24"/>
                <w:szCs w:val="24"/>
              </w:rPr>
            </w:pPr>
            <w:r>
              <w:rPr>
                <w:rFonts w:hint="eastAsia" w:ascii="仿宋_GB2312" w:hAnsi="楷体" w:eastAsia="仿宋_GB2312"/>
                <w:sz w:val="24"/>
                <w:szCs w:val="24"/>
              </w:rPr>
              <w:t>中、重型载货汽车；</w:t>
            </w:r>
          </w:p>
          <w:p w14:paraId="6236A940">
            <w:pPr>
              <w:pStyle w:val="50"/>
              <w:widowControl w:val="0"/>
              <w:numPr>
                <w:ilvl w:val="0"/>
                <w:numId w:val="18"/>
              </w:numPr>
              <w:spacing w:after="0" w:line="300" w:lineRule="auto"/>
              <w:contextualSpacing w:val="0"/>
              <w:jc w:val="both"/>
              <w:rPr>
                <w:rFonts w:ascii="仿宋_GB2312" w:hAnsi="楷体" w:eastAsia="仿宋_GB2312"/>
                <w:sz w:val="24"/>
                <w:szCs w:val="24"/>
              </w:rPr>
            </w:pPr>
            <w:r>
              <w:rPr>
                <w:rFonts w:hint="eastAsia" w:ascii="仿宋_GB2312" w:hAnsi="楷体" w:eastAsia="仿宋_GB2312"/>
                <w:sz w:val="24"/>
                <w:szCs w:val="24"/>
              </w:rPr>
              <w:t>纯电动汽车</w:t>
            </w:r>
          </w:p>
          <w:p w14:paraId="10081A8C">
            <w:pPr>
              <w:spacing w:after="0" w:line="300" w:lineRule="auto"/>
              <w:ind w:left="480"/>
              <w:jc w:val="both"/>
              <w:rPr>
                <w:rFonts w:ascii="仿宋_GB2312" w:hAnsi="楷体" w:eastAsia="仿宋_GB2312"/>
                <w:sz w:val="24"/>
                <w:szCs w:val="24"/>
              </w:rPr>
            </w:pPr>
            <w:r>
              <w:rPr>
                <w:rFonts w:hint="eastAsia" w:ascii="仿宋_GB2312" w:hAnsi="楷体" w:eastAsia="仿宋_GB2312"/>
                <w:sz w:val="24"/>
                <w:szCs w:val="24"/>
              </w:rPr>
              <w:t>汽车发动机的产品种类分为：</w:t>
            </w:r>
          </w:p>
          <w:p w14:paraId="4C28E79C">
            <w:pPr>
              <w:pStyle w:val="50"/>
              <w:widowControl w:val="0"/>
              <w:numPr>
                <w:ilvl w:val="0"/>
                <w:numId w:val="18"/>
              </w:numPr>
              <w:spacing w:after="0" w:line="300" w:lineRule="auto"/>
              <w:contextualSpacing w:val="0"/>
              <w:jc w:val="both"/>
              <w:rPr>
                <w:rFonts w:ascii="仿宋_GB2312" w:hAnsi="楷体" w:eastAsia="仿宋_GB2312"/>
                <w:sz w:val="24"/>
                <w:szCs w:val="24"/>
              </w:rPr>
            </w:pPr>
            <w:r>
              <w:rPr>
                <w:rFonts w:hint="eastAsia" w:ascii="仿宋_GB2312" w:hAnsi="楷体" w:eastAsia="仿宋_GB2312"/>
                <w:sz w:val="24"/>
                <w:szCs w:val="24"/>
              </w:rPr>
              <w:t>汽油发动机</w:t>
            </w:r>
          </w:p>
          <w:p w14:paraId="3D5C10B5">
            <w:pPr>
              <w:pStyle w:val="50"/>
              <w:widowControl w:val="0"/>
              <w:numPr>
                <w:ilvl w:val="0"/>
                <w:numId w:val="18"/>
              </w:numPr>
              <w:spacing w:after="0" w:line="300" w:lineRule="auto"/>
              <w:contextualSpacing w:val="0"/>
              <w:jc w:val="both"/>
              <w:rPr>
                <w:rFonts w:ascii="仿宋_GB2312" w:eastAsia="仿宋_GB2312"/>
              </w:rPr>
            </w:pPr>
            <w:r>
              <w:rPr>
                <w:rFonts w:hint="eastAsia" w:ascii="仿宋_GB2312" w:hAnsi="楷体" w:eastAsia="仿宋_GB2312"/>
                <w:sz w:val="24"/>
                <w:szCs w:val="24"/>
              </w:rPr>
              <w:t>柴油发动机</w:t>
            </w:r>
          </w:p>
        </w:tc>
      </w:tr>
      <w:tr w14:paraId="295E3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46D1FDE7">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产品产量</w:t>
            </w:r>
          </w:p>
        </w:tc>
        <w:tc>
          <w:tcPr>
            <w:tcW w:w="6362" w:type="dxa"/>
          </w:tcPr>
          <w:p w14:paraId="4E2A8B19">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汽车产量的数据除来自企业产量报表外，还应与上报统计局的产量产值相关数据核对</w:t>
            </w:r>
          </w:p>
        </w:tc>
      </w:tr>
      <w:tr w14:paraId="4C538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17B9789B">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每类产品的直接排放量</w:t>
            </w:r>
          </w:p>
        </w:tc>
        <w:tc>
          <w:tcPr>
            <w:tcW w:w="6362" w:type="dxa"/>
          </w:tcPr>
          <w:p w14:paraId="3BAB2E12">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核查组应确认受核查方对化石燃料消耗量的数据来源是否与监测计划一致，并通过能源平衡表、生产月报表等相关记录交叉核对。</w:t>
            </w:r>
          </w:p>
          <w:p w14:paraId="78726A16">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对于天然气等可单独计量的数据，还应将报告的数据与天然气抄表记录、财务数据等数据交叉核对。</w:t>
            </w:r>
          </w:p>
          <w:p w14:paraId="6CE6922F">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如重点排放单位使用化石燃料排放因子的缺省值，核查组应确认缺省值的数据、单位正确，如使用实测值，排放因子的核查应参考核查报告编写指南第3.3.2.2部分的要求。</w:t>
            </w:r>
          </w:p>
          <w:p w14:paraId="4D63F02A">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对于混线生产的情况，可根据下式估算第i类产品的直接排放量：</w:t>
            </w:r>
          </w:p>
          <w:p w14:paraId="5DDCD54C">
            <w:pPr>
              <w:spacing w:after="0" w:line="300" w:lineRule="auto"/>
              <w:ind w:firstLine="360" w:firstLineChars="200"/>
              <w:jc w:val="both"/>
              <w:rPr>
                <w:rFonts w:ascii="仿宋_GB2312" w:hAnsi="楷体" w:eastAsia="仿宋_GB2312"/>
                <w:sz w:val="24"/>
                <w:szCs w:val="24"/>
              </w:rPr>
            </w:pPr>
            <w:r>
              <w:rPr>
                <w:rFonts w:hint="eastAsia" w:ascii="仿宋_GB2312" w:hAnsi="Times New Roman" w:eastAsia="仿宋_GB2312"/>
                <w:position w:val="-26"/>
                <w:sz w:val="18"/>
                <w:szCs w:val="18"/>
              </w:rPr>
              <w:object>
                <v:shape id="_x0000_i1025" o:spt="75" type="#_x0000_t75" style="height:27.75pt;width:236.25pt;" o:ole="t" filled="f" o:preferrelative="t" stroked="f" coordsize="21600,21600">
                  <v:path/>
                  <v:fill on="f" focussize="0,0"/>
                  <v:stroke on="f" joinstyle="miter"/>
                  <v:imagedata r:id="rId19" o:title=""/>
                  <o:lock v:ext="edit" aspectratio="t"/>
                  <w10:wrap type="none"/>
                  <w10:anchorlock/>
                </v:shape>
                <o:OLEObject Type="Embed" ProgID="Equation.KSEE3" ShapeID="_x0000_i1025" DrawAspect="Content" ObjectID="_1468075725" r:id="rId18">
                  <o:LockedField>false</o:LockedField>
                </o:OLEObject>
              </w:object>
            </w:r>
          </w:p>
          <w:p w14:paraId="78B19C8B">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对于以发动机为主要产品的生产线生产发动机零配件的情况，如核查组确认无法拆分或合理估算生产发动机产生的直接排放量，则该生产线的直接排放量均计为生产发动机产生的直接排放。</w:t>
            </w:r>
          </w:p>
        </w:tc>
      </w:tr>
      <w:tr w14:paraId="77A65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2226D19C">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每类产品的间接排放量</w:t>
            </w:r>
          </w:p>
        </w:tc>
        <w:tc>
          <w:tcPr>
            <w:tcW w:w="6362" w:type="dxa"/>
          </w:tcPr>
          <w:p w14:paraId="46D74729">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对于各生产线单独计量的电量，应确认监测设备的校准、数据记录等活动是否符合监测计划的要求，并核对抄表记录、各车间能源消耗台账。</w:t>
            </w:r>
          </w:p>
          <w:p w14:paraId="35E0333A">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如各生产线对应的外购电力数据是通过拆分全厂总外购电量计算得出，核查组应确认拆分的方式是否合理，并保持各年度数据的可比性。</w:t>
            </w:r>
          </w:p>
          <w:p w14:paraId="2C7935B1">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对于混线生产的情况，可根据下式估算第i类产品的间接排放量：</w:t>
            </w:r>
          </w:p>
          <w:p w14:paraId="1528F862">
            <w:pPr>
              <w:spacing w:after="0" w:line="300" w:lineRule="auto"/>
              <w:ind w:firstLine="360" w:firstLineChars="200"/>
              <w:jc w:val="both"/>
              <w:rPr>
                <w:rFonts w:ascii="仿宋_GB2312" w:hAnsi="楷体" w:eastAsia="仿宋_GB2312"/>
                <w:sz w:val="24"/>
                <w:szCs w:val="24"/>
              </w:rPr>
            </w:pPr>
            <w:r>
              <w:rPr>
                <w:rFonts w:hint="eastAsia" w:ascii="仿宋_GB2312" w:hAnsi="Times New Roman" w:eastAsia="仿宋_GB2312"/>
                <w:position w:val="-26"/>
                <w:sz w:val="18"/>
                <w:szCs w:val="18"/>
              </w:rPr>
              <w:object>
                <v:shape id="_x0000_i1026" o:spt="75" type="#_x0000_t75" style="height:27.75pt;width:250.5pt;" o:ole="t" filled="f" o:preferrelative="t" stroked="f" coordsize="21600,21600">
                  <v:path/>
                  <v:fill on="f" focussize="0,0"/>
                  <v:stroke on="f" joinstyle="miter"/>
                  <v:imagedata r:id="rId21" o:title=""/>
                  <o:lock v:ext="edit" aspectratio="t"/>
                  <w10:wrap type="none"/>
                  <w10:anchorlock/>
                </v:shape>
                <o:OLEObject Type="Embed" ProgID="Equation.KSEE3" ShapeID="_x0000_i1026" DrawAspect="Content" ObjectID="_1468075726" r:id="rId20">
                  <o:LockedField>false</o:LockedField>
                </o:OLEObject>
              </w:object>
            </w:r>
          </w:p>
          <w:p w14:paraId="6AFCAC85">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对于以发动机为主要产品的生产线生产发动机零配件的情况，如核查组确认无法拆分或合理估算生产发动机产生的间接排放量，则该生产线的间接排放量均计为生产发动机产生的间接排放。</w:t>
            </w:r>
          </w:p>
        </w:tc>
      </w:tr>
    </w:tbl>
    <w:p w14:paraId="0DBAB958">
      <w:pPr>
        <w:spacing w:after="0" w:line="560" w:lineRule="exact"/>
        <w:ind w:firstLine="640" w:firstLineChars="200"/>
        <w:jc w:val="center"/>
        <w:rPr>
          <w:rFonts w:ascii="仿宋_GB2312" w:hAnsi="仿宋" w:eastAsia="仿宋_GB2312"/>
          <w:sz w:val="32"/>
          <w:szCs w:val="32"/>
        </w:rPr>
      </w:pPr>
    </w:p>
    <w:p w14:paraId="37DEF8F1">
      <w:pPr>
        <w:spacing w:after="0" w:line="560" w:lineRule="exact"/>
        <w:jc w:val="center"/>
        <w:rPr>
          <w:rFonts w:ascii="仿宋_GB2312" w:hAnsi="仿宋" w:eastAsia="仿宋_GB2312"/>
          <w:b/>
          <w:sz w:val="32"/>
          <w:szCs w:val="32"/>
          <w:lang w:val="en-US"/>
        </w:rPr>
      </w:pPr>
      <w:r>
        <w:rPr>
          <w:rFonts w:hint="eastAsia" w:ascii="仿宋_GB2312" w:hAnsi="仿宋" w:eastAsia="仿宋_GB2312"/>
          <w:b/>
          <w:sz w:val="32"/>
          <w:szCs w:val="32"/>
          <w:lang w:val="en-US"/>
        </w:rPr>
        <w:t>生物药品制品制造企业补充数据表</w:t>
      </w: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89"/>
        <w:gridCol w:w="6371"/>
      </w:tblGrid>
      <w:tr w14:paraId="231ED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2689" w:type="dxa"/>
            <w:vAlign w:val="top"/>
          </w:tcPr>
          <w:p w14:paraId="46527DEF">
            <w:pPr>
              <w:spacing w:after="0" w:line="300" w:lineRule="auto"/>
              <w:ind w:firstLine="419"/>
              <w:jc w:val="center"/>
              <w:rPr>
                <w:rFonts w:ascii="仿宋_GB2312" w:hAnsi="楷体" w:eastAsia="仿宋_GB2312"/>
                <w:b/>
                <w:bCs/>
                <w:sz w:val="24"/>
                <w:szCs w:val="24"/>
              </w:rPr>
            </w:pPr>
            <w:r>
              <w:rPr>
                <w:rFonts w:hint="eastAsia" w:ascii="仿宋_GB2312" w:hAnsi="楷体" w:eastAsia="仿宋_GB2312"/>
                <w:b/>
                <w:bCs/>
                <w:sz w:val="24"/>
                <w:szCs w:val="24"/>
              </w:rPr>
              <w:t>报告参数</w:t>
            </w:r>
          </w:p>
        </w:tc>
        <w:tc>
          <w:tcPr>
            <w:tcW w:w="6371" w:type="dxa"/>
            <w:vAlign w:val="top"/>
          </w:tcPr>
          <w:p w14:paraId="7E50FA95">
            <w:pPr>
              <w:spacing w:after="0" w:line="300" w:lineRule="auto"/>
              <w:jc w:val="center"/>
              <w:rPr>
                <w:rFonts w:ascii="仿宋_GB2312" w:hAnsi="楷体" w:eastAsia="仿宋_GB2312"/>
                <w:b/>
                <w:bCs/>
                <w:sz w:val="24"/>
                <w:szCs w:val="24"/>
              </w:rPr>
            </w:pPr>
            <w:r>
              <w:rPr>
                <w:rFonts w:hint="eastAsia" w:ascii="仿宋_GB2312" w:hAnsi="楷体" w:eastAsia="仿宋_GB2312"/>
                <w:b/>
                <w:bCs/>
                <w:sz w:val="24"/>
                <w:szCs w:val="24"/>
              </w:rPr>
              <w:t>核查要求</w:t>
            </w:r>
          </w:p>
        </w:tc>
      </w:tr>
      <w:tr w14:paraId="0DBA6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66B0CE4E">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生物化学药品制造（血液制品等）产量</w:t>
            </w:r>
          </w:p>
        </w:tc>
        <w:tc>
          <w:tcPr>
            <w:tcW w:w="6371" w:type="dxa"/>
          </w:tcPr>
          <w:p w14:paraId="1263DE42">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核查组应确定受核查方的药品产量。药品产量的数据除来自企业产量报表外，还应与上报统计局的产量产值相关数据核对、检验。</w:t>
            </w:r>
          </w:p>
        </w:tc>
      </w:tr>
      <w:tr w14:paraId="67178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tcPr>
          <w:p w14:paraId="5BD7E3DE">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生物化学药品制造（血液制品等）产值</w:t>
            </w:r>
          </w:p>
        </w:tc>
        <w:tc>
          <w:tcPr>
            <w:tcW w:w="6371" w:type="dxa"/>
          </w:tcPr>
          <w:p w14:paraId="4EA22852">
            <w:pPr>
              <w:spacing w:after="0" w:line="300" w:lineRule="auto"/>
              <w:jc w:val="both"/>
              <w:rPr>
                <w:rFonts w:ascii="仿宋_GB2312" w:hAnsi="楷体" w:eastAsia="仿宋_GB2312"/>
                <w:sz w:val="24"/>
                <w:szCs w:val="24"/>
              </w:rPr>
            </w:pPr>
            <w:r>
              <w:rPr>
                <w:rFonts w:hint="eastAsia" w:ascii="仿宋_GB2312" w:hAnsi="楷体" w:eastAsia="仿宋_GB2312"/>
                <w:sz w:val="24"/>
                <w:szCs w:val="24"/>
              </w:rPr>
              <w:t>核查组应确定受核查方的药品产值。产值的数据除来自企业财务相关报表外，还应与上报统计局的产值相关数据核对、检验。</w:t>
            </w:r>
          </w:p>
        </w:tc>
      </w:tr>
      <w:tr w14:paraId="0B585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71EB0E8E">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生物化学药品制造（血液制品等）的直接排放量</w:t>
            </w:r>
          </w:p>
        </w:tc>
        <w:tc>
          <w:tcPr>
            <w:tcW w:w="6371" w:type="dxa"/>
          </w:tcPr>
          <w:p w14:paraId="67D3DA56">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核查组应确认受核查方对化石燃料消耗量的数据来源是否与监测计划一致，并通过能源平衡表、生产月报表等相关记录交叉核对。</w:t>
            </w:r>
          </w:p>
          <w:p w14:paraId="03C92F5B">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对于天然气等可单独计量的数据，还应将报告的数据与天然气抄表记录、财务数据等数据交叉核对。</w:t>
            </w:r>
          </w:p>
          <w:p w14:paraId="1370E487">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如重点排放单位使用化石燃料排放因子的缺省值，核查组应确认缺省值的数据、单位正确，如使用实测值，排放因子的核查应参考核查报告编写指南第</w:t>
            </w:r>
            <w:r>
              <w:rPr>
                <w:rFonts w:ascii="仿宋_GB2312" w:hAnsi="楷体" w:eastAsia="仿宋_GB2312"/>
                <w:sz w:val="24"/>
                <w:szCs w:val="24"/>
              </w:rPr>
              <w:t>3.3.2.2部分的要求。</w:t>
            </w:r>
          </w:p>
        </w:tc>
      </w:tr>
      <w:tr w14:paraId="3A367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0E973C30">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生物化学药品制造（血液制品等）的间接排放量</w:t>
            </w:r>
          </w:p>
        </w:tc>
        <w:tc>
          <w:tcPr>
            <w:tcW w:w="6371" w:type="dxa"/>
          </w:tcPr>
          <w:p w14:paraId="5EDA329D">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对于企业生产系统、辅助生产系统单独计量的电量，应确认监测设备的校准、数据记录等活动是否符合监测计划的要求，并核对抄表记录、各系统设施能源消耗台账。</w:t>
            </w:r>
          </w:p>
          <w:p w14:paraId="4183866D">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如各药品对应的外购电力数据是通过拆分总外购电量计算得出，核查组应确认拆分的方式是否合理，并保持各年度数据的可比性。</w:t>
            </w:r>
          </w:p>
        </w:tc>
      </w:tr>
      <w:tr w14:paraId="725B4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33B2E5E6">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基因工程药物和疫苗制造产量</w:t>
            </w:r>
          </w:p>
        </w:tc>
        <w:tc>
          <w:tcPr>
            <w:tcW w:w="6371" w:type="dxa"/>
          </w:tcPr>
          <w:p w14:paraId="3FFFF4F1">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核查组应确定受核查方的药品产量。药品产量的数据除来自企业产量报表外，还应与上报统计局的产量产值相关数据核对、检验。</w:t>
            </w:r>
          </w:p>
        </w:tc>
      </w:tr>
      <w:tr w14:paraId="0D68E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7" w:hRule="atLeast"/>
        </w:trPr>
        <w:tc>
          <w:tcPr>
            <w:tcW w:w="2689" w:type="dxa"/>
          </w:tcPr>
          <w:p w14:paraId="5B2383E2">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基因工程药物和疫苗制造产值</w:t>
            </w:r>
          </w:p>
        </w:tc>
        <w:tc>
          <w:tcPr>
            <w:tcW w:w="6371" w:type="dxa"/>
          </w:tcPr>
          <w:p w14:paraId="1DA0FAD0">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核查组应确定受核查方的药品产值。产值的数据除来自企业财务相关报表外，还应与上报统计局的产值相关数据核对、检验。</w:t>
            </w:r>
          </w:p>
        </w:tc>
      </w:tr>
      <w:tr w14:paraId="27BC8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321EB5C2">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基因工程药物和疫苗制造的直接排放量</w:t>
            </w:r>
          </w:p>
        </w:tc>
        <w:tc>
          <w:tcPr>
            <w:tcW w:w="6371" w:type="dxa"/>
          </w:tcPr>
          <w:p w14:paraId="0750D1B3">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核查组应确认受核查方对化石燃料消耗量的数据来源是否与监测计划一致，并通过能源平衡表、生产月报表等相关记录交叉核对。</w:t>
            </w:r>
          </w:p>
          <w:p w14:paraId="321D1D0C">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对于天然气等可单独计量的数据，还应将报告的数据与天然气抄表记录、财务数据等数据交叉核对。</w:t>
            </w:r>
          </w:p>
          <w:p w14:paraId="07BC662E">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如重点排放单位使用化石燃料排放因子的缺省值，核查组应确认缺省值的数据、单位正确，如使用实测值，排放因子的核查应参考核查报告编写指南第</w:t>
            </w:r>
            <w:r>
              <w:rPr>
                <w:rFonts w:ascii="仿宋_GB2312" w:hAnsi="楷体" w:eastAsia="仿宋_GB2312"/>
                <w:sz w:val="24"/>
                <w:szCs w:val="24"/>
              </w:rPr>
              <w:t>3.3.2.2部分的要求。</w:t>
            </w:r>
          </w:p>
        </w:tc>
      </w:tr>
      <w:tr w14:paraId="355B0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4" w:hRule="atLeast"/>
        </w:trPr>
        <w:tc>
          <w:tcPr>
            <w:tcW w:w="2689" w:type="dxa"/>
            <w:vAlign w:val="center"/>
          </w:tcPr>
          <w:p w14:paraId="40AE8C66">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基因工程药物和疫苗制造的间接排放量</w:t>
            </w:r>
          </w:p>
        </w:tc>
        <w:tc>
          <w:tcPr>
            <w:tcW w:w="6371" w:type="dxa"/>
            <w:vAlign w:val="center"/>
          </w:tcPr>
          <w:p w14:paraId="3021341F">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对于企业生产系统、辅助生产系统单独计量的电量，应确认监测设备的校准、数据记录等活动是否符合监测计划的要求，并核对抄表记录、各系统设施能源消耗台账。</w:t>
            </w:r>
          </w:p>
          <w:p w14:paraId="26E03EC4">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如各药品对应的外购电力数据是通过拆分总外购电量计算得出，核查组应确认拆分的方式是否合理，并保持各年度数据的可比性。</w:t>
            </w:r>
          </w:p>
        </w:tc>
      </w:tr>
      <w:tr w14:paraId="38A5D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7" w:hRule="atLeast"/>
        </w:trPr>
        <w:tc>
          <w:tcPr>
            <w:tcW w:w="2689" w:type="dxa"/>
            <w:vAlign w:val="center"/>
          </w:tcPr>
          <w:p w14:paraId="0C32A4F6">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办公及其他设施的直接排放量</w:t>
            </w:r>
          </w:p>
        </w:tc>
        <w:tc>
          <w:tcPr>
            <w:tcW w:w="6371" w:type="dxa"/>
            <w:vAlign w:val="center"/>
          </w:tcPr>
          <w:p w14:paraId="6BD4590F">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对于办公及其他设施的不同种类的化石燃料消耗量，应确认数据来源是否与监测计划一致，并核对抄表记录、各车间能源消耗台账。</w:t>
            </w:r>
          </w:p>
        </w:tc>
      </w:tr>
      <w:tr w14:paraId="03664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6" w:hRule="atLeast"/>
        </w:trPr>
        <w:tc>
          <w:tcPr>
            <w:tcW w:w="2689" w:type="dxa"/>
            <w:vAlign w:val="center"/>
          </w:tcPr>
          <w:p w14:paraId="5FB8379D">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办公及其他设施的间接排放量</w:t>
            </w:r>
          </w:p>
        </w:tc>
        <w:tc>
          <w:tcPr>
            <w:tcW w:w="6371" w:type="dxa"/>
            <w:vAlign w:val="center"/>
          </w:tcPr>
          <w:p w14:paraId="17A8AC0C">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核查组应确认受核查方办公及其他设施的耗电量的数据来源是否与监测计划一致，并通过生产月报表、电表数据记录、设施的耗电量记录、能源消耗台账等相关记录交叉核对。</w:t>
            </w:r>
          </w:p>
        </w:tc>
      </w:tr>
    </w:tbl>
    <w:p w14:paraId="2222DA93">
      <w:pPr>
        <w:spacing w:after="0" w:line="560" w:lineRule="exact"/>
        <w:ind w:firstLine="640" w:firstLineChars="200"/>
        <w:jc w:val="center"/>
        <w:rPr>
          <w:rFonts w:ascii="仿宋_GB2312" w:hAnsi="仿宋" w:eastAsia="仿宋_GB2312"/>
          <w:sz w:val="32"/>
          <w:szCs w:val="32"/>
        </w:rPr>
      </w:pPr>
    </w:p>
    <w:p w14:paraId="26DC9467">
      <w:pPr>
        <w:spacing w:after="0" w:line="560" w:lineRule="exact"/>
        <w:jc w:val="center"/>
        <w:rPr>
          <w:rFonts w:ascii="仿宋_GB2312" w:hAnsi="仿宋" w:eastAsia="仿宋_GB2312"/>
          <w:b/>
          <w:sz w:val="32"/>
          <w:szCs w:val="32"/>
          <w:lang w:val="en-US"/>
        </w:rPr>
      </w:pPr>
      <w:r>
        <w:rPr>
          <w:rFonts w:hint="eastAsia" w:ascii="仿宋_GB2312" w:hAnsi="仿宋" w:eastAsia="仿宋_GB2312"/>
          <w:b/>
          <w:sz w:val="32"/>
          <w:szCs w:val="32"/>
          <w:lang w:val="en-US"/>
        </w:rPr>
        <w:t>污水处理和再生水供应业企业补充数据表</w:t>
      </w:r>
    </w:p>
    <w:tbl>
      <w:tblPr>
        <w:tblStyle w:val="36"/>
        <w:tblW w:w="90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89"/>
        <w:gridCol w:w="6391"/>
      </w:tblGrid>
      <w:tr w14:paraId="0DCC8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blHeader/>
        </w:trPr>
        <w:tc>
          <w:tcPr>
            <w:tcW w:w="2689" w:type="dxa"/>
          </w:tcPr>
          <w:p w14:paraId="6EDC5772">
            <w:pPr>
              <w:spacing w:after="0" w:line="300" w:lineRule="auto"/>
              <w:jc w:val="center"/>
              <w:rPr>
                <w:rFonts w:ascii="仿宋_GB2312" w:hAnsi="楷体" w:eastAsia="仿宋_GB2312"/>
                <w:b/>
                <w:bCs/>
                <w:sz w:val="24"/>
                <w:szCs w:val="24"/>
              </w:rPr>
            </w:pPr>
            <w:r>
              <w:rPr>
                <w:rFonts w:hint="eastAsia" w:ascii="仿宋_GB2312" w:hAnsi="楷体" w:eastAsia="仿宋_GB2312"/>
                <w:b/>
                <w:bCs/>
                <w:sz w:val="24"/>
                <w:szCs w:val="24"/>
              </w:rPr>
              <w:t>报告参数</w:t>
            </w:r>
          </w:p>
        </w:tc>
        <w:tc>
          <w:tcPr>
            <w:tcW w:w="6391" w:type="dxa"/>
            <w:vAlign w:val="center"/>
          </w:tcPr>
          <w:p w14:paraId="1C820377">
            <w:pPr>
              <w:spacing w:after="0" w:line="300" w:lineRule="auto"/>
              <w:jc w:val="center"/>
              <w:rPr>
                <w:rFonts w:ascii="仿宋_GB2312" w:hAnsi="楷体" w:eastAsia="仿宋_GB2312"/>
                <w:b/>
                <w:bCs/>
                <w:sz w:val="24"/>
                <w:szCs w:val="24"/>
              </w:rPr>
            </w:pPr>
            <w:r>
              <w:rPr>
                <w:rFonts w:hint="eastAsia" w:ascii="仿宋_GB2312" w:hAnsi="楷体" w:eastAsia="仿宋_GB2312"/>
                <w:b/>
                <w:bCs/>
                <w:sz w:val="24"/>
                <w:szCs w:val="24"/>
              </w:rPr>
              <w:t>核查要求</w:t>
            </w:r>
          </w:p>
        </w:tc>
      </w:tr>
      <w:tr w14:paraId="3CA55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7" w:hRule="atLeast"/>
        </w:trPr>
        <w:tc>
          <w:tcPr>
            <w:tcW w:w="2689" w:type="dxa"/>
            <w:vAlign w:val="center"/>
          </w:tcPr>
          <w:p w14:paraId="075163B2">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污水处理的数量</w:t>
            </w:r>
          </w:p>
        </w:tc>
        <w:tc>
          <w:tcPr>
            <w:tcW w:w="6391" w:type="dxa"/>
            <w:vAlign w:val="center"/>
          </w:tcPr>
          <w:p w14:paraId="740B3037">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核查组应确定受核查方的污水处理数量。污水处理数量除来自企业产量报表外，还应与上报统计局的产量产值相关数据核对。</w:t>
            </w:r>
          </w:p>
        </w:tc>
      </w:tr>
      <w:tr w14:paraId="370A3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09392313">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再生水的数量</w:t>
            </w:r>
          </w:p>
        </w:tc>
        <w:tc>
          <w:tcPr>
            <w:tcW w:w="6391" w:type="dxa"/>
            <w:vAlign w:val="center"/>
          </w:tcPr>
          <w:p w14:paraId="56CAEDCE">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核查组应确定受核查方的再生水数量。再生水数量的数据除来自企业产量报表外，还应与上报统计局的产量产值相关数据核对。</w:t>
            </w:r>
          </w:p>
        </w:tc>
      </w:tr>
      <w:tr w14:paraId="287A2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33E5AEE6">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污水处理和再生水设施的间接排放量</w:t>
            </w:r>
          </w:p>
        </w:tc>
        <w:tc>
          <w:tcPr>
            <w:tcW w:w="6391" w:type="dxa"/>
            <w:vAlign w:val="center"/>
          </w:tcPr>
          <w:p w14:paraId="2BB54105">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污水处理和再生水设施的耗电量的数据来源是否与监测计划一致，并通过生产月报表、电表数据记录、车间的耗电量记录、能源消耗台账等相关记录交叉核对。企业的污水处理和再生水设施的间接排放量包括企业办公及其他设施的排放量。</w:t>
            </w:r>
          </w:p>
        </w:tc>
      </w:tr>
      <w:tr w14:paraId="4F4B0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4FC86D95">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污水处理和再生水设施的直接排放量</w:t>
            </w:r>
          </w:p>
        </w:tc>
        <w:tc>
          <w:tcPr>
            <w:tcW w:w="6391" w:type="dxa"/>
            <w:vAlign w:val="center"/>
          </w:tcPr>
          <w:p w14:paraId="76817CE7">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污水处理和再生水设施的不同种类的化石燃料消耗量，应确认数据来源是否与监测计划一致，并核对抄表记录、各车间能源消耗台账。企业的污水处理和再生水设施的直接排放量包括企业办公及其他设施的排放量。</w:t>
            </w:r>
          </w:p>
        </w:tc>
      </w:tr>
      <w:tr w14:paraId="4E380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5ADCFCBB">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污水处理和再生水设施采用的生产工艺</w:t>
            </w:r>
          </w:p>
        </w:tc>
        <w:tc>
          <w:tcPr>
            <w:tcW w:w="6391" w:type="dxa"/>
            <w:vAlign w:val="center"/>
          </w:tcPr>
          <w:p w14:paraId="1D091247">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说明污水处理和再生水设施采用的生产工艺。</w:t>
            </w:r>
          </w:p>
        </w:tc>
      </w:tr>
      <w:tr w14:paraId="54EC7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6F107823">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污泥深度处理的数量</w:t>
            </w:r>
          </w:p>
        </w:tc>
        <w:tc>
          <w:tcPr>
            <w:tcW w:w="6391" w:type="dxa"/>
            <w:vAlign w:val="center"/>
          </w:tcPr>
          <w:p w14:paraId="66BA1CB3">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核查组应确定受核查方的污泥处理数量。污泥处理数量的数据除来自企业生产记录外，还应与企业报表的相关数据核对。</w:t>
            </w:r>
          </w:p>
        </w:tc>
      </w:tr>
      <w:tr w14:paraId="4D7C6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54FC8F3B">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污泥深度处理设施的间接排放量</w:t>
            </w:r>
          </w:p>
        </w:tc>
        <w:tc>
          <w:tcPr>
            <w:tcW w:w="6391" w:type="dxa"/>
            <w:vAlign w:val="center"/>
          </w:tcPr>
          <w:p w14:paraId="4BDB2EAF">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核查组应确认受核查方污泥处理设施的耗电量的数据来源是否与监测计划一致，并通过生产月报表、电表数据记录、车间的耗电量记录、能源消耗台账等相关记录交叉核对。</w:t>
            </w:r>
          </w:p>
        </w:tc>
      </w:tr>
      <w:tr w14:paraId="3C9F6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6927581D">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污泥深度处理设施的直接排放量</w:t>
            </w:r>
          </w:p>
        </w:tc>
        <w:tc>
          <w:tcPr>
            <w:tcW w:w="6391" w:type="dxa"/>
            <w:vAlign w:val="center"/>
          </w:tcPr>
          <w:p w14:paraId="6C050981">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对于污泥处理设施的不同种类的化石燃料消耗量，应确认数据来源是否与监测计划一致，并核对抄表记录、各车间能源消耗台账。</w:t>
            </w:r>
          </w:p>
        </w:tc>
      </w:tr>
      <w:tr w14:paraId="1E450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71129EFC">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污泥深度处理设施采用的工艺</w:t>
            </w:r>
          </w:p>
        </w:tc>
        <w:tc>
          <w:tcPr>
            <w:tcW w:w="6391" w:type="dxa"/>
            <w:vAlign w:val="center"/>
          </w:tcPr>
          <w:p w14:paraId="341A1D9F">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说明污泥处理设施采用的生产工艺</w:t>
            </w:r>
          </w:p>
        </w:tc>
      </w:tr>
    </w:tbl>
    <w:p w14:paraId="129564C5">
      <w:pPr>
        <w:pStyle w:val="147"/>
        <w:snapToGrid w:val="0"/>
        <w:spacing w:line="320" w:lineRule="exact"/>
        <w:ind w:firstLine="420" w:firstLineChars="200"/>
        <w:rPr>
          <w:rFonts w:ascii="仿宋" w:hAnsi="仿宋" w:eastAsia="仿宋" w:cs="Times New Roman"/>
          <w:color w:val="auto"/>
          <w:sz w:val="21"/>
          <w:szCs w:val="21"/>
        </w:rPr>
      </w:pPr>
      <w:r>
        <w:rPr>
          <w:rFonts w:hint="eastAsia" w:ascii="仿宋" w:hAnsi="仿宋" w:eastAsia="仿宋" w:cs="Times New Roman"/>
          <w:color w:val="auto"/>
          <w:sz w:val="21"/>
          <w:szCs w:val="21"/>
        </w:rPr>
        <w:t>注：</w:t>
      </w:r>
      <w:r>
        <w:rPr>
          <w:rFonts w:ascii="仿宋" w:hAnsi="仿宋" w:eastAsia="仿宋" w:cs="Times New Roman"/>
          <w:color w:val="auto"/>
          <w:sz w:val="21"/>
          <w:szCs w:val="21"/>
        </w:rPr>
        <w:t>污泥</w:t>
      </w:r>
      <w:r>
        <w:rPr>
          <w:rFonts w:hint="eastAsia" w:ascii="仿宋" w:hAnsi="仿宋" w:eastAsia="仿宋" w:cs="Times New Roman"/>
          <w:color w:val="auto"/>
          <w:sz w:val="21"/>
          <w:szCs w:val="21"/>
        </w:rPr>
        <w:t>深度</w:t>
      </w:r>
      <w:r>
        <w:rPr>
          <w:rFonts w:ascii="仿宋" w:hAnsi="仿宋" w:eastAsia="仿宋" w:cs="Times New Roman"/>
          <w:color w:val="auto"/>
          <w:sz w:val="21"/>
          <w:szCs w:val="21"/>
        </w:rPr>
        <w:t>处理设施</w:t>
      </w:r>
      <w:r>
        <w:rPr>
          <w:rFonts w:hint="eastAsia" w:ascii="仿宋" w:hAnsi="仿宋" w:eastAsia="仿宋" w:cs="Times New Roman"/>
          <w:color w:val="auto"/>
          <w:sz w:val="21"/>
          <w:szCs w:val="21"/>
        </w:rPr>
        <w:t>排放</w:t>
      </w:r>
      <w:r>
        <w:rPr>
          <w:rFonts w:ascii="仿宋" w:hAnsi="仿宋" w:eastAsia="仿宋" w:cs="Times New Roman"/>
          <w:color w:val="auto"/>
          <w:sz w:val="21"/>
          <w:szCs w:val="21"/>
        </w:rPr>
        <w:t>边界</w:t>
      </w:r>
      <w:r>
        <w:rPr>
          <w:rFonts w:hint="eastAsia" w:ascii="仿宋" w:hAnsi="仿宋" w:eastAsia="仿宋" w:cs="Times New Roman"/>
          <w:color w:val="auto"/>
          <w:sz w:val="21"/>
          <w:szCs w:val="21"/>
        </w:rPr>
        <w:t>确定：</w:t>
      </w:r>
      <w:r>
        <w:rPr>
          <w:rFonts w:ascii="仿宋" w:hAnsi="仿宋" w:eastAsia="仿宋" w:cs="Times New Roman"/>
          <w:color w:val="auto"/>
          <w:sz w:val="21"/>
          <w:szCs w:val="21"/>
        </w:rPr>
        <w:t>污泥脱水部分</w:t>
      </w:r>
      <w:r>
        <w:rPr>
          <w:rFonts w:hint="eastAsia" w:ascii="仿宋" w:hAnsi="仿宋" w:eastAsia="仿宋" w:cs="Times New Roman"/>
          <w:color w:val="auto"/>
          <w:sz w:val="21"/>
          <w:szCs w:val="21"/>
        </w:rPr>
        <w:t>的排放量，包含在污水处理及再生水设施的排放中；</w:t>
      </w:r>
      <w:r>
        <w:rPr>
          <w:rFonts w:ascii="仿宋" w:hAnsi="仿宋" w:eastAsia="仿宋" w:cs="Times New Roman"/>
          <w:color w:val="auto"/>
          <w:sz w:val="21"/>
          <w:szCs w:val="21"/>
        </w:rPr>
        <w:t>脱水后的泥饼进行深度处理</w:t>
      </w:r>
      <w:r>
        <w:rPr>
          <w:rFonts w:hint="eastAsia" w:ascii="仿宋" w:hAnsi="仿宋" w:eastAsia="仿宋" w:cs="Times New Roman"/>
          <w:color w:val="auto"/>
          <w:sz w:val="21"/>
          <w:szCs w:val="21"/>
        </w:rPr>
        <w:t>产生的排放量</w:t>
      </w:r>
      <w:r>
        <w:rPr>
          <w:rFonts w:ascii="仿宋" w:hAnsi="仿宋" w:eastAsia="仿宋" w:cs="Times New Roman"/>
          <w:color w:val="auto"/>
          <w:sz w:val="21"/>
          <w:szCs w:val="21"/>
        </w:rPr>
        <w:t>作为污泥处理</w:t>
      </w:r>
      <w:r>
        <w:rPr>
          <w:rFonts w:hint="eastAsia" w:ascii="仿宋" w:hAnsi="仿宋" w:eastAsia="仿宋" w:cs="Times New Roman"/>
          <w:color w:val="auto"/>
          <w:sz w:val="21"/>
          <w:szCs w:val="21"/>
        </w:rPr>
        <w:t>深度</w:t>
      </w:r>
      <w:r>
        <w:rPr>
          <w:rFonts w:ascii="仿宋" w:hAnsi="仿宋" w:eastAsia="仿宋" w:cs="Times New Roman"/>
          <w:color w:val="auto"/>
          <w:sz w:val="21"/>
          <w:szCs w:val="21"/>
        </w:rPr>
        <w:t>设施</w:t>
      </w:r>
      <w:r>
        <w:rPr>
          <w:rFonts w:hint="eastAsia" w:ascii="仿宋" w:hAnsi="仿宋" w:eastAsia="仿宋" w:cs="Times New Roman"/>
          <w:color w:val="auto"/>
          <w:sz w:val="21"/>
          <w:szCs w:val="21"/>
        </w:rPr>
        <w:t>的</w:t>
      </w:r>
      <w:r>
        <w:rPr>
          <w:rFonts w:ascii="仿宋" w:hAnsi="仿宋" w:eastAsia="仿宋" w:cs="Times New Roman"/>
          <w:color w:val="auto"/>
          <w:sz w:val="21"/>
          <w:szCs w:val="21"/>
        </w:rPr>
        <w:t>排放量</w:t>
      </w:r>
      <w:r>
        <w:rPr>
          <w:rFonts w:hint="eastAsia" w:ascii="仿宋" w:hAnsi="仿宋" w:eastAsia="仿宋" w:cs="Times New Roman"/>
          <w:color w:val="auto"/>
          <w:sz w:val="21"/>
          <w:szCs w:val="21"/>
        </w:rPr>
        <w:t>。</w:t>
      </w:r>
    </w:p>
    <w:p w14:paraId="305143AD">
      <w:pPr>
        <w:spacing w:after="0" w:line="560" w:lineRule="exact"/>
        <w:jc w:val="center"/>
        <w:rPr>
          <w:rFonts w:ascii="仿宋_GB2312" w:hAnsi="仿宋" w:eastAsia="仿宋_GB2312"/>
          <w:b/>
          <w:sz w:val="32"/>
          <w:szCs w:val="32"/>
          <w:lang w:val="en-US"/>
        </w:rPr>
      </w:pPr>
    </w:p>
    <w:p w14:paraId="0ECAC951">
      <w:pPr>
        <w:spacing w:after="0" w:line="560" w:lineRule="exact"/>
        <w:jc w:val="center"/>
        <w:rPr>
          <w:rFonts w:ascii="仿宋_GB2312" w:hAnsi="仿宋" w:eastAsia="仿宋_GB2312"/>
          <w:b/>
          <w:sz w:val="32"/>
          <w:szCs w:val="32"/>
          <w:lang w:val="en-US"/>
        </w:rPr>
      </w:pPr>
      <w:r>
        <w:rPr>
          <w:rFonts w:hint="eastAsia" w:ascii="仿宋_GB2312" w:hAnsi="仿宋" w:eastAsia="仿宋_GB2312"/>
          <w:b/>
          <w:sz w:val="32"/>
          <w:szCs w:val="32"/>
          <w:lang w:val="en-US"/>
        </w:rPr>
        <w:t>自来水供应业企业补充数据表</w:t>
      </w:r>
    </w:p>
    <w:tbl>
      <w:tblPr>
        <w:tblStyle w:val="36"/>
        <w:tblW w:w="90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89"/>
        <w:gridCol w:w="6382"/>
      </w:tblGrid>
      <w:tr w14:paraId="46E68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2689" w:type="dxa"/>
            <w:vAlign w:val="top"/>
          </w:tcPr>
          <w:p w14:paraId="7F7D267D">
            <w:pPr>
              <w:spacing w:after="0" w:line="300" w:lineRule="auto"/>
              <w:ind w:firstLine="359"/>
              <w:jc w:val="center"/>
              <w:rPr>
                <w:rFonts w:ascii="仿宋_GB2312" w:hAnsi="楷体" w:eastAsia="仿宋_GB2312"/>
                <w:b/>
                <w:bCs/>
                <w:sz w:val="24"/>
                <w:szCs w:val="24"/>
              </w:rPr>
            </w:pPr>
            <w:r>
              <w:rPr>
                <w:rFonts w:hint="eastAsia" w:ascii="仿宋_GB2312" w:hAnsi="楷体" w:eastAsia="仿宋_GB2312"/>
                <w:b/>
                <w:bCs/>
                <w:sz w:val="24"/>
                <w:szCs w:val="24"/>
              </w:rPr>
              <w:t>报告参数</w:t>
            </w:r>
          </w:p>
        </w:tc>
        <w:tc>
          <w:tcPr>
            <w:tcW w:w="6382" w:type="dxa"/>
            <w:vAlign w:val="top"/>
          </w:tcPr>
          <w:p w14:paraId="6D23345C">
            <w:pPr>
              <w:spacing w:after="0" w:line="300" w:lineRule="auto"/>
              <w:jc w:val="center"/>
              <w:rPr>
                <w:rFonts w:ascii="仿宋_GB2312" w:hAnsi="楷体" w:eastAsia="仿宋_GB2312"/>
                <w:b/>
                <w:bCs/>
                <w:sz w:val="24"/>
                <w:szCs w:val="24"/>
              </w:rPr>
            </w:pPr>
            <w:r>
              <w:rPr>
                <w:rFonts w:hint="eastAsia" w:ascii="仿宋_GB2312" w:hAnsi="楷体" w:eastAsia="仿宋_GB2312"/>
                <w:b/>
                <w:bCs/>
                <w:sz w:val="24"/>
                <w:szCs w:val="24"/>
              </w:rPr>
              <w:t>核查要求</w:t>
            </w:r>
          </w:p>
        </w:tc>
      </w:tr>
      <w:tr w14:paraId="38C75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6AFC96DA">
            <w:pPr>
              <w:spacing w:after="0" w:line="300" w:lineRule="auto"/>
              <w:ind w:firstLine="480" w:firstLineChars="200"/>
              <w:rPr>
                <w:rFonts w:ascii="仿宋_GB2312" w:hAnsi="楷体" w:eastAsia="仿宋_GB2312"/>
                <w:sz w:val="24"/>
                <w:szCs w:val="24"/>
              </w:rPr>
            </w:pPr>
            <w:r>
              <w:rPr>
                <w:rFonts w:hint="eastAsia" w:ascii="仿宋_GB2312" w:hAnsi="楷体" w:eastAsia="仿宋_GB2312"/>
                <w:sz w:val="24"/>
                <w:szCs w:val="24"/>
              </w:rPr>
              <w:t>自来水产量</w:t>
            </w:r>
          </w:p>
        </w:tc>
        <w:tc>
          <w:tcPr>
            <w:tcW w:w="6382" w:type="dxa"/>
          </w:tcPr>
          <w:p w14:paraId="46A52EBE">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核查组应确定受核查方的自来水产量。自来水产量的数据除来自企业产量报表外，还应与上报统计局的产量产值相关数据核对。</w:t>
            </w:r>
          </w:p>
        </w:tc>
      </w:tr>
      <w:tr w14:paraId="29935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6D2745A6">
            <w:pPr>
              <w:spacing w:after="0" w:line="300" w:lineRule="auto"/>
              <w:ind w:firstLine="480" w:firstLineChars="200"/>
              <w:rPr>
                <w:rFonts w:ascii="仿宋_GB2312" w:hAnsi="楷体" w:eastAsia="仿宋_GB2312"/>
                <w:sz w:val="24"/>
                <w:szCs w:val="24"/>
              </w:rPr>
            </w:pPr>
            <w:r>
              <w:rPr>
                <w:rFonts w:hint="eastAsia" w:ascii="仿宋_GB2312" w:hAnsi="楷体" w:eastAsia="仿宋_GB2312"/>
                <w:sz w:val="24"/>
                <w:szCs w:val="24"/>
              </w:rPr>
              <w:t>输入的地下水、地表水的数量</w:t>
            </w:r>
          </w:p>
        </w:tc>
        <w:tc>
          <w:tcPr>
            <w:tcW w:w="6382" w:type="dxa"/>
          </w:tcPr>
          <w:p w14:paraId="789B554F">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核查组应确认受核查方输入的地下水、地表水的数量的数据来源是否与监测计划一致，并通过生产月报表、水源地分公司输出水的水表数据记录、输入地下水/地表水的水泵耗电量等相关记录交叉核对。</w:t>
            </w:r>
          </w:p>
        </w:tc>
      </w:tr>
      <w:tr w14:paraId="43B36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6E758D93">
            <w:pPr>
              <w:spacing w:after="0" w:line="300" w:lineRule="auto"/>
              <w:ind w:firstLine="480" w:firstLineChars="200"/>
              <w:rPr>
                <w:rFonts w:ascii="仿宋_GB2312" w:hAnsi="楷体" w:eastAsia="仿宋_GB2312"/>
                <w:sz w:val="24"/>
                <w:szCs w:val="24"/>
              </w:rPr>
            </w:pPr>
            <w:r>
              <w:rPr>
                <w:rFonts w:hint="eastAsia" w:ascii="仿宋_GB2312" w:hAnsi="楷体" w:eastAsia="仿宋_GB2312"/>
                <w:sz w:val="24"/>
                <w:szCs w:val="24"/>
              </w:rPr>
              <w:t>输入地下水/地表水的水泵耗电量</w:t>
            </w:r>
          </w:p>
        </w:tc>
        <w:tc>
          <w:tcPr>
            <w:tcW w:w="6382" w:type="dxa"/>
          </w:tcPr>
          <w:p w14:paraId="0E6343F3">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对于各分水厂用于不同来源水量抽取的水泵单独计量的电量，应确认监测设备的校准、数据记录等活动是否符合监测计划的要求，并核对抄表记录、各车间能源消耗台账。</w:t>
            </w:r>
          </w:p>
        </w:tc>
      </w:tr>
    </w:tbl>
    <w:p w14:paraId="753935C6">
      <w:pPr>
        <w:spacing w:after="0" w:line="560" w:lineRule="exact"/>
        <w:rPr>
          <w:rFonts w:ascii="仿宋_GB2312" w:hAnsi="仿宋" w:eastAsia="仿宋_GB2312"/>
          <w:b/>
          <w:sz w:val="32"/>
          <w:szCs w:val="32"/>
        </w:rPr>
        <w:sectPr>
          <w:pgSz w:w="11906" w:h="16838"/>
          <w:pgMar w:top="2098" w:right="1474" w:bottom="1984" w:left="1587" w:header="851" w:footer="1587" w:gutter="0"/>
          <w:pgNumType w:fmt="decimal"/>
          <w:cols w:space="0" w:num="1"/>
          <w:rtlGutter w:val="0"/>
          <w:docGrid w:type="lines" w:linePitch="312" w:charSpace="0"/>
        </w:sectPr>
      </w:pPr>
    </w:p>
    <w:p w14:paraId="2B274BC2">
      <w:pPr>
        <w:ind w:firstLine="480" w:firstLineChars="150"/>
        <w:jc w:val="center"/>
        <w:rPr>
          <w:rFonts w:ascii="黑体" w:hAnsi="黑体" w:eastAsia="黑体"/>
          <w:bCs/>
          <w:sz w:val="32"/>
          <w:szCs w:val="28"/>
        </w:rPr>
      </w:pPr>
      <w:r>
        <w:rPr>
          <w:rFonts w:hint="eastAsia" w:ascii="黑体" w:hAnsi="黑体" w:eastAsia="黑体"/>
          <w:bCs/>
          <w:sz w:val="32"/>
          <w:szCs w:val="28"/>
        </w:rPr>
        <w:t>出租车客运企业补充数据表</w:t>
      </w:r>
    </w:p>
    <w:tbl>
      <w:tblPr>
        <w:tblStyle w:val="35"/>
        <w:tblW w:w="5000" w:type="pct"/>
        <w:tblInd w:w="0" w:type="dxa"/>
        <w:tblLayout w:type="autofit"/>
        <w:tblCellMar>
          <w:top w:w="0" w:type="dxa"/>
          <w:left w:w="108" w:type="dxa"/>
          <w:bottom w:w="0" w:type="dxa"/>
          <w:right w:w="108" w:type="dxa"/>
        </w:tblCellMar>
      </w:tblPr>
      <w:tblGrid>
        <w:gridCol w:w="719"/>
        <w:gridCol w:w="1215"/>
        <w:gridCol w:w="1712"/>
        <w:gridCol w:w="967"/>
        <w:gridCol w:w="1216"/>
        <w:gridCol w:w="471"/>
        <w:gridCol w:w="471"/>
        <w:gridCol w:w="720"/>
        <w:gridCol w:w="471"/>
        <w:gridCol w:w="473"/>
        <w:gridCol w:w="471"/>
        <w:gridCol w:w="471"/>
        <w:gridCol w:w="967"/>
        <w:gridCol w:w="720"/>
        <w:gridCol w:w="791"/>
        <w:gridCol w:w="967"/>
        <w:gridCol w:w="451"/>
        <w:gridCol w:w="901"/>
      </w:tblGrid>
      <w:tr w14:paraId="1E6EA983">
        <w:tblPrEx>
          <w:tblCellMar>
            <w:top w:w="0" w:type="dxa"/>
            <w:left w:w="108" w:type="dxa"/>
            <w:bottom w:w="0" w:type="dxa"/>
            <w:right w:w="108" w:type="dxa"/>
          </w:tblCellMar>
        </w:tblPrEx>
        <w:trPr>
          <w:trHeight w:val="922"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8B693">
            <w:pPr>
              <w:spacing w:line="240" w:lineRule="auto"/>
              <w:jc w:val="center"/>
              <w:textAlignment w:val="center"/>
              <w:rPr>
                <w:rFonts w:ascii="宋体" w:hAnsi="宋体" w:cs="等线"/>
                <w:color w:val="000000"/>
                <w:sz w:val="21"/>
                <w:szCs w:val="21"/>
              </w:rPr>
            </w:pPr>
            <w:r>
              <w:rPr>
                <w:rFonts w:hint="eastAsia" w:ascii="宋体" w:hAnsi="宋体" w:cs="等线"/>
                <w:color w:val="000000"/>
                <w:sz w:val="21"/>
                <w:szCs w:val="21"/>
                <w:lang w:bidi="ar"/>
              </w:rPr>
              <w:t>序号</w:t>
            </w:r>
          </w:p>
        </w:tc>
        <w:tc>
          <w:tcPr>
            <w:tcW w:w="4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C8F7">
            <w:pPr>
              <w:spacing w:line="240" w:lineRule="auto"/>
              <w:jc w:val="center"/>
              <w:textAlignment w:val="center"/>
              <w:rPr>
                <w:rFonts w:ascii="宋体" w:hAnsi="宋体" w:cs="等线"/>
                <w:color w:val="000000"/>
                <w:sz w:val="21"/>
                <w:szCs w:val="21"/>
              </w:rPr>
            </w:pPr>
            <w:r>
              <w:rPr>
                <w:rFonts w:hint="eastAsia" w:ascii="宋体" w:hAnsi="宋体" w:cs="等线"/>
                <w:color w:val="000000"/>
                <w:sz w:val="21"/>
                <w:szCs w:val="21"/>
                <w:lang w:bidi="ar"/>
              </w:rPr>
              <w:t>车辆型号</w:t>
            </w:r>
          </w:p>
        </w:tc>
        <w:tc>
          <w:tcPr>
            <w:tcW w:w="6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8FB18">
            <w:pPr>
              <w:spacing w:line="240" w:lineRule="auto"/>
              <w:jc w:val="center"/>
              <w:textAlignment w:val="center"/>
              <w:rPr>
                <w:rFonts w:ascii="宋体" w:hAnsi="宋体" w:cs="等线"/>
                <w:color w:val="000000"/>
                <w:sz w:val="21"/>
                <w:szCs w:val="21"/>
              </w:rPr>
            </w:pPr>
            <w:r>
              <w:rPr>
                <w:rFonts w:hint="eastAsia" w:ascii="宋体" w:hAnsi="宋体" w:cs="等线"/>
                <w:color w:val="000000"/>
                <w:sz w:val="21"/>
                <w:szCs w:val="21"/>
                <w:lang w:bidi="ar"/>
              </w:rPr>
              <w:t>车辆排放标准</w:t>
            </w: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EBB1">
            <w:pPr>
              <w:spacing w:line="240" w:lineRule="auto"/>
              <w:jc w:val="center"/>
              <w:textAlignment w:val="center"/>
              <w:rPr>
                <w:rFonts w:ascii="宋体" w:hAnsi="宋体" w:cs="等线"/>
                <w:color w:val="000000"/>
                <w:sz w:val="21"/>
                <w:szCs w:val="21"/>
              </w:rPr>
            </w:pPr>
            <w:r>
              <w:rPr>
                <w:rFonts w:hint="eastAsia" w:ascii="宋体" w:hAnsi="宋体" w:cs="等线"/>
                <w:color w:val="000000"/>
                <w:sz w:val="21"/>
                <w:szCs w:val="21"/>
                <w:lang w:bidi="ar"/>
              </w:rPr>
              <w:t>车辆数</w:t>
            </w:r>
          </w:p>
        </w:tc>
        <w:tc>
          <w:tcPr>
            <w:tcW w:w="4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F9DD">
            <w:pPr>
              <w:spacing w:line="240" w:lineRule="auto"/>
              <w:jc w:val="center"/>
              <w:textAlignment w:val="center"/>
              <w:rPr>
                <w:rFonts w:ascii="宋体" w:hAnsi="宋体" w:cs="等线"/>
                <w:color w:val="000000"/>
                <w:sz w:val="21"/>
                <w:szCs w:val="21"/>
              </w:rPr>
            </w:pPr>
            <w:r>
              <w:rPr>
                <w:rFonts w:hint="eastAsia" w:ascii="宋体" w:hAnsi="宋体" w:cs="等线"/>
                <w:color w:val="000000"/>
                <w:sz w:val="21"/>
                <w:szCs w:val="21"/>
                <w:lang w:bidi="ar"/>
              </w:rPr>
              <w:t>能源类型</w:t>
            </w:r>
          </w:p>
        </w:tc>
        <w:tc>
          <w:tcPr>
            <w:tcW w:w="91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9CA804">
            <w:pPr>
              <w:spacing w:line="240" w:lineRule="auto"/>
              <w:jc w:val="center"/>
              <w:textAlignment w:val="center"/>
              <w:rPr>
                <w:rFonts w:ascii="宋体" w:hAnsi="宋体" w:cs="等线"/>
                <w:color w:val="000000"/>
                <w:sz w:val="21"/>
                <w:szCs w:val="21"/>
              </w:rPr>
            </w:pPr>
            <w:r>
              <w:rPr>
                <w:rFonts w:hint="eastAsia" w:ascii="宋体" w:hAnsi="宋体" w:cs="等线"/>
                <w:color w:val="000000"/>
                <w:sz w:val="21"/>
                <w:szCs w:val="21"/>
                <w:lang w:bidi="ar"/>
              </w:rPr>
              <w:t>年度累计行驶里程</w:t>
            </w: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57F43">
            <w:pPr>
              <w:spacing w:line="240" w:lineRule="auto"/>
              <w:jc w:val="center"/>
              <w:textAlignment w:val="center"/>
              <w:rPr>
                <w:rFonts w:ascii="宋体" w:hAnsi="宋体" w:cs="等线"/>
                <w:color w:val="000000"/>
                <w:sz w:val="21"/>
                <w:szCs w:val="21"/>
              </w:rPr>
            </w:pPr>
            <w:r>
              <w:rPr>
                <w:rFonts w:hint="eastAsia" w:ascii="宋体" w:hAnsi="宋体" w:cs="等线"/>
                <w:color w:val="000000"/>
                <w:sz w:val="21"/>
                <w:szCs w:val="21"/>
                <w:lang w:bidi="ar"/>
              </w:rPr>
              <w:t>百公里单耗缺省值</w:t>
            </w:r>
          </w:p>
        </w:tc>
        <w:tc>
          <w:tcPr>
            <w:tcW w:w="137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20129">
            <w:pPr>
              <w:spacing w:line="240" w:lineRule="auto"/>
              <w:jc w:val="center"/>
              <w:textAlignment w:val="center"/>
              <w:rPr>
                <w:rFonts w:ascii="宋体" w:hAnsi="宋体" w:cs="等线"/>
                <w:color w:val="000000"/>
                <w:sz w:val="21"/>
                <w:szCs w:val="21"/>
              </w:rPr>
            </w:pPr>
            <w:r>
              <w:rPr>
                <w:rFonts w:hint="eastAsia" w:ascii="宋体" w:hAnsi="宋体" w:cs="等线"/>
                <w:color w:val="000000"/>
                <w:sz w:val="21"/>
                <w:szCs w:val="21"/>
                <w:lang w:bidi="ar"/>
              </w:rPr>
              <w:t>能源消耗量</w:t>
            </w:r>
          </w:p>
        </w:tc>
        <w:tc>
          <w:tcPr>
            <w:tcW w:w="3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F76A47">
            <w:pPr>
              <w:spacing w:line="240" w:lineRule="auto"/>
              <w:jc w:val="center"/>
              <w:textAlignment w:val="center"/>
              <w:rPr>
                <w:rFonts w:cs="宋体"/>
                <w:color w:val="000000"/>
                <w:sz w:val="21"/>
                <w:szCs w:val="21"/>
              </w:rPr>
            </w:pPr>
            <w:r>
              <w:rPr>
                <w:rFonts w:hint="eastAsia" w:cs="宋体"/>
                <w:color w:val="000000"/>
                <w:sz w:val="21"/>
                <w:szCs w:val="21"/>
                <w:lang w:bidi="ar"/>
              </w:rPr>
              <w:t>年度累计碳排放量（吨）</w:t>
            </w:r>
          </w:p>
        </w:tc>
      </w:tr>
      <w:tr w14:paraId="146B5535">
        <w:tblPrEx>
          <w:tblCellMar>
            <w:top w:w="0" w:type="dxa"/>
            <w:left w:w="108" w:type="dxa"/>
            <w:bottom w:w="0" w:type="dxa"/>
            <w:right w:w="108" w:type="dxa"/>
          </w:tblCellMar>
        </w:tblPrEx>
        <w:trPr>
          <w:trHeight w:val="1969"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C16D1">
            <w:pPr>
              <w:spacing w:line="240" w:lineRule="auto"/>
              <w:jc w:val="center"/>
              <w:rPr>
                <w:rFonts w:ascii="宋体" w:hAnsi="宋体" w:cs="等线"/>
                <w:color w:val="000000"/>
                <w:sz w:val="21"/>
                <w:szCs w:val="21"/>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F845E">
            <w:pPr>
              <w:spacing w:line="240" w:lineRule="auto"/>
              <w:jc w:val="center"/>
              <w:rPr>
                <w:rFonts w:ascii="宋体" w:hAnsi="宋体" w:cs="等线"/>
                <w:color w:val="000000"/>
                <w:sz w:val="21"/>
                <w:szCs w:val="21"/>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028E7">
            <w:pPr>
              <w:spacing w:line="240" w:lineRule="auto"/>
              <w:jc w:val="center"/>
              <w:rPr>
                <w:rFonts w:ascii="宋体" w:hAnsi="宋体" w:cs="等线"/>
                <w:color w:val="000000"/>
                <w:sz w:val="21"/>
                <w:szCs w:val="21"/>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9C15">
            <w:pPr>
              <w:spacing w:line="240" w:lineRule="auto"/>
              <w:jc w:val="center"/>
              <w:rPr>
                <w:rFonts w:ascii="宋体" w:hAnsi="宋体" w:cs="等线"/>
                <w:color w:val="000000"/>
                <w:sz w:val="21"/>
                <w:szCs w:val="21"/>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8407E">
            <w:pPr>
              <w:spacing w:line="240" w:lineRule="auto"/>
              <w:jc w:val="center"/>
              <w:rPr>
                <w:rFonts w:ascii="宋体" w:hAnsi="宋体" w:cs="等线"/>
                <w:color w:val="000000"/>
                <w:sz w:val="21"/>
                <w:szCs w:val="21"/>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7ADAB">
            <w:pPr>
              <w:spacing w:line="240" w:lineRule="auto"/>
              <w:jc w:val="center"/>
              <w:textAlignment w:val="center"/>
              <w:rPr>
                <w:rFonts w:ascii="宋体" w:hAnsi="宋体" w:cs="等线"/>
                <w:color w:val="000000"/>
                <w:sz w:val="21"/>
                <w:szCs w:val="21"/>
              </w:rPr>
            </w:pPr>
            <w:r>
              <w:rPr>
                <w:rFonts w:hint="eastAsia" w:ascii="宋体" w:hAnsi="宋体" w:cs="等线"/>
                <w:color w:val="000000"/>
                <w:sz w:val="21"/>
                <w:szCs w:val="21"/>
                <w:lang w:bidi="ar"/>
              </w:rPr>
              <w:t>累计里程</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A5CCF">
            <w:pPr>
              <w:spacing w:line="240" w:lineRule="auto"/>
              <w:jc w:val="center"/>
              <w:textAlignment w:val="center"/>
              <w:rPr>
                <w:rFonts w:ascii="宋体" w:hAnsi="宋体" w:cs="等线"/>
                <w:color w:val="000000"/>
                <w:sz w:val="21"/>
                <w:szCs w:val="21"/>
              </w:rPr>
            </w:pPr>
            <w:r>
              <w:rPr>
                <w:rFonts w:hint="eastAsia" w:ascii="宋体" w:hAnsi="宋体" w:cs="等线"/>
                <w:color w:val="000000"/>
                <w:sz w:val="21"/>
                <w:szCs w:val="21"/>
                <w:lang w:bidi="ar"/>
              </w:rPr>
              <w:t>京内里程</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8E098">
            <w:pPr>
              <w:spacing w:line="240" w:lineRule="auto"/>
              <w:jc w:val="center"/>
              <w:textAlignment w:val="center"/>
              <w:rPr>
                <w:rFonts w:ascii="宋体" w:hAnsi="宋体" w:cs="等线"/>
                <w:color w:val="000000"/>
                <w:sz w:val="21"/>
                <w:szCs w:val="21"/>
              </w:rPr>
            </w:pPr>
            <w:r>
              <w:rPr>
                <w:rFonts w:hint="eastAsia" w:ascii="宋体" w:hAnsi="宋体" w:cs="等线"/>
                <w:color w:val="000000"/>
                <w:sz w:val="21"/>
                <w:szCs w:val="21"/>
                <w:lang w:bidi="ar"/>
              </w:rPr>
              <w:t>天津、河北里程</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70CDB">
            <w:pPr>
              <w:spacing w:line="240" w:lineRule="auto"/>
              <w:jc w:val="center"/>
              <w:textAlignment w:val="center"/>
              <w:rPr>
                <w:rFonts w:ascii="宋体" w:hAnsi="宋体" w:cs="等线"/>
                <w:color w:val="000000"/>
                <w:sz w:val="21"/>
                <w:szCs w:val="21"/>
              </w:rPr>
            </w:pPr>
            <w:r>
              <w:rPr>
                <w:rFonts w:hint="eastAsia" w:ascii="宋体" w:hAnsi="宋体" w:cs="等线"/>
                <w:color w:val="000000"/>
                <w:sz w:val="21"/>
                <w:szCs w:val="21"/>
                <w:lang w:bidi="ar"/>
              </w:rPr>
              <w:t>京津冀外里程</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8C709">
            <w:pPr>
              <w:spacing w:line="240" w:lineRule="auto"/>
              <w:jc w:val="center"/>
              <w:textAlignment w:val="center"/>
              <w:rPr>
                <w:rFonts w:ascii="宋体" w:hAnsi="宋体" w:cs="等线"/>
                <w:color w:val="000000"/>
                <w:sz w:val="21"/>
                <w:szCs w:val="21"/>
              </w:rPr>
            </w:pPr>
            <w:r>
              <w:rPr>
                <w:rFonts w:hint="eastAsia" w:ascii="宋体" w:hAnsi="宋体" w:cs="等线"/>
                <w:color w:val="000000"/>
                <w:sz w:val="21"/>
                <w:szCs w:val="21"/>
                <w:lang w:bidi="ar"/>
              </w:rPr>
              <w:t>数据获取方式</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2AD46">
            <w:pPr>
              <w:spacing w:line="240" w:lineRule="auto"/>
              <w:jc w:val="center"/>
              <w:textAlignment w:val="center"/>
              <w:rPr>
                <w:rFonts w:ascii="宋体" w:hAnsi="宋体" w:cs="等线"/>
                <w:color w:val="000000"/>
                <w:sz w:val="21"/>
                <w:szCs w:val="21"/>
              </w:rPr>
            </w:pPr>
            <w:r>
              <w:rPr>
                <w:rFonts w:hint="eastAsia" w:ascii="宋体" w:hAnsi="宋体" w:cs="等线"/>
                <w:color w:val="000000"/>
                <w:sz w:val="21"/>
                <w:szCs w:val="21"/>
                <w:lang w:bidi="ar"/>
              </w:rPr>
              <w:t>数据结果</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99CA5">
            <w:pPr>
              <w:spacing w:line="240" w:lineRule="auto"/>
              <w:jc w:val="center"/>
              <w:textAlignment w:val="center"/>
              <w:rPr>
                <w:rFonts w:ascii="宋体" w:hAnsi="宋体" w:cs="等线"/>
                <w:color w:val="000000"/>
                <w:sz w:val="21"/>
                <w:szCs w:val="21"/>
              </w:rPr>
            </w:pPr>
            <w:r>
              <w:rPr>
                <w:rFonts w:hint="eastAsia" w:ascii="宋体" w:hAnsi="宋体" w:cs="等线"/>
                <w:color w:val="000000"/>
                <w:sz w:val="21"/>
                <w:szCs w:val="21"/>
                <w:lang w:bidi="ar"/>
              </w:rPr>
              <w:t>数据获取方式</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15464">
            <w:pPr>
              <w:spacing w:line="240" w:lineRule="auto"/>
              <w:jc w:val="center"/>
              <w:textAlignment w:val="center"/>
              <w:rPr>
                <w:rFonts w:ascii="宋体" w:hAnsi="宋体" w:cs="等线"/>
                <w:color w:val="000000"/>
                <w:sz w:val="21"/>
                <w:szCs w:val="21"/>
              </w:rPr>
            </w:pPr>
            <w:r>
              <w:rPr>
                <w:rFonts w:hint="eastAsia" w:ascii="宋体" w:hAnsi="宋体" w:cs="等线"/>
                <w:color w:val="000000"/>
                <w:sz w:val="21"/>
                <w:szCs w:val="21"/>
                <w:lang w:bidi="ar"/>
              </w:rPr>
              <w:t>汽油（升）</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53177">
            <w:pPr>
              <w:spacing w:line="240" w:lineRule="auto"/>
              <w:jc w:val="center"/>
              <w:textAlignment w:val="center"/>
              <w:rPr>
                <w:rFonts w:ascii="宋体" w:hAnsi="宋体" w:cs="等线"/>
                <w:color w:val="000000"/>
                <w:sz w:val="21"/>
                <w:szCs w:val="21"/>
              </w:rPr>
            </w:pPr>
            <w:r>
              <w:rPr>
                <w:rFonts w:hint="eastAsia" w:ascii="宋体" w:hAnsi="宋体" w:cs="等线"/>
                <w:color w:val="000000"/>
                <w:sz w:val="21"/>
                <w:szCs w:val="21"/>
                <w:lang w:bidi="ar"/>
              </w:rPr>
              <w:t>电（千瓦时）</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B3856">
            <w:pPr>
              <w:spacing w:line="240" w:lineRule="auto"/>
              <w:jc w:val="center"/>
              <w:textAlignment w:val="center"/>
              <w:rPr>
                <w:rFonts w:ascii="宋体" w:hAnsi="宋体" w:cs="等线"/>
                <w:color w:val="000000"/>
                <w:sz w:val="21"/>
                <w:szCs w:val="21"/>
              </w:rPr>
            </w:pPr>
            <w:r>
              <w:rPr>
                <w:rFonts w:hint="eastAsia" w:ascii="宋体" w:hAnsi="宋体" w:cs="等线"/>
                <w:color w:val="000000"/>
                <w:sz w:val="21"/>
                <w:szCs w:val="21"/>
                <w:lang w:bidi="ar"/>
              </w:rPr>
              <w:t>天然气（立方米）</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9C3D9">
            <w:pPr>
              <w:spacing w:line="240" w:lineRule="auto"/>
              <w:jc w:val="center"/>
              <w:textAlignment w:val="center"/>
              <w:rPr>
                <w:rFonts w:ascii="宋体" w:hAnsi="宋体" w:cs="等线"/>
                <w:color w:val="000000"/>
                <w:sz w:val="21"/>
                <w:szCs w:val="21"/>
              </w:rPr>
            </w:pPr>
            <w:r>
              <w:rPr>
                <w:rFonts w:hint="eastAsia" w:ascii="宋体" w:hAnsi="宋体" w:cs="等线"/>
                <w:color w:val="000000"/>
                <w:sz w:val="21"/>
                <w:szCs w:val="21"/>
                <w:lang w:bidi="ar"/>
              </w:rPr>
              <w:t>柴油（升）</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A5930">
            <w:pPr>
              <w:spacing w:line="240" w:lineRule="auto"/>
              <w:textAlignment w:val="center"/>
              <w:rPr>
                <w:rFonts w:cs="宋体"/>
                <w:color w:val="000000"/>
                <w:sz w:val="21"/>
                <w:szCs w:val="21"/>
              </w:rPr>
            </w:pPr>
            <w:r>
              <w:rPr>
                <w:rFonts w:hint="eastAsia" w:cs="宋体"/>
                <w:color w:val="000000"/>
                <w:sz w:val="21"/>
                <w:szCs w:val="21"/>
                <w:lang w:bidi="ar"/>
              </w:rPr>
              <w:t>数据获取方式</w:t>
            </w:r>
          </w:p>
        </w:tc>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9B071">
            <w:pPr>
              <w:spacing w:line="240" w:lineRule="auto"/>
              <w:jc w:val="center"/>
              <w:rPr>
                <w:rFonts w:cs="宋体"/>
                <w:color w:val="000000"/>
                <w:sz w:val="21"/>
                <w:szCs w:val="21"/>
              </w:rPr>
            </w:pPr>
          </w:p>
        </w:tc>
      </w:tr>
      <w:tr w14:paraId="0F3C89BD">
        <w:tblPrEx>
          <w:tblCellMar>
            <w:top w:w="0" w:type="dxa"/>
            <w:left w:w="108" w:type="dxa"/>
            <w:bottom w:w="0" w:type="dxa"/>
            <w:right w:w="108" w:type="dxa"/>
          </w:tblCellMar>
        </w:tblPrEx>
        <w:trPr>
          <w:trHeight w:val="663"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AFD3">
            <w:pPr>
              <w:spacing w:line="240" w:lineRule="auto"/>
              <w:jc w:val="center"/>
              <w:textAlignment w:val="center"/>
              <w:rPr>
                <w:rFonts w:ascii="宋体" w:hAnsi="宋体" w:cs="等线"/>
                <w:color w:val="000000"/>
                <w:sz w:val="21"/>
                <w:szCs w:val="21"/>
              </w:rPr>
            </w:pPr>
            <w:r>
              <w:rPr>
                <w:rFonts w:ascii="宋体" w:hAnsi="宋体" w:cs="等线"/>
                <w:color w:val="000000"/>
                <w:sz w:val="21"/>
                <w:szCs w:val="21"/>
                <w:lang w:bidi="ar"/>
              </w:rPr>
              <w:t>1</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D8AB3">
            <w:pPr>
              <w:spacing w:line="240" w:lineRule="auto"/>
              <w:jc w:val="center"/>
              <w:rPr>
                <w:rFonts w:ascii="宋体" w:hAnsi="宋体" w:cs="等线"/>
                <w:color w:val="000000"/>
                <w:sz w:val="21"/>
                <w:szCs w:val="21"/>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5C54C">
            <w:pPr>
              <w:spacing w:line="240" w:lineRule="auto"/>
              <w:jc w:val="center"/>
              <w:rPr>
                <w:rFonts w:ascii="宋体" w:hAnsi="宋体" w:cs="等线"/>
                <w:color w:val="000000"/>
                <w:sz w:val="21"/>
                <w:szCs w:val="21"/>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E9D31">
            <w:pPr>
              <w:spacing w:line="240" w:lineRule="auto"/>
              <w:jc w:val="center"/>
              <w:rPr>
                <w:rFonts w:ascii="宋体" w:hAnsi="宋体" w:cs="等线"/>
                <w:color w:val="000000"/>
                <w:sz w:val="21"/>
                <w:szCs w:val="21"/>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83D82">
            <w:pPr>
              <w:spacing w:line="240" w:lineRule="auto"/>
              <w:jc w:val="center"/>
              <w:rPr>
                <w:rFonts w:ascii="宋体" w:hAnsi="宋体" w:cs="等线"/>
                <w:color w:val="000000"/>
                <w:sz w:val="21"/>
                <w:szCs w:val="21"/>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5B829">
            <w:pPr>
              <w:spacing w:line="240" w:lineRule="auto"/>
              <w:jc w:val="center"/>
              <w:rPr>
                <w:rFonts w:ascii="宋体" w:hAnsi="宋体" w:cs="等线"/>
                <w:color w:val="000000"/>
                <w:sz w:val="21"/>
                <w:szCs w:val="21"/>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D2DAC">
            <w:pPr>
              <w:spacing w:line="240" w:lineRule="auto"/>
              <w:jc w:val="center"/>
              <w:rPr>
                <w:rFonts w:ascii="宋体" w:hAnsi="宋体" w:cs="等线"/>
                <w:color w:val="000000"/>
                <w:sz w:val="21"/>
                <w:szCs w:val="21"/>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CBE00">
            <w:pPr>
              <w:spacing w:line="240" w:lineRule="auto"/>
              <w:jc w:val="center"/>
              <w:rPr>
                <w:rFonts w:ascii="宋体" w:hAnsi="宋体" w:cs="等线"/>
                <w:color w:val="000000"/>
                <w:sz w:val="21"/>
                <w:szCs w:val="21"/>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EDE4">
            <w:pPr>
              <w:spacing w:line="240" w:lineRule="auto"/>
              <w:jc w:val="center"/>
              <w:rPr>
                <w:rFonts w:ascii="宋体" w:hAnsi="宋体" w:cs="等线"/>
                <w:color w:val="000000"/>
                <w:sz w:val="21"/>
                <w:szCs w:val="21"/>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77273">
            <w:pPr>
              <w:spacing w:line="240" w:lineRule="auto"/>
              <w:jc w:val="center"/>
              <w:rPr>
                <w:rFonts w:ascii="宋体" w:hAnsi="宋体" w:cs="等线"/>
                <w:color w:val="000000"/>
                <w:sz w:val="21"/>
                <w:szCs w:val="21"/>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89AC">
            <w:pPr>
              <w:spacing w:line="240" w:lineRule="auto"/>
              <w:jc w:val="center"/>
              <w:rPr>
                <w:rFonts w:ascii="宋体" w:hAnsi="宋体" w:cs="等线"/>
                <w:color w:val="000000"/>
                <w:sz w:val="21"/>
                <w:szCs w:val="21"/>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75A72">
            <w:pPr>
              <w:spacing w:line="240" w:lineRule="auto"/>
              <w:jc w:val="center"/>
              <w:rPr>
                <w:rFonts w:ascii="宋体" w:hAnsi="宋体" w:cs="等线"/>
                <w:color w:val="000000"/>
                <w:sz w:val="21"/>
                <w:szCs w:val="21"/>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D2AA">
            <w:pPr>
              <w:spacing w:line="240" w:lineRule="auto"/>
              <w:jc w:val="center"/>
              <w:rPr>
                <w:rFonts w:ascii="宋体" w:hAnsi="宋体" w:cs="等线"/>
                <w:color w:val="000000"/>
                <w:sz w:val="21"/>
                <w:szCs w:val="21"/>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65A3">
            <w:pPr>
              <w:spacing w:line="240" w:lineRule="auto"/>
              <w:jc w:val="center"/>
              <w:rPr>
                <w:rFonts w:ascii="宋体" w:hAnsi="宋体" w:cs="等线"/>
                <w:color w:val="000000"/>
                <w:sz w:val="21"/>
                <w:szCs w:val="21"/>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D81A3">
            <w:pPr>
              <w:spacing w:line="240" w:lineRule="auto"/>
              <w:jc w:val="center"/>
              <w:rPr>
                <w:rFonts w:ascii="宋体" w:hAnsi="宋体" w:cs="等线"/>
                <w:color w:val="000000"/>
                <w:sz w:val="21"/>
                <w:szCs w:val="21"/>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88147">
            <w:pPr>
              <w:spacing w:line="240" w:lineRule="auto"/>
              <w:jc w:val="center"/>
              <w:rPr>
                <w:rFonts w:ascii="宋体" w:hAnsi="宋体" w:cs="等线"/>
                <w:color w:val="000000"/>
                <w:sz w:val="21"/>
                <w:szCs w:val="21"/>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62786">
            <w:pPr>
              <w:spacing w:line="240" w:lineRule="auto"/>
              <w:rPr>
                <w:rFonts w:cs="宋体"/>
                <w:color w:val="000000"/>
                <w:sz w:val="21"/>
                <w:szCs w:val="21"/>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B44E">
            <w:pPr>
              <w:spacing w:line="240" w:lineRule="auto"/>
              <w:rPr>
                <w:rFonts w:cs="宋体"/>
                <w:color w:val="000000"/>
                <w:sz w:val="21"/>
                <w:szCs w:val="21"/>
              </w:rPr>
            </w:pPr>
          </w:p>
        </w:tc>
      </w:tr>
      <w:tr w14:paraId="64AC912F">
        <w:tblPrEx>
          <w:tblCellMar>
            <w:top w:w="0" w:type="dxa"/>
            <w:left w:w="108" w:type="dxa"/>
            <w:bottom w:w="0" w:type="dxa"/>
            <w:right w:w="108" w:type="dxa"/>
          </w:tblCellMar>
        </w:tblPrEx>
        <w:trPr>
          <w:trHeight w:val="663"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8C3EE">
            <w:pPr>
              <w:spacing w:line="240" w:lineRule="auto"/>
              <w:jc w:val="center"/>
              <w:textAlignment w:val="center"/>
              <w:rPr>
                <w:rFonts w:ascii="宋体" w:hAnsi="宋体" w:cs="等线"/>
                <w:color w:val="000000"/>
                <w:sz w:val="21"/>
                <w:szCs w:val="21"/>
              </w:rPr>
            </w:pPr>
            <w:r>
              <w:rPr>
                <w:rFonts w:ascii="宋体" w:hAnsi="宋体" w:cs="等线"/>
                <w:color w:val="000000"/>
                <w:sz w:val="21"/>
                <w:szCs w:val="21"/>
                <w:lang w:bidi="ar"/>
              </w:rPr>
              <w:t>2</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425A">
            <w:pPr>
              <w:spacing w:line="240" w:lineRule="auto"/>
              <w:jc w:val="center"/>
              <w:rPr>
                <w:rFonts w:ascii="宋体" w:hAnsi="宋体" w:cs="等线"/>
                <w:color w:val="000000"/>
                <w:sz w:val="21"/>
                <w:szCs w:val="21"/>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E82C3">
            <w:pPr>
              <w:spacing w:line="240" w:lineRule="auto"/>
              <w:jc w:val="center"/>
              <w:rPr>
                <w:rFonts w:ascii="宋体" w:hAnsi="宋体" w:cs="等线"/>
                <w:color w:val="000000"/>
                <w:sz w:val="21"/>
                <w:szCs w:val="21"/>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69DF3">
            <w:pPr>
              <w:spacing w:line="240" w:lineRule="auto"/>
              <w:jc w:val="center"/>
              <w:rPr>
                <w:rFonts w:ascii="宋体" w:hAnsi="宋体" w:cs="等线"/>
                <w:color w:val="000000"/>
                <w:sz w:val="21"/>
                <w:szCs w:val="21"/>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E98E">
            <w:pPr>
              <w:spacing w:line="240" w:lineRule="auto"/>
              <w:jc w:val="center"/>
              <w:rPr>
                <w:rFonts w:ascii="宋体" w:hAnsi="宋体" w:cs="等线"/>
                <w:color w:val="000000"/>
                <w:sz w:val="21"/>
                <w:szCs w:val="21"/>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7407F">
            <w:pPr>
              <w:spacing w:line="240" w:lineRule="auto"/>
              <w:jc w:val="center"/>
              <w:rPr>
                <w:rFonts w:ascii="宋体" w:hAnsi="宋体" w:cs="等线"/>
                <w:color w:val="000000"/>
                <w:sz w:val="21"/>
                <w:szCs w:val="21"/>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3CB9C">
            <w:pPr>
              <w:spacing w:line="240" w:lineRule="auto"/>
              <w:jc w:val="center"/>
              <w:rPr>
                <w:rFonts w:ascii="宋体" w:hAnsi="宋体" w:cs="等线"/>
                <w:color w:val="000000"/>
                <w:sz w:val="21"/>
                <w:szCs w:val="21"/>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4272A">
            <w:pPr>
              <w:spacing w:line="240" w:lineRule="auto"/>
              <w:jc w:val="center"/>
              <w:rPr>
                <w:rFonts w:ascii="宋体" w:hAnsi="宋体" w:cs="等线"/>
                <w:color w:val="000000"/>
                <w:sz w:val="21"/>
                <w:szCs w:val="21"/>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D830">
            <w:pPr>
              <w:spacing w:line="240" w:lineRule="auto"/>
              <w:jc w:val="center"/>
              <w:rPr>
                <w:rFonts w:ascii="宋体" w:hAnsi="宋体" w:cs="等线"/>
                <w:color w:val="000000"/>
                <w:sz w:val="21"/>
                <w:szCs w:val="21"/>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ED1B9">
            <w:pPr>
              <w:spacing w:line="240" w:lineRule="auto"/>
              <w:jc w:val="center"/>
              <w:rPr>
                <w:rFonts w:ascii="宋体" w:hAnsi="宋体" w:cs="等线"/>
                <w:color w:val="000000"/>
                <w:sz w:val="21"/>
                <w:szCs w:val="21"/>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AFF82">
            <w:pPr>
              <w:spacing w:line="240" w:lineRule="auto"/>
              <w:jc w:val="center"/>
              <w:rPr>
                <w:rFonts w:ascii="宋体" w:hAnsi="宋体" w:cs="等线"/>
                <w:color w:val="000000"/>
                <w:sz w:val="21"/>
                <w:szCs w:val="21"/>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89E65">
            <w:pPr>
              <w:spacing w:line="240" w:lineRule="auto"/>
              <w:jc w:val="center"/>
              <w:rPr>
                <w:rFonts w:ascii="宋体" w:hAnsi="宋体" w:cs="等线"/>
                <w:color w:val="000000"/>
                <w:sz w:val="21"/>
                <w:szCs w:val="21"/>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892AE">
            <w:pPr>
              <w:spacing w:line="240" w:lineRule="auto"/>
              <w:jc w:val="center"/>
              <w:rPr>
                <w:rFonts w:ascii="宋体" w:hAnsi="宋体" w:cs="等线"/>
                <w:color w:val="000000"/>
                <w:sz w:val="21"/>
                <w:szCs w:val="21"/>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AB235">
            <w:pPr>
              <w:spacing w:line="240" w:lineRule="auto"/>
              <w:jc w:val="center"/>
              <w:rPr>
                <w:rFonts w:ascii="宋体" w:hAnsi="宋体" w:cs="等线"/>
                <w:color w:val="000000"/>
                <w:sz w:val="21"/>
                <w:szCs w:val="21"/>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B0CA">
            <w:pPr>
              <w:spacing w:line="240" w:lineRule="auto"/>
              <w:jc w:val="center"/>
              <w:rPr>
                <w:rFonts w:ascii="宋体" w:hAnsi="宋体" w:cs="等线"/>
                <w:color w:val="000000"/>
                <w:sz w:val="21"/>
                <w:szCs w:val="21"/>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B1944">
            <w:pPr>
              <w:spacing w:line="240" w:lineRule="auto"/>
              <w:jc w:val="center"/>
              <w:rPr>
                <w:rFonts w:ascii="宋体" w:hAnsi="宋体" w:cs="等线"/>
                <w:color w:val="000000"/>
                <w:sz w:val="21"/>
                <w:szCs w:val="21"/>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8612E">
            <w:pPr>
              <w:spacing w:line="240" w:lineRule="auto"/>
              <w:rPr>
                <w:rFonts w:cs="宋体"/>
                <w:color w:val="000000"/>
                <w:sz w:val="21"/>
                <w:szCs w:val="21"/>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04FE6">
            <w:pPr>
              <w:spacing w:line="240" w:lineRule="auto"/>
              <w:rPr>
                <w:rFonts w:cs="宋体"/>
                <w:color w:val="000000"/>
                <w:sz w:val="21"/>
                <w:szCs w:val="21"/>
              </w:rPr>
            </w:pPr>
          </w:p>
        </w:tc>
      </w:tr>
      <w:tr w14:paraId="24B69638">
        <w:tblPrEx>
          <w:tblCellMar>
            <w:top w:w="0" w:type="dxa"/>
            <w:left w:w="108" w:type="dxa"/>
            <w:bottom w:w="0" w:type="dxa"/>
            <w:right w:w="108" w:type="dxa"/>
          </w:tblCellMar>
        </w:tblPrEx>
        <w:trPr>
          <w:trHeight w:val="663"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7960E">
            <w:pPr>
              <w:spacing w:line="240" w:lineRule="auto"/>
              <w:jc w:val="center"/>
              <w:textAlignment w:val="center"/>
              <w:rPr>
                <w:rFonts w:ascii="宋体" w:hAnsi="宋体" w:cs="等线"/>
                <w:color w:val="000000"/>
                <w:sz w:val="21"/>
                <w:szCs w:val="21"/>
              </w:rPr>
            </w:pPr>
            <w:r>
              <w:rPr>
                <w:rFonts w:ascii="宋体" w:hAnsi="宋体" w:cs="等线"/>
                <w:color w:val="000000"/>
                <w:sz w:val="21"/>
                <w:szCs w:val="21"/>
                <w:lang w:bidi="ar"/>
              </w:rPr>
              <w:t>3</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6271">
            <w:pPr>
              <w:spacing w:line="240" w:lineRule="auto"/>
              <w:jc w:val="center"/>
              <w:rPr>
                <w:rFonts w:ascii="宋体" w:hAnsi="宋体" w:cs="等线"/>
                <w:color w:val="000000"/>
                <w:sz w:val="21"/>
                <w:szCs w:val="21"/>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8C623">
            <w:pPr>
              <w:spacing w:line="240" w:lineRule="auto"/>
              <w:jc w:val="center"/>
              <w:rPr>
                <w:rFonts w:ascii="宋体" w:hAnsi="宋体" w:cs="等线"/>
                <w:color w:val="000000"/>
                <w:sz w:val="21"/>
                <w:szCs w:val="21"/>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47124">
            <w:pPr>
              <w:spacing w:line="240" w:lineRule="auto"/>
              <w:jc w:val="center"/>
              <w:rPr>
                <w:rFonts w:ascii="宋体" w:hAnsi="宋体" w:cs="等线"/>
                <w:color w:val="000000"/>
                <w:sz w:val="21"/>
                <w:szCs w:val="21"/>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8CA60">
            <w:pPr>
              <w:spacing w:line="240" w:lineRule="auto"/>
              <w:jc w:val="center"/>
              <w:rPr>
                <w:rFonts w:ascii="宋体" w:hAnsi="宋体" w:cs="等线"/>
                <w:color w:val="000000"/>
                <w:sz w:val="21"/>
                <w:szCs w:val="21"/>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06B4D">
            <w:pPr>
              <w:spacing w:line="240" w:lineRule="auto"/>
              <w:jc w:val="center"/>
              <w:rPr>
                <w:rFonts w:ascii="宋体" w:hAnsi="宋体" w:cs="等线"/>
                <w:color w:val="000000"/>
                <w:sz w:val="21"/>
                <w:szCs w:val="21"/>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A559D">
            <w:pPr>
              <w:spacing w:line="240" w:lineRule="auto"/>
              <w:jc w:val="center"/>
              <w:rPr>
                <w:rFonts w:ascii="宋体" w:hAnsi="宋体" w:cs="等线"/>
                <w:color w:val="000000"/>
                <w:sz w:val="21"/>
                <w:szCs w:val="21"/>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CCB5">
            <w:pPr>
              <w:spacing w:line="240" w:lineRule="auto"/>
              <w:jc w:val="center"/>
              <w:rPr>
                <w:rFonts w:ascii="宋体" w:hAnsi="宋体" w:cs="等线"/>
                <w:color w:val="000000"/>
                <w:sz w:val="21"/>
                <w:szCs w:val="21"/>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BBC8">
            <w:pPr>
              <w:spacing w:line="240" w:lineRule="auto"/>
              <w:jc w:val="center"/>
              <w:rPr>
                <w:rFonts w:ascii="宋体" w:hAnsi="宋体" w:cs="等线"/>
                <w:color w:val="000000"/>
                <w:sz w:val="21"/>
                <w:szCs w:val="21"/>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D8343">
            <w:pPr>
              <w:spacing w:line="240" w:lineRule="auto"/>
              <w:jc w:val="center"/>
              <w:rPr>
                <w:rFonts w:ascii="宋体" w:hAnsi="宋体" w:cs="等线"/>
                <w:color w:val="000000"/>
                <w:sz w:val="21"/>
                <w:szCs w:val="21"/>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A2A43">
            <w:pPr>
              <w:spacing w:line="240" w:lineRule="auto"/>
              <w:jc w:val="center"/>
              <w:rPr>
                <w:rFonts w:ascii="宋体" w:hAnsi="宋体" w:cs="等线"/>
                <w:color w:val="000000"/>
                <w:sz w:val="21"/>
                <w:szCs w:val="21"/>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AEFC0">
            <w:pPr>
              <w:spacing w:line="240" w:lineRule="auto"/>
              <w:jc w:val="center"/>
              <w:rPr>
                <w:rFonts w:ascii="宋体" w:hAnsi="宋体" w:cs="等线"/>
                <w:color w:val="000000"/>
                <w:sz w:val="21"/>
                <w:szCs w:val="21"/>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E718F">
            <w:pPr>
              <w:spacing w:line="240" w:lineRule="auto"/>
              <w:jc w:val="center"/>
              <w:rPr>
                <w:rFonts w:ascii="宋体" w:hAnsi="宋体" w:cs="等线"/>
                <w:color w:val="000000"/>
                <w:sz w:val="21"/>
                <w:szCs w:val="21"/>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CD87B">
            <w:pPr>
              <w:spacing w:line="240" w:lineRule="auto"/>
              <w:jc w:val="center"/>
              <w:rPr>
                <w:rFonts w:ascii="宋体" w:hAnsi="宋体" w:cs="等线"/>
                <w:color w:val="000000"/>
                <w:sz w:val="21"/>
                <w:szCs w:val="21"/>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18114">
            <w:pPr>
              <w:spacing w:line="240" w:lineRule="auto"/>
              <w:jc w:val="center"/>
              <w:rPr>
                <w:rFonts w:ascii="宋体" w:hAnsi="宋体" w:cs="等线"/>
                <w:color w:val="000000"/>
                <w:sz w:val="21"/>
                <w:szCs w:val="21"/>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4E674">
            <w:pPr>
              <w:spacing w:line="240" w:lineRule="auto"/>
              <w:jc w:val="center"/>
              <w:rPr>
                <w:rFonts w:ascii="宋体" w:hAnsi="宋体" w:cs="等线"/>
                <w:color w:val="000000"/>
                <w:sz w:val="21"/>
                <w:szCs w:val="21"/>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66C6E">
            <w:pPr>
              <w:spacing w:line="240" w:lineRule="auto"/>
              <w:rPr>
                <w:rFonts w:cs="宋体"/>
                <w:color w:val="000000"/>
                <w:sz w:val="21"/>
                <w:szCs w:val="21"/>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E30FD">
            <w:pPr>
              <w:spacing w:line="240" w:lineRule="auto"/>
              <w:rPr>
                <w:rFonts w:cs="宋体"/>
                <w:color w:val="000000"/>
                <w:sz w:val="21"/>
                <w:szCs w:val="21"/>
              </w:rPr>
            </w:pPr>
          </w:p>
        </w:tc>
      </w:tr>
      <w:tr w14:paraId="257FF600">
        <w:tblPrEx>
          <w:tblCellMar>
            <w:top w:w="0" w:type="dxa"/>
            <w:left w:w="108" w:type="dxa"/>
            <w:bottom w:w="0" w:type="dxa"/>
            <w:right w:w="108" w:type="dxa"/>
          </w:tblCellMar>
        </w:tblPrEx>
        <w:trPr>
          <w:trHeight w:val="663"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A2AA">
            <w:pPr>
              <w:spacing w:line="240" w:lineRule="auto"/>
              <w:jc w:val="center"/>
              <w:textAlignment w:val="center"/>
              <w:rPr>
                <w:rFonts w:ascii="宋体" w:hAnsi="宋体" w:cs="等线"/>
                <w:color w:val="000000"/>
                <w:sz w:val="21"/>
                <w:szCs w:val="21"/>
              </w:rPr>
            </w:pPr>
            <w:r>
              <w:rPr>
                <w:rFonts w:hint="eastAsia" w:ascii="宋体" w:hAnsi="宋体" w:cs="等线"/>
                <w:color w:val="000000"/>
                <w:sz w:val="21"/>
                <w:szCs w:val="21"/>
                <w:lang w:bidi="ar"/>
              </w:rPr>
              <w:t>合计</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42A9">
            <w:pPr>
              <w:spacing w:line="240" w:lineRule="auto"/>
              <w:jc w:val="center"/>
              <w:rPr>
                <w:rFonts w:ascii="宋体" w:hAnsi="宋体" w:cs="等线"/>
                <w:color w:val="000000"/>
                <w:sz w:val="21"/>
                <w:szCs w:val="21"/>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3EF87">
            <w:pPr>
              <w:spacing w:line="240" w:lineRule="auto"/>
              <w:jc w:val="center"/>
              <w:rPr>
                <w:rFonts w:ascii="宋体" w:hAnsi="宋体" w:cs="等线"/>
                <w:color w:val="000000"/>
                <w:sz w:val="21"/>
                <w:szCs w:val="21"/>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0112E">
            <w:pPr>
              <w:spacing w:line="240" w:lineRule="auto"/>
              <w:jc w:val="center"/>
              <w:rPr>
                <w:rFonts w:ascii="宋体" w:hAnsi="宋体" w:cs="等线"/>
                <w:color w:val="000000"/>
                <w:sz w:val="21"/>
                <w:szCs w:val="21"/>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AF473">
            <w:pPr>
              <w:spacing w:line="240" w:lineRule="auto"/>
              <w:jc w:val="center"/>
              <w:rPr>
                <w:rFonts w:ascii="宋体" w:hAnsi="宋体" w:cs="等线"/>
                <w:color w:val="000000"/>
                <w:sz w:val="21"/>
                <w:szCs w:val="21"/>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0368B">
            <w:pPr>
              <w:spacing w:line="240" w:lineRule="auto"/>
              <w:jc w:val="center"/>
              <w:rPr>
                <w:rFonts w:ascii="宋体" w:hAnsi="宋体" w:cs="等线"/>
                <w:color w:val="000000"/>
                <w:sz w:val="21"/>
                <w:szCs w:val="21"/>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D75EA">
            <w:pPr>
              <w:spacing w:line="240" w:lineRule="auto"/>
              <w:jc w:val="center"/>
              <w:rPr>
                <w:rFonts w:ascii="宋体" w:hAnsi="宋体" w:cs="等线"/>
                <w:color w:val="000000"/>
                <w:sz w:val="21"/>
                <w:szCs w:val="21"/>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BBE42">
            <w:pPr>
              <w:spacing w:line="240" w:lineRule="auto"/>
              <w:jc w:val="center"/>
              <w:rPr>
                <w:rFonts w:ascii="宋体" w:hAnsi="宋体" w:cs="等线"/>
                <w:color w:val="000000"/>
                <w:sz w:val="21"/>
                <w:szCs w:val="21"/>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7C7A">
            <w:pPr>
              <w:spacing w:line="240" w:lineRule="auto"/>
              <w:jc w:val="center"/>
              <w:rPr>
                <w:rFonts w:ascii="宋体" w:hAnsi="宋体" w:cs="等线"/>
                <w:color w:val="000000"/>
                <w:sz w:val="21"/>
                <w:szCs w:val="21"/>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0FF69">
            <w:pPr>
              <w:spacing w:line="240" w:lineRule="auto"/>
              <w:jc w:val="center"/>
              <w:rPr>
                <w:rFonts w:ascii="宋体" w:hAnsi="宋体" w:cs="等线"/>
                <w:color w:val="000000"/>
                <w:sz w:val="21"/>
                <w:szCs w:val="21"/>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16D5D">
            <w:pPr>
              <w:spacing w:line="240" w:lineRule="auto"/>
              <w:jc w:val="center"/>
              <w:rPr>
                <w:rFonts w:ascii="宋体" w:hAnsi="宋体" w:cs="等线"/>
                <w:color w:val="000000"/>
                <w:sz w:val="21"/>
                <w:szCs w:val="21"/>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72CC7">
            <w:pPr>
              <w:spacing w:line="240" w:lineRule="auto"/>
              <w:jc w:val="center"/>
              <w:rPr>
                <w:rFonts w:ascii="宋体" w:hAnsi="宋体" w:cs="等线"/>
                <w:color w:val="000000"/>
                <w:sz w:val="21"/>
                <w:szCs w:val="21"/>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A5E5C">
            <w:pPr>
              <w:spacing w:line="240" w:lineRule="auto"/>
              <w:jc w:val="center"/>
              <w:rPr>
                <w:rFonts w:ascii="宋体" w:hAnsi="宋体" w:cs="等线"/>
                <w:color w:val="000000"/>
                <w:sz w:val="21"/>
                <w:szCs w:val="21"/>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7D79E">
            <w:pPr>
              <w:spacing w:line="240" w:lineRule="auto"/>
              <w:jc w:val="center"/>
              <w:rPr>
                <w:rFonts w:ascii="宋体" w:hAnsi="宋体" w:cs="等线"/>
                <w:color w:val="000000"/>
                <w:sz w:val="21"/>
                <w:szCs w:val="21"/>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F6168">
            <w:pPr>
              <w:spacing w:line="240" w:lineRule="auto"/>
              <w:jc w:val="center"/>
              <w:rPr>
                <w:rFonts w:ascii="宋体" w:hAnsi="宋体" w:cs="等线"/>
                <w:color w:val="000000"/>
                <w:sz w:val="21"/>
                <w:szCs w:val="21"/>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C439">
            <w:pPr>
              <w:spacing w:line="240" w:lineRule="auto"/>
              <w:jc w:val="center"/>
              <w:rPr>
                <w:rFonts w:ascii="宋体" w:hAnsi="宋体" w:cs="等线"/>
                <w:color w:val="000000"/>
                <w:sz w:val="21"/>
                <w:szCs w:val="21"/>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80FB4">
            <w:pPr>
              <w:spacing w:line="240" w:lineRule="auto"/>
              <w:rPr>
                <w:rFonts w:cs="宋体"/>
                <w:color w:val="000000"/>
                <w:sz w:val="21"/>
                <w:szCs w:val="21"/>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B4900">
            <w:pPr>
              <w:spacing w:line="240" w:lineRule="auto"/>
              <w:rPr>
                <w:rFonts w:cs="宋体"/>
                <w:color w:val="000000"/>
                <w:sz w:val="21"/>
                <w:szCs w:val="21"/>
              </w:rPr>
            </w:pPr>
          </w:p>
        </w:tc>
      </w:tr>
    </w:tbl>
    <w:p w14:paraId="15444591">
      <w:pPr>
        <w:spacing w:line="240" w:lineRule="auto"/>
        <w:ind w:firstLine="315" w:firstLineChars="150"/>
        <w:rPr>
          <w:rFonts w:ascii="宋体" w:hAnsi="宋体"/>
          <w:bCs/>
          <w:sz w:val="21"/>
          <w:szCs w:val="21"/>
        </w:rPr>
      </w:pPr>
      <w:r>
        <w:rPr>
          <w:rFonts w:hint="eastAsia" w:ascii="宋体" w:hAnsi="宋体"/>
          <w:bCs/>
          <w:sz w:val="21"/>
          <w:szCs w:val="21"/>
        </w:rPr>
        <w:t>核查要求：</w:t>
      </w:r>
    </w:p>
    <w:p w14:paraId="270ECCEA">
      <w:pPr>
        <w:rPr>
          <w:rFonts w:asciiTheme="minorEastAsia" w:hAnsiTheme="minorEastAsia" w:eastAsiaTheme="minorEastAsia"/>
          <w:bCs/>
          <w:sz w:val="21"/>
          <w:szCs w:val="21"/>
        </w:rPr>
      </w:pPr>
      <w:r>
        <w:rPr>
          <w:rFonts w:asciiTheme="minorEastAsia" w:hAnsiTheme="minorEastAsia" w:eastAsiaTheme="minorEastAsia"/>
          <w:bCs/>
          <w:sz w:val="21"/>
          <w:szCs w:val="21"/>
        </w:rPr>
        <w:t xml:space="preserve">1.车辆型号：按照车辆的实际品牌及车辆型号填写，如北汽新能源EU500; </w:t>
      </w:r>
    </w:p>
    <w:p w14:paraId="40AC04B2">
      <w:pPr>
        <w:rPr>
          <w:rFonts w:asciiTheme="minorEastAsia" w:hAnsiTheme="minorEastAsia" w:eastAsiaTheme="minorEastAsia"/>
          <w:bCs/>
          <w:sz w:val="21"/>
          <w:szCs w:val="21"/>
        </w:rPr>
      </w:pPr>
      <w:r>
        <w:rPr>
          <w:rFonts w:asciiTheme="minorEastAsia" w:hAnsiTheme="minorEastAsia" w:eastAsiaTheme="minorEastAsia"/>
          <w:bCs/>
          <w:sz w:val="21"/>
          <w:szCs w:val="21"/>
        </w:rPr>
        <w:t>2.车辆排放标准：按照车辆实际的排放标准进行填写，，例如国Ⅵ、国Ⅴ；</w:t>
      </w:r>
    </w:p>
    <w:p w14:paraId="005D5D25">
      <w:pPr>
        <w:rPr>
          <w:rFonts w:asciiTheme="minorEastAsia" w:hAnsiTheme="minorEastAsia" w:eastAsiaTheme="minorEastAsia"/>
          <w:bCs/>
          <w:sz w:val="21"/>
          <w:szCs w:val="21"/>
        </w:rPr>
      </w:pPr>
      <w:r>
        <w:rPr>
          <w:rFonts w:asciiTheme="minorEastAsia" w:hAnsiTheme="minorEastAsia" w:eastAsiaTheme="minorEastAsia"/>
          <w:bCs/>
          <w:sz w:val="21"/>
          <w:szCs w:val="21"/>
        </w:rPr>
        <w:t>3.车辆数量：填写登记注册在企业名下每种车型及排放标准的车辆保有量;</w:t>
      </w:r>
    </w:p>
    <w:p w14:paraId="3A4EB4E6">
      <w:pPr>
        <w:rPr>
          <w:rFonts w:asciiTheme="minorEastAsia" w:hAnsiTheme="minorEastAsia" w:eastAsiaTheme="minorEastAsia"/>
          <w:bCs/>
          <w:sz w:val="21"/>
          <w:szCs w:val="21"/>
        </w:rPr>
      </w:pPr>
      <w:r>
        <w:rPr>
          <w:rFonts w:asciiTheme="minorEastAsia" w:hAnsiTheme="minorEastAsia" w:eastAsiaTheme="minorEastAsia"/>
          <w:bCs/>
          <w:sz w:val="21"/>
          <w:szCs w:val="21"/>
        </w:rPr>
        <w:t>4.安装SCR车辆数：填写登记注册在企业名下车辆中安装了SCR设备的车辆保有量</w:t>
      </w:r>
    </w:p>
    <w:p w14:paraId="40993D66">
      <w:pPr>
        <w:rPr>
          <w:rFonts w:asciiTheme="minorEastAsia" w:hAnsiTheme="minorEastAsia" w:eastAsiaTheme="minorEastAsia"/>
          <w:bCs/>
          <w:sz w:val="21"/>
          <w:szCs w:val="21"/>
        </w:rPr>
      </w:pPr>
      <w:r>
        <w:rPr>
          <w:rFonts w:asciiTheme="minorEastAsia" w:hAnsiTheme="minorEastAsia" w:eastAsiaTheme="minorEastAsia"/>
          <w:bCs/>
          <w:sz w:val="21"/>
          <w:szCs w:val="21"/>
        </w:rPr>
        <w:t>5.能源类型：填写每种车型及排放标准的车辆对应燃料种类，如柴油、汽油、天然气、电力;</w:t>
      </w:r>
    </w:p>
    <w:p w14:paraId="62444B30">
      <w:pPr>
        <w:rPr>
          <w:rFonts w:asciiTheme="minorEastAsia" w:hAnsiTheme="minorEastAsia" w:eastAsiaTheme="minorEastAsia"/>
          <w:bCs/>
          <w:sz w:val="21"/>
          <w:szCs w:val="21"/>
        </w:rPr>
      </w:pPr>
      <w:r>
        <w:rPr>
          <w:rFonts w:asciiTheme="minorEastAsia" w:hAnsiTheme="minorEastAsia" w:eastAsiaTheme="minorEastAsia"/>
          <w:bCs/>
          <w:sz w:val="21"/>
          <w:szCs w:val="21"/>
        </w:rPr>
        <w:t>6.年度累计行驶里程（公里）：</w:t>
      </w:r>
    </w:p>
    <w:p w14:paraId="4CD57B3F">
      <w:pPr>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1）累计里程：企业旗下车辆单车在全国范围内运行的全部里程合计；</w:t>
      </w:r>
    </w:p>
    <w:p w14:paraId="26CC9B90">
      <w:pPr>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2）京内里程：企业旗下车辆单车在北京市域范围内运行的全部里程合计；</w:t>
      </w:r>
    </w:p>
    <w:p w14:paraId="65F3D0EA">
      <w:pPr>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3）天津、河北里程：企业旗下车辆单车在天津市及河北省域范围内运行的全部里程合计；</w:t>
      </w:r>
    </w:p>
    <w:p w14:paraId="4C5FE1D0">
      <w:pPr>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4）京津冀外里程：企业旗下车辆单车在全国除北京市、天津市、河北省域范围外运行的全部里程合计；</w:t>
      </w:r>
    </w:p>
    <w:p w14:paraId="10FC3A77">
      <w:pPr>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5）数据获取方式：</w:t>
      </w:r>
    </w:p>
    <w:p w14:paraId="50E376DA">
      <w:pPr>
        <w:rPr>
          <w:rFonts w:asciiTheme="minorEastAsia" w:hAnsiTheme="minorEastAsia" w:eastAsiaTheme="minorEastAsia"/>
          <w:bCs/>
          <w:sz w:val="21"/>
          <w:szCs w:val="21"/>
        </w:rPr>
      </w:pPr>
      <w:r>
        <w:rPr>
          <w:rFonts w:hint="eastAsia" w:asciiTheme="minorEastAsia" w:hAnsiTheme="minorEastAsia" w:eastAsiaTheme="minorEastAsia"/>
          <w:bCs/>
          <w:sz w:val="21"/>
          <w:szCs w:val="21"/>
        </w:rPr>
        <w:t>①企业通过自有单车级大数据监控平台获取得到的单车级车辆行驶里程；</w:t>
      </w:r>
    </w:p>
    <w:p w14:paraId="755DB7BE">
      <w:pPr>
        <w:rPr>
          <w:rFonts w:asciiTheme="minorEastAsia" w:hAnsiTheme="minorEastAsia" w:eastAsiaTheme="minorEastAsia"/>
          <w:bCs/>
          <w:sz w:val="21"/>
          <w:szCs w:val="21"/>
        </w:rPr>
      </w:pPr>
      <w:r>
        <w:rPr>
          <w:rFonts w:hint="eastAsia" w:asciiTheme="minorEastAsia" w:hAnsiTheme="minorEastAsia" w:eastAsiaTheme="minorEastAsia"/>
          <w:bCs/>
          <w:sz w:val="21"/>
          <w:szCs w:val="21"/>
        </w:rPr>
        <w:t>②企业通过对旗下车辆仪表盘进行抄表统计获得的单车级车辆行驶里程；</w:t>
      </w:r>
    </w:p>
    <w:p w14:paraId="54F27B7D">
      <w:pPr>
        <w:rPr>
          <w:rFonts w:asciiTheme="minorEastAsia" w:hAnsiTheme="minorEastAsia" w:eastAsiaTheme="minorEastAsia"/>
          <w:bCs/>
          <w:sz w:val="21"/>
          <w:szCs w:val="21"/>
        </w:rPr>
      </w:pPr>
      <w:r>
        <w:rPr>
          <w:rFonts w:asciiTheme="minorEastAsia" w:hAnsiTheme="minorEastAsia" w:eastAsiaTheme="minorEastAsia"/>
          <w:bCs/>
          <w:sz w:val="21"/>
          <w:szCs w:val="21"/>
        </w:rPr>
        <w:t>7.客运量：填报公路运输企业旗下所有车辆在每年度内实际运送的旅客人数（人次）;</w:t>
      </w:r>
    </w:p>
    <w:p w14:paraId="58C9ADDD">
      <w:pPr>
        <w:rPr>
          <w:rFonts w:asciiTheme="minorEastAsia" w:hAnsiTheme="minorEastAsia" w:eastAsiaTheme="minorEastAsia"/>
          <w:bCs/>
          <w:sz w:val="21"/>
          <w:szCs w:val="21"/>
        </w:rPr>
      </w:pPr>
      <w:r>
        <w:rPr>
          <w:rFonts w:asciiTheme="minorEastAsia" w:hAnsiTheme="minorEastAsia" w:eastAsiaTheme="minorEastAsia"/>
          <w:bCs/>
          <w:sz w:val="21"/>
          <w:szCs w:val="21"/>
        </w:rPr>
        <w:t>8.客运周转量：填报公路运输企业旗下所有车辆在每年度内实际运送的旅客运输总量指标（人公里），基于客运量及平均运距乘积得到；</w:t>
      </w:r>
    </w:p>
    <w:p w14:paraId="52074404">
      <w:pPr>
        <w:rPr>
          <w:rFonts w:asciiTheme="minorEastAsia" w:hAnsiTheme="minorEastAsia" w:eastAsiaTheme="minorEastAsia"/>
          <w:bCs/>
          <w:sz w:val="21"/>
          <w:szCs w:val="21"/>
        </w:rPr>
      </w:pPr>
      <w:r>
        <w:rPr>
          <w:rFonts w:asciiTheme="minorEastAsia" w:hAnsiTheme="minorEastAsia" w:eastAsiaTheme="minorEastAsia"/>
          <w:bCs/>
          <w:sz w:val="21"/>
          <w:szCs w:val="21"/>
        </w:rPr>
        <w:t>9.百公里单耗：</w:t>
      </w:r>
    </w:p>
    <w:p w14:paraId="74A82D55">
      <w:pPr>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1）百公里单耗数据结果：填报企业企业车辆（单车级）在运行单位距离（通常标定为100公里）时产生的能源消耗量，单位主要是：kg/百公里、立方米/百公里、千瓦时/百公里（企业如统计汽油、柴油车辆百公里单耗时统计单位为升时，可按照汽油0.73kg/L,柴油0.86kg/L进行单位换算）</w:t>
      </w:r>
    </w:p>
    <w:p w14:paraId="21FFBB6E">
      <w:pPr>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2）数据获取方式：</w:t>
      </w:r>
    </w:p>
    <w:p w14:paraId="283ADCE1">
      <w:pPr>
        <w:rPr>
          <w:rFonts w:asciiTheme="minorEastAsia" w:hAnsiTheme="minorEastAsia" w:eastAsiaTheme="minorEastAsia"/>
          <w:bCs/>
          <w:sz w:val="21"/>
          <w:szCs w:val="21"/>
        </w:rPr>
      </w:pPr>
      <w:r>
        <w:rPr>
          <w:rFonts w:hint="eastAsia" w:asciiTheme="minorEastAsia" w:hAnsiTheme="minorEastAsia" w:eastAsiaTheme="minorEastAsia"/>
          <w:bCs/>
          <w:sz w:val="21"/>
          <w:szCs w:val="21"/>
        </w:rPr>
        <w:t>①企业通过自有单车级大数据监控平台获取得到的单车级车辆百公里能耗；</w:t>
      </w:r>
    </w:p>
    <w:p w14:paraId="60D4E111">
      <w:pPr>
        <w:rPr>
          <w:rFonts w:asciiTheme="minorEastAsia" w:hAnsiTheme="minorEastAsia" w:eastAsiaTheme="minorEastAsia"/>
          <w:bCs/>
          <w:sz w:val="21"/>
          <w:szCs w:val="21"/>
        </w:rPr>
      </w:pPr>
      <w:r>
        <w:rPr>
          <w:rFonts w:hint="eastAsia" w:asciiTheme="minorEastAsia" w:hAnsiTheme="minorEastAsia" w:eastAsiaTheme="minorEastAsia"/>
          <w:bCs/>
          <w:sz w:val="21"/>
          <w:szCs w:val="21"/>
        </w:rPr>
        <w:t>②企业通过参考主管部门提供的单车级车辆百公里能耗推荐值；</w:t>
      </w:r>
    </w:p>
    <w:p w14:paraId="56757511">
      <w:pPr>
        <w:rPr>
          <w:rFonts w:asciiTheme="minorEastAsia" w:hAnsiTheme="minorEastAsia" w:eastAsiaTheme="minorEastAsia"/>
          <w:bCs/>
          <w:sz w:val="21"/>
          <w:szCs w:val="21"/>
        </w:rPr>
      </w:pPr>
      <w:r>
        <w:rPr>
          <w:rFonts w:asciiTheme="minorEastAsia" w:hAnsiTheme="minorEastAsia" w:eastAsiaTheme="minorEastAsia"/>
          <w:bCs/>
          <w:sz w:val="21"/>
          <w:szCs w:val="21"/>
        </w:rPr>
        <w:t>10.能源消耗量：</w:t>
      </w:r>
    </w:p>
    <w:p w14:paraId="0E687EED">
      <w:pPr>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1）能源消耗量：填报企业旗下车辆因运行而产生的能源消耗总量，按照车辆对应的能源类型，将实际的能源消耗量填写到对应的格内，单位主要是：吨、立方米、千瓦时（企业如统计汽油、柴油时统计单位为升时，可按照汽油0.73kg/L,柴油0.86kg/L进行单位换算）；</w:t>
      </w:r>
    </w:p>
    <w:p w14:paraId="3455D773">
      <w:pPr>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2）数据获取方式：</w:t>
      </w:r>
    </w:p>
    <w:p w14:paraId="1F28C6B7">
      <w:pPr>
        <w:rPr>
          <w:rFonts w:asciiTheme="minorEastAsia" w:hAnsiTheme="minorEastAsia" w:eastAsiaTheme="minorEastAsia"/>
          <w:bCs/>
          <w:sz w:val="21"/>
          <w:szCs w:val="21"/>
        </w:rPr>
      </w:pPr>
      <w:r>
        <w:rPr>
          <w:rFonts w:hint="eastAsia" w:asciiTheme="minorEastAsia" w:hAnsiTheme="minorEastAsia" w:eastAsiaTheme="minorEastAsia"/>
          <w:bCs/>
          <w:sz w:val="21"/>
          <w:szCs w:val="21"/>
        </w:rPr>
        <w:t>①基于单车级的能源消耗量统计手段进行能源消耗统计，一车一卡或一车一个充电账号等手段获取；</w:t>
      </w:r>
    </w:p>
    <w:p w14:paraId="7934882D">
      <w:pPr>
        <w:rPr>
          <w:rFonts w:asciiTheme="minorEastAsia" w:hAnsiTheme="minorEastAsia" w:eastAsiaTheme="minorEastAsia"/>
          <w:bCs/>
          <w:sz w:val="21"/>
          <w:szCs w:val="21"/>
        </w:rPr>
      </w:pPr>
      <w:r>
        <w:rPr>
          <w:rFonts w:hint="eastAsia" w:asciiTheme="minorEastAsia" w:hAnsiTheme="minorEastAsia" w:eastAsiaTheme="minorEastAsia"/>
          <w:bCs/>
          <w:sz w:val="21"/>
          <w:szCs w:val="21"/>
        </w:rPr>
        <w:t>②基于单车级的车辆行驶里程与百公里单耗数据结果计算得到；</w:t>
      </w:r>
    </w:p>
    <w:p w14:paraId="7689D426">
      <w:pPr>
        <w:rPr>
          <w:rFonts w:asciiTheme="minorEastAsia" w:hAnsiTheme="minorEastAsia" w:eastAsiaTheme="minorEastAsia"/>
          <w:bCs/>
          <w:sz w:val="21"/>
          <w:szCs w:val="21"/>
        </w:rPr>
        <w:sectPr>
          <w:footerReference r:id="rId7" w:type="default"/>
          <w:footerReference r:id="rId8" w:type="even"/>
          <w:pgSz w:w="16838" w:h="11906" w:orient="landscape"/>
          <w:pgMar w:top="1587" w:right="1440" w:bottom="1474" w:left="1440" w:header="851" w:footer="1134" w:gutter="0"/>
          <w:pgNumType w:fmt="decimal"/>
          <w:cols w:space="0" w:num="1"/>
          <w:rtlGutter w:val="0"/>
          <w:docGrid w:linePitch="326" w:charSpace="0"/>
        </w:sectPr>
      </w:pPr>
      <w:r>
        <w:rPr>
          <w:rFonts w:asciiTheme="minorEastAsia" w:hAnsiTheme="minorEastAsia" w:eastAsiaTheme="minorEastAsia"/>
          <w:bCs/>
          <w:sz w:val="21"/>
          <w:szCs w:val="21"/>
        </w:rPr>
        <w:t>11.</w:t>
      </w:r>
      <w:r>
        <w:rPr>
          <w:rFonts w:hint="eastAsia" w:asciiTheme="minorEastAsia" w:hAnsiTheme="minorEastAsia" w:eastAsiaTheme="minorEastAsia"/>
          <w:bCs/>
          <w:sz w:val="21"/>
          <w:szCs w:val="21"/>
        </w:rPr>
        <w:t>年度</w:t>
      </w:r>
      <w:r>
        <w:rPr>
          <w:rFonts w:asciiTheme="minorEastAsia" w:hAnsiTheme="minorEastAsia" w:eastAsiaTheme="minorEastAsia"/>
          <w:bCs/>
          <w:sz w:val="21"/>
          <w:szCs w:val="21"/>
        </w:rPr>
        <w:t>累计碳排放量：由统计得到的车辆运行能耗及每种能源类型对应的碳排放因子转换系数计算得到</w:t>
      </w:r>
      <w:r>
        <w:rPr>
          <w:rFonts w:hint="eastAsia" w:asciiTheme="minorEastAsia" w:hAnsiTheme="minorEastAsia" w:eastAsiaTheme="minorEastAsia"/>
          <w:bCs/>
          <w:sz w:val="21"/>
          <w:szCs w:val="21"/>
        </w:rPr>
        <w:t>。</w:t>
      </w:r>
    </w:p>
    <w:p w14:paraId="4526C5FD">
      <w:pPr>
        <w:ind w:firstLine="480" w:firstLineChars="150"/>
        <w:jc w:val="center"/>
        <w:rPr>
          <w:rFonts w:ascii="黑体" w:hAnsi="黑体" w:eastAsia="黑体"/>
          <w:bCs/>
          <w:sz w:val="32"/>
          <w:szCs w:val="28"/>
        </w:rPr>
      </w:pPr>
      <w:r>
        <w:rPr>
          <w:rFonts w:hint="eastAsia" w:ascii="黑体" w:hAnsi="黑体" w:eastAsia="黑体"/>
          <w:bCs/>
          <w:sz w:val="32"/>
          <w:szCs w:val="28"/>
        </w:rPr>
        <w:t>公路旅客运输企业补充数据表</w:t>
      </w:r>
    </w:p>
    <w:tbl>
      <w:tblPr>
        <w:tblStyle w:val="35"/>
        <w:tblW w:w="0" w:type="auto"/>
        <w:tblInd w:w="98" w:type="dxa"/>
        <w:tblLayout w:type="autofit"/>
        <w:tblCellMar>
          <w:top w:w="0" w:type="dxa"/>
          <w:left w:w="108" w:type="dxa"/>
          <w:bottom w:w="0" w:type="dxa"/>
          <w:right w:w="108" w:type="dxa"/>
        </w:tblCellMar>
      </w:tblPr>
      <w:tblGrid>
        <w:gridCol w:w="440"/>
        <w:gridCol w:w="664"/>
        <w:gridCol w:w="552"/>
        <w:gridCol w:w="712"/>
        <w:gridCol w:w="728"/>
        <w:gridCol w:w="589"/>
        <w:gridCol w:w="664"/>
        <w:gridCol w:w="449"/>
        <w:gridCol w:w="449"/>
        <w:gridCol w:w="641"/>
        <w:gridCol w:w="529"/>
        <w:gridCol w:w="540"/>
        <w:gridCol w:w="599"/>
        <w:gridCol w:w="599"/>
        <w:gridCol w:w="449"/>
        <w:gridCol w:w="529"/>
        <w:gridCol w:w="790"/>
        <w:gridCol w:w="601"/>
        <w:gridCol w:w="681"/>
        <w:gridCol w:w="790"/>
        <w:gridCol w:w="791"/>
        <w:gridCol w:w="515"/>
        <w:gridCol w:w="775"/>
      </w:tblGrid>
      <w:tr w14:paraId="2CE65CC7">
        <w:tblPrEx>
          <w:tblCellMar>
            <w:top w:w="0" w:type="dxa"/>
            <w:left w:w="108" w:type="dxa"/>
            <w:bottom w:w="0" w:type="dxa"/>
            <w:right w:w="108" w:type="dxa"/>
          </w:tblCellMar>
        </w:tblPrEx>
        <w:trPr>
          <w:trHeight w:val="2247" w:hRule="atLeast"/>
        </w:trPr>
        <w:tc>
          <w:tcPr>
            <w:tcW w:w="4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956B0">
            <w:pPr>
              <w:spacing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Theme="minorEastAsia" w:hAnsiTheme="minorEastAsia" w:eastAsiaTheme="minorEastAsia" w:cstheme="minorBidi"/>
                <w:b/>
                <w:bCs/>
                <w:smallCaps/>
                <w:color w:val="000000" w:themeColor="text1"/>
                <w:spacing w:val="5"/>
                <w:sz w:val="21"/>
                <w:szCs w:val="21"/>
              </w:rPr>
              <w:t>序号</w:t>
            </w: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D8DCB">
            <w:pPr>
              <w:spacing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Theme="minorEastAsia" w:hAnsiTheme="minorEastAsia" w:eastAsiaTheme="minorEastAsia" w:cstheme="minorBidi"/>
                <w:b/>
                <w:bCs/>
                <w:smallCaps/>
                <w:color w:val="000000" w:themeColor="text1"/>
                <w:spacing w:val="5"/>
                <w:sz w:val="21"/>
                <w:szCs w:val="21"/>
              </w:rPr>
              <w:t>车辆型号</w:t>
            </w:r>
          </w:p>
        </w:tc>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EFF5">
            <w:pPr>
              <w:spacing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Theme="minorEastAsia" w:hAnsiTheme="minorEastAsia" w:eastAsiaTheme="minorEastAsia" w:cstheme="minorBidi"/>
                <w:b/>
                <w:bCs/>
                <w:smallCaps/>
                <w:color w:val="000000" w:themeColor="text1"/>
                <w:spacing w:val="5"/>
                <w:sz w:val="21"/>
                <w:szCs w:val="21"/>
              </w:rPr>
              <w:t>座位数</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76B50">
            <w:pPr>
              <w:spacing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Theme="minorEastAsia" w:hAnsiTheme="minorEastAsia" w:eastAsiaTheme="minorEastAsia" w:cstheme="minorBidi"/>
                <w:b/>
                <w:bCs/>
                <w:smallCaps/>
                <w:color w:val="000000" w:themeColor="text1"/>
                <w:spacing w:val="5"/>
                <w:sz w:val="21"/>
                <w:szCs w:val="21"/>
              </w:rPr>
              <w:t>车辆排放标准</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177B">
            <w:pPr>
              <w:spacing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Theme="minorEastAsia" w:hAnsiTheme="minorEastAsia" w:eastAsiaTheme="minorEastAsia" w:cstheme="minorBidi"/>
                <w:b/>
                <w:bCs/>
                <w:smallCaps/>
                <w:color w:val="000000" w:themeColor="text1"/>
                <w:spacing w:val="5"/>
                <w:sz w:val="21"/>
                <w:szCs w:val="21"/>
              </w:rPr>
              <w:t>车辆数</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E84B1B">
            <w:pPr>
              <w:spacing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Theme="minorEastAsia" w:hAnsiTheme="minorEastAsia" w:eastAsiaTheme="minorEastAsia" w:cstheme="minorBidi"/>
                <w:b/>
                <w:bCs/>
                <w:smallCaps/>
                <w:color w:val="000000" w:themeColor="text1"/>
                <w:spacing w:val="5"/>
                <w:sz w:val="21"/>
                <w:szCs w:val="21"/>
              </w:rPr>
              <w:t>安装</w:t>
            </w:r>
            <w:r>
              <w:rPr>
                <w:rFonts w:asciiTheme="minorEastAsia" w:hAnsiTheme="minorEastAsia" w:eastAsiaTheme="minorEastAsia" w:cstheme="minorBidi"/>
                <w:b/>
                <w:bCs/>
                <w:smallCaps/>
                <w:color w:val="000000" w:themeColor="text1"/>
                <w:spacing w:val="5"/>
                <w:sz w:val="21"/>
                <w:szCs w:val="21"/>
              </w:rPr>
              <w:t>SCR</w:t>
            </w:r>
            <w:r>
              <w:rPr>
                <w:rFonts w:hint="eastAsia" w:asciiTheme="minorEastAsia" w:hAnsiTheme="minorEastAsia" w:eastAsiaTheme="minorEastAsia" w:cstheme="minorBidi"/>
                <w:b/>
                <w:bCs/>
                <w:smallCaps/>
                <w:color w:val="000000" w:themeColor="text1"/>
                <w:spacing w:val="5"/>
                <w:sz w:val="21"/>
                <w:szCs w:val="21"/>
              </w:rPr>
              <w:t>车辆</w:t>
            </w: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9BC75">
            <w:pPr>
              <w:spacing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Theme="minorEastAsia" w:hAnsiTheme="minorEastAsia" w:eastAsiaTheme="minorEastAsia" w:cstheme="minorBidi"/>
                <w:b/>
                <w:bCs/>
                <w:smallCaps/>
                <w:color w:val="000000" w:themeColor="text1"/>
                <w:spacing w:val="5"/>
                <w:sz w:val="21"/>
                <w:szCs w:val="21"/>
              </w:rPr>
              <w:t>能源类型</w:t>
            </w:r>
          </w:p>
        </w:tc>
        <w:tc>
          <w:tcPr>
            <w:tcW w:w="2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F6C477">
            <w:pPr>
              <w:spacing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Theme="minorEastAsia" w:hAnsiTheme="minorEastAsia" w:eastAsiaTheme="minorEastAsia" w:cstheme="minorBidi"/>
                <w:b/>
                <w:bCs/>
                <w:smallCaps/>
                <w:color w:val="000000" w:themeColor="text1"/>
                <w:spacing w:val="5"/>
                <w:sz w:val="21"/>
                <w:szCs w:val="21"/>
              </w:rPr>
              <w:t>年度累计行驶里程（万公里）</w:t>
            </w:r>
          </w:p>
        </w:tc>
        <w:tc>
          <w:tcPr>
            <w:tcW w:w="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97D6A7">
            <w:pPr>
              <w:spacing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Theme="minorEastAsia" w:hAnsiTheme="minorEastAsia" w:eastAsiaTheme="minorEastAsia" w:cstheme="minorBidi"/>
                <w:b/>
                <w:bCs/>
                <w:smallCaps/>
                <w:color w:val="000000" w:themeColor="text1"/>
                <w:spacing w:val="5"/>
                <w:sz w:val="21"/>
                <w:szCs w:val="21"/>
              </w:rPr>
              <w:t>客运量（万人）</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625BD9">
            <w:pPr>
              <w:spacing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Theme="minorEastAsia" w:hAnsiTheme="minorEastAsia" w:eastAsiaTheme="minorEastAsia" w:cstheme="minorBidi"/>
                <w:b/>
                <w:bCs/>
                <w:smallCaps/>
                <w:color w:val="000000" w:themeColor="text1"/>
                <w:spacing w:val="5"/>
                <w:sz w:val="21"/>
                <w:szCs w:val="21"/>
              </w:rPr>
              <w:t>客运周转量（万人公里）</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4B7F7">
            <w:pPr>
              <w:spacing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Theme="minorEastAsia" w:hAnsiTheme="minorEastAsia" w:eastAsiaTheme="minorEastAsia" w:cstheme="minorBidi"/>
                <w:b/>
                <w:bCs/>
                <w:smallCaps/>
                <w:color w:val="000000" w:themeColor="text1"/>
                <w:spacing w:val="5"/>
                <w:sz w:val="21"/>
                <w:szCs w:val="21"/>
              </w:rPr>
              <w:t>百公里单耗（吨、立方米、千瓦时</w:t>
            </w:r>
            <w:r>
              <w:rPr>
                <w:rFonts w:asciiTheme="minorEastAsia" w:hAnsiTheme="minorEastAsia" w:eastAsiaTheme="minorEastAsia" w:cstheme="minorBidi"/>
                <w:b/>
                <w:bCs/>
                <w:smallCaps/>
                <w:color w:val="000000" w:themeColor="text1"/>
                <w:spacing w:val="5"/>
                <w:sz w:val="21"/>
                <w:szCs w:val="21"/>
              </w:rPr>
              <w:t>/</w:t>
            </w:r>
            <w:r>
              <w:rPr>
                <w:rFonts w:hint="eastAsia" w:asciiTheme="minorEastAsia" w:hAnsiTheme="minorEastAsia" w:eastAsiaTheme="minorEastAsia" w:cstheme="minorBidi"/>
                <w:b/>
                <w:bCs/>
                <w:smallCaps/>
                <w:color w:val="000000" w:themeColor="text1"/>
                <w:spacing w:val="5"/>
                <w:sz w:val="21"/>
                <w:szCs w:val="21"/>
              </w:rPr>
              <w:t>百公里）</w:t>
            </w:r>
          </w:p>
        </w:tc>
        <w:tc>
          <w:tcPr>
            <w:tcW w:w="415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6C3D">
            <w:pPr>
              <w:spacing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Theme="minorEastAsia" w:hAnsiTheme="minorEastAsia" w:eastAsiaTheme="minorEastAsia" w:cstheme="minorBidi"/>
                <w:b/>
                <w:bCs/>
                <w:smallCaps/>
                <w:color w:val="000000" w:themeColor="text1"/>
                <w:spacing w:val="5"/>
                <w:sz w:val="21"/>
                <w:szCs w:val="21"/>
              </w:rPr>
              <w:t>能源消耗量</w:t>
            </w:r>
          </w:p>
        </w:tc>
        <w:tc>
          <w:tcPr>
            <w:tcW w:w="350" w:type="dxa"/>
            <w:vMerge w:val="restart"/>
            <w:tcBorders>
              <w:top w:val="single" w:color="000000" w:sz="4" w:space="0"/>
              <w:left w:val="single" w:color="000000" w:sz="4" w:space="0"/>
              <w:right w:val="single" w:color="000000" w:sz="4" w:space="0"/>
            </w:tcBorders>
            <w:vAlign w:val="center"/>
          </w:tcPr>
          <w:p w14:paraId="5AE04C87">
            <w:pPr>
              <w:spacing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cs="宋体" w:asciiTheme="minorEastAsia" w:hAnsiTheme="minorEastAsia" w:eastAsiaTheme="minorEastAsia"/>
                <w:color w:val="000000"/>
                <w:sz w:val="21"/>
                <w:szCs w:val="21"/>
                <w:lang w:bidi="ar"/>
              </w:rPr>
              <w:t>年度累计碳排放量（吨）</w:t>
            </w:r>
          </w:p>
        </w:tc>
      </w:tr>
      <w:tr w14:paraId="318764D3">
        <w:tblPrEx>
          <w:tblCellMar>
            <w:top w:w="0" w:type="dxa"/>
            <w:left w:w="108" w:type="dxa"/>
            <w:bottom w:w="0" w:type="dxa"/>
            <w:right w:w="108" w:type="dxa"/>
          </w:tblCellMar>
        </w:tblPrEx>
        <w:trPr>
          <w:trHeight w:val="1709"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E51FE">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F8878">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52B1D">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22A05">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F026C">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37A95">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F869A">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5CA4">
            <w:pPr>
              <w:spacing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Theme="minorEastAsia" w:hAnsiTheme="minorEastAsia" w:eastAsiaTheme="minorEastAsia" w:cstheme="minorBidi"/>
                <w:b/>
                <w:bCs/>
                <w:smallCaps/>
                <w:color w:val="000000" w:themeColor="text1"/>
                <w:spacing w:val="5"/>
                <w:sz w:val="21"/>
                <w:szCs w:val="21"/>
              </w:rPr>
              <w:t>累计里程</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B4B6">
            <w:pPr>
              <w:spacing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Theme="minorEastAsia" w:hAnsiTheme="minorEastAsia" w:eastAsiaTheme="minorEastAsia" w:cstheme="minorBidi"/>
                <w:b/>
                <w:bCs/>
                <w:smallCaps/>
                <w:color w:val="000000" w:themeColor="text1"/>
                <w:spacing w:val="5"/>
                <w:sz w:val="21"/>
                <w:szCs w:val="21"/>
              </w:rPr>
              <w:t>京内里程</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7523">
            <w:pPr>
              <w:spacing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Theme="minorEastAsia" w:hAnsiTheme="minorEastAsia" w:eastAsiaTheme="minorEastAsia" w:cstheme="minorBidi"/>
                <w:b/>
                <w:bCs/>
                <w:smallCaps/>
                <w:color w:val="000000" w:themeColor="text1"/>
                <w:spacing w:val="5"/>
                <w:sz w:val="21"/>
                <w:szCs w:val="21"/>
              </w:rPr>
              <w:t>天津、河北里程</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D741">
            <w:pPr>
              <w:spacing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Theme="minorEastAsia" w:hAnsiTheme="minorEastAsia" w:eastAsiaTheme="minorEastAsia" w:cstheme="minorBidi"/>
                <w:b/>
                <w:bCs/>
                <w:smallCaps/>
                <w:color w:val="000000" w:themeColor="text1"/>
                <w:spacing w:val="5"/>
                <w:sz w:val="21"/>
                <w:szCs w:val="21"/>
              </w:rPr>
              <w:t>京津冀外里程</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ED10">
            <w:pPr>
              <w:spacing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Theme="minorEastAsia" w:hAnsiTheme="minorEastAsia" w:eastAsiaTheme="minorEastAsia" w:cstheme="minorBidi"/>
                <w:b/>
                <w:bCs/>
                <w:smallCaps/>
                <w:color w:val="000000" w:themeColor="text1"/>
                <w:spacing w:val="5"/>
                <w:sz w:val="21"/>
                <w:szCs w:val="21"/>
              </w:rPr>
              <w:t>数据获取方式</w:t>
            </w:r>
          </w:p>
        </w:tc>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F2959">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6FCF9">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410A">
            <w:pPr>
              <w:spacing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Theme="minorEastAsia" w:hAnsiTheme="minorEastAsia" w:eastAsiaTheme="minorEastAsia" w:cstheme="minorBidi"/>
                <w:b/>
                <w:bCs/>
                <w:smallCaps/>
                <w:color w:val="000000" w:themeColor="text1"/>
                <w:spacing w:val="5"/>
                <w:sz w:val="21"/>
                <w:szCs w:val="21"/>
              </w:rPr>
              <w:t>数据结果</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91BB">
            <w:pPr>
              <w:spacing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Theme="minorEastAsia" w:hAnsiTheme="minorEastAsia" w:eastAsiaTheme="minorEastAsia" w:cstheme="minorBidi"/>
                <w:b/>
                <w:bCs/>
                <w:smallCaps/>
                <w:color w:val="000000" w:themeColor="text1"/>
                <w:spacing w:val="5"/>
                <w:sz w:val="21"/>
                <w:szCs w:val="21"/>
              </w:rPr>
              <w:t>数据获取方式</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10AF">
            <w:pPr>
              <w:spacing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Theme="minorEastAsia" w:hAnsiTheme="minorEastAsia" w:eastAsiaTheme="minorEastAsia" w:cstheme="minorBidi"/>
                <w:b/>
                <w:bCs/>
                <w:smallCaps/>
                <w:color w:val="000000" w:themeColor="text1"/>
                <w:spacing w:val="5"/>
                <w:sz w:val="21"/>
                <w:szCs w:val="21"/>
              </w:rPr>
              <w:t>汽油（吨）</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E0C2">
            <w:pPr>
              <w:spacing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Theme="minorEastAsia" w:hAnsiTheme="minorEastAsia" w:eastAsiaTheme="minorEastAsia" w:cstheme="minorBidi"/>
                <w:b/>
                <w:bCs/>
                <w:smallCaps/>
                <w:color w:val="000000" w:themeColor="text1"/>
                <w:spacing w:val="5"/>
                <w:sz w:val="21"/>
                <w:szCs w:val="21"/>
              </w:rPr>
              <w:t>电（兆瓦时）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70D5">
            <w:pPr>
              <w:spacing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Theme="minorEastAsia" w:hAnsiTheme="minorEastAsia" w:eastAsiaTheme="minorEastAsia" w:cstheme="minorBidi"/>
                <w:b/>
                <w:bCs/>
                <w:smallCaps/>
                <w:color w:val="000000" w:themeColor="text1"/>
                <w:spacing w:val="5"/>
                <w:sz w:val="21"/>
                <w:szCs w:val="21"/>
              </w:rPr>
              <w:t>天然气（万立方米）</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1473">
            <w:pPr>
              <w:spacing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Theme="minorEastAsia" w:hAnsiTheme="minorEastAsia" w:eastAsiaTheme="minorEastAsia" w:cstheme="minorBidi"/>
                <w:b/>
                <w:bCs/>
                <w:smallCaps/>
                <w:color w:val="000000" w:themeColor="text1"/>
                <w:spacing w:val="5"/>
                <w:sz w:val="21"/>
                <w:szCs w:val="21"/>
              </w:rPr>
              <w:t>柴油（吨）</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8CAC">
            <w:pPr>
              <w:spacing w:line="240" w:lineRule="auto"/>
              <w:textAlignment w:val="center"/>
              <w:rPr>
                <w:rFonts w:asciiTheme="minorEastAsia" w:hAnsiTheme="minorEastAsia" w:eastAsiaTheme="minorEastAsia" w:cstheme="minorBidi"/>
                <w:b/>
                <w:bCs/>
                <w:smallCaps/>
                <w:color w:val="000000" w:themeColor="text1"/>
                <w:spacing w:val="5"/>
                <w:sz w:val="21"/>
                <w:szCs w:val="21"/>
              </w:rPr>
            </w:pPr>
            <w:r>
              <w:rPr>
                <w:rFonts w:hint="eastAsia" w:asciiTheme="minorEastAsia" w:hAnsiTheme="minorEastAsia" w:eastAsiaTheme="minorEastAsia" w:cstheme="minorBidi"/>
                <w:b/>
                <w:bCs/>
                <w:smallCaps/>
                <w:color w:val="000000" w:themeColor="text1"/>
                <w:spacing w:val="5"/>
                <w:sz w:val="21"/>
                <w:szCs w:val="21"/>
              </w:rPr>
              <w:t>车用尿素溶液（吨）</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5CE6">
            <w:pPr>
              <w:spacing w:line="240" w:lineRule="auto"/>
              <w:textAlignment w:val="center"/>
              <w:rPr>
                <w:rFonts w:asciiTheme="minorEastAsia" w:hAnsiTheme="minorEastAsia" w:eastAsiaTheme="minorEastAsia" w:cstheme="minorBidi"/>
                <w:b/>
                <w:bCs/>
                <w:smallCaps/>
                <w:color w:val="000000" w:themeColor="text1"/>
                <w:spacing w:val="5"/>
                <w:sz w:val="21"/>
                <w:szCs w:val="21"/>
              </w:rPr>
            </w:pPr>
            <w:r>
              <w:rPr>
                <w:rFonts w:hint="eastAsia" w:asciiTheme="minorEastAsia" w:hAnsiTheme="minorEastAsia" w:eastAsiaTheme="minorEastAsia" w:cstheme="minorBidi"/>
                <w:b/>
                <w:bCs/>
                <w:smallCaps/>
                <w:color w:val="000000" w:themeColor="text1"/>
                <w:spacing w:val="5"/>
                <w:sz w:val="21"/>
                <w:szCs w:val="21"/>
              </w:rPr>
              <w:t>数据获取方式</w:t>
            </w:r>
          </w:p>
        </w:tc>
        <w:tc>
          <w:tcPr>
            <w:tcW w:w="350" w:type="dxa"/>
            <w:vMerge w:val="continue"/>
            <w:tcBorders>
              <w:left w:val="single" w:color="000000" w:sz="4" w:space="0"/>
              <w:bottom w:val="single" w:color="000000" w:sz="4" w:space="0"/>
              <w:right w:val="single" w:color="000000" w:sz="4" w:space="0"/>
            </w:tcBorders>
          </w:tcPr>
          <w:p w14:paraId="27E1EB2B">
            <w:pPr>
              <w:spacing w:line="240" w:lineRule="auto"/>
              <w:jc w:val="center"/>
              <w:rPr>
                <w:rFonts w:asciiTheme="minorEastAsia" w:hAnsiTheme="minorEastAsia" w:eastAsiaTheme="minorEastAsia" w:cstheme="minorBidi"/>
                <w:b/>
                <w:bCs/>
                <w:smallCaps/>
                <w:color w:val="000000" w:themeColor="text1"/>
                <w:spacing w:val="5"/>
                <w:sz w:val="21"/>
                <w:szCs w:val="21"/>
              </w:rPr>
            </w:pPr>
          </w:p>
        </w:tc>
      </w:tr>
      <w:tr w14:paraId="76F9AF56">
        <w:tblPrEx>
          <w:tblCellMar>
            <w:top w:w="0" w:type="dxa"/>
            <w:left w:w="108" w:type="dxa"/>
            <w:bottom w:w="0" w:type="dxa"/>
            <w:right w:w="108" w:type="dxa"/>
          </w:tblCellMar>
        </w:tblPrEx>
        <w:trPr>
          <w:trHeight w:val="632"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D0F42">
            <w:pPr>
              <w:spacing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asciiTheme="minorEastAsia" w:hAnsiTheme="minorEastAsia" w:eastAsiaTheme="minorEastAsia" w:cstheme="minorBidi"/>
                <w:b/>
                <w:bCs/>
                <w:smallCaps/>
                <w:color w:val="000000" w:themeColor="text1"/>
                <w:spacing w:val="5"/>
                <w:sz w:val="21"/>
                <w:szCs w:val="21"/>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CB5A8">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0517">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5B30A">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B7996">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FDF44">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B0735">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8F55D">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EBCCE">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D8358">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19948">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1EE6F">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40863">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04740">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18771">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F0D77">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D5149">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674AA">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F114">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08BD3">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31077">
            <w:pPr>
              <w:spacing w:line="240" w:lineRule="auto"/>
              <w:rPr>
                <w:rFonts w:asciiTheme="minorEastAsia" w:hAnsiTheme="minorEastAsia" w:eastAsiaTheme="minorEastAsia" w:cstheme="minorBidi"/>
                <w:b/>
                <w:bCs/>
                <w:smallCaps/>
                <w:color w:val="000000" w:themeColor="text1"/>
                <w:spacing w:val="5"/>
                <w:sz w:val="21"/>
                <w:szCs w:val="21"/>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EFB9A">
            <w:pPr>
              <w:spacing w:line="240" w:lineRule="auto"/>
              <w:rPr>
                <w:rFonts w:asciiTheme="minorEastAsia" w:hAnsiTheme="minorEastAsia" w:eastAsiaTheme="minorEastAsia" w:cstheme="minorBidi"/>
                <w:b/>
                <w:bCs/>
                <w:smallCaps/>
                <w:color w:val="000000" w:themeColor="text1"/>
                <w:spacing w:val="5"/>
                <w:sz w:val="21"/>
                <w:szCs w:val="21"/>
              </w:rPr>
            </w:pPr>
          </w:p>
        </w:tc>
        <w:tc>
          <w:tcPr>
            <w:tcW w:w="350" w:type="dxa"/>
            <w:tcBorders>
              <w:top w:val="single" w:color="000000" w:sz="4" w:space="0"/>
              <w:left w:val="single" w:color="000000" w:sz="4" w:space="0"/>
              <w:bottom w:val="single" w:color="000000" w:sz="4" w:space="0"/>
              <w:right w:val="single" w:color="000000" w:sz="4" w:space="0"/>
            </w:tcBorders>
          </w:tcPr>
          <w:p w14:paraId="680A0B53">
            <w:pPr>
              <w:spacing w:line="240" w:lineRule="auto"/>
              <w:rPr>
                <w:rFonts w:asciiTheme="minorEastAsia" w:hAnsiTheme="minorEastAsia" w:eastAsiaTheme="minorEastAsia" w:cstheme="minorBidi"/>
                <w:b/>
                <w:bCs/>
                <w:smallCaps/>
                <w:color w:val="000000" w:themeColor="text1"/>
                <w:spacing w:val="5"/>
                <w:sz w:val="21"/>
                <w:szCs w:val="21"/>
              </w:rPr>
            </w:pPr>
          </w:p>
        </w:tc>
      </w:tr>
      <w:tr w14:paraId="116BEEC0">
        <w:tblPrEx>
          <w:tblCellMar>
            <w:top w:w="0" w:type="dxa"/>
            <w:left w:w="108" w:type="dxa"/>
            <w:bottom w:w="0" w:type="dxa"/>
            <w:right w:w="108" w:type="dxa"/>
          </w:tblCellMar>
        </w:tblPrEx>
        <w:trPr>
          <w:trHeight w:val="632"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091BA">
            <w:pPr>
              <w:spacing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asciiTheme="minorEastAsia" w:hAnsiTheme="minorEastAsia" w:eastAsiaTheme="minorEastAsia" w:cstheme="minorBidi"/>
                <w:b/>
                <w:bCs/>
                <w:smallCaps/>
                <w:color w:val="000000" w:themeColor="text1"/>
                <w:spacing w:val="5"/>
                <w:sz w:val="21"/>
                <w:szCs w:val="21"/>
              </w:rPr>
              <w:t>2</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FE8E1">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7C0AB">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D4A1B">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50108">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9260F">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2C966">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2A9E">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CDF88">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8637A">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07DA">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4A34A">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ECA51">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A0C1E">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89A4">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BD677">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CFFE">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A0086">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84D0A">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177B6">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A66C2">
            <w:pPr>
              <w:spacing w:line="240" w:lineRule="auto"/>
              <w:rPr>
                <w:rFonts w:asciiTheme="minorEastAsia" w:hAnsiTheme="minorEastAsia" w:eastAsiaTheme="minorEastAsia" w:cstheme="minorBidi"/>
                <w:b/>
                <w:bCs/>
                <w:smallCaps/>
                <w:color w:val="000000" w:themeColor="text1"/>
                <w:spacing w:val="5"/>
                <w:sz w:val="21"/>
                <w:szCs w:val="21"/>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5AF61">
            <w:pPr>
              <w:spacing w:line="240" w:lineRule="auto"/>
              <w:rPr>
                <w:rFonts w:asciiTheme="minorEastAsia" w:hAnsiTheme="minorEastAsia" w:eastAsiaTheme="minorEastAsia" w:cstheme="minorBidi"/>
                <w:b/>
                <w:bCs/>
                <w:smallCaps/>
                <w:color w:val="000000" w:themeColor="text1"/>
                <w:spacing w:val="5"/>
                <w:sz w:val="21"/>
                <w:szCs w:val="21"/>
              </w:rPr>
            </w:pPr>
          </w:p>
        </w:tc>
        <w:tc>
          <w:tcPr>
            <w:tcW w:w="350" w:type="dxa"/>
            <w:tcBorders>
              <w:top w:val="single" w:color="000000" w:sz="4" w:space="0"/>
              <w:left w:val="single" w:color="000000" w:sz="4" w:space="0"/>
              <w:bottom w:val="single" w:color="000000" w:sz="4" w:space="0"/>
              <w:right w:val="single" w:color="000000" w:sz="4" w:space="0"/>
            </w:tcBorders>
          </w:tcPr>
          <w:p w14:paraId="5A293AC1">
            <w:pPr>
              <w:spacing w:line="240" w:lineRule="auto"/>
              <w:rPr>
                <w:rFonts w:asciiTheme="minorEastAsia" w:hAnsiTheme="minorEastAsia" w:eastAsiaTheme="minorEastAsia" w:cstheme="minorBidi"/>
                <w:b/>
                <w:bCs/>
                <w:smallCaps/>
                <w:color w:val="000000" w:themeColor="text1"/>
                <w:spacing w:val="5"/>
                <w:sz w:val="21"/>
                <w:szCs w:val="21"/>
              </w:rPr>
            </w:pPr>
          </w:p>
        </w:tc>
      </w:tr>
      <w:tr w14:paraId="12FAE227">
        <w:tblPrEx>
          <w:tblCellMar>
            <w:top w:w="0" w:type="dxa"/>
            <w:left w:w="108" w:type="dxa"/>
            <w:bottom w:w="0" w:type="dxa"/>
            <w:right w:w="108" w:type="dxa"/>
          </w:tblCellMar>
        </w:tblPrEx>
        <w:trPr>
          <w:trHeight w:val="632"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A77A1">
            <w:pPr>
              <w:spacing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asciiTheme="minorEastAsia" w:hAnsiTheme="minorEastAsia" w:eastAsiaTheme="minorEastAsia" w:cstheme="minorBidi"/>
                <w:b/>
                <w:bCs/>
                <w:smallCaps/>
                <w:color w:val="000000" w:themeColor="text1"/>
                <w:spacing w:val="5"/>
                <w:sz w:val="21"/>
                <w:szCs w:val="21"/>
              </w:rPr>
              <w:t>3</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66F4">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79743">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B3DE1">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68DF8">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A813">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C2154">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A338A">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C698C">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E7685">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56286">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3F231">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BE01A">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E747B">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7DC2">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D3E50">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F99D">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3ED7">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0A19">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269BB">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BC940">
            <w:pPr>
              <w:spacing w:line="240" w:lineRule="auto"/>
              <w:rPr>
                <w:rFonts w:asciiTheme="minorEastAsia" w:hAnsiTheme="minorEastAsia" w:eastAsiaTheme="minorEastAsia" w:cstheme="minorBidi"/>
                <w:b/>
                <w:bCs/>
                <w:smallCaps/>
                <w:color w:val="000000" w:themeColor="text1"/>
                <w:spacing w:val="5"/>
                <w:sz w:val="21"/>
                <w:szCs w:val="21"/>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038B9">
            <w:pPr>
              <w:spacing w:line="240" w:lineRule="auto"/>
              <w:rPr>
                <w:rFonts w:asciiTheme="minorEastAsia" w:hAnsiTheme="minorEastAsia" w:eastAsiaTheme="minorEastAsia" w:cstheme="minorBidi"/>
                <w:b/>
                <w:bCs/>
                <w:smallCaps/>
                <w:color w:val="000000" w:themeColor="text1"/>
                <w:spacing w:val="5"/>
                <w:sz w:val="21"/>
                <w:szCs w:val="21"/>
              </w:rPr>
            </w:pPr>
          </w:p>
        </w:tc>
        <w:tc>
          <w:tcPr>
            <w:tcW w:w="350" w:type="dxa"/>
            <w:tcBorders>
              <w:top w:val="single" w:color="000000" w:sz="4" w:space="0"/>
              <w:left w:val="single" w:color="000000" w:sz="4" w:space="0"/>
              <w:bottom w:val="single" w:color="000000" w:sz="4" w:space="0"/>
              <w:right w:val="single" w:color="000000" w:sz="4" w:space="0"/>
            </w:tcBorders>
          </w:tcPr>
          <w:p w14:paraId="6D03A676">
            <w:pPr>
              <w:spacing w:line="240" w:lineRule="auto"/>
              <w:rPr>
                <w:rFonts w:asciiTheme="minorEastAsia" w:hAnsiTheme="minorEastAsia" w:eastAsiaTheme="minorEastAsia" w:cstheme="minorBidi"/>
                <w:b/>
                <w:bCs/>
                <w:smallCaps/>
                <w:color w:val="000000" w:themeColor="text1"/>
                <w:spacing w:val="5"/>
                <w:sz w:val="21"/>
                <w:szCs w:val="21"/>
              </w:rPr>
            </w:pPr>
          </w:p>
        </w:tc>
      </w:tr>
      <w:tr w14:paraId="1DD3558B">
        <w:tblPrEx>
          <w:tblCellMar>
            <w:top w:w="0" w:type="dxa"/>
            <w:left w:w="108" w:type="dxa"/>
            <w:bottom w:w="0" w:type="dxa"/>
            <w:right w:w="108" w:type="dxa"/>
          </w:tblCellMar>
        </w:tblPrEx>
        <w:trPr>
          <w:trHeight w:val="632"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7008A">
            <w:pPr>
              <w:spacing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Theme="minorEastAsia" w:hAnsiTheme="minorEastAsia" w:eastAsiaTheme="minorEastAsia" w:cstheme="minorBidi"/>
                <w:b/>
                <w:bCs/>
                <w:smallCaps/>
                <w:color w:val="000000" w:themeColor="text1"/>
                <w:spacing w:val="5"/>
                <w:sz w:val="21"/>
                <w:szCs w:val="21"/>
              </w:rPr>
              <w:t>合计</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B47F">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15061">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67CF9">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EE06">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D318F">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ABDE">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BFCD4">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54A1">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38BAB">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E6A75">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727C8">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264EE">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CAC2">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B7B90">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250DC">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E118A">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14DDE">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0A5C3">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8F5C">
            <w:pPr>
              <w:spacing w:line="240" w:lineRule="auto"/>
              <w:jc w:val="center"/>
              <w:rPr>
                <w:rFonts w:asciiTheme="minorEastAsia" w:hAnsiTheme="minorEastAsia" w:eastAsiaTheme="minorEastAsia" w:cstheme="minorBidi"/>
                <w:b/>
                <w:bCs/>
                <w:smallCaps/>
                <w:color w:val="000000" w:themeColor="text1"/>
                <w:spacing w:val="5"/>
                <w:sz w:val="21"/>
                <w:szCs w:val="21"/>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64548">
            <w:pPr>
              <w:spacing w:line="240" w:lineRule="auto"/>
              <w:rPr>
                <w:rFonts w:asciiTheme="minorEastAsia" w:hAnsiTheme="minorEastAsia" w:eastAsiaTheme="minorEastAsia" w:cstheme="minorBidi"/>
                <w:b/>
                <w:bCs/>
                <w:smallCaps/>
                <w:color w:val="000000" w:themeColor="text1"/>
                <w:spacing w:val="5"/>
                <w:sz w:val="21"/>
                <w:szCs w:val="21"/>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53B3B">
            <w:pPr>
              <w:spacing w:line="240" w:lineRule="auto"/>
              <w:rPr>
                <w:rFonts w:asciiTheme="minorEastAsia" w:hAnsiTheme="minorEastAsia" w:eastAsiaTheme="minorEastAsia" w:cstheme="minorBidi"/>
                <w:b/>
                <w:bCs/>
                <w:smallCaps/>
                <w:color w:val="000000" w:themeColor="text1"/>
                <w:spacing w:val="5"/>
                <w:sz w:val="21"/>
                <w:szCs w:val="21"/>
              </w:rPr>
            </w:pPr>
          </w:p>
        </w:tc>
        <w:tc>
          <w:tcPr>
            <w:tcW w:w="350" w:type="dxa"/>
            <w:tcBorders>
              <w:top w:val="single" w:color="000000" w:sz="4" w:space="0"/>
              <w:left w:val="single" w:color="000000" w:sz="4" w:space="0"/>
              <w:bottom w:val="single" w:color="000000" w:sz="4" w:space="0"/>
              <w:right w:val="single" w:color="000000" w:sz="4" w:space="0"/>
            </w:tcBorders>
          </w:tcPr>
          <w:p w14:paraId="37C33045">
            <w:pPr>
              <w:spacing w:line="240" w:lineRule="auto"/>
              <w:rPr>
                <w:rFonts w:asciiTheme="minorEastAsia" w:hAnsiTheme="minorEastAsia" w:eastAsiaTheme="minorEastAsia" w:cstheme="minorBidi"/>
                <w:b/>
                <w:bCs/>
                <w:smallCaps/>
                <w:color w:val="000000" w:themeColor="text1"/>
                <w:spacing w:val="5"/>
                <w:sz w:val="21"/>
                <w:szCs w:val="21"/>
              </w:rPr>
            </w:pPr>
          </w:p>
        </w:tc>
      </w:tr>
    </w:tbl>
    <w:p w14:paraId="16501422">
      <w:pPr>
        <w:spacing w:line="240" w:lineRule="auto"/>
        <w:ind w:firstLine="315" w:firstLineChars="150"/>
        <w:rPr>
          <w:rFonts w:ascii="宋体" w:hAnsi="宋体"/>
          <w:bCs/>
          <w:sz w:val="21"/>
          <w:szCs w:val="21"/>
        </w:rPr>
      </w:pPr>
      <w:r>
        <w:rPr>
          <w:rFonts w:hint="eastAsia" w:ascii="宋体" w:hAnsi="宋体"/>
          <w:bCs/>
          <w:sz w:val="21"/>
          <w:szCs w:val="21"/>
        </w:rPr>
        <w:t>核查要求：</w:t>
      </w:r>
    </w:p>
    <w:p w14:paraId="75C9E883">
      <w:pPr>
        <w:spacing w:line="240" w:lineRule="auto"/>
        <w:ind w:firstLine="315" w:firstLineChars="150"/>
        <w:jc w:val="both"/>
        <w:rPr>
          <w:rFonts w:asciiTheme="minorEastAsia" w:hAnsiTheme="minorEastAsia" w:eastAsiaTheme="minorEastAsia"/>
          <w:bCs/>
          <w:sz w:val="21"/>
          <w:szCs w:val="21"/>
        </w:rPr>
      </w:pPr>
      <w:r>
        <w:rPr>
          <w:rFonts w:asciiTheme="minorEastAsia" w:hAnsiTheme="minorEastAsia" w:eastAsiaTheme="minorEastAsia"/>
          <w:bCs/>
          <w:sz w:val="21"/>
          <w:szCs w:val="21"/>
        </w:rPr>
        <w:t xml:space="preserve">1.车辆型号：按照车辆的实际品牌及车辆型号填写，如宇通T7; </w:t>
      </w:r>
    </w:p>
    <w:p w14:paraId="270B8AF3">
      <w:pPr>
        <w:spacing w:line="240" w:lineRule="auto"/>
        <w:ind w:firstLine="315" w:firstLineChars="150"/>
        <w:jc w:val="both"/>
        <w:rPr>
          <w:rFonts w:asciiTheme="minorEastAsia" w:hAnsiTheme="minorEastAsia" w:eastAsiaTheme="minorEastAsia"/>
          <w:bCs/>
          <w:sz w:val="21"/>
          <w:szCs w:val="21"/>
        </w:rPr>
      </w:pPr>
      <w:r>
        <w:rPr>
          <w:rFonts w:asciiTheme="minorEastAsia" w:hAnsiTheme="minorEastAsia" w:eastAsiaTheme="minorEastAsia"/>
          <w:bCs/>
          <w:sz w:val="21"/>
          <w:szCs w:val="21"/>
        </w:rPr>
        <w:t>2.车辆排放标准：按照车辆实际的排放标准进行填写，，例如国Ⅵ、国Ⅴ；</w:t>
      </w:r>
    </w:p>
    <w:p w14:paraId="06A27D75">
      <w:pPr>
        <w:spacing w:line="240" w:lineRule="auto"/>
        <w:ind w:firstLine="315" w:firstLineChars="150"/>
        <w:jc w:val="both"/>
        <w:rPr>
          <w:rFonts w:asciiTheme="minorEastAsia" w:hAnsiTheme="minorEastAsia" w:eastAsiaTheme="minorEastAsia"/>
          <w:bCs/>
          <w:sz w:val="21"/>
          <w:szCs w:val="21"/>
        </w:rPr>
      </w:pPr>
      <w:r>
        <w:rPr>
          <w:rFonts w:asciiTheme="minorEastAsia" w:hAnsiTheme="minorEastAsia" w:eastAsiaTheme="minorEastAsia"/>
          <w:bCs/>
          <w:sz w:val="21"/>
          <w:szCs w:val="21"/>
        </w:rPr>
        <w:t>3.座位数：按照车辆的实际座位数填写，如7座、15座、30座</w:t>
      </w:r>
    </w:p>
    <w:p w14:paraId="0DED6270">
      <w:pPr>
        <w:spacing w:line="240" w:lineRule="auto"/>
        <w:ind w:firstLine="315" w:firstLineChars="150"/>
        <w:jc w:val="both"/>
        <w:rPr>
          <w:rFonts w:asciiTheme="minorEastAsia" w:hAnsiTheme="minorEastAsia" w:eastAsiaTheme="minorEastAsia"/>
          <w:bCs/>
          <w:sz w:val="21"/>
          <w:szCs w:val="21"/>
        </w:rPr>
      </w:pPr>
      <w:r>
        <w:rPr>
          <w:rFonts w:asciiTheme="minorEastAsia" w:hAnsiTheme="minorEastAsia" w:eastAsiaTheme="minorEastAsia"/>
          <w:bCs/>
          <w:sz w:val="21"/>
          <w:szCs w:val="21"/>
        </w:rPr>
        <w:t>4.车辆数量：填写登记注册在企业名下每种车型及排放标准的车辆保有量;</w:t>
      </w:r>
    </w:p>
    <w:p w14:paraId="6E5F3675">
      <w:pPr>
        <w:spacing w:line="240" w:lineRule="auto"/>
        <w:ind w:firstLine="315" w:firstLineChars="150"/>
        <w:jc w:val="both"/>
        <w:rPr>
          <w:rFonts w:asciiTheme="minorEastAsia" w:hAnsiTheme="minorEastAsia" w:eastAsiaTheme="minorEastAsia"/>
          <w:bCs/>
          <w:sz w:val="21"/>
          <w:szCs w:val="21"/>
        </w:rPr>
      </w:pPr>
      <w:r>
        <w:rPr>
          <w:rFonts w:asciiTheme="minorEastAsia" w:hAnsiTheme="minorEastAsia" w:eastAsiaTheme="minorEastAsia"/>
          <w:bCs/>
          <w:sz w:val="21"/>
          <w:szCs w:val="21"/>
        </w:rPr>
        <w:t>5.安装SCR车辆数：填写登记注册在企业名下车辆中安装了SCR设备的车辆保有量</w:t>
      </w:r>
    </w:p>
    <w:p w14:paraId="4CEF86F7">
      <w:pPr>
        <w:spacing w:line="240" w:lineRule="auto"/>
        <w:ind w:firstLine="315" w:firstLineChars="150"/>
        <w:jc w:val="both"/>
        <w:rPr>
          <w:rFonts w:asciiTheme="minorEastAsia" w:hAnsiTheme="minorEastAsia" w:eastAsiaTheme="minorEastAsia"/>
          <w:bCs/>
          <w:sz w:val="21"/>
          <w:szCs w:val="21"/>
        </w:rPr>
      </w:pPr>
      <w:r>
        <w:rPr>
          <w:rFonts w:asciiTheme="minorEastAsia" w:hAnsiTheme="minorEastAsia" w:eastAsiaTheme="minorEastAsia"/>
          <w:bCs/>
          <w:sz w:val="21"/>
          <w:szCs w:val="21"/>
        </w:rPr>
        <w:t>6.能源类型：填写每种车型及排放标准的车辆对应燃料种类，如柴油、汽油、天然气、电力;</w:t>
      </w:r>
    </w:p>
    <w:p w14:paraId="4311A5ED">
      <w:pPr>
        <w:spacing w:line="240" w:lineRule="auto"/>
        <w:ind w:firstLine="315" w:firstLineChars="150"/>
        <w:jc w:val="both"/>
        <w:rPr>
          <w:rFonts w:asciiTheme="minorEastAsia" w:hAnsiTheme="minorEastAsia" w:eastAsiaTheme="minorEastAsia"/>
          <w:bCs/>
          <w:sz w:val="21"/>
          <w:szCs w:val="21"/>
        </w:rPr>
      </w:pPr>
      <w:r>
        <w:rPr>
          <w:rFonts w:asciiTheme="minorEastAsia" w:hAnsiTheme="minorEastAsia" w:eastAsiaTheme="minorEastAsia"/>
          <w:bCs/>
          <w:sz w:val="21"/>
          <w:szCs w:val="21"/>
        </w:rPr>
        <w:t>7.年度累计行驶里程（</w:t>
      </w:r>
      <w:r>
        <w:rPr>
          <w:rFonts w:hint="eastAsia" w:asciiTheme="minorEastAsia" w:hAnsiTheme="minorEastAsia" w:eastAsiaTheme="minorEastAsia"/>
          <w:bCs/>
          <w:sz w:val="21"/>
          <w:szCs w:val="21"/>
        </w:rPr>
        <w:t>万</w:t>
      </w:r>
      <w:r>
        <w:rPr>
          <w:rFonts w:asciiTheme="minorEastAsia" w:hAnsiTheme="minorEastAsia" w:eastAsiaTheme="minorEastAsia"/>
          <w:bCs/>
          <w:sz w:val="21"/>
          <w:szCs w:val="21"/>
        </w:rPr>
        <w:t>公里）：</w:t>
      </w:r>
    </w:p>
    <w:p w14:paraId="5C069133">
      <w:pPr>
        <w:spacing w:line="240" w:lineRule="auto"/>
        <w:ind w:firstLine="315" w:firstLineChars="150"/>
        <w:jc w:val="both"/>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1）累计里程：企业旗下车辆单车在全国范围内运行的全部里程合计；</w:t>
      </w:r>
    </w:p>
    <w:p w14:paraId="1892D471">
      <w:pPr>
        <w:spacing w:line="240" w:lineRule="auto"/>
        <w:ind w:firstLine="315" w:firstLineChars="150"/>
        <w:jc w:val="both"/>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2）京内里程：企业旗下车辆单车在北京市域范围内运行的全部里程合计；</w:t>
      </w:r>
    </w:p>
    <w:p w14:paraId="596CA884">
      <w:pPr>
        <w:spacing w:line="240" w:lineRule="auto"/>
        <w:ind w:firstLine="315" w:firstLineChars="150"/>
        <w:jc w:val="both"/>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3）天津、河北里程：企业旗下车辆单车在天津市及河北省域范围内运行的全部里程合计；</w:t>
      </w:r>
    </w:p>
    <w:p w14:paraId="2B24D60A">
      <w:pPr>
        <w:spacing w:line="240" w:lineRule="auto"/>
        <w:ind w:firstLine="315" w:firstLineChars="150"/>
        <w:jc w:val="both"/>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4）京津冀外里程：企业旗下车辆单车在全国除北京市、天津市、河北省域范围外运行的全部里程合计；</w:t>
      </w:r>
    </w:p>
    <w:p w14:paraId="7BBC18E8">
      <w:pPr>
        <w:spacing w:line="240" w:lineRule="auto"/>
        <w:ind w:firstLine="315" w:firstLineChars="150"/>
        <w:jc w:val="both"/>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5）数据获取方式：</w:t>
      </w:r>
    </w:p>
    <w:p w14:paraId="54E34FB9">
      <w:pPr>
        <w:spacing w:line="240" w:lineRule="auto"/>
        <w:ind w:firstLine="315" w:firstLineChars="150"/>
        <w:jc w:val="both"/>
        <w:rPr>
          <w:rFonts w:asciiTheme="minorEastAsia" w:hAnsiTheme="minorEastAsia" w:eastAsiaTheme="minorEastAsia"/>
          <w:bCs/>
          <w:sz w:val="21"/>
          <w:szCs w:val="21"/>
        </w:rPr>
      </w:pPr>
      <w:r>
        <w:rPr>
          <w:rFonts w:hint="eastAsia" w:asciiTheme="minorEastAsia" w:hAnsiTheme="minorEastAsia" w:eastAsiaTheme="minorEastAsia"/>
          <w:bCs/>
          <w:sz w:val="21"/>
          <w:szCs w:val="21"/>
        </w:rPr>
        <w:t>①企业通过自有单车级大数据监控平台获取得到的单车级车辆行驶里程；</w:t>
      </w:r>
    </w:p>
    <w:p w14:paraId="1A2BF2B6">
      <w:pPr>
        <w:spacing w:line="240" w:lineRule="auto"/>
        <w:ind w:firstLine="315" w:firstLineChars="150"/>
        <w:jc w:val="both"/>
        <w:rPr>
          <w:rFonts w:asciiTheme="minorEastAsia" w:hAnsiTheme="minorEastAsia" w:eastAsiaTheme="minorEastAsia"/>
          <w:bCs/>
          <w:sz w:val="21"/>
          <w:szCs w:val="21"/>
        </w:rPr>
      </w:pPr>
      <w:r>
        <w:rPr>
          <w:rFonts w:hint="eastAsia" w:asciiTheme="minorEastAsia" w:hAnsiTheme="minorEastAsia" w:eastAsiaTheme="minorEastAsia"/>
          <w:bCs/>
          <w:sz w:val="21"/>
          <w:szCs w:val="21"/>
        </w:rPr>
        <w:t>②企业通过对旗下车辆仪表盘进行抄表统计获得的单车级车辆行驶里程；</w:t>
      </w:r>
    </w:p>
    <w:p w14:paraId="2DA0B39F">
      <w:pPr>
        <w:spacing w:line="240" w:lineRule="auto"/>
        <w:ind w:firstLine="315" w:firstLineChars="150"/>
        <w:jc w:val="both"/>
        <w:rPr>
          <w:rFonts w:asciiTheme="minorEastAsia" w:hAnsiTheme="minorEastAsia" w:eastAsiaTheme="minorEastAsia"/>
          <w:bCs/>
          <w:sz w:val="21"/>
          <w:szCs w:val="21"/>
        </w:rPr>
      </w:pPr>
      <w:r>
        <w:rPr>
          <w:rFonts w:hint="eastAsia" w:asciiTheme="minorEastAsia" w:hAnsiTheme="minorEastAsia" w:eastAsiaTheme="minorEastAsia"/>
          <w:bCs/>
          <w:sz w:val="21"/>
          <w:szCs w:val="21"/>
        </w:rPr>
        <w:t>③企业通过参考主管部门提供的单车级车辆行驶里程推荐值；</w:t>
      </w:r>
    </w:p>
    <w:p w14:paraId="66242367">
      <w:pPr>
        <w:spacing w:line="240" w:lineRule="auto"/>
        <w:ind w:firstLine="315" w:firstLineChars="150"/>
        <w:jc w:val="both"/>
        <w:rPr>
          <w:rFonts w:asciiTheme="minorEastAsia" w:hAnsiTheme="minorEastAsia" w:eastAsiaTheme="minorEastAsia"/>
          <w:bCs/>
          <w:sz w:val="21"/>
          <w:szCs w:val="21"/>
        </w:rPr>
      </w:pPr>
      <w:r>
        <w:rPr>
          <w:rFonts w:asciiTheme="minorEastAsia" w:hAnsiTheme="minorEastAsia" w:eastAsiaTheme="minorEastAsia"/>
          <w:bCs/>
          <w:sz w:val="21"/>
          <w:szCs w:val="21"/>
        </w:rPr>
        <w:t>8.客运量：填报公路运输企业旗下所有车辆在每年度内实际运送的旅客人数（</w:t>
      </w:r>
      <w:r>
        <w:rPr>
          <w:rFonts w:hint="eastAsia" w:asciiTheme="minorEastAsia" w:hAnsiTheme="minorEastAsia" w:eastAsiaTheme="minorEastAsia"/>
          <w:bCs/>
          <w:sz w:val="21"/>
          <w:szCs w:val="21"/>
        </w:rPr>
        <w:t>万</w:t>
      </w:r>
      <w:r>
        <w:rPr>
          <w:rFonts w:asciiTheme="minorEastAsia" w:hAnsiTheme="minorEastAsia" w:eastAsiaTheme="minorEastAsia"/>
          <w:bCs/>
          <w:sz w:val="21"/>
          <w:szCs w:val="21"/>
        </w:rPr>
        <w:t>人次）;</w:t>
      </w:r>
    </w:p>
    <w:p w14:paraId="536D5CD0">
      <w:pPr>
        <w:spacing w:line="240" w:lineRule="auto"/>
        <w:ind w:firstLine="315" w:firstLineChars="150"/>
        <w:jc w:val="both"/>
        <w:rPr>
          <w:rFonts w:asciiTheme="minorEastAsia" w:hAnsiTheme="minorEastAsia" w:eastAsiaTheme="minorEastAsia"/>
          <w:bCs/>
          <w:sz w:val="21"/>
          <w:szCs w:val="21"/>
        </w:rPr>
      </w:pPr>
      <w:r>
        <w:rPr>
          <w:rFonts w:asciiTheme="minorEastAsia" w:hAnsiTheme="minorEastAsia" w:eastAsiaTheme="minorEastAsia"/>
          <w:bCs/>
          <w:sz w:val="21"/>
          <w:szCs w:val="21"/>
        </w:rPr>
        <w:t>9.客运周转量：填报公路运输企业旗下所有车辆在每年度内实际运送的旅客运输总量指标（</w:t>
      </w:r>
      <w:r>
        <w:rPr>
          <w:rFonts w:hint="eastAsia" w:asciiTheme="minorEastAsia" w:hAnsiTheme="minorEastAsia" w:eastAsiaTheme="minorEastAsia"/>
          <w:bCs/>
          <w:sz w:val="21"/>
          <w:szCs w:val="21"/>
        </w:rPr>
        <w:t>万</w:t>
      </w:r>
      <w:r>
        <w:rPr>
          <w:rFonts w:asciiTheme="minorEastAsia" w:hAnsiTheme="minorEastAsia" w:eastAsiaTheme="minorEastAsia"/>
          <w:bCs/>
          <w:sz w:val="21"/>
          <w:szCs w:val="21"/>
        </w:rPr>
        <w:t>人公里），基于客运量及平均运距乘积得到；</w:t>
      </w:r>
    </w:p>
    <w:p w14:paraId="3B054DCE">
      <w:pPr>
        <w:spacing w:line="240" w:lineRule="auto"/>
        <w:ind w:firstLine="315" w:firstLineChars="150"/>
        <w:jc w:val="both"/>
        <w:rPr>
          <w:rFonts w:asciiTheme="minorEastAsia" w:hAnsiTheme="minorEastAsia" w:eastAsiaTheme="minorEastAsia"/>
          <w:bCs/>
          <w:sz w:val="21"/>
          <w:szCs w:val="21"/>
        </w:rPr>
      </w:pPr>
      <w:r>
        <w:rPr>
          <w:rFonts w:asciiTheme="minorEastAsia" w:hAnsiTheme="minorEastAsia" w:eastAsiaTheme="minorEastAsia"/>
          <w:bCs/>
          <w:sz w:val="21"/>
          <w:szCs w:val="21"/>
        </w:rPr>
        <w:t>10.百公里单耗：</w:t>
      </w:r>
    </w:p>
    <w:p w14:paraId="32FE5F6B">
      <w:pPr>
        <w:spacing w:line="240" w:lineRule="auto"/>
        <w:ind w:firstLine="315" w:firstLineChars="150"/>
        <w:jc w:val="both"/>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1）百公里单耗数据结果：填报企业企业车辆（单车级）在运行单位距离（通常标定为100公里）时产生的能源消耗量，单位主要是：kg/百公里、立方米/百公里、千瓦时/百公里（企业如统计汽油、柴油车辆百公里单耗时统计单位为升时，可按照汽油0.73kg/L,柴油0.86kg/L进行单位换算）</w:t>
      </w:r>
    </w:p>
    <w:p w14:paraId="6EF5E43F">
      <w:pPr>
        <w:spacing w:line="240" w:lineRule="auto"/>
        <w:ind w:firstLine="315" w:firstLineChars="150"/>
        <w:jc w:val="both"/>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2）数据获取方式：</w:t>
      </w:r>
    </w:p>
    <w:p w14:paraId="26B1AC5B">
      <w:pPr>
        <w:spacing w:line="240" w:lineRule="auto"/>
        <w:ind w:firstLine="315" w:firstLineChars="150"/>
        <w:jc w:val="both"/>
        <w:rPr>
          <w:rFonts w:asciiTheme="minorEastAsia" w:hAnsiTheme="minorEastAsia" w:eastAsiaTheme="minorEastAsia"/>
          <w:bCs/>
          <w:sz w:val="21"/>
          <w:szCs w:val="21"/>
        </w:rPr>
      </w:pPr>
      <w:r>
        <w:rPr>
          <w:rFonts w:hint="eastAsia" w:asciiTheme="minorEastAsia" w:hAnsiTheme="minorEastAsia" w:eastAsiaTheme="minorEastAsia"/>
          <w:bCs/>
          <w:sz w:val="21"/>
          <w:szCs w:val="21"/>
        </w:rPr>
        <w:t>①企业通过自有单车级大数据监控平台获取得到的单车级车辆百公里能耗；</w:t>
      </w:r>
    </w:p>
    <w:p w14:paraId="4F8CD573">
      <w:pPr>
        <w:spacing w:line="240" w:lineRule="auto"/>
        <w:ind w:firstLine="315" w:firstLineChars="150"/>
        <w:jc w:val="both"/>
        <w:rPr>
          <w:rFonts w:asciiTheme="minorEastAsia" w:hAnsiTheme="minorEastAsia" w:eastAsiaTheme="minorEastAsia"/>
          <w:bCs/>
          <w:sz w:val="21"/>
          <w:szCs w:val="21"/>
        </w:rPr>
      </w:pPr>
      <w:r>
        <w:rPr>
          <w:rFonts w:hint="eastAsia" w:asciiTheme="minorEastAsia" w:hAnsiTheme="minorEastAsia" w:eastAsiaTheme="minorEastAsia"/>
          <w:bCs/>
          <w:sz w:val="21"/>
          <w:szCs w:val="21"/>
        </w:rPr>
        <w:t>②企业通过参考主管部门提供的单车级车辆百公里能耗推荐值；</w:t>
      </w:r>
    </w:p>
    <w:p w14:paraId="598AF75D">
      <w:pPr>
        <w:spacing w:line="240" w:lineRule="auto"/>
        <w:ind w:firstLine="315" w:firstLineChars="150"/>
        <w:jc w:val="both"/>
        <w:rPr>
          <w:rFonts w:asciiTheme="minorEastAsia" w:hAnsiTheme="minorEastAsia" w:eastAsiaTheme="minorEastAsia"/>
          <w:bCs/>
          <w:sz w:val="21"/>
          <w:szCs w:val="21"/>
        </w:rPr>
      </w:pPr>
      <w:r>
        <w:rPr>
          <w:rFonts w:asciiTheme="minorEastAsia" w:hAnsiTheme="minorEastAsia" w:eastAsiaTheme="minorEastAsia"/>
          <w:bCs/>
          <w:sz w:val="21"/>
          <w:szCs w:val="21"/>
        </w:rPr>
        <w:t>11.能源消耗量：</w:t>
      </w:r>
    </w:p>
    <w:p w14:paraId="7BEEBF92">
      <w:pPr>
        <w:spacing w:line="240" w:lineRule="auto"/>
        <w:ind w:firstLine="315" w:firstLineChars="150"/>
        <w:jc w:val="both"/>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1）能源消耗量：填报企业旗下车辆因运行而产生的能源消耗总量，按照车辆对应的能源类型，将实际的能源消耗量填写到对应的格内，单位主要是：吨、立方米、千瓦时（企业如统计汽油、柴油时统计单位为升时，可按照汽油0.73kg/L,柴油0.86kg/L进行单位换算）；</w:t>
      </w:r>
    </w:p>
    <w:p w14:paraId="7B0D76CB">
      <w:pPr>
        <w:spacing w:line="240" w:lineRule="auto"/>
        <w:ind w:firstLine="315" w:firstLineChars="150"/>
        <w:jc w:val="both"/>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2）数据获取方式：</w:t>
      </w:r>
    </w:p>
    <w:p w14:paraId="46B68CDD">
      <w:pPr>
        <w:spacing w:line="240" w:lineRule="auto"/>
        <w:ind w:firstLine="315" w:firstLineChars="150"/>
        <w:jc w:val="both"/>
        <w:rPr>
          <w:rFonts w:asciiTheme="minorEastAsia" w:hAnsiTheme="minorEastAsia" w:eastAsiaTheme="minorEastAsia"/>
          <w:bCs/>
          <w:sz w:val="21"/>
          <w:szCs w:val="21"/>
        </w:rPr>
      </w:pPr>
      <w:r>
        <w:rPr>
          <w:rFonts w:hint="eastAsia" w:asciiTheme="minorEastAsia" w:hAnsiTheme="minorEastAsia" w:eastAsiaTheme="minorEastAsia"/>
          <w:bCs/>
          <w:sz w:val="21"/>
          <w:szCs w:val="21"/>
        </w:rPr>
        <w:t>①基于单车级的能源消耗量统计手段进行能源消耗统计，一车一卡或一车一个充电账号等手段获取；</w:t>
      </w:r>
    </w:p>
    <w:p w14:paraId="5C002719">
      <w:pPr>
        <w:spacing w:line="240" w:lineRule="auto"/>
        <w:ind w:firstLine="315" w:firstLineChars="150"/>
        <w:jc w:val="both"/>
        <w:rPr>
          <w:rFonts w:asciiTheme="minorEastAsia" w:hAnsiTheme="minorEastAsia" w:eastAsiaTheme="minorEastAsia"/>
          <w:bCs/>
          <w:sz w:val="21"/>
          <w:szCs w:val="21"/>
        </w:rPr>
      </w:pPr>
      <w:r>
        <w:rPr>
          <w:rFonts w:hint="eastAsia" w:asciiTheme="minorEastAsia" w:hAnsiTheme="minorEastAsia" w:eastAsiaTheme="minorEastAsia"/>
          <w:bCs/>
          <w:sz w:val="21"/>
          <w:szCs w:val="21"/>
        </w:rPr>
        <w:t>②基于单车级的车辆行驶里程与百公里单耗数据结果计算得到；</w:t>
      </w:r>
    </w:p>
    <w:p w14:paraId="411CEC2A">
      <w:pPr>
        <w:ind w:firstLine="315" w:firstLineChars="150"/>
        <w:rPr>
          <w:rFonts w:asciiTheme="minorEastAsia" w:hAnsiTheme="minorEastAsia" w:eastAsiaTheme="minorEastAsia"/>
          <w:bCs/>
          <w:sz w:val="21"/>
          <w:szCs w:val="21"/>
        </w:rPr>
        <w:sectPr>
          <w:footerReference r:id="rId9" w:type="default"/>
          <w:footerReference r:id="rId10" w:type="even"/>
          <w:pgSz w:w="16838" w:h="11906" w:orient="landscape"/>
          <w:pgMar w:top="1587" w:right="1440" w:bottom="1474" w:left="1440" w:header="851" w:footer="1134" w:gutter="0"/>
          <w:pgNumType w:fmt="decimal"/>
          <w:cols w:space="0" w:num="1"/>
          <w:rtlGutter w:val="0"/>
          <w:docGrid w:linePitch="326" w:charSpace="0"/>
        </w:sectPr>
      </w:pPr>
      <w:r>
        <w:rPr>
          <w:rFonts w:asciiTheme="minorEastAsia" w:hAnsiTheme="minorEastAsia" w:eastAsiaTheme="minorEastAsia"/>
          <w:bCs/>
          <w:sz w:val="21"/>
          <w:szCs w:val="21"/>
        </w:rPr>
        <w:t>12.</w:t>
      </w:r>
      <w:r>
        <w:rPr>
          <w:rFonts w:hint="eastAsia" w:asciiTheme="minorEastAsia" w:hAnsiTheme="minorEastAsia" w:eastAsiaTheme="minorEastAsia"/>
          <w:bCs/>
          <w:sz w:val="21"/>
          <w:szCs w:val="21"/>
        </w:rPr>
        <w:t>年度</w:t>
      </w:r>
      <w:r>
        <w:rPr>
          <w:rFonts w:asciiTheme="minorEastAsia" w:hAnsiTheme="minorEastAsia" w:eastAsiaTheme="minorEastAsia"/>
          <w:bCs/>
          <w:sz w:val="21"/>
          <w:szCs w:val="21"/>
        </w:rPr>
        <w:t>累计碳排放量：由统计得到的车辆运行能耗及每种能源类型对应的碳排放因子转换系数计算得到</w:t>
      </w:r>
      <w:r>
        <w:rPr>
          <w:rFonts w:hint="eastAsia" w:asciiTheme="minorEastAsia" w:hAnsiTheme="minorEastAsia" w:eastAsiaTheme="minorEastAsia"/>
          <w:bCs/>
          <w:sz w:val="21"/>
          <w:szCs w:val="21"/>
        </w:rPr>
        <w:t>。</w:t>
      </w:r>
    </w:p>
    <w:p w14:paraId="6EFB23B6">
      <w:pPr>
        <w:ind w:firstLine="480" w:firstLineChars="150"/>
        <w:jc w:val="center"/>
        <w:rPr>
          <w:rFonts w:ascii="黑体" w:hAnsi="黑体" w:eastAsia="黑体"/>
          <w:bCs/>
          <w:sz w:val="32"/>
          <w:szCs w:val="28"/>
        </w:rPr>
      </w:pPr>
      <w:r>
        <w:rPr>
          <w:rFonts w:hint="eastAsia" w:ascii="黑体" w:hAnsi="黑体" w:eastAsia="黑体"/>
          <w:bCs/>
          <w:sz w:val="32"/>
          <w:szCs w:val="28"/>
        </w:rPr>
        <w:t>道路货物运输企业补充数据表</w:t>
      </w:r>
    </w:p>
    <w:tbl>
      <w:tblPr>
        <w:tblStyle w:val="35"/>
        <w:tblW w:w="0" w:type="auto"/>
        <w:tblInd w:w="98" w:type="dxa"/>
        <w:tblLayout w:type="autofit"/>
        <w:tblCellMar>
          <w:top w:w="0" w:type="dxa"/>
          <w:left w:w="108" w:type="dxa"/>
          <w:bottom w:w="0" w:type="dxa"/>
          <w:right w:w="108" w:type="dxa"/>
        </w:tblCellMar>
      </w:tblPr>
      <w:tblGrid>
        <w:gridCol w:w="556"/>
        <w:gridCol w:w="897"/>
        <w:gridCol w:w="727"/>
        <w:gridCol w:w="1237"/>
        <w:gridCol w:w="727"/>
        <w:gridCol w:w="471"/>
        <w:gridCol w:w="897"/>
        <w:gridCol w:w="386"/>
        <w:gridCol w:w="386"/>
        <w:gridCol w:w="556"/>
        <w:gridCol w:w="386"/>
        <w:gridCol w:w="386"/>
        <w:gridCol w:w="727"/>
        <w:gridCol w:w="556"/>
        <w:gridCol w:w="386"/>
        <w:gridCol w:w="386"/>
        <w:gridCol w:w="727"/>
        <w:gridCol w:w="556"/>
        <w:gridCol w:w="556"/>
        <w:gridCol w:w="727"/>
        <w:gridCol w:w="728"/>
        <w:gridCol w:w="387"/>
        <w:gridCol w:w="728"/>
      </w:tblGrid>
      <w:tr w14:paraId="5EBD3A6A">
        <w:tblPrEx>
          <w:tblCellMar>
            <w:top w:w="0" w:type="dxa"/>
            <w:left w:w="108" w:type="dxa"/>
            <w:bottom w:w="0" w:type="dxa"/>
            <w:right w:w="108" w:type="dxa"/>
          </w:tblCellMar>
        </w:tblPrEx>
        <w:trPr>
          <w:trHeight w:val="9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C3A2">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3E8AF">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车辆型号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544A3">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总质量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C898D">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车辆排放标准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9AAB">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车辆数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256E28">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安装</w:t>
            </w:r>
            <w:r>
              <w:rPr>
                <w:rFonts w:cs="等线" w:asciiTheme="minorEastAsia" w:hAnsiTheme="minorEastAsia" w:eastAsiaTheme="minorEastAsia"/>
                <w:color w:val="000000"/>
                <w:sz w:val="21"/>
                <w:szCs w:val="21"/>
                <w:lang w:bidi="ar"/>
              </w:rPr>
              <w:t>SCR车辆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3281">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能源类型</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43FA31">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年度累计行驶里程（万公里）</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77E9DC">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货运量（吨）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DB10D9">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货运周转量（万吨公里）</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8594C">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百公里单耗</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C3D5A">
            <w:pPr>
              <w:spacing w:line="240" w:lineRule="auto"/>
              <w:jc w:val="center"/>
              <w:textAlignment w:val="center"/>
              <w:rPr>
                <w:rFonts w:cs="等线" w:asciiTheme="minorEastAsia" w:hAnsiTheme="minorEastAsia" w:eastAsiaTheme="minorEastAsia"/>
                <w:color w:val="000000"/>
                <w:sz w:val="21"/>
                <w:szCs w:val="21"/>
                <w:lang w:bidi="ar"/>
              </w:rPr>
            </w:pPr>
            <w:r>
              <w:rPr>
                <w:rFonts w:hint="eastAsia" w:cs="等线" w:asciiTheme="minorEastAsia" w:hAnsiTheme="minorEastAsia" w:eastAsiaTheme="minorEastAsia"/>
                <w:color w:val="000000"/>
                <w:sz w:val="21"/>
                <w:szCs w:val="21"/>
                <w:lang w:bidi="ar"/>
              </w:rPr>
              <w:t>能源消耗量</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A7D07A">
            <w:pPr>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lang w:bidi="ar"/>
              </w:rPr>
              <w:t>年度累计碳排放量（吨）</w:t>
            </w:r>
          </w:p>
        </w:tc>
      </w:tr>
      <w:tr w14:paraId="3E69DC4F">
        <w:tblPrEx>
          <w:tblCellMar>
            <w:top w:w="0" w:type="dxa"/>
            <w:left w:w="108" w:type="dxa"/>
            <w:bottom w:w="0" w:type="dxa"/>
            <w:right w:w="108" w:type="dxa"/>
          </w:tblCellMar>
        </w:tblPrEx>
        <w:trPr>
          <w:trHeight w:val="17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DBE3F">
            <w:pPr>
              <w:spacing w:line="240" w:lineRule="auto"/>
              <w:jc w:val="center"/>
              <w:rPr>
                <w:rFonts w:cs="等线" w:asciiTheme="minorEastAsia" w:hAnsiTheme="minorEastAsia" w:eastAsiaTheme="minorEastAsia"/>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2D809">
            <w:pPr>
              <w:spacing w:line="240" w:lineRule="auto"/>
              <w:jc w:val="center"/>
              <w:rPr>
                <w:rFonts w:cs="等线" w:asciiTheme="minorEastAsia" w:hAnsiTheme="minorEastAsia" w:eastAsiaTheme="minorEastAsia"/>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FED9F">
            <w:pPr>
              <w:spacing w:line="240" w:lineRule="auto"/>
              <w:jc w:val="center"/>
              <w:rPr>
                <w:rFonts w:cs="等线" w:asciiTheme="minorEastAsia" w:hAnsiTheme="minorEastAsia" w:eastAsiaTheme="minorEastAsia"/>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CBAEB">
            <w:pPr>
              <w:spacing w:line="240" w:lineRule="auto"/>
              <w:jc w:val="center"/>
              <w:rPr>
                <w:rFonts w:cs="等线" w:asciiTheme="minorEastAsia" w:hAnsiTheme="minorEastAsia" w:eastAsiaTheme="minorEastAsia"/>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7A392">
            <w:pPr>
              <w:spacing w:line="240" w:lineRule="auto"/>
              <w:jc w:val="center"/>
              <w:rPr>
                <w:rFonts w:cs="等线" w:asciiTheme="minorEastAsia" w:hAnsiTheme="minorEastAsia" w:eastAsiaTheme="minorEastAsia"/>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32671">
            <w:pPr>
              <w:spacing w:line="240" w:lineRule="auto"/>
              <w:jc w:val="center"/>
              <w:rPr>
                <w:rFonts w:cs="等线" w:asciiTheme="minorEastAsia" w:hAnsiTheme="minorEastAsia" w:eastAsiaTheme="minorEastAsia"/>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5804E">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BCD5CA">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累计里程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84DA8E">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京内里程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7210B9">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天津、河北里程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A58D34">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京津冀外里程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DB8DAB">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数据获取方式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D456B">
            <w:pPr>
              <w:spacing w:line="240" w:lineRule="auto"/>
              <w:jc w:val="center"/>
              <w:rPr>
                <w:rFonts w:cs="等线" w:asciiTheme="minorEastAsia" w:hAnsiTheme="minorEastAsia" w:eastAsiaTheme="minorEastAsia"/>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7DF21">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CBC5FB">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数据结果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A431B4">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数据获取方式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131E61">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汽油（吨）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EFDFC5">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电（兆瓦时）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1CAE6D">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天然气（万立方米）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EB25B9">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柴油（吨）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C3F7DF">
            <w:pPr>
              <w:spacing w:line="240" w:lineRule="auto"/>
              <w:jc w:val="center"/>
              <w:textAlignment w:val="center"/>
              <w:rPr>
                <w:rFonts w:cs="等线" w:asciiTheme="minorEastAsia" w:hAnsiTheme="minorEastAsia" w:eastAsiaTheme="minorEastAsia"/>
                <w:color w:val="000000"/>
                <w:sz w:val="21"/>
                <w:szCs w:val="21"/>
                <w:lang w:bidi="ar"/>
              </w:rPr>
            </w:pPr>
            <w:r>
              <w:rPr>
                <w:rFonts w:hint="eastAsia" w:cs="宋体" w:asciiTheme="minorEastAsia" w:hAnsiTheme="minorEastAsia" w:eastAsiaTheme="minorEastAsia"/>
                <w:color w:val="000000"/>
                <w:sz w:val="21"/>
                <w:szCs w:val="21"/>
                <w:lang w:bidi="ar"/>
              </w:rPr>
              <w:t>车用尿素溶液（吨）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13D166">
            <w:pPr>
              <w:spacing w:line="240" w:lineRule="auto"/>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lang w:bidi="ar"/>
              </w:rPr>
              <w:t>数据获取方式</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C92E6">
            <w:pPr>
              <w:spacing w:line="240" w:lineRule="auto"/>
              <w:jc w:val="center"/>
              <w:rPr>
                <w:rFonts w:cs="宋体" w:asciiTheme="minorEastAsia" w:hAnsiTheme="minorEastAsia" w:eastAsiaTheme="minorEastAsia"/>
                <w:color w:val="000000"/>
                <w:sz w:val="21"/>
                <w:szCs w:val="21"/>
              </w:rPr>
            </w:pPr>
          </w:p>
        </w:tc>
      </w:tr>
      <w:tr w14:paraId="4AA4372B">
        <w:tblPrEx>
          <w:tblCellMar>
            <w:top w:w="0" w:type="dxa"/>
            <w:left w:w="108" w:type="dxa"/>
            <w:bottom w:w="0" w:type="dxa"/>
            <w:right w:w="108" w:type="dxa"/>
          </w:tblCellMar>
        </w:tblPrEx>
        <w:trPr>
          <w:trHeight w:val="6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A513F">
            <w:pPr>
              <w:spacing w:line="240" w:lineRule="auto"/>
              <w:jc w:val="center"/>
              <w:textAlignment w:val="center"/>
              <w:rPr>
                <w:rFonts w:cs="等线" w:asciiTheme="minorEastAsia" w:hAnsiTheme="minorEastAsia" w:eastAsiaTheme="minorEastAsia"/>
                <w:color w:val="000000"/>
                <w:sz w:val="21"/>
                <w:szCs w:val="21"/>
              </w:rPr>
            </w:pPr>
            <w:r>
              <w:rPr>
                <w:rFonts w:cs="等线" w:asciiTheme="minorEastAsia" w:hAnsiTheme="minorEastAsia" w:eastAsiaTheme="minorEastAsia"/>
                <w:color w:val="000000"/>
                <w:sz w:val="21"/>
                <w:szCs w:val="21"/>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D9B50">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2CEA3">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D5EFD">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FEF8A">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1E45">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4645C">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D907">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95752">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B6687">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7D98D">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C537A">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BC6FF">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C0094">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B1A6B">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1F089">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ACD44">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41F0E">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37E7F">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D0FD9">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9A6D5">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C1605">
            <w:pPr>
              <w:spacing w:line="240" w:lineRule="auto"/>
              <w:rPr>
                <w:rFonts w:cs="宋体" w:asciiTheme="minorEastAsia" w:hAnsiTheme="minorEastAsia" w:eastAsiaTheme="minorEastAsia"/>
                <w:color w:val="000000"/>
                <w:sz w:val="21"/>
                <w:szCs w:val="21"/>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2C54B">
            <w:pPr>
              <w:spacing w:line="240" w:lineRule="auto"/>
              <w:rPr>
                <w:rFonts w:cs="宋体" w:asciiTheme="minorEastAsia" w:hAnsiTheme="minorEastAsia" w:eastAsiaTheme="minorEastAsia"/>
                <w:color w:val="000000"/>
                <w:sz w:val="21"/>
                <w:szCs w:val="21"/>
              </w:rPr>
            </w:pPr>
          </w:p>
        </w:tc>
      </w:tr>
      <w:tr w14:paraId="20627384">
        <w:tblPrEx>
          <w:tblCellMar>
            <w:top w:w="0" w:type="dxa"/>
            <w:left w:w="108" w:type="dxa"/>
            <w:bottom w:w="0" w:type="dxa"/>
            <w:right w:w="108" w:type="dxa"/>
          </w:tblCellMar>
        </w:tblPrEx>
        <w:trPr>
          <w:trHeight w:val="6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4F63B">
            <w:pPr>
              <w:spacing w:line="240" w:lineRule="auto"/>
              <w:jc w:val="center"/>
              <w:textAlignment w:val="center"/>
              <w:rPr>
                <w:rFonts w:cs="等线" w:asciiTheme="minorEastAsia" w:hAnsiTheme="minorEastAsia" w:eastAsiaTheme="minorEastAsia"/>
                <w:color w:val="000000"/>
                <w:sz w:val="21"/>
                <w:szCs w:val="21"/>
              </w:rPr>
            </w:pPr>
            <w:r>
              <w:rPr>
                <w:rFonts w:cs="等线" w:asciiTheme="minorEastAsia" w:hAnsiTheme="minorEastAsia" w:eastAsiaTheme="minorEastAsia"/>
                <w:color w:val="000000"/>
                <w:sz w:val="21"/>
                <w:szCs w:val="21"/>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3F0BE">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4562D">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1F852">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062D7">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77CA1">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0F24">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D4E19">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EE522">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1055D">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F262A">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C1658">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3168F">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5B443">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65B91">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1E8CF">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1A3BF">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603D2">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52115">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C35AD">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AA0B0">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1DF39">
            <w:pPr>
              <w:spacing w:line="240" w:lineRule="auto"/>
              <w:rPr>
                <w:rFonts w:cs="宋体" w:asciiTheme="minorEastAsia" w:hAnsiTheme="minorEastAsia" w:eastAsiaTheme="minorEastAsia"/>
                <w:color w:val="000000"/>
                <w:sz w:val="21"/>
                <w:szCs w:val="21"/>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2284">
            <w:pPr>
              <w:spacing w:line="240" w:lineRule="auto"/>
              <w:rPr>
                <w:rFonts w:cs="宋体" w:asciiTheme="minorEastAsia" w:hAnsiTheme="minorEastAsia" w:eastAsiaTheme="minorEastAsia"/>
                <w:color w:val="000000"/>
                <w:sz w:val="21"/>
                <w:szCs w:val="21"/>
              </w:rPr>
            </w:pPr>
          </w:p>
        </w:tc>
      </w:tr>
      <w:tr w14:paraId="2242A765">
        <w:tblPrEx>
          <w:tblCellMar>
            <w:top w:w="0" w:type="dxa"/>
            <w:left w:w="108" w:type="dxa"/>
            <w:bottom w:w="0" w:type="dxa"/>
            <w:right w:w="108" w:type="dxa"/>
          </w:tblCellMar>
        </w:tblPrEx>
        <w:trPr>
          <w:trHeight w:val="6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9430">
            <w:pPr>
              <w:spacing w:line="240" w:lineRule="auto"/>
              <w:jc w:val="center"/>
              <w:textAlignment w:val="center"/>
              <w:rPr>
                <w:rFonts w:cs="等线" w:asciiTheme="minorEastAsia" w:hAnsiTheme="minorEastAsia" w:eastAsiaTheme="minorEastAsia"/>
                <w:color w:val="000000"/>
                <w:sz w:val="21"/>
                <w:szCs w:val="21"/>
              </w:rPr>
            </w:pPr>
            <w:r>
              <w:rPr>
                <w:rFonts w:cs="等线" w:asciiTheme="minorEastAsia" w:hAnsiTheme="minorEastAsia" w:eastAsiaTheme="minorEastAsia"/>
                <w:color w:val="000000"/>
                <w:sz w:val="21"/>
                <w:szCs w:val="21"/>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158F0">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80DF9">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1BD1A">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80FF8">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3EFEC">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A2A1">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15390">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4383">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649E6">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9B061">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BA52">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F212F">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59515">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697F2">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1DA2F">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A53D7">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09860">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EEA76">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758EE">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D410">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8F8B2">
            <w:pPr>
              <w:spacing w:line="240" w:lineRule="auto"/>
              <w:rPr>
                <w:rFonts w:cs="宋体" w:asciiTheme="minorEastAsia" w:hAnsiTheme="minorEastAsia" w:eastAsiaTheme="minorEastAsia"/>
                <w:color w:val="000000"/>
                <w:sz w:val="21"/>
                <w:szCs w:val="21"/>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D839E">
            <w:pPr>
              <w:spacing w:line="240" w:lineRule="auto"/>
              <w:rPr>
                <w:rFonts w:cs="宋体" w:asciiTheme="minorEastAsia" w:hAnsiTheme="minorEastAsia" w:eastAsiaTheme="minorEastAsia"/>
                <w:color w:val="000000"/>
                <w:sz w:val="21"/>
                <w:szCs w:val="21"/>
              </w:rPr>
            </w:pPr>
          </w:p>
        </w:tc>
      </w:tr>
      <w:tr w14:paraId="3620926B">
        <w:tblPrEx>
          <w:tblCellMar>
            <w:top w:w="0" w:type="dxa"/>
            <w:left w:w="108" w:type="dxa"/>
            <w:bottom w:w="0" w:type="dxa"/>
            <w:right w:w="108" w:type="dxa"/>
          </w:tblCellMar>
        </w:tblPrEx>
        <w:trPr>
          <w:trHeight w:val="6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8E5D5">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38C2E">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0FE7">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38EC">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5D49E">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B77A3">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F8514">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392A1">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68E94">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38B6">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2C6FA">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2F66">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A88BD">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A403C">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EBD25">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A5578">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F8457">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0E59A">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D7738">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48574">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E44E2">
            <w:pPr>
              <w:spacing w:line="240" w:lineRule="auto"/>
              <w:jc w:val="center"/>
              <w:rPr>
                <w:rFonts w:cs="等线" w:asciiTheme="minorEastAsia" w:hAnsiTheme="minorEastAsia" w:eastAsiaTheme="minorEastAsia"/>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41A7A">
            <w:pPr>
              <w:spacing w:line="240" w:lineRule="auto"/>
              <w:rPr>
                <w:rFonts w:cs="宋体" w:asciiTheme="minorEastAsia" w:hAnsiTheme="minorEastAsia" w:eastAsiaTheme="minorEastAsia"/>
                <w:color w:val="000000"/>
                <w:sz w:val="21"/>
                <w:szCs w:val="21"/>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61667">
            <w:pPr>
              <w:spacing w:line="240" w:lineRule="auto"/>
              <w:rPr>
                <w:rFonts w:cs="宋体" w:asciiTheme="minorEastAsia" w:hAnsiTheme="minorEastAsia" w:eastAsiaTheme="minorEastAsia"/>
                <w:color w:val="000000"/>
                <w:sz w:val="21"/>
                <w:szCs w:val="21"/>
              </w:rPr>
            </w:pPr>
          </w:p>
        </w:tc>
      </w:tr>
    </w:tbl>
    <w:p w14:paraId="22C822D2">
      <w:pPr>
        <w:spacing w:line="240" w:lineRule="auto"/>
        <w:ind w:firstLine="315" w:firstLineChars="150"/>
        <w:rPr>
          <w:rFonts w:ascii="宋体" w:hAnsi="宋体"/>
          <w:bCs/>
          <w:sz w:val="21"/>
          <w:szCs w:val="21"/>
        </w:rPr>
      </w:pPr>
      <w:r>
        <w:rPr>
          <w:rFonts w:hint="eastAsia" w:ascii="宋体" w:hAnsi="宋体"/>
          <w:bCs/>
          <w:sz w:val="21"/>
          <w:szCs w:val="21"/>
        </w:rPr>
        <w:t>核查要求：</w:t>
      </w:r>
    </w:p>
    <w:p w14:paraId="627D02A2">
      <w:pPr>
        <w:ind w:firstLine="315" w:firstLineChars="150"/>
        <w:rPr>
          <w:rFonts w:ascii="宋体" w:hAnsi="宋体"/>
          <w:bCs/>
          <w:sz w:val="21"/>
          <w:szCs w:val="21"/>
        </w:rPr>
      </w:pPr>
      <w:r>
        <w:rPr>
          <w:rFonts w:asciiTheme="minorEastAsia" w:hAnsiTheme="minorEastAsia" w:eastAsiaTheme="minorEastAsia"/>
          <w:bCs/>
          <w:sz w:val="21"/>
          <w:szCs w:val="21"/>
        </w:rPr>
        <w:t>1.车辆型</w:t>
      </w:r>
      <w:r>
        <w:rPr>
          <w:rFonts w:ascii="宋体" w:hAnsi="宋体"/>
          <w:bCs/>
          <w:sz w:val="21"/>
          <w:szCs w:val="21"/>
        </w:rPr>
        <w:t xml:space="preserve">号：按照车辆的实际品牌及车辆型号填写，如宇通T7; </w:t>
      </w:r>
    </w:p>
    <w:p w14:paraId="49BF452A">
      <w:pPr>
        <w:ind w:firstLine="315" w:firstLineChars="150"/>
        <w:rPr>
          <w:rFonts w:ascii="宋体" w:hAnsi="宋体"/>
          <w:bCs/>
          <w:sz w:val="21"/>
          <w:szCs w:val="21"/>
        </w:rPr>
      </w:pPr>
      <w:r>
        <w:rPr>
          <w:rFonts w:ascii="宋体" w:hAnsi="宋体"/>
          <w:bCs/>
          <w:sz w:val="21"/>
          <w:szCs w:val="21"/>
        </w:rPr>
        <w:t>2.车辆排放标准：按照车辆实际的排放标准进行填写，，例如国Ⅵ、国Ⅴ；</w:t>
      </w:r>
    </w:p>
    <w:p w14:paraId="28CA7284">
      <w:pPr>
        <w:ind w:firstLine="315" w:firstLineChars="150"/>
        <w:rPr>
          <w:rFonts w:ascii="宋体" w:hAnsi="宋体"/>
          <w:bCs/>
          <w:sz w:val="21"/>
          <w:szCs w:val="21"/>
        </w:rPr>
      </w:pPr>
      <w:r>
        <w:rPr>
          <w:rFonts w:ascii="宋体" w:hAnsi="宋体"/>
          <w:bCs/>
          <w:sz w:val="21"/>
          <w:szCs w:val="21"/>
        </w:rPr>
        <w:t>3.总质量：按照车辆的实际总质量填写，如4.49吨、18吨、35吨</w:t>
      </w:r>
    </w:p>
    <w:p w14:paraId="03010514">
      <w:pPr>
        <w:ind w:firstLine="315" w:firstLineChars="150"/>
        <w:rPr>
          <w:rFonts w:ascii="宋体" w:hAnsi="宋体"/>
          <w:bCs/>
          <w:sz w:val="21"/>
          <w:szCs w:val="21"/>
        </w:rPr>
      </w:pPr>
      <w:r>
        <w:rPr>
          <w:rFonts w:ascii="宋体" w:hAnsi="宋体"/>
          <w:bCs/>
          <w:sz w:val="21"/>
          <w:szCs w:val="21"/>
        </w:rPr>
        <w:t>4.车辆数量：填写登记注册在企业名下每种车型及排放标准的车辆保有量;</w:t>
      </w:r>
    </w:p>
    <w:p w14:paraId="234567B0">
      <w:pPr>
        <w:ind w:firstLine="315" w:firstLineChars="150"/>
        <w:rPr>
          <w:rFonts w:ascii="宋体" w:hAnsi="宋体"/>
          <w:bCs/>
          <w:sz w:val="21"/>
          <w:szCs w:val="21"/>
        </w:rPr>
      </w:pPr>
      <w:r>
        <w:rPr>
          <w:rFonts w:ascii="宋体" w:hAnsi="宋体"/>
          <w:bCs/>
          <w:sz w:val="21"/>
          <w:szCs w:val="21"/>
        </w:rPr>
        <w:t>5.安装SCR车辆数：填写登记注册在企业名下车辆中安装了SCR设备的车辆保有量</w:t>
      </w:r>
    </w:p>
    <w:p w14:paraId="2C1DE33F">
      <w:pPr>
        <w:ind w:firstLine="315" w:firstLineChars="150"/>
        <w:rPr>
          <w:rFonts w:ascii="宋体" w:hAnsi="宋体"/>
          <w:bCs/>
          <w:sz w:val="21"/>
          <w:szCs w:val="21"/>
        </w:rPr>
      </w:pPr>
      <w:r>
        <w:rPr>
          <w:rFonts w:ascii="宋体" w:hAnsi="宋体"/>
          <w:bCs/>
          <w:sz w:val="21"/>
          <w:szCs w:val="21"/>
        </w:rPr>
        <w:t>6.能源类型：填写每种车型及排放标准的车辆对应燃料种类，如柴油、汽油、天然气、电力;</w:t>
      </w:r>
    </w:p>
    <w:p w14:paraId="1CB4A6B7">
      <w:pPr>
        <w:ind w:firstLine="315" w:firstLineChars="150"/>
        <w:rPr>
          <w:rFonts w:ascii="宋体" w:hAnsi="宋体"/>
          <w:bCs/>
          <w:sz w:val="21"/>
          <w:szCs w:val="21"/>
        </w:rPr>
      </w:pPr>
      <w:r>
        <w:rPr>
          <w:rFonts w:ascii="宋体" w:hAnsi="宋体"/>
          <w:bCs/>
          <w:sz w:val="21"/>
          <w:szCs w:val="21"/>
        </w:rPr>
        <w:t>7.年度累计行驶里程（公里）：</w:t>
      </w:r>
    </w:p>
    <w:p w14:paraId="76286C90">
      <w:pPr>
        <w:ind w:firstLine="315" w:firstLineChars="150"/>
        <w:rPr>
          <w:rFonts w:ascii="宋体" w:hAnsi="宋体"/>
          <w:bCs/>
          <w:sz w:val="21"/>
          <w:szCs w:val="21"/>
        </w:rPr>
      </w:pPr>
      <w:r>
        <w:rPr>
          <w:rFonts w:hint="eastAsia" w:ascii="宋体" w:hAnsi="宋体"/>
          <w:bCs/>
          <w:sz w:val="21"/>
          <w:szCs w:val="21"/>
        </w:rPr>
        <w:t>（</w:t>
      </w:r>
      <w:r>
        <w:rPr>
          <w:rFonts w:ascii="宋体" w:hAnsi="宋体"/>
          <w:bCs/>
          <w:sz w:val="21"/>
          <w:szCs w:val="21"/>
        </w:rPr>
        <w:t>1）累计里程：企业旗下车辆单车在全国范围内运行的全部里程合计；</w:t>
      </w:r>
    </w:p>
    <w:p w14:paraId="104A7028">
      <w:pPr>
        <w:ind w:firstLine="315" w:firstLineChars="150"/>
        <w:rPr>
          <w:rFonts w:ascii="宋体" w:hAnsi="宋体"/>
          <w:bCs/>
          <w:sz w:val="21"/>
          <w:szCs w:val="21"/>
        </w:rPr>
      </w:pPr>
      <w:r>
        <w:rPr>
          <w:rFonts w:hint="eastAsia" w:ascii="宋体" w:hAnsi="宋体"/>
          <w:bCs/>
          <w:sz w:val="21"/>
          <w:szCs w:val="21"/>
        </w:rPr>
        <w:t>（</w:t>
      </w:r>
      <w:r>
        <w:rPr>
          <w:rFonts w:ascii="宋体" w:hAnsi="宋体"/>
          <w:bCs/>
          <w:sz w:val="21"/>
          <w:szCs w:val="21"/>
        </w:rPr>
        <w:t>2）京内里程：企业旗下车辆单车在北京市域范围内运行的全部里程合计；</w:t>
      </w:r>
    </w:p>
    <w:p w14:paraId="5EA2D33C">
      <w:pPr>
        <w:ind w:firstLine="315" w:firstLineChars="150"/>
        <w:rPr>
          <w:rFonts w:ascii="宋体" w:hAnsi="宋体"/>
          <w:bCs/>
          <w:sz w:val="21"/>
          <w:szCs w:val="21"/>
        </w:rPr>
      </w:pPr>
      <w:r>
        <w:rPr>
          <w:rFonts w:hint="eastAsia" w:ascii="宋体" w:hAnsi="宋体"/>
          <w:bCs/>
          <w:sz w:val="21"/>
          <w:szCs w:val="21"/>
        </w:rPr>
        <w:t>（</w:t>
      </w:r>
      <w:r>
        <w:rPr>
          <w:rFonts w:ascii="宋体" w:hAnsi="宋体"/>
          <w:bCs/>
          <w:sz w:val="21"/>
          <w:szCs w:val="21"/>
        </w:rPr>
        <w:t>3）天津、河北里程：企业旗下车辆单车在天津市及河北省域范围内运行的全部里程合计；</w:t>
      </w:r>
    </w:p>
    <w:p w14:paraId="54AF1038">
      <w:pPr>
        <w:ind w:firstLine="315" w:firstLineChars="150"/>
        <w:rPr>
          <w:rFonts w:ascii="宋体" w:hAnsi="宋体"/>
          <w:bCs/>
          <w:sz w:val="21"/>
          <w:szCs w:val="21"/>
        </w:rPr>
      </w:pPr>
      <w:r>
        <w:rPr>
          <w:rFonts w:hint="eastAsia" w:ascii="宋体" w:hAnsi="宋体"/>
          <w:bCs/>
          <w:sz w:val="21"/>
          <w:szCs w:val="21"/>
        </w:rPr>
        <w:t>（</w:t>
      </w:r>
      <w:r>
        <w:rPr>
          <w:rFonts w:ascii="宋体" w:hAnsi="宋体"/>
          <w:bCs/>
          <w:sz w:val="21"/>
          <w:szCs w:val="21"/>
        </w:rPr>
        <w:t>4）京津冀外里程：企业旗下车辆单车在全国除北京市、天津市、河北省域范围外运行的全部里程合计；</w:t>
      </w:r>
    </w:p>
    <w:p w14:paraId="54ED753B">
      <w:pPr>
        <w:ind w:firstLine="315" w:firstLineChars="150"/>
        <w:rPr>
          <w:rFonts w:ascii="宋体" w:hAnsi="宋体"/>
          <w:bCs/>
          <w:sz w:val="21"/>
          <w:szCs w:val="21"/>
        </w:rPr>
      </w:pPr>
      <w:r>
        <w:rPr>
          <w:rFonts w:hint="eastAsia" w:ascii="宋体" w:hAnsi="宋体"/>
          <w:bCs/>
          <w:sz w:val="21"/>
          <w:szCs w:val="21"/>
        </w:rPr>
        <w:t>（</w:t>
      </w:r>
      <w:r>
        <w:rPr>
          <w:rFonts w:ascii="宋体" w:hAnsi="宋体"/>
          <w:bCs/>
          <w:sz w:val="21"/>
          <w:szCs w:val="21"/>
        </w:rPr>
        <w:t>5）数据获取方式：</w:t>
      </w:r>
    </w:p>
    <w:p w14:paraId="2C4C13CF">
      <w:pPr>
        <w:ind w:firstLine="315" w:firstLineChars="150"/>
        <w:rPr>
          <w:rFonts w:ascii="宋体" w:hAnsi="宋体"/>
          <w:bCs/>
          <w:sz w:val="21"/>
          <w:szCs w:val="21"/>
        </w:rPr>
      </w:pPr>
      <w:r>
        <w:rPr>
          <w:rFonts w:hint="eastAsia" w:ascii="宋体" w:hAnsi="宋体"/>
          <w:bCs/>
          <w:sz w:val="21"/>
          <w:szCs w:val="21"/>
        </w:rPr>
        <w:t>①企业通过自有单车级大数据监控平台获取得到的单车级车辆行驶里程；</w:t>
      </w:r>
    </w:p>
    <w:p w14:paraId="42C91BF0">
      <w:pPr>
        <w:ind w:firstLine="315" w:firstLineChars="150"/>
        <w:rPr>
          <w:rFonts w:ascii="宋体" w:hAnsi="宋体"/>
          <w:bCs/>
          <w:sz w:val="21"/>
          <w:szCs w:val="21"/>
        </w:rPr>
      </w:pPr>
      <w:r>
        <w:rPr>
          <w:rFonts w:hint="eastAsia" w:ascii="宋体" w:hAnsi="宋体"/>
          <w:bCs/>
          <w:sz w:val="21"/>
          <w:szCs w:val="21"/>
        </w:rPr>
        <w:t>②企业通过对旗下车辆仪表盘进行抄表统计获得的单车级车辆行驶里程；</w:t>
      </w:r>
    </w:p>
    <w:p w14:paraId="7027893B">
      <w:pPr>
        <w:ind w:firstLine="315" w:firstLineChars="150"/>
        <w:rPr>
          <w:rFonts w:ascii="宋体" w:hAnsi="宋体"/>
          <w:bCs/>
          <w:sz w:val="21"/>
          <w:szCs w:val="21"/>
        </w:rPr>
      </w:pPr>
      <w:r>
        <w:rPr>
          <w:rFonts w:ascii="宋体" w:hAnsi="宋体"/>
          <w:bCs/>
          <w:sz w:val="21"/>
          <w:szCs w:val="21"/>
        </w:rPr>
        <w:t>8.货运量：填报公路运输企业旗下所有车辆在每年度内实际运送的货物运输总量（吨）;</w:t>
      </w:r>
    </w:p>
    <w:p w14:paraId="181B7BFB">
      <w:pPr>
        <w:ind w:firstLine="315" w:firstLineChars="150"/>
        <w:rPr>
          <w:rFonts w:ascii="宋体" w:hAnsi="宋体"/>
          <w:bCs/>
          <w:sz w:val="21"/>
          <w:szCs w:val="21"/>
        </w:rPr>
      </w:pPr>
      <w:r>
        <w:rPr>
          <w:rFonts w:ascii="宋体" w:hAnsi="宋体"/>
          <w:bCs/>
          <w:sz w:val="21"/>
          <w:szCs w:val="21"/>
        </w:rPr>
        <w:t>9.货运周转量：填报公路运输企业旗下所有车辆在每年度内实际运送的货物运输总量指标（吨公里），基于货运量及平均运距乘积得到；</w:t>
      </w:r>
    </w:p>
    <w:p w14:paraId="4F3E08AD">
      <w:pPr>
        <w:ind w:firstLine="315" w:firstLineChars="150"/>
        <w:rPr>
          <w:rFonts w:ascii="宋体" w:hAnsi="宋体"/>
          <w:bCs/>
          <w:sz w:val="21"/>
          <w:szCs w:val="21"/>
        </w:rPr>
      </w:pPr>
      <w:r>
        <w:rPr>
          <w:rFonts w:ascii="宋体" w:hAnsi="宋体"/>
          <w:bCs/>
          <w:sz w:val="21"/>
          <w:szCs w:val="21"/>
        </w:rPr>
        <w:t>10.百公里单耗：</w:t>
      </w:r>
    </w:p>
    <w:p w14:paraId="3CAF4E9B">
      <w:pPr>
        <w:ind w:firstLine="315" w:firstLineChars="150"/>
        <w:rPr>
          <w:rFonts w:ascii="宋体" w:hAnsi="宋体"/>
          <w:bCs/>
          <w:sz w:val="21"/>
          <w:szCs w:val="21"/>
        </w:rPr>
      </w:pPr>
      <w:r>
        <w:rPr>
          <w:rFonts w:hint="eastAsia" w:ascii="宋体" w:hAnsi="宋体"/>
          <w:bCs/>
          <w:sz w:val="21"/>
          <w:szCs w:val="21"/>
        </w:rPr>
        <w:t>（</w:t>
      </w:r>
      <w:r>
        <w:rPr>
          <w:rFonts w:ascii="宋体" w:hAnsi="宋体"/>
          <w:bCs/>
          <w:sz w:val="21"/>
          <w:szCs w:val="21"/>
        </w:rPr>
        <w:t>1）百公里单耗数据结果：填报企业企业车辆（单车级）在运行单位距离（通常标定为100公里）时产生的能源消耗量，单位主要是：kg/百公里、立方米/百公里、千瓦时/百公里（企业如统计汽油、柴油车辆百公里单耗时统计单位为升时，可按照汽油0.73kg/L,柴油0.86kg/L进行单位换算）</w:t>
      </w:r>
    </w:p>
    <w:p w14:paraId="76D38FA9">
      <w:pPr>
        <w:ind w:firstLine="315" w:firstLineChars="150"/>
        <w:rPr>
          <w:rFonts w:ascii="宋体" w:hAnsi="宋体"/>
          <w:bCs/>
          <w:sz w:val="21"/>
          <w:szCs w:val="21"/>
        </w:rPr>
      </w:pPr>
      <w:r>
        <w:rPr>
          <w:rFonts w:hint="eastAsia" w:ascii="宋体" w:hAnsi="宋体"/>
          <w:bCs/>
          <w:sz w:val="21"/>
          <w:szCs w:val="21"/>
        </w:rPr>
        <w:t>（</w:t>
      </w:r>
      <w:r>
        <w:rPr>
          <w:rFonts w:ascii="宋体" w:hAnsi="宋体"/>
          <w:bCs/>
          <w:sz w:val="21"/>
          <w:szCs w:val="21"/>
        </w:rPr>
        <w:t>2）数据获取方式：</w:t>
      </w:r>
    </w:p>
    <w:p w14:paraId="3880741F">
      <w:pPr>
        <w:ind w:firstLine="315" w:firstLineChars="150"/>
        <w:rPr>
          <w:rFonts w:ascii="宋体" w:hAnsi="宋体"/>
          <w:bCs/>
          <w:sz w:val="21"/>
          <w:szCs w:val="21"/>
        </w:rPr>
      </w:pPr>
      <w:r>
        <w:rPr>
          <w:rFonts w:hint="eastAsia" w:ascii="宋体" w:hAnsi="宋体"/>
          <w:bCs/>
          <w:sz w:val="21"/>
          <w:szCs w:val="21"/>
        </w:rPr>
        <w:t>①企业通过自有单车级大数据监控平台获取得到的单车级车辆百公里能耗；</w:t>
      </w:r>
    </w:p>
    <w:p w14:paraId="13876188">
      <w:pPr>
        <w:ind w:firstLine="315" w:firstLineChars="150"/>
        <w:rPr>
          <w:rFonts w:ascii="宋体" w:hAnsi="宋体"/>
          <w:bCs/>
          <w:sz w:val="21"/>
          <w:szCs w:val="21"/>
        </w:rPr>
      </w:pPr>
      <w:r>
        <w:rPr>
          <w:rFonts w:ascii="宋体" w:hAnsi="宋体"/>
          <w:bCs/>
          <w:sz w:val="21"/>
          <w:szCs w:val="21"/>
        </w:rPr>
        <w:t>11.能源消耗量：</w:t>
      </w:r>
    </w:p>
    <w:p w14:paraId="727DBEF1">
      <w:pPr>
        <w:ind w:firstLine="315" w:firstLineChars="150"/>
        <w:rPr>
          <w:rFonts w:ascii="宋体" w:hAnsi="宋体"/>
          <w:bCs/>
          <w:sz w:val="21"/>
          <w:szCs w:val="21"/>
        </w:rPr>
      </w:pPr>
      <w:r>
        <w:rPr>
          <w:rFonts w:hint="eastAsia" w:ascii="宋体" w:hAnsi="宋体"/>
          <w:bCs/>
          <w:sz w:val="21"/>
          <w:szCs w:val="21"/>
        </w:rPr>
        <w:t>（</w:t>
      </w:r>
      <w:r>
        <w:rPr>
          <w:rFonts w:ascii="宋体" w:hAnsi="宋体"/>
          <w:bCs/>
          <w:sz w:val="21"/>
          <w:szCs w:val="21"/>
        </w:rPr>
        <w:t>1）能源消耗量：填报企业旗下车辆因运行而产生的能源消耗总量，按照车辆对应的能源类型，将实际的能源消耗量填写到对应的格内，单位主要是：吨、立方米、千瓦时（企业如统计汽油、柴油时统计单位为升时，可按照汽油0.73kg/L,柴油0.86kg/L进行单位换算）；</w:t>
      </w:r>
    </w:p>
    <w:p w14:paraId="3247EC8C">
      <w:pPr>
        <w:ind w:firstLine="315" w:firstLineChars="150"/>
        <w:rPr>
          <w:rFonts w:ascii="宋体" w:hAnsi="宋体"/>
          <w:bCs/>
          <w:sz w:val="21"/>
          <w:szCs w:val="21"/>
        </w:rPr>
      </w:pPr>
      <w:r>
        <w:rPr>
          <w:rFonts w:hint="eastAsia" w:ascii="宋体" w:hAnsi="宋体"/>
          <w:bCs/>
          <w:sz w:val="21"/>
          <w:szCs w:val="21"/>
        </w:rPr>
        <w:t>（</w:t>
      </w:r>
      <w:r>
        <w:rPr>
          <w:rFonts w:ascii="宋体" w:hAnsi="宋体"/>
          <w:bCs/>
          <w:sz w:val="21"/>
          <w:szCs w:val="21"/>
        </w:rPr>
        <w:t>2）数据获取方式：</w:t>
      </w:r>
    </w:p>
    <w:p w14:paraId="487C4B18">
      <w:pPr>
        <w:ind w:firstLine="315" w:firstLineChars="150"/>
        <w:rPr>
          <w:rFonts w:ascii="宋体" w:hAnsi="宋体"/>
          <w:bCs/>
          <w:sz w:val="21"/>
          <w:szCs w:val="21"/>
        </w:rPr>
      </w:pPr>
      <w:r>
        <w:rPr>
          <w:rFonts w:hint="eastAsia" w:ascii="宋体" w:hAnsi="宋体"/>
          <w:bCs/>
          <w:sz w:val="21"/>
          <w:szCs w:val="21"/>
        </w:rPr>
        <w:t>①基于单车级的能源消耗量统计手段进行能源消耗统计，一车一卡或一车一个充电账号等手段获取；</w:t>
      </w:r>
    </w:p>
    <w:p w14:paraId="2270A0A1">
      <w:pPr>
        <w:ind w:firstLine="315" w:firstLineChars="150"/>
        <w:rPr>
          <w:rFonts w:ascii="宋体" w:hAnsi="宋体"/>
          <w:bCs/>
          <w:sz w:val="21"/>
          <w:szCs w:val="21"/>
        </w:rPr>
      </w:pPr>
      <w:r>
        <w:rPr>
          <w:rFonts w:hint="eastAsia" w:ascii="宋体" w:hAnsi="宋体"/>
          <w:bCs/>
          <w:sz w:val="21"/>
          <w:szCs w:val="21"/>
        </w:rPr>
        <w:t>②基于单车级的车辆行驶里程与百公里单耗数据结果计算得到；</w:t>
      </w:r>
    </w:p>
    <w:p w14:paraId="7E536C38">
      <w:pPr>
        <w:spacing w:after="0" w:line="560" w:lineRule="exact"/>
        <w:rPr>
          <w:rFonts w:ascii="仿宋_GB2312" w:hAnsi="仿宋" w:eastAsia="仿宋_GB2312"/>
          <w:b/>
          <w:sz w:val="32"/>
          <w:szCs w:val="32"/>
        </w:rPr>
      </w:pPr>
      <w:r>
        <w:rPr>
          <w:rFonts w:ascii="宋体" w:hAnsi="宋体"/>
          <w:bCs/>
          <w:sz w:val="21"/>
          <w:szCs w:val="21"/>
        </w:rPr>
        <w:t>12.</w:t>
      </w:r>
      <w:r>
        <w:rPr>
          <w:rFonts w:hint="eastAsia" w:ascii="宋体" w:hAnsi="宋体"/>
          <w:bCs/>
          <w:sz w:val="21"/>
          <w:szCs w:val="21"/>
        </w:rPr>
        <w:t>年度</w:t>
      </w:r>
      <w:r>
        <w:rPr>
          <w:rFonts w:ascii="宋体" w:hAnsi="宋体"/>
          <w:bCs/>
          <w:sz w:val="21"/>
          <w:szCs w:val="21"/>
        </w:rPr>
        <w:t>累计碳排放量：由统计得到的车辆运行能耗及每种能源类型对应的碳排放因子转换系数计算得到</w:t>
      </w:r>
      <w:r>
        <w:rPr>
          <w:rFonts w:hint="eastAsia"/>
          <w:bCs/>
          <w:sz w:val="21"/>
          <w:szCs w:val="21"/>
        </w:rPr>
        <w:t>。</w:t>
      </w:r>
    </w:p>
    <w:p w14:paraId="739884A4">
      <w:pPr>
        <w:spacing w:after="0" w:line="560" w:lineRule="exact"/>
        <w:ind w:firstLine="660"/>
        <w:rPr>
          <w:rFonts w:ascii="仿宋_GB2312" w:hAnsi="仿宋" w:eastAsia="仿宋_GB2312"/>
          <w:b/>
          <w:sz w:val="32"/>
          <w:szCs w:val="32"/>
        </w:rPr>
        <w:sectPr>
          <w:footerReference r:id="rId11" w:type="default"/>
          <w:footerReference r:id="rId12" w:type="even"/>
          <w:pgSz w:w="16838" w:h="11906" w:orient="landscape"/>
          <w:pgMar w:top="1587" w:right="1440" w:bottom="1474" w:left="1440" w:header="851" w:footer="1134" w:gutter="0"/>
          <w:pgNumType w:fmt="decimal"/>
          <w:cols w:space="0" w:num="1"/>
          <w:rtlGutter w:val="0"/>
          <w:docGrid w:type="lines" w:linePitch="312" w:charSpace="0"/>
        </w:sectPr>
      </w:pPr>
    </w:p>
    <w:p w14:paraId="57A359FA">
      <w:pPr>
        <w:spacing w:after="0" w:line="560" w:lineRule="exact"/>
        <w:ind w:firstLine="660"/>
        <w:rPr>
          <w:rFonts w:ascii="仿宋_GB2312" w:hAnsi="仿宋" w:eastAsia="仿宋_GB2312"/>
          <w:b/>
          <w:sz w:val="32"/>
          <w:szCs w:val="32"/>
        </w:rPr>
      </w:pPr>
      <w:r>
        <w:rPr>
          <w:rFonts w:hint="eastAsia" w:ascii="仿宋_GB2312" w:hAnsi="仿宋" w:eastAsia="仿宋_GB2312"/>
          <w:b/>
          <w:sz w:val="32"/>
          <w:szCs w:val="32"/>
        </w:rPr>
        <w:t>3.3.2.4实时监测数据的符合性</w:t>
      </w:r>
    </w:p>
    <w:p w14:paraId="71755509">
      <w:pPr>
        <w:spacing w:after="0" w:line="560" w:lineRule="exact"/>
        <w:ind w:firstLine="640"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如重点碳排放单位装有实时监测系统，核查机构应报告实时测量设备是否经过校准，是否通过与物料平衡或排放因子计算结果的对比佐证测量结果的不确定性。</w:t>
      </w:r>
    </w:p>
    <w:p w14:paraId="43885AA5">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核查机构应对上述每一个数据的核查发现进行报告，并简要描述不符合(如有),详细描述及纠正措施链接核查报告附件1。</w:t>
      </w:r>
    </w:p>
    <w:p w14:paraId="601F2422">
      <w:pPr>
        <w:spacing w:after="0" w:line="560" w:lineRule="exact"/>
        <w:ind w:firstLine="768" w:firstLineChars="239"/>
        <w:outlineLvl w:val="0"/>
        <w:rPr>
          <w:rFonts w:ascii="仿宋_GB2312" w:hAnsi="仿宋" w:eastAsia="仿宋_GB2312"/>
          <w:b/>
          <w:sz w:val="32"/>
          <w:szCs w:val="32"/>
        </w:rPr>
      </w:pPr>
      <w:r>
        <w:rPr>
          <w:rFonts w:hint="eastAsia" w:ascii="仿宋_GB2312" w:hAnsi="仿宋" w:eastAsia="仿宋_GB2312"/>
          <w:b/>
          <w:sz w:val="32"/>
          <w:szCs w:val="32"/>
        </w:rPr>
        <w:t>B)核查方法</w:t>
      </w:r>
    </w:p>
    <w:p w14:paraId="43B9DACB">
      <w:pPr>
        <w:spacing w:after="0" w:line="560" w:lineRule="exact"/>
        <w:jc w:val="both"/>
        <w:rPr>
          <w:rFonts w:ascii="仿宋_GB2312" w:hAnsi="仿宋" w:eastAsia="仿宋_GB2312"/>
          <w:sz w:val="32"/>
          <w:szCs w:val="32"/>
        </w:rPr>
      </w:pPr>
      <w:r>
        <w:rPr>
          <w:rFonts w:hint="eastAsia" w:ascii="仿宋_GB2312" w:hAnsi="仿宋" w:eastAsia="仿宋_GB2312"/>
          <w:sz w:val="32"/>
          <w:szCs w:val="32"/>
        </w:rPr>
        <w:t>核查机构应关注适用的地方标准或核算和报告指南中对于重点碳排放单位排放对数据要求的区别。核查可采用如下方法：</w:t>
      </w:r>
    </w:p>
    <w:p w14:paraId="295204F8">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查阅燃料购买合同；</w:t>
      </w:r>
    </w:p>
    <w:p w14:paraId="3D246DD4">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查阅能源台帐、重点设备的能源消耗记录；</w:t>
      </w:r>
    </w:p>
    <w:p w14:paraId="5BE531E7">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查阅年度能源审计报告、能流图、能源消费量表、能源加工转换报表；</w:t>
      </w:r>
    </w:p>
    <w:p w14:paraId="1F50962A">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查阅月度生产报表、企业台帐如水泥、催化剂烧焦、制氢、环氧乙烷、醋酸乙烷等的生产记录；</w:t>
      </w:r>
    </w:p>
    <w:p w14:paraId="3051C7F8">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查阅主要产品能源消耗指标、经济指标核算基础数据表、能耗经济指标一览表；</w:t>
      </w:r>
    </w:p>
    <w:p w14:paraId="41E2BAAC">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查阅IPCC及省级温室气体清单；</w:t>
      </w:r>
    </w:p>
    <w:p w14:paraId="17F3FA20">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查阅与电网公司的结算单或购售电发票（包括固定设施及移动设施）；</w:t>
      </w:r>
    </w:p>
    <w:p w14:paraId="0B804726">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查阅供应商发票；</w:t>
      </w:r>
    </w:p>
    <w:p w14:paraId="4EE9C010">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查阅年度环境监测报告；</w:t>
      </w:r>
    </w:p>
    <w:p w14:paraId="516FF12C">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查阅供热协议及发票；</w:t>
      </w:r>
    </w:p>
    <w:p w14:paraId="7EED5F1A">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查阅废弃物处理协议；</w:t>
      </w:r>
    </w:p>
    <w:p w14:paraId="02DCE6FB">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查阅氧化率、热值以及产品或燃料化学分析报告;</w:t>
      </w:r>
    </w:p>
    <w:p w14:paraId="499200A9">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访问温室气体管理人员、燃料采购人员等;</w:t>
      </w:r>
    </w:p>
    <w:p w14:paraId="2414B0A7">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查阅移动源加油记录、燃料购买记录及尾气净化剂添加记录；</w:t>
      </w:r>
    </w:p>
    <w:p w14:paraId="776F516B">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道路运输企业查阅固定设施及移动设施电力消耗记录及统计台账（报表）；</w:t>
      </w:r>
    </w:p>
    <w:p w14:paraId="1EBAB065">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观察实施监测的运行以及测量设备的校准、检定；</w:t>
      </w:r>
    </w:p>
    <w:p w14:paraId="09960538">
      <w:pPr>
        <w:widowControl w:val="0"/>
        <w:numPr>
          <w:ilvl w:val="0"/>
          <w:numId w:val="13"/>
        </w:numPr>
        <w:spacing w:after="0" w:line="560" w:lineRule="exact"/>
        <w:jc w:val="both"/>
        <w:rPr>
          <w:rFonts w:ascii="仿宋_GB2312" w:hAnsi="仿宋" w:eastAsia="仿宋_GB2312"/>
          <w:sz w:val="32"/>
          <w:szCs w:val="32"/>
        </w:rPr>
      </w:pPr>
      <w:r>
        <w:rPr>
          <w:rFonts w:ascii="仿宋_GB2312" w:hAnsi="仿宋" w:eastAsia="仿宋_GB2312"/>
          <w:sz w:val="32"/>
          <w:szCs w:val="32"/>
        </w:rPr>
        <w:t>查看或确认核查过程中涉及的其它可用的证据</w:t>
      </w:r>
      <w:r>
        <w:rPr>
          <w:rFonts w:hint="eastAsia" w:ascii="仿宋_GB2312" w:hAnsi="仿宋" w:eastAsia="仿宋_GB2312"/>
          <w:sz w:val="32"/>
          <w:szCs w:val="32"/>
        </w:rPr>
        <w:t>。</w:t>
      </w:r>
    </w:p>
    <w:p w14:paraId="1DCB6F51">
      <w:pPr>
        <w:spacing w:after="0" w:line="560" w:lineRule="exact"/>
        <w:ind w:firstLine="880" w:firstLineChars="274"/>
        <w:rPr>
          <w:rFonts w:ascii="仿宋_GB2312" w:hAnsi="仿宋" w:eastAsia="仿宋_GB2312"/>
          <w:b/>
          <w:sz w:val="32"/>
          <w:szCs w:val="32"/>
        </w:rPr>
      </w:pPr>
      <w:r>
        <w:rPr>
          <w:rFonts w:hint="eastAsia" w:ascii="仿宋_GB2312" w:hAnsi="仿宋" w:eastAsia="仿宋_GB2312"/>
          <w:b/>
          <w:sz w:val="32"/>
          <w:szCs w:val="32"/>
        </w:rPr>
        <w:t>3.4 测量设备校准的符合性</w:t>
      </w:r>
    </w:p>
    <w:p w14:paraId="4A407B45">
      <w:pPr>
        <w:spacing w:after="0" w:line="560" w:lineRule="exact"/>
        <w:ind w:firstLine="880" w:firstLineChars="274"/>
        <w:outlineLvl w:val="0"/>
        <w:rPr>
          <w:rFonts w:ascii="仿宋_GB2312" w:hAnsi="仿宋" w:eastAsia="仿宋_GB2312"/>
          <w:b/>
          <w:sz w:val="32"/>
          <w:szCs w:val="32"/>
        </w:rPr>
      </w:pPr>
      <w:r>
        <w:rPr>
          <w:rFonts w:hint="eastAsia" w:ascii="仿宋_GB2312" w:hAnsi="仿宋" w:eastAsia="仿宋_GB2312"/>
          <w:b/>
          <w:sz w:val="32"/>
          <w:szCs w:val="32"/>
        </w:rPr>
        <w:t>A)报告内容</w:t>
      </w:r>
    </w:p>
    <w:p w14:paraId="53C445B7">
      <w:pPr>
        <w:spacing w:after="0" w:line="560" w:lineRule="exact"/>
        <w:ind w:firstLine="640" w:firstLineChars="200"/>
        <w:jc w:val="both"/>
        <w:rPr>
          <w:rFonts w:ascii="仿宋_GB2312" w:hAnsi="仿宋" w:eastAsia="仿宋_GB2312"/>
          <w:b/>
          <w:sz w:val="32"/>
          <w:szCs w:val="32"/>
        </w:rPr>
      </w:pPr>
      <w:r>
        <w:rPr>
          <w:rFonts w:hint="eastAsia" w:ascii="仿宋_GB2312" w:hAnsi="仿宋" w:eastAsia="仿宋_GB2312"/>
          <w:sz w:val="32"/>
          <w:szCs w:val="32"/>
        </w:rPr>
        <w:t>核查机构应对排放报告中每一个测量设备进行核查核查的内容包括:序号、规定的和实际的校准频次、校准的标准。核查机构应对每一个测量设备的符合性进行报告。如测量设备较多(每同类设备多于10个、单个计量设备计量数据的排放量小于总排放的5%)或测量设备不受重点排放单位控制，可调整报告格式，仅报告监测设备数量，但核查机构应确保此项简化不影响核查工作的数据质量。报告格式如下：</w:t>
      </w:r>
    </w:p>
    <w:tbl>
      <w:tblPr>
        <w:tblStyle w:val="35"/>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559"/>
        <w:gridCol w:w="1276"/>
        <w:gridCol w:w="1559"/>
        <w:gridCol w:w="1560"/>
      </w:tblGrid>
      <w:tr w14:paraId="4D53C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shd w:val="clear" w:color="auto" w:fill="D9D9D9"/>
          </w:tcPr>
          <w:p w14:paraId="203E0EEA">
            <w:pPr>
              <w:pStyle w:val="15"/>
              <w:spacing w:line="560" w:lineRule="exact"/>
              <w:jc w:val="center"/>
              <w:rPr>
                <w:rFonts w:ascii="仿宋_GB2312" w:hAnsi="仿宋" w:eastAsia="仿宋_GB2312" w:cs="Arial"/>
                <w:b/>
                <w:bCs/>
                <w:sz w:val="24"/>
                <w:szCs w:val="24"/>
                <w:lang w:val="en-GB"/>
              </w:rPr>
            </w:pPr>
            <w:r>
              <w:rPr>
                <w:rFonts w:hint="eastAsia" w:ascii="仿宋_GB2312" w:hAnsi="仿宋" w:eastAsia="仿宋_GB2312" w:cs="Arial"/>
                <w:b/>
                <w:bCs/>
                <w:sz w:val="24"/>
                <w:szCs w:val="24"/>
                <w:lang w:val="en-GB"/>
              </w:rPr>
              <w:t>测量设备1</w:t>
            </w:r>
          </w:p>
        </w:tc>
        <w:tc>
          <w:tcPr>
            <w:tcW w:w="5954" w:type="dxa"/>
            <w:gridSpan w:val="4"/>
            <w:shd w:val="clear" w:color="auto" w:fill="D9D9D9"/>
          </w:tcPr>
          <w:p w14:paraId="327668BA">
            <w:pPr>
              <w:pStyle w:val="15"/>
              <w:spacing w:line="560" w:lineRule="exact"/>
              <w:jc w:val="center"/>
              <w:rPr>
                <w:rFonts w:ascii="仿宋_GB2312" w:hAnsi="仿宋" w:eastAsia="仿宋_GB2312" w:cs="Arial"/>
                <w:b/>
                <w:bCs/>
                <w:sz w:val="24"/>
                <w:szCs w:val="24"/>
                <w:lang w:val="en-GB"/>
              </w:rPr>
            </w:pPr>
          </w:p>
        </w:tc>
      </w:tr>
      <w:tr w14:paraId="23A51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14:paraId="6154A8A6">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序号SN</w:t>
            </w:r>
          </w:p>
        </w:tc>
        <w:tc>
          <w:tcPr>
            <w:tcW w:w="5954" w:type="dxa"/>
            <w:gridSpan w:val="4"/>
          </w:tcPr>
          <w:p w14:paraId="65CD026F">
            <w:pPr>
              <w:pStyle w:val="15"/>
              <w:spacing w:line="560" w:lineRule="exact"/>
              <w:rPr>
                <w:rFonts w:ascii="仿宋_GB2312" w:hAnsi="仿宋" w:eastAsia="仿宋_GB2312" w:cs="Arial"/>
                <w:sz w:val="24"/>
                <w:szCs w:val="24"/>
                <w:lang w:val="en-GB"/>
              </w:rPr>
            </w:pPr>
          </w:p>
        </w:tc>
      </w:tr>
      <w:tr w14:paraId="76DD6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14:paraId="46E9BF92">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规定的校准频次</w:t>
            </w:r>
          </w:p>
        </w:tc>
        <w:tc>
          <w:tcPr>
            <w:tcW w:w="5954" w:type="dxa"/>
            <w:gridSpan w:val="4"/>
          </w:tcPr>
          <w:p w14:paraId="371CE953">
            <w:pPr>
              <w:pStyle w:val="15"/>
              <w:spacing w:line="560" w:lineRule="exact"/>
              <w:rPr>
                <w:rFonts w:ascii="仿宋_GB2312" w:hAnsi="仿宋" w:eastAsia="仿宋_GB2312" w:cs="Arial"/>
                <w:sz w:val="24"/>
                <w:szCs w:val="24"/>
                <w:lang w:val="en-GB"/>
              </w:rPr>
            </w:pPr>
          </w:p>
        </w:tc>
      </w:tr>
      <w:tr w14:paraId="2483C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14:paraId="1EA594FD">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实际的校准频次</w:t>
            </w:r>
          </w:p>
        </w:tc>
        <w:tc>
          <w:tcPr>
            <w:tcW w:w="5954" w:type="dxa"/>
            <w:gridSpan w:val="4"/>
          </w:tcPr>
          <w:p w14:paraId="794B8E3D">
            <w:pPr>
              <w:pStyle w:val="15"/>
              <w:spacing w:line="560" w:lineRule="exact"/>
              <w:rPr>
                <w:rFonts w:ascii="仿宋_GB2312" w:hAnsi="仿宋" w:eastAsia="仿宋_GB2312" w:cs="Arial"/>
                <w:sz w:val="24"/>
                <w:szCs w:val="24"/>
                <w:lang w:val="en-GB"/>
              </w:rPr>
            </w:pPr>
          </w:p>
        </w:tc>
      </w:tr>
      <w:tr w14:paraId="2671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14:paraId="0BCFD93B">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校准标准</w:t>
            </w:r>
          </w:p>
        </w:tc>
        <w:tc>
          <w:tcPr>
            <w:tcW w:w="5954" w:type="dxa"/>
            <w:gridSpan w:val="4"/>
          </w:tcPr>
          <w:p w14:paraId="4020D5C4">
            <w:pPr>
              <w:pStyle w:val="15"/>
              <w:spacing w:line="560" w:lineRule="exact"/>
              <w:rPr>
                <w:rFonts w:ascii="仿宋_GB2312" w:hAnsi="仿宋" w:eastAsia="仿宋_GB2312" w:cs="Arial"/>
                <w:sz w:val="24"/>
                <w:szCs w:val="24"/>
                <w:lang w:val="en-GB"/>
              </w:rPr>
            </w:pPr>
          </w:p>
        </w:tc>
      </w:tr>
      <w:tr w14:paraId="73863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14:paraId="1E610742">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覆盖报告期工作日期的校准日期</w:t>
            </w:r>
          </w:p>
        </w:tc>
        <w:tc>
          <w:tcPr>
            <w:tcW w:w="1559" w:type="dxa"/>
          </w:tcPr>
          <w:p w14:paraId="0BD03F01">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年 月 日</w:t>
            </w:r>
          </w:p>
        </w:tc>
        <w:tc>
          <w:tcPr>
            <w:tcW w:w="1276" w:type="dxa"/>
          </w:tcPr>
          <w:p w14:paraId="66BF58E3">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年月 日</w:t>
            </w:r>
          </w:p>
        </w:tc>
        <w:tc>
          <w:tcPr>
            <w:tcW w:w="1559" w:type="dxa"/>
          </w:tcPr>
          <w:p w14:paraId="11CF12CF">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年月  日</w:t>
            </w:r>
          </w:p>
        </w:tc>
        <w:tc>
          <w:tcPr>
            <w:tcW w:w="1560" w:type="dxa"/>
          </w:tcPr>
          <w:p w14:paraId="56FFAF6C">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年月  日</w:t>
            </w:r>
          </w:p>
        </w:tc>
      </w:tr>
      <w:tr w14:paraId="62093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14:paraId="6FB8FE5D">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有效期至</w:t>
            </w:r>
          </w:p>
        </w:tc>
        <w:tc>
          <w:tcPr>
            <w:tcW w:w="1559" w:type="dxa"/>
          </w:tcPr>
          <w:p w14:paraId="729F92E5">
            <w:pPr>
              <w:pStyle w:val="15"/>
              <w:spacing w:line="560" w:lineRule="exact"/>
              <w:ind w:firstLine="120" w:firstLineChars="50"/>
              <w:rPr>
                <w:rFonts w:ascii="仿宋_GB2312" w:hAnsi="仿宋" w:eastAsia="仿宋_GB2312" w:cs="Arial"/>
                <w:sz w:val="24"/>
                <w:szCs w:val="24"/>
                <w:lang w:val="en-GB"/>
              </w:rPr>
            </w:pPr>
            <w:r>
              <w:rPr>
                <w:rFonts w:hint="eastAsia" w:ascii="仿宋_GB2312" w:hAnsi="仿宋" w:eastAsia="仿宋_GB2312" w:cs="Arial"/>
                <w:sz w:val="24"/>
                <w:szCs w:val="24"/>
                <w:lang w:val="en-GB"/>
              </w:rPr>
              <w:t>年 月 日</w:t>
            </w:r>
          </w:p>
        </w:tc>
        <w:tc>
          <w:tcPr>
            <w:tcW w:w="1276" w:type="dxa"/>
          </w:tcPr>
          <w:p w14:paraId="5DEBE1DB">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年月 日</w:t>
            </w:r>
          </w:p>
        </w:tc>
        <w:tc>
          <w:tcPr>
            <w:tcW w:w="1559" w:type="dxa"/>
          </w:tcPr>
          <w:p w14:paraId="0CB93468">
            <w:pPr>
              <w:pStyle w:val="15"/>
              <w:spacing w:line="560" w:lineRule="exact"/>
              <w:ind w:firstLine="120" w:firstLineChars="50"/>
              <w:rPr>
                <w:rFonts w:ascii="仿宋_GB2312" w:hAnsi="仿宋" w:eastAsia="仿宋_GB2312" w:cs="Arial"/>
                <w:sz w:val="24"/>
                <w:szCs w:val="24"/>
                <w:lang w:val="en-GB"/>
              </w:rPr>
            </w:pPr>
            <w:r>
              <w:rPr>
                <w:rFonts w:hint="eastAsia" w:ascii="仿宋_GB2312" w:hAnsi="仿宋" w:eastAsia="仿宋_GB2312" w:cs="Arial"/>
                <w:sz w:val="24"/>
                <w:szCs w:val="24"/>
                <w:lang w:val="en-GB"/>
              </w:rPr>
              <w:t>年 月 日</w:t>
            </w:r>
          </w:p>
        </w:tc>
        <w:tc>
          <w:tcPr>
            <w:tcW w:w="1560" w:type="dxa"/>
          </w:tcPr>
          <w:p w14:paraId="458B2CE1">
            <w:pPr>
              <w:pStyle w:val="15"/>
              <w:spacing w:line="560" w:lineRule="exact"/>
              <w:ind w:firstLine="120" w:firstLineChars="50"/>
              <w:rPr>
                <w:rFonts w:ascii="仿宋_GB2312" w:hAnsi="仿宋" w:eastAsia="仿宋_GB2312" w:cs="Arial"/>
                <w:sz w:val="24"/>
                <w:szCs w:val="24"/>
                <w:lang w:val="en-GB"/>
              </w:rPr>
            </w:pPr>
            <w:r>
              <w:rPr>
                <w:rFonts w:hint="eastAsia" w:ascii="仿宋_GB2312" w:hAnsi="仿宋" w:eastAsia="仿宋_GB2312" w:cs="Arial"/>
                <w:sz w:val="24"/>
                <w:szCs w:val="24"/>
                <w:lang w:val="en-GB"/>
              </w:rPr>
              <w:t>年 月 日</w:t>
            </w:r>
          </w:p>
        </w:tc>
      </w:tr>
      <w:tr w14:paraId="4EC2C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shd w:val="clear" w:color="auto" w:fill="D9D9D9"/>
          </w:tcPr>
          <w:p w14:paraId="00EA4A21">
            <w:pPr>
              <w:pStyle w:val="15"/>
              <w:spacing w:line="560" w:lineRule="exact"/>
              <w:jc w:val="center"/>
              <w:rPr>
                <w:rFonts w:ascii="仿宋_GB2312" w:hAnsi="仿宋" w:eastAsia="仿宋_GB2312" w:cs="Arial"/>
                <w:b/>
                <w:bCs/>
                <w:sz w:val="24"/>
                <w:szCs w:val="24"/>
                <w:lang w:val="en-GB"/>
              </w:rPr>
            </w:pPr>
            <w:r>
              <w:rPr>
                <w:rFonts w:hint="eastAsia" w:ascii="仿宋_GB2312" w:hAnsi="仿宋" w:eastAsia="仿宋_GB2312" w:cs="Arial"/>
                <w:b/>
                <w:bCs/>
                <w:sz w:val="24"/>
                <w:szCs w:val="24"/>
                <w:lang w:val="en-GB"/>
              </w:rPr>
              <w:t>测量设备2</w:t>
            </w:r>
          </w:p>
        </w:tc>
        <w:tc>
          <w:tcPr>
            <w:tcW w:w="5954" w:type="dxa"/>
            <w:gridSpan w:val="4"/>
            <w:shd w:val="clear" w:color="auto" w:fill="D9D9D9"/>
          </w:tcPr>
          <w:p w14:paraId="58AB36CD">
            <w:pPr>
              <w:pStyle w:val="15"/>
              <w:spacing w:line="560" w:lineRule="exact"/>
              <w:jc w:val="center"/>
              <w:rPr>
                <w:rFonts w:ascii="仿宋_GB2312" w:hAnsi="仿宋" w:eastAsia="仿宋_GB2312" w:cs="Arial"/>
                <w:b/>
                <w:bCs/>
                <w:sz w:val="24"/>
                <w:szCs w:val="24"/>
                <w:lang w:val="en-GB"/>
              </w:rPr>
            </w:pPr>
          </w:p>
        </w:tc>
      </w:tr>
      <w:tr w14:paraId="4F908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14:paraId="7963ACB1">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序号SN</w:t>
            </w:r>
          </w:p>
        </w:tc>
        <w:tc>
          <w:tcPr>
            <w:tcW w:w="5954" w:type="dxa"/>
            <w:gridSpan w:val="4"/>
          </w:tcPr>
          <w:p w14:paraId="595A6737">
            <w:pPr>
              <w:pStyle w:val="15"/>
              <w:spacing w:line="560" w:lineRule="exact"/>
              <w:rPr>
                <w:rFonts w:ascii="仿宋_GB2312" w:hAnsi="仿宋" w:eastAsia="仿宋_GB2312" w:cs="Arial"/>
                <w:sz w:val="24"/>
                <w:szCs w:val="24"/>
                <w:lang w:val="en-GB"/>
              </w:rPr>
            </w:pPr>
          </w:p>
        </w:tc>
      </w:tr>
      <w:tr w14:paraId="29999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14:paraId="169E4753">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规定的校准频次</w:t>
            </w:r>
          </w:p>
        </w:tc>
        <w:tc>
          <w:tcPr>
            <w:tcW w:w="5954" w:type="dxa"/>
            <w:gridSpan w:val="4"/>
          </w:tcPr>
          <w:p w14:paraId="4250F040">
            <w:pPr>
              <w:pStyle w:val="15"/>
              <w:spacing w:line="560" w:lineRule="exact"/>
              <w:rPr>
                <w:rFonts w:ascii="仿宋_GB2312" w:hAnsi="仿宋" w:eastAsia="仿宋_GB2312" w:cs="Arial"/>
                <w:sz w:val="24"/>
                <w:szCs w:val="24"/>
                <w:lang w:val="en-GB"/>
              </w:rPr>
            </w:pPr>
          </w:p>
        </w:tc>
      </w:tr>
      <w:tr w14:paraId="31F6C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14:paraId="6D99846D">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实际的校准频次</w:t>
            </w:r>
          </w:p>
        </w:tc>
        <w:tc>
          <w:tcPr>
            <w:tcW w:w="5954" w:type="dxa"/>
            <w:gridSpan w:val="4"/>
          </w:tcPr>
          <w:p w14:paraId="65041216">
            <w:pPr>
              <w:pStyle w:val="15"/>
              <w:spacing w:line="560" w:lineRule="exact"/>
              <w:rPr>
                <w:rFonts w:ascii="仿宋_GB2312" w:hAnsi="仿宋" w:eastAsia="仿宋_GB2312" w:cs="Arial"/>
                <w:sz w:val="24"/>
                <w:szCs w:val="24"/>
                <w:lang w:val="en-GB"/>
              </w:rPr>
            </w:pPr>
          </w:p>
        </w:tc>
      </w:tr>
      <w:tr w14:paraId="7326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14:paraId="533C1983">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校准标准</w:t>
            </w:r>
          </w:p>
        </w:tc>
        <w:tc>
          <w:tcPr>
            <w:tcW w:w="5954" w:type="dxa"/>
            <w:gridSpan w:val="4"/>
          </w:tcPr>
          <w:p w14:paraId="37268BEB">
            <w:pPr>
              <w:pStyle w:val="15"/>
              <w:spacing w:line="560" w:lineRule="exact"/>
              <w:rPr>
                <w:rFonts w:ascii="仿宋_GB2312" w:hAnsi="仿宋" w:eastAsia="仿宋_GB2312" w:cs="Arial"/>
                <w:sz w:val="24"/>
                <w:szCs w:val="24"/>
                <w:lang w:val="en-GB"/>
              </w:rPr>
            </w:pPr>
          </w:p>
        </w:tc>
      </w:tr>
      <w:tr w14:paraId="313DA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14:paraId="24635864">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覆盖报告期的工作日期的校准日期</w:t>
            </w:r>
          </w:p>
        </w:tc>
        <w:tc>
          <w:tcPr>
            <w:tcW w:w="1559" w:type="dxa"/>
          </w:tcPr>
          <w:p w14:paraId="3FBC54DD">
            <w:pPr>
              <w:pStyle w:val="15"/>
              <w:spacing w:line="560" w:lineRule="exact"/>
              <w:ind w:firstLine="120" w:firstLineChars="50"/>
              <w:rPr>
                <w:rFonts w:ascii="仿宋_GB2312" w:hAnsi="仿宋" w:eastAsia="仿宋_GB2312" w:cs="Arial"/>
                <w:sz w:val="24"/>
                <w:szCs w:val="24"/>
                <w:lang w:val="en-GB"/>
              </w:rPr>
            </w:pPr>
            <w:r>
              <w:rPr>
                <w:rFonts w:hint="eastAsia" w:ascii="仿宋_GB2312" w:hAnsi="仿宋" w:eastAsia="仿宋_GB2312" w:cs="Arial"/>
                <w:sz w:val="24"/>
                <w:szCs w:val="24"/>
                <w:lang w:val="en-GB"/>
              </w:rPr>
              <w:t>年 月 日</w:t>
            </w:r>
          </w:p>
        </w:tc>
        <w:tc>
          <w:tcPr>
            <w:tcW w:w="1276" w:type="dxa"/>
          </w:tcPr>
          <w:p w14:paraId="2C81C9E7">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年月 日</w:t>
            </w:r>
          </w:p>
        </w:tc>
        <w:tc>
          <w:tcPr>
            <w:tcW w:w="1559" w:type="dxa"/>
          </w:tcPr>
          <w:p w14:paraId="1E780A96">
            <w:pPr>
              <w:pStyle w:val="15"/>
              <w:spacing w:line="560" w:lineRule="exact"/>
              <w:ind w:firstLine="120" w:firstLineChars="50"/>
              <w:rPr>
                <w:rFonts w:ascii="仿宋_GB2312" w:hAnsi="仿宋" w:eastAsia="仿宋_GB2312" w:cs="Arial"/>
                <w:sz w:val="24"/>
                <w:szCs w:val="24"/>
                <w:lang w:val="en-GB"/>
              </w:rPr>
            </w:pPr>
            <w:r>
              <w:rPr>
                <w:rFonts w:hint="eastAsia" w:ascii="仿宋_GB2312" w:hAnsi="仿宋" w:eastAsia="仿宋_GB2312" w:cs="Arial"/>
                <w:sz w:val="24"/>
                <w:szCs w:val="24"/>
                <w:lang w:val="en-GB"/>
              </w:rPr>
              <w:t>年 月 日</w:t>
            </w:r>
          </w:p>
        </w:tc>
        <w:tc>
          <w:tcPr>
            <w:tcW w:w="1560" w:type="dxa"/>
          </w:tcPr>
          <w:p w14:paraId="2FC61F0E">
            <w:pPr>
              <w:pStyle w:val="15"/>
              <w:spacing w:line="560" w:lineRule="exact"/>
              <w:ind w:firstLine="120" w:firstLineChars="50"/>
              <w:rPr>
                <w:rFonts w:ascii="仿宋_GB2312" w:hAnsi="仿宋" w:eastAsia="仿宋_GB2312" w:cs="Arial"/>
                <w:sz w:val="24"/>
                <w:szCs w:val="24"/>
                <w:lang w:val="en-GB"/>
              </w:rPr>
            </w:pPr>
            <w:r>
              <w:rPr>
                <w:rFonts w:hint="eastAsia" w:ascii="仿宋_GB2312" w:hAnsi="仿宋" w:eastAsia="仿宋_GB2312" w:cs="Arial"/>
                <w:sz w:val="24"/>
                <w:szCs w:val="24"/>
                <w:lang w:val="en-GB"/>
              </w:rPr>
              <w:t>年 月 日</w:t>
            </w:r>
          </w:p>
        </w:tc>
      </w:tr>
      <w:tr w14:paraId="113F5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14:paraId="2EC7A2A7">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有效期至</w:t>
            </w:r>
          </w:p>
        </w:tc>
        <w:tc>
          <w:tcPr>
            <w:tcW w:w="1559" w:type="dxa"/>
          </w:tcPr>
          <w:p w14:paraId="1BD40A84">
            <w:pPr>
              <w:pStyle w:val="15"/>
              <w:spacing w:line="560" w:lineRule="exact"/>
              <w:ind w:firstLine="120" w:firstLineChars="50"/>
              <w:rPr>
                <w:rFonts w:ascii="仿宋_GB2312" w:hAnsi="仿宋" w:eastAsia="仿宋_GB2312" w:cs="Arial"/>
                <w:sz w:val="24"/>
                <w:szCs w:val="24"/>
                <w:lang w:val="en-GB"/>
              </w:rPr>
            </w:pPr>
            <w:r>
              <w:rPr>
                <w:rFonts w:hint="eastAsia" w:ascii="仿宋_GB2312" w:hAnsi="仿宋" w:eastAsia="仿宋_GB2312" w:cs="Arial"/>
                <w:sz w:val="24"/>
                <w:szCs w:val="24"/>
                <w:lang w:val="en-GB"/>
              </w:rPr>
              <w:t>年 月 日</w:t>
            </w:r>
          </w:p>
        </w:tc>
        <w:tc>
          <w:tcPr>
            <w:tcW w:w="1276" w:type="dxa"/>
          </w:tcPr>
          <w:p w14:paraId="103D452E">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年月 日</w:t>
            </w:r>
          </w:p>
        </w:tc>
        <w:tc>
          <w:tcPr>
            <w:tcW w:w="1559" w:type="dxa"/>
          </w:tcPr>
          <w:p w14:paraId="34AAC509">
            <w:pPr>
              <w:pStyle w:val="15"/>
              <w:spacing w:line="560" w:lineRule="exact"/>
              <w:ind w:firstLine="120" w:firstLineChars="50"/>
              <w:rPr>
                <w:rFonts w:ascii="仿宋_GB2312" w:hAnsi="仿宋" w:eastAsia="仿宋_GB2312" w:cs="Arial"/>
                <w:sz w:val="24"/>
                <w:szCs w:val="24"/>
                <w:lang w:val="en-GB"/>
              </w:rPr>
            </w:pPr>
            <w:r>
              <w:rPr>
                <w:rFonts w:hint="eastAsia" w:ascii="仿宋_GB2312" w:hAnsi="仿宋" w:eastAsia="仿宋_GB2312" w:cs="Arial"/>
                <w:sz w:val="24"/>
                <w:szCs w:val="24"/>
                <w:lang w:val="en-GB"/>
              </w:rPr>
              <w:t>年 月 日</w:t>
            </w:r>
          </w:p>
        </w:tc>
        <w:tc>
          <w:tcPr>
            <w:tcW w:w="1560" w:type="dxa"/>
          </w:tcPr>
          <w:p w14:paraId="3C863184">
            <w:pPr>
              <w:pStyle w:val="15"/>
              <w:spacing w:line="560" w:lineRule="exact"/>
              <w:ind w:firstLine="120" w:firstLineChars="50"/>
              <w:rPr>
                <w:rFonts w:ascii="仿宋_GB2312" w:hAnsi="仿宋" w:eastAsia="仿宋_GB2312" w:cs="Arial"/>
                <w:sz w:val="24"/>
                <w:szCs w:val="24"/>
                <w:lang w:val="en-GB"/>
              </w:rPr>
            </w:pPr>
            <w:r>
              <w:rPr>
                <w:rFonts w:hint="eastAsia" w:ascii="仿宋_GB2312" w:hAnsi="仿宋" w:eastAsia="仿宋_GB2312" w:cs="Arial"/>
                <w:sz w:val="24"/>
                <w:szCs w:val="24"/>
                <w:lang w:val="en-GB"/>
              </w:rPr>
              <w:t>年 月 日</w:t>
            </w:r>
          </w:p>
        </w:tc>
      </w:tr>
      <w:tr w14:paraId="3720D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shd w:val="clear" w:color="auto" w:fill="D9D9D9"/>
          </w:tcPr>
          <w:p w14:paraId="6116F601">
            <w:pPr>
              <w:pStyle w:val="15"/>
              <w:spacing w:line="560" w:lineRule="exact"/>
              <w:jc w:val="center"/>
              <w:rPr>
                <w:rFonts w:ascii="仿宋_GB2312" w:hAnsi="仿宋" w:eastAsia="仿宋_GB2312" w:cs="Arial"/>
                <w:b/>
                <w:bCs/>
                <w:sz w:val="24"/>
                <w:szCs w:val="24"/>
                <w:lang w:val="en-GB"/>
              </w:rPr>
            </w:pPr>
            <w:r>
              <w:rPr>
                <w:rFonts w:hint="eastAsia" w:ascii="仿宋_GB2312" w:hAnsi="仿宋" w:eastAsia="仿宋_GB2312" w:cs="Arial"/>
                <w:b/>
                <w:bCs/>
                <w:sz w:val="24"/>
                <w:szCs w:val="24"/>
                <w:lang w:val="en-GB"/>
              </w:rPr>
              <w:t>测量设备3</w:t>
            </w:r>
          </w:p>
        </w:tc>
        <w:tc>
          <w:tcPr>
            <w:tcW w:w="5954" w:type="dxa"/>
            <w:gridSpan w:val="4"/>
            <w:shd w:val="clear" w:color="auto" w:fill="D9D9D9"/>
          </w:tcPr>
          <w:p w14:paraId="2E283DED">
            <w:pPr>
              <w:pStyle w:val="15"/>
              <w:spacing w:line="560" w:lineRule="exact"/>
              <w:jc w:val="center"/>
              <w:rPr>
                <w:rFonts w:ascii="仿宋_GB2312" w:hAnsi="仿宋" w:eastAsia="仿宋_GB2312" w:cs="Arial"/>
                <w:b/>
                <w:bCs/>
                <w:sz w:val="24"/>
                <w:szCs w:val="24"/>
                <w:lang w:val="en-GB"/>
              </w:rPr>
            </w:pPr>
          </w:p>
        </w:tc>
      </w:tr>
      <w:tr w14:paraId="1BD04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14:paraId="1BDB48E1">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w:t>
            </w:r>
          </w:p>
        </w:tc>
        <w:tc>
          <w:tcPr>
            <w:tcW w:w="5954" w:type="dxa"/>
            <w:gridSpan w:val="4"/>
          </w:tcPr>
          <w:p w14:paraId="091B3AF8">
            <w:pPr>
              <w:pStyle w:val="15"/>
              <w:spacing w:line="560" w:lineRule="exact"/>
              <w:rPr>
                <w:rFonts w:ascii="仿宋_GB2312" w:hAnsi="仿宋" w:eastAsia="仿宋_GB2312" w:cs="Arial"/>
                <w:sz w:val="24"/>
                <w:szCs w:val="24"/>
                <w:lang w:val="en-GB"/>
              </w:rPr>
            </w:pPr>
          </w:p>
        </w:tc>
      </w:tr>
    </w:tbl>
    <w:p w14:paraId="0C7A1395">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核查机构应对上述每一个测量设备的核查发现进行报告，并简要描述不符合(如有),详细描述及纠正措施链接核查报告附件1。</w:t>
      </w:r>
    </w:p>
    <w:p w14:paraId="5D6D432A">
      <w:pPr>
        <w:spacing w:after="0" w:line="560" w:lineRule="exact"/>
        <w:ind w:firstLine="630" w:firstLineChars="196"/>
        <w:jc w:val="both"/>
        <w:outlineLvl w:val="0"/>
        <w:rPr>
          <w:rFonts w:ascii="仿宋_GB2312" w:hAnsi="仿宋" w:eastAsia="仿宋_GB2312"/>
          <w:b/>
          <w:color w:val="000000"/>
          <w:sz w:val="32"/>
          <w:szCs w:val="32"/>
        </w:rPr>
      </w:pPr>
      <w:r>
        <w:rPr>
          <w:rFonts w:hint="eastAsia" w:ascii="仿宋_GB2312" w:hAnsi="仿宋" w:eastAsia="仿宋_GB2312"/>
          <w:b/>
          <w:color w:val="000000"/>
          <w:sz w:val="32"/>
          <w:szCs w:val="32"/>
        </w:rPr>
        <w:t>B)核查方法</w:t>
      </w:r>
    </w:p>
    <w:p w14:paraId="6416D360">
      <w:pPr>
        <w:widowControl w:val="0"/>
        <w:numPr>
          <w:ilvl w:val="0"/>
          <w:numId w:val="1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查阅校准报告、设备维修和更新记录；</w:t>
      </w:r>
    </w:p>
    <w:p w14:paraId="26AEF3DA">
      <w:pPr>
        <w:widowControl w:val="0"/>
        <w:numPr>
          <w:ilvl w:val="0"/>
          <w:numId w:val="1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现场观察设备校准标签；</w:t>
      </w:r>
    </w:p>
    <w:p w14:paraId="3AF8CA97">
      <w:pPr>
        <w:widowControl w:val="0"/>
        <w:numPr>
          <w:ilvl w:val="0"/>
          <w:numId w:val="1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查阅《能源计量器具一览表》；</w:t>
      </w:r>
    </w:p>
    <w:p w14:paraId="0F4E4B51">
      <w:pPr>
        <w:widowControl w:val="0"/>
        <w:numPr>
          <w:ilvl w:val="0"/>
          <w:numId w:val="1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查阅《能源计量器具配置表及能源计量网络图》；</w:t>
      </w:r>
    </w:p>
    <w:p w14:paraId="5CDA9FB9">
      <w:pPr>
        <w:widowControl w:val="0"/>
        <w:numPr>
          <w:ilvl w:val="0"/>
          <w:numId w:val="1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与测量设备管理人员交谈等。</w:t>
      </w:r>
    </w:p>
    <w:p w14:paraId="7D53A2D0">
      <w:pPr>
        <w:spacing w:after="0" w:line="560" w:lineRule="exact"/>
        <w:ind w:firstLine="659" w:firstLineChars="205"/>
        <w:jc w:val="both"/>
        <w:rPr>
          <w:rFonts w:ascii="仿宋_GB2312" w:hAnsi="仿宋" w:eastAsia="仿宋_GB2312"/>
          <w:b/>
          <w:sz w:val="32"/>
          <w:szCs w:val="32"/>
        </w:rPr>
      </w:pPr>
      <w:r>
        <w:rPr>
          <w:rFonts w:hint="eastAsia" w:ascii="仿宋_GB2312" w:hAnsi="仿宋" w:eastAsia="仿宋_GB2312"/>
          <w:b/>
          <w:sz w:val="32"/>
          <w:szCs w:val="32"/>
        </w:rPr>
        <w:t>3.5 二氧化碳排放量计算过程及结果</w:t>
      </w:r>
    </w:p>
    <w:p w14:paraId="10E2532B">
      <w:pPr>
        <w:spacing w:after="0" w:line="560" w:lineRule="exact"/>
        <w:ind w:firstLine="659" w:firstLineChars="205"/>
        <w:jc w:val="both"/>
        <w:outlineLvl w:val="0"/>
        <w:rPr>
          <w:rFonts w:ascii="仿宋_GB2312" w:hAnsi="仿宋" w:eastAsia="仿宋_GB2312"/>
          <w:b/>
          <w:sz w:val="32"/>
          <w:szCs w:val="32"/>
        </w:rPr>
      </w:pPr>
      <w:r>
        <w:rPr>
          <w:rFonts w:hint="eastAsia" w:ascii="仿宋_GB2312" w:hAnsi="仿宋" w:eastAsia="仿宋_GB2312"/>
          <w:b/>
          <w:sz w:val="32"/>
          <w:szCs w:val="32"/>
        </w:rPr>
        <w:t>A)报告内容</w:t>
      </w:r>
    </w:p>
    <w:p w14:paraId="107DC423">
      <w:pPr>
        <w:spacing w:after="0" w:line="560" w:lineRule="exact"/>
        <w:ind w:firstLine="656" w:firstLineChars="205"/>
        <w:jc w:val="both"/>
        <w:outlineLvl w:val="0"/>
        <w:rPr>
          <w:rFonts w:ascii="仿宋_GB2312" w:hAnsi="仿宋" w:eastAsia="仿宋_GB2312"/>
          <w:sz w:val="32"/>
          <w:szCs w:val="32"/>
        </w:rPr>
      </w:pPr>
      <w:r>
        <w:rPr>
          <w:rFonts w:hint="eastAsia" w:ascii="仿宋_GB2312" w:hAnsi="仿宋" w:eastAsia="仿宋_GB2312"/>
          <w:sz w:val="32"/>
          <w:szCs w:val="32"/>
        </w:rPr>
        <w:t>3.5.1 计算过程及结果</w:t>
      </w:r>
    </w:p>
    <w:p w14:paraId="651D4C8C">
      <w:pPr>
        <w:spacing w:after="0" w:line="560" w:lineRule="exact"/>
        <w:ind w:firstLine="564"/>
        <w:jc w:val="both"/>
        <w:rPr>
          <w:rFonts w:ascii="仿宋_GB2312" w:hAnsi="仿宋" w:eastAsia="仿宋_GB2312"/>
          <w:sz w:val="32"/>
          <w:szCs w:val="32"/>
        </w:rPr>
      </w:pPr>
      <w:r>
        <w:rPr>
          <w:rFonts w:hint="eastAsia" w:ascii="仿宋_GB2312" w:hAnsi="仿宋" w:eastAsia="仿宋_GB2312"/>
          <w:sz w:val="32"/>
          <w:szCs w:val="32"/>
        </w:rPr>
        <w:t>核查机构对重点碳排放单位报告的核算结果进行核查。核查机构应详细报告如下核查发现:</w:t>
      </w:r>
    </w:p>
    <w:p w14:paraId="62928514">
      <w:pPr>
        <w:widowControl w:val="0"/>
        <w:numPr>
          <w:ilvl w:val="0"/>
          <w:numId w:val="2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排放量的计算公式是否正确；</w:t>
      </w:r>
    </w:p>
    <w:p w14:paraId="5F4998B9">
      <w:pPr>
        <w:widowControl w:val="0"/>
        <w:numPr>
          <w:ilvl w:val="0"/>
          <w:numId w:val="2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排放量的累加是否正确；</w:t>
      </w:r>
    </w:p>
    <w:p w14:paraId="65478DAC">
      <w:pPr>
        <w:widowControl w:val="0"/>
        <w:numPr>
          <w:ilvl w:val="0"/>
          <w:numId w:val="2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排放量的计算是否可再现；</w:t>
      </w:r>
    </w:p>
    <w:p w14:paraId="331E3213">
      <w:pPr>
        <w:widowControl w:val="0"/>
        <w:numPr>
          <w:ilvl w:val="0"/>
          <w:numId w:val="2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直接排放和间接排放最终结果计算是否正确；</w:t>
      </w:r>
    </w:p>
    <w:p w14:paraId="247CE4BD">
      <w:pPr>
        <w:widowControl w:val="0"/>
        <w:numPr>
          <w:ilvl w:val="0"/>
          <w:numId w:val="2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本年度排放量与基准年</w:t>
      </w:r>
      <w:r>
        <w:rPr>
          <w:rFonts w:ascii="仿宋_GB2312" w:hAnsi="仿宋" w:eastAsia="仿宋_GB2312"/>
          <w:sz w:val="32"/>
          <w:szCs w:val="32"/>
        </w:rPr>
        <w:t>和</w:t>
      </w:r>
      <w:r>
        <w:rPr>
          <w:rFonts w:hint="eastAsia" w:ascii="仿宋_GB2312" w:hAnsi="仿宋" w:eastAsia="仿宋_GB2312"/>
          <w:sz w:val="32"/>
          <w:szCs w:val="32"/>
        </w:rPr>
        <w:t>上一年度排放量的对比,对存在异常变化(</w:t>
      </w:r>
      <w:r>
        <w:rPr>
          <w:rFonts w:hint="eastAsia" w:ascii="仿宋_GB2312" w:eastAsia="仿宋_GB2312"/>
          <w:sz w:val="32"/>
          <w:szCs w:val="32"/>
        </w:rPr>
        <w:t>履约年度二氧化碳排放量1</w:t>
      </w:r>
      <w:r>
        <w:rPr>
          <w:rFonts w:ascii="仿宋_GB2312" w:eastAsia="仿宋_GB2312"/>
          <w:sz w:val="32"/>
          <w:szCs w:val="32"/>
        </w:rPr>
        <w:t>0</w:t>
      </w:r>
      <w:r>
        <w:rPr>
          <w:rFonts w:hint="eastAsia" w:ascii="仿宋_GB2312" w:eastAsia="仿宋_GB2312"/>
          <w:sz w:val="32"/>
          <w:szCs w:val="32"/>
        </w:rPr>
        <w:t>万吨（含）以上的</w:t>
      </w:r>
      <w:r>
        <w:rPr>
          <w:rFonts w:ascii="仿宋_GB2312" w:eastAsia="仿宋_GB2312"/>
          <w:sz w:val="32"/>
          <w:szCs w:val="32"/>
        </w:rPr>
        <w:t>重点碳排放单位，</w:t>
      </w:r>
      <w:r>
        <w:rPr>
          <w:rFonts w:hint="eastAsia" w:ascii="仿宋_GB2312" w:eastAsia="仿宋_GB2312"/>
          <w:sz w:val="32"/>
          <w:szCs w:val="32"/>
        </w:rPr>
        <w:t>如</w:t>
      </w:r>
      <w:r>
        <w:rPr>
          <w:rFonts w:ascii="仿宋_GB2312" w:eastAsia="仿宋_GB2312"/>
          <w:sz w:val="32"/>
          <w:szCs w:val="32"/>
        </w:rPr>
        <w:t>果</w:t>
      </w:r>
      <w:r>
        <w:rPr>
          <w:rFonts w:hint="eastAsia" w:ascii="仿宋_GB2312" w:eastAsia="仿宋_GB2312"/>
          <w:sz w:val="32"/>
          <w:szCs w:val="32"/>
        </w:rPr>
        <w:t>履约</w:t>
      </w:r>
      <w:r>
        <w:rPr>
          <w:rFonts w:ascii="仿宋_GB2312" w:eastAsia="仿宋_GB2312"/>
          <w:sz w:val="32"/>
          <w:szCs w:val="32"/>
        </w:rPr>
        <w:t>年度排放量相对于历史基准年</w:t>
      </w:r>
      <w:r>
        <w:rPr>
          <w:rFonts w:hint="eastAsia" w:ascii="仿宋_GB2312" w:eastAsia="仿宋_GB2312"/>
          <w:sz w:val="32"/>
          <w:szCs w:val="32"/>
        </w:rPr>
        <w:t>和</w:t>
      </w:r>
      <w:r>
        <w:rPr>
          <w:rFonts w:ascii="仿宋_GB2312" w:eastAsia="仿宋_GB2312"/>
          <w:sz w:val="32"/>
          <w:szCs w:val="32"/>
        </w:rPr>
        <w:t>上一年度</w:t>
      </w:r>
      <w:r>
        <w:rPr>
          <w:rFonts w:hint="eastAsia" w:ascii="仿宋_GB2312" w:eastAsia="仿宋_GB2312"/>
          <w:sz w:val="32"/>
          <w:szCs w:val="32"/>
        </w:rPr>
        <w:t>排放量</w:t>
      </w:r>
      <w:r>
        <w:rPr>
          <w:rFonts w:ascii="仿宋_GB2312" w:eastAsia="仿宋_GB2312"/>
          <w:sz w:val="32"/>
          <w:szCs w:val="32"/>
        </w:rPr>
        <w:t>下降幅度</w:t>
      </w:r>
      <w:r>
        <w:rPr>
          <w:rFonts w:hint="eastAsia" w:ascii="仿宋_GB2312" w:eastAsia="仿宋_GB2312"/>
          <w:sz w:val="32"/>
          <w:szCs w:val="32"/>
        </w:rPr>
        <w:t>超过2</w:t>
      </w:r>
      <w:r>
        <w:rPr>
          <w:rFonts w:ascii="仿宋_GB2312" w:eastAsia="仿宋_GB2312"/>
          <w:sz w:val="32"/>
          <w:szCs w:val="32"/>
        </w:rPr>
        <w:t>0</w:t>
      </w:r>
      <w:r>
        <w:rPr>
          <w:rFonts w:hint="eastAsia" w:ascii="仿宋_GB2312" w:eastAsia="仿宋_GB2312"/>
          <w:sz w:val="32"/>
          <w:szCs w:val="32"/>
        </w:rPr>
        <w:t>%（含）；对于履约年度二氧化碳排放量1</w:t>
      </w:r>
      <w:r>
        <w:rPr>
          <w:rFonts w:ascii="仿宋_GB2312" w:eastAsia="仿宋_GB2312"/>
          <w:sz w:val="32"/>
          <w:szCs w:val="32"/>
        </w:rPr>
        <w:t>0</w:t>
      </w:r>
      <w:r>
        <w:rPr>
          <w:rFonts w:hint="eastAsia" w:ascii="仿宋_GB2312" w:eastAsia="仿宋_GB2312"/>
          <w:sz w:val="32"/>
          <w:szCs w:val="32"/>
        </w:rPr>
        <w:t>万吨以下的</w:t>
      </w:r>
      <w:r>
        <w:rPr>
          <w:rFonts w:ascii="仿宋_GB2312" w:eastAsia="仿宋_GB2312"/>
          <w:sz w:val="32"/>
          <w:szCs w:val="32"/>
        </w:rPr>
        <w:t>重点碳排放单位</w:t>
      </w:r>
      <w:r>
        <w:rPr>
          <w:rFonts w:hint="eastAsia" w:ascii="仿宋_GB2312" w:eastAsia="仿宋_GB2312"/>
          <w:sz w:val="32"/>
          <w:szCs w:val="32"/>
        </w:rPr>
        <w:t>，</w:t>
      </w:r>
      <w:r>
        <w:rPr>
          <w:rFonts w:ascii="仿宋_GB2312" w:eastAsia="仿宋_GB2312"/>
          <w:sz w:val="32"/>
          <w:szCs w:val="32"/>
        </w:rPr>
        <w:t>如果</w:t>
      </w:r>
      <w:r>
        <w:rPr>
          <w:rFonts w:hint="eastAsia" w:ascii="仿宋_GB2312" w:eastAsia="仿宋_GB2312"/>
          <w:sz w:val="32"/>
          <w:szCs w:val="32"/>
        </w:rPr>
        <w:t>履约</w:t>
      </w:r>
      <w:r>
        <w:rPr>
          <w:rFonts w:ascii="仿宋_GB2312" w:eastAsia="仿宋_GB2312"/>
          <w:sz w:val="32"/>
          <w:szCs w:val="32"/>
        </w:rPr>
        <w:t>年度排放量相对于历史基准年</w:t>
      </w:r>
      <w:r>
        <w:rPr>
          <w:rFonts w:hint="eastAsia" w:ascii="仿宋_GB2312" w:eastAsia="仿宋_GB2312"/>
          <w:sz w:val="32"/>
          <w:szCs w:val="32"/>
        </w:rPr>
        <w:t>和</w:t>
      </w:r>
      <w:r>
        <w:rPr>
          <w:rFonts w:ascii="仿宋_GB2312" w:eastAsia="仿宋_GB2312"/>
          <w:sz w:val="32"/>
          <w:szCs w:val="32"/>
        </w:rPr>
        <w:t>上一年度</w:t>
      </w:r>
      <w:r>
        <w:rPr>
          <w:rFonts w:hint="eastAsia" w:ascii="仿宋_GB2312" w:eastAsia="仿宋_GB2312"/>
          <w:sz w:val="32"/>
          <w:szCs w:val="32"/>
        </w:rPr>
        <w:t>排放量</w:t>
      </w:r>
      <w:r>
        <w:rPr>
          <w:rFonts w:ascii="仿宋_GB2312" w:eastAsia="仿宋_GB2312"/>
          <w:sz w:val="32"/>
          <w:szCs w:val="32"/>
        </w:rPr>
        <w:t>下降幅度</w:t>
      </w:r>
      <w:r>
        <w:rPr>
          <w:rFonts w:hint="eastAsia" w:ascii="仿宋_GB2312" w:eastAsia="仿宋_GB2312"/>
          <w:sz w:val="32"/>
          <w:szCs w:val="32"/>
        </w:rPr>
        <w:t>超过</w:t>
      </w:r>
      <w:r>
        <w:rPr>
          <w:rFonts w:ascii="仿宋_GB2312" w:eastAsia="仿宋_GB2312"/>
          <w:sz w:val="32"/>
          <w:szCs w:val="32"/>
        </w:rPr>
        <w:t>30</w:t>
      </w:r>
      <w:r>
        <w:rPr>
          <w:rFonts w:hint="eastAsia" w:ascii="仿宋_GB2312" w:eastAsia="仿宋_GB2312"/>
          <w:sz w:val="32"/>
          <w:szCs w:val="32"/>
        </w:rPr>
        <w:t>%（含）</w:t>
      </w:r>
      <w:r>
        <w:rPr>
          <w:rFonts w:hint="eastAsia" w:ascii="仿宋_GB2312" w:hAnsi="仿宋" w:eastAsia="仿宋_GB2312"/>
          <w:sz w:val="32"/>
          <w:szCs w:val="32"/>
        </w:rPr>
        <w:t>)的原因的核查发现;</w:t>
      </w:r>
    </w:p>
    <w:p w14:paraId="51EC627F">
      <w:pPr>
        <w:widowControl w:val="0"/>
        <w:numPr>
          <w:ilvl w:val="0"/>
          <w:numId w:val="2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简要描述不符合(如有),详细描述及纠正措施链接核查报告附件1）。</w:t>
      </w:r>
    </w:p>
    <w:p w14:paraId="50E81BF9">
      <w:pPr>
        <w:spacing w:after="0" w:line="56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3.5.2 不确定性分析</w:t>
      </w:r>
    </w:p>
    <w:p w14:paraId="796F4A9D">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核查机构应对重点碳排放单位影响其直接排放量主要不确定性因素和不确定性量化的计算结果进行核查。报告内容应包括：</w:t>
      </w:r>
    </w:p>
    <w:p w14:paraId="595B38C4">
      <w:pPr>
        <w:widowControl w:val="0"/>
        <w:numPr>
          <w:ilvl w:val="0"/>
          <w:numId w:val="21"/>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每个影响因素的合理性；</w:t>
      </w:r>
    </w:p>
    <w:p w14:paraId="01523084">
      <w:pPr>
        <w:widowControl w:val="0"/>
        <w:numPr>
          <w:ilvl w:val="0"/>
          <w:numId w:val="21"/>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活动水平数据不确定性量化结果的合理性；</w:t>
      </w:r>
    </w:p>
    <w:p w14:paraId="0028FD0E">
      <w:pPr>
        <w:widowControl w:val="0"/>
        <w:numPr>
          <w:ilvl w:val="0"/>
          <w:numId w:val="21"/>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排放因子不确定性量化结果的合理性；</w:t>
      </w:r>
    </w:p>
    <w:p w14:paraId="0CB92D69">
      <w:pPr>
        <w:widowControl w:val="0"/>
        <w:numPr>
          <w:ilvl w:val="0"/>
          <w:numId w:val="21"/>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排放量不确定性的计算公式是否正确；</w:t>
      </w:r>
    </w:p>
    <w:p w14:paraId="01324C03">
      <w:pPr>
        <w:widowControl w:val="0"/>
        <w:numPr>
          <w:ilvl w:val="0"/>
          <w:numId w:val="21"/>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误差传递的计算公式是否正确；</w:t>
      </w:r>
    </w:p>
    <w:p w14:paraId="370C25AE">
      <w:pPr>
        <w:widowControl w:val="0"/>
        <w:numPr>
          <w:ilvl w:val="0"/>
          <w:numId w:val="2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对开具的不符合进行简要描述（详细描述及纠正措施链接附件1）。</w:t>
      </w:r>
    </w:p>
    <w:p w14:paraId="51430472">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B)核查方法</w:t>
      </w:r>
    </w:p>
    <w:p w14:paraId="735CD2E0">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请排放报告编写人员现场演示计算过程；</w:t>
      </w:r>
    </w:p>
    <w:p w14:paraId="0756B71D">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查阅排放报告中的公式关联；</w:t>
      </w:r>
    </w:p>
    <w:p w14:paraId="54C48060">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利用EXCEL表格验算；</w:t>
      </w:r>
    </w:p>
    <w:p w14:paraId="41EEA865">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与年度能源报告结果交差核对。</w:t>
      </w:r>
    </w:p>
    <w:p w14:paraId="5645C2E0">
      <w:pPr>
        <w:spacing w:after="0" w:line="560" w:lineRule="exact"/>
        <w:ind w:firstLine="659" w:firstLineChars="205"/>
        <w:jc w:val="both"/>
        <w:rPr>
          <w:rFonts w:ascii="仿宋_GB2312" w:hAnsi="仿宋" w:eastAsia="仿宋_GB2312"/>
          <w:b/>
          <w:sz w:val="32"/>
          <w:szCs w:val="32"/>
        </w:rPr>
      </w:pPr>
      <w:r>
        <w:rPr>
          <w:rFonts w:hint="eastAsia" w:ascii="仿宋_GB2312" w:hAnsi="仿宋" w:eastAsia="仿宋_GB2312"/>
          <w:b/>
          <w:sz w:val="32"/>
          <w:szCs w:val="32"/>
        </w:rPr>
        <w:t>3.6 新增排放设施及既有设施退出的核查</w:t>
      </w:r>
    </w:p>
    <w:p w14:paraId="2294C88F">
      <w:pPr>
        <w:spacing w:after="0" w:line="560" w:lineRule="exact"/>
        <w:ind w:firstLine="659" w:firstLineChars="205"/>
        <w:jc w:val="both"/>
        <w:rPr>
          <w:rFonts w:ascii="仿宋_GB2312" w:hAnsi="仿宋" w:eastAsia="仿宋_GB2312"/>
          <w:b/>
          <w:sz w:val="32"/>
          <w:szCs w:val="32"/>
        </w:rPr>
      </w:pPr>
      <w:r>
        <w:rPr>
          <w:rFonts w:hint="eastAsia" w:ascii="仿宋_GB2312" w:hAnsi="仿宋" w:eastAsia="仿宋_GB2312"/>
          <w:b/>
          <w:sz w:val="32"/>
          <w:szCs w:val="32"/>
        </w:rPr>
        <w:t>3.6.1</w:t>
      </w:r>
      <w:r>
        <w:rPr>
          <w:rFonts w:hint="eastAsia" w:ascii="仿宋_GB2312" w:hAnsi="仿宋" w:eastAsia="仿宋_GB2312"/>
          <w:b/>
          <w:bCs/>
          <w:sz w:val="32"/>
          <w:szCs w:val="32"/>
        </w:rPr>
        <w:t>新增设施基本信息的核查</w:t>
      </w:r>
    </w:p>
    <w:p w14:paraId="5040E7B5">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A)报告内容</w:t>
      </w:r>
    </w:p>
    <w:p w14:paraId="15B3963F">
      <w:pPr>
        <w:widowControl w:val="0"/>
        <w:spacing w:after="0" w:line="560" w:lineRule="exact"/>
        <w:ind w:firstLine="643" w:firstLineChars="201"/>
        <w:jc w:val="both"/>
        <w:rPr>
          <w:rFonts w:ascii="仿宋_GB2312" w:hAnsi="仿宋" w:eastAsia="仿宋_GB2312"/>
          <w:sz w:val="32"/>
          <w:szCs w:val="32"/>
        </w:rPr>
      </w:pPr>
      <w:r>
        <w:rPr>
          <w:rFonts w:hint="eastAsia" w:ascii="仿宋_GB2312" w:hAnsi="仿宋" w:eastAsia="仿宋_GB2312"/>
          <w:sz w:val="32"/>
          <w:szCs w:val="32"/>
        </w:rPr>
        <w:t>核查机构应对重点碳排放单位201</w:t>
      </w:r>
      <w:r>
        <w:rPr>
          <w:rFonts w:ascii="仿宋_GB2312" w:hAnsi="仿宋" w:eastAsia="仿宋_GB2312"/>
          <w:sz w:val="32"/>
          <w:szCs w:val="32"/>
        </w:rPr>
        <w:t>9</w:t>
      </w:r>
      <w:r>
        <w:rPr>
          <w:rFonts w:hint="eastAsia" w:ascii="仿宋_GB2312" w:hAnsi="仿宋" w:eastAsia="仿宋_GB2312"/>
          <w:sz w:val="32"/>
          <w:szCs w:val="32"/>
        </w:rPr>
        <w:t>年1月1日后新投产运行的设施的名称、型号、物理位置和投产时间等内容进行核查，确定企业填报信息与现场设备信息一致。</w:t>
      </w:r>
    </w:p>
    <w:p w14:paraId="38BF4E21">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B)核查方法</w:t>
      </w:r>
    </w:p>
    <w:p w14:paraId="19C42E22">
      <w:pPr>
        <w:widowControl w:val="0"/>
        <w:spacing w:after="0" w:line="560" w:lineRule="exact"/>
        <w:ind w:firstLine="579" w:firstLineChars="181"/>
        <w:jc w:val="both"/>
        <w:rPr>
          <w:rFonts w:ascii="仿宋_GB2312" w:hAnsi="仿宋" w:eastAsia="仿宋_GB2312"/>
          <w:sz w:val="32"/>
          <w:szCs w:val="32"/>
        </w:rPr>
      </w:pPr>
      <w:r>
        <w:rPr>
          <w:rFonts w:hint="eastAsia" w:ascii="仿宋_GB2312" w:hAnsi="仿宋" w:eastAsia="仿宋_GB2312"/>
          <w:sz w:val="32"/>
          <w:szCs w:val="32"/>
        </w:rPr>
        <w:t>对新增设施的开始投产运行时间的核查，可查阅以下证据：</w:t>
      </w:r>
    </w:p>
    <w:p w14:paraId="5B69384F">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外部验收报告（如环保、消防验收报告）；</w:t>
      </w:r>
    </w:p>
    <w:p w14:paraId="4B61CDFE">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内部验收报告；</w:t>
      </w:r>
    </w:p>
    <w:p w14:paraId="35BA8906">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租赁协议；</w:t>
      </w:r>
    </w:p>
    <w:p w14:paraId="1B65BE5C">
      <w:pPr>
        <w:widowControl w:val="0"/>
        <w:numPr>
          <w:ilvl w:val="0"/>
          <w:numId w:val="22"/>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统计报表（如《固定资产投资项目基本情况表》或其他行业的统计年度和定期报表）；</w:t>
      </w:r>
    </w:p>
    <w:p w14:paraId="4E06C33E">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企业提供的其他证据。</w:t>
      </w:r>
    </w:p>
    <w:p w14:paraId="265727E5">
      <w:pPr>
        <w:widowControl w:val="0"/>
        <w:spacing w:after="0" w:line="560" w:lineRule="exact"/>
        <w:ind w:left="420"/>
        <w:jc w:val="both"/>
        <w:rPr>
          <w:rFonts w:ascii="仿宋_GB2312" w:hAnsi="仿宋" w:eastAsia="仿宋_GB2312"/>
          <w:sz w:val="32"/>
          <w:szCs w:val="32"/>
        </w:rPr>
      </w:pPr>
      <w:r>
        <w:rPr>
          <w:rFonts w:hint="eastAsia" w:ascii="仿宋_GB2312" w:hAnsi="仿宋" w:eastAsia="仿宋_GB2312"/>
          <w:sz w:val="32"/>
          <w:szCs w:val="32"/>
        </w:rPr>
        <w:t>对新增设施信息的核查：</w:t>
      </w:r>
    </w:p>
    <w:p w14:paraId="478EE2E6">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现场观察新增设施的位置、型号；</w:t>
      </w:r>
    </w:p>
    <w:p w14:paraId="6889B183">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查阅可研报告或环评报告的批复；</w:t>
      </w:r>
    </w:p>
    <w:p w14:paraId="50CDE9EA">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查阅固定资产能评报告。</w:t>
      </w:r>
    </w:p>
    <w:p w14:paraId="63555464">
      <w:pPr>
        <w:spacing w:after="0" w:line="560" w:lineRule="exact"/>
        <w:ind w:firstLine="630" w:firstLineChars="196"/>
        <w:rPr>
          <w:rFonts w:ascii="仿宋_GB2312" w:hAnsi="仿宋" w:eastAsia="仿宋_GB2312"/>
          <w:b/>
          <w:sz w:val="32"/>
          <w:szCs w:val="32"/>
        </w:rPr>
      </w:pPr>
      <w:r>
        <w:rPr>
          <w:rFonts w:hint="eastAsia" w:ascii="仿宋_GB2312" w:hAnsi="仿宋" w:eastAsia="仿宋_GB2312"/>
          <w:b/>
          <w:sz w:val="32"/>
          <w:szCs w:val="32"/>
        </w:rPr>
        <w:t>3.6.2</w:t>
      </w:r>
      <w:r>
        <w:rPr>
          <w:rFonts w:hint="eastAsia" w:ascii="仿宋_GB2312" w:hAnsi="仿宋" w:eastAsia="仿宋_GB2312"/>
          <w:b/>
          <w:bCs/>
          <w:sz w:val="32"/>
          <w:szCs w:val="32"/>
        </w:rPr>
        <w:t>新增设施生产数据的核查</w:t>
      </w:r>
    </w:p>
    <w:p w14:paraId="1CD6D3AC">
      <w:pPr>
        <w:spacing w:after="0" w:line="560" w:lineRule="exact"/>
        <w:ind w:firstLine="630" w:firstLineChars="196"/>
        <w:outlineLvl w:val="0"/>
        <w:rPr>
          <w:rFonts w:ascii="仿宋_GB2312" w:hAnsi="仿宋" w:eastAsia="仿宋_GB2312"/>
          <w:b/>
          <w:sz w:val="32"/>
          <w:szCs w:val="32"/>
        </w:rPr>
      </w:pPr>
      <w:r>
        <w:rPr>
          <w:rFonts w:hint="eastAsia" w:ascii="仿宋_GB2312" w:hAnsi="仿宋" w:eastAsia="仿宋_GB2312"/>
          <w:b/>
          <w:sz w:val="32"/>
          <w:szCs w:val="32"/>
        </w:rPr>
        <w:t>A)报告内容</w:t>
      </w:r>
    </w:p>
    <w:p w14:paraId="69EB314D">
      <w:pPr>
        <w:widowControl w:val="0"/>
        <w:spacing w:after="0" w:line="560" w:lineRule="exact"/>
        <w:ind w:firstLine="643" w:firstLineChars="201"/>
        <w:jc w:val="both"/>
        <w:rPr>
          <w:rFonts w:ascii="仿宋_GB2312" w:hAnsi="仿宋" w:eastAsia="仿宋_GB2312"/>
          <w:sz w:val="32"/>
          <w:szCs w:val="32"/>
        </w:rPr>
      </w:pPr>
      <w:r>
        <w:rPr>
          <w:rFonts w:hint="eastAsia" w:ascii="仿宋_GB2312" w:hAnsi="仿宋" w:eastAsia="仿宋_GB2312"/>
          <w:sz w:val="32"/>
          <w:szCs w:val="32"/>
        </w:rPr>
        <w:t>核查机构应对重点碳排放单位201</w:t>
      </w:r>
      <w:r>
        <w:rPr>
          <w:rFonts w:ascii="仿宋_GB2312" w:hAnsi="仿宋" w:eastAsia="仿宋_GB2312"/>
          <w:sz w:val="32"/>
          <w:szCs w:val="32"/>
        </w:rPr>
        <w:t>9</w:t>
      </w:r>
      <w:r>
        <w:rPr>
          <w:rFonts w:hint="eastAsia" w:ascii="仿宋_GB2312" w:hAnsi="仿宋" w:eastAsia="仿宋_GB2312"/>
          <w:sz w:val="32"/>
          <w:szCs w:val="32"/>
        </w:rPr>
        <w:t>年1月1日后新投产运行的设施的生产数据（如产值、产量、建筑面积、供暖面积和供热量等）进行核查，核查内容包括：单位、来源、监测方法、监测频次、记录频次、数据缺失处理、交叉核对、确认的数值以及核查结论。核查机构对每一个数据的符合性进行报告。</w:t>
      </w:r>
    </w:p>
    <w:p w14:paraId="42C7A19C">
      <w:pPr>
        <w:spacing w:after="0" w:line="560" w:lineRule="exact"/>
        <w:ind w:firstLine="630" w:firstLineChars="196"/>
        <w:outlineLvl w:val="0"/>
        <w:rPr>
          <w:rFonts w:ascii="仿宋_GB2312" w:hAnsi="仿宋" w:eastAsia="仿宋_GB2312"/>
          <w:b/>
          <w:sz w:val="32"/>
          <w:szCs w:val="32"/>
        </w:rPr>
      </w:pPr>
      <w:r>
        <w:rPr>
          <w:rFonts w:hint="eastAsia" w:ascii="仿宋_GB2312" w:hAnsi="仿宋" w:eastAsia="仿宋_GB2312"/>
          <w:b/>
          <w:sz w:val="32"/>
          <w:szCs w:val="32"/>
        </w:rPr>
        <w:t>B)核查原则</w:t>
      </w:r>
    </w:p>
    <w:p w14:paraId="4DD51EC6">
      <w:pPr>
        <w:widowControl w:val="0"/>
        <w:spacing w:after="0" w:line="560" w:lineRule="exact"/>
        <w:ind w:firstLine="640" w:firstLineChars="200"/>
        <w:jc w:val="both"/>
        <w:rPr>
          <w:rFonts w:ascii="仿宋_GB2312" w:hAnsi="仿宋" w:eastAsia="仿宋_GB2312"/>
          <w:sz w:val="32"/>
          <w:szCs w:val="32"/>
          <w:lang w:val="en-US"/>
        </w:rPr>
      </w:pPr>
      <w:r>
        <w:rPr>
          <w:rFonts w:hint="eastAsia" w:ascii="仿宋_GB2312" w:hAnsi="仿宋" w:eastAsia="仿宋_GB2312"/>
          <w:sz w:val="32"/>
          <w:szCs w:val="32"/>
          <w:lang w:val="en-US"/>
        </w:rPr>
        <w:t xml:space="preserve">数据选取采用以下的优先序： </w:t>
      </w:r>
    </w:p>
    <w:p w14:paraId="760D7536">
      <w:pPr>
        <w:widowControl w:val="0"/>
        <w:spacing w:after="0" w:line="560" w:lineRule="exact"/>
        <w:ind w:firstLine="640" w:firstLineChars="200"/>
        <w:jc w:val="both"/>
        <w:rPr>
          <w:rFonts w:ascii="仿宋_GB2312" w:hAnsi="仿宋" w:eastAsia="仿宋_GB2312"/>
          <w:sz w:val="32"/>
          <w:szCs w:val="32"/>
          <w:lang w:val="en-US"/>
        </w:rPr>
      </w:pPr>
      <w:r>
        <w:rPr>
          <w:rFonts w:hint="eastAsia" w:ascii="仿宋_GB2312" w:hAnsi="仿宋" w:eastAsia="仿宋_GB2312"/>
          <w:sz w:val="32"/>
          <w:szCs w:val="32"/>
          <w:lang w:val="en-US"/>
        </w:rPr>
        <w:t xml:space="preserve">1）新增设施的排放数据和生产数据应分别单独测量获得； </w:t>
      </w:r>
    </w:p>
    <w:p w14:paraId="256F8F62">
      <w:pPr>
        <w:widowControl w:val="0"/>
        <w:spacing w:after="0" w:line="560" w:lineRule="exact"/>
        <w:ind w:firstLine="659" w:firstLineChars="206"/>
        <w:jc w:val="both"/>
        <w:rPr>
          <w:rFonts w:ascii="仿宋_GB2312" w:hAnsi="仿宋" w:eastAsia="仿宋_GB2312"/>
          <w:sz w:val="32"/>
          <w:szCs w:val="32"/>
          <w:lang w:val="en-US"/>
        </w:rPr>
      </w:pPr>
      <w:r>
        <w:rPr>
          <w:rFonts w:hint="eastAsia" w:ascii="仿宋_GB2312" w:hAnsi="仿宋" w:eastAsia="仿宋_GB2312"/>
          <w:sz w:val="32"/>
          <w:szCs w:val="32"/>
          <w:lang w:val="en-US"/>
        </w:rPr>
        <w:t xml:space="preserve">2）如果生产数据无法获得而排放数据可获得，可按照排放数据分摊推算生产数据； </w:t>
      </w:r>
    </w:p>
    <w:p w14:paraId="45D57A3B">
      <w:pPr>
        <w:widowControl w:val="0"/>
        <w:spacing w:after="0" w:line="560" w:lineRule="exact"/>
        <w:ind w:firstLine="659" w:firstLineChars="206"/>
        <w:jc w:val="both"/>
        <w:rPr>
          <w:rFonts w:ascii="仿宋_GB2312" w:hAnsi="仿宋" w:eastAsia="仿宋_GB2312"/>
          <w:sz w:val="32"/>
          <w:szCs w:val="32"/>
          <w:lang w:val="en-US"/>
        </w:rPr>
      </w:pPr>
      <w:r>
        <w:rPr>
          <w:rFonts w:hint="eastAsia" w:ascii="仿宋_GB2312" w:hAnsi="仿宋" w:eastAsia="仿宋_GB2312"/>
          <w:sz w:val="32"/>
          <w:szCs w:val="32"/>
          <w:lang w:val="en-US"/>
        </w:rPr>
        <w:t xml:space="preserve">3）如果生产数据可获得而排放数据不可获得，不能按生产数据分摊推算排放数据。排放数据可按照生产负荷或产量等分摊推算； </w:t>
      </w:r>
    </w:p>
    <w:p w14:paraId="2B49A57F">
      <w:pPr>
        <w:widowControl w:val="0"/>
        <w:spacing w:after="0" w:line="560" w:lineRule="exact"/>
        <w:ind w:firstLine="659" w:firstLineChars="206"/>
        <w:jc w:val="both"/>
        <w:rPr>
          <w:rFonts w:ascii="仿宋_GB2312" w:hAnsi="仿宋" w:eastAsia="仿宋_GB2312"/>
          <w:sz w:val="32"/>
          <w:szCs w:val="32"/>
          <w:lang w:val="en-US"/>
        </w:rPr>
      </w:pPr>
      <w:r>
        <w:rPr>
          <w:rFonts w:hint="eastAsia" w:ascii="仿宋_GB2312" w:hAnsi="仿宋" w:eastAsia="仿宋_GB2312"/>
          <w:sz w:val="32"/>
          <w:szCs w:val="32"/>
          <w:lang w:val="en-US"/>
        </w:rPr>
        <w:t xml:space="preserve">4）如果排放数据和生产数据都没有单独测量的数据，按照如下原则处理： </w:t>
      </w:r>
    </w:p>
    <w:p w14:paraId="10993F65">
      <w:pPr>
        <w:widowControl w:val="0"/>
        <w:spacing w:after="0" w:line="560" w:lineRule="exact"/>
        <w:ind w:firstLine="640" w:firstLineChars="200"/>
        <w:jc w:val="both"/>
        <w:rPr>
          <w:rFonts w:ascii="仿宋_GB2312" w:hAnsi="仿宋" w:eastAsia="仿宋_GB2312"/>
          <w:sz w:val="32"/>
          <w:szCs w:val="32"/>
          <w:lang w:val="en-US"/>
        </w:rPr>
      </w:pPr>
      <w:r>
        <w:rPr>
          <w:rFonts w:hint="eastAsia" w:ascii="仿宋_GB2312" w:hAnsi="仿宋" w:eastAsia="仿宋_GB2312"/>
          <w:sz w:val="32"/>
          <w:szCs w:val="32"/>
          <w:lang w:val="en-US"/>
        </w:rPr>
        <w:t xml:space="preserve">-首先估算新增设施的排放数据； </w:t>
      </w:r>
    </w:p>
    <w:p w14:paraId="2B09F935">
      <w:pPr>
        <w:widowControl w:val="0"/>
        <w:spacing w:after="0" w:line="560" w:lineRule="exact"/>
        <w:ind w:firstLine="640" w:firstLineChars="200"/>
        <w:jc w:val="both"/>
        <w:rPr>
          <w:rFonts w:ascii="仿宋_GB2312" w:hAnsi="仿宋" w:eastAsia="仿宋_GB2312"/>
          <w:sz w:val="32"/>
          <w:szCs w:val="32"/>
          <w:lang w:val="en-US"/>
        </w:rPr>
      </w:pPr>
      <w:r>
        <w:rPr>
          <w:rFonts w:ascii="仿宋_GB2312" w:hAnsi="仿宋" w:eastAsia="仿宋_GB2312"/>
          <w:sz w:val="32"/>
          <w:szCs w:val="32"/>
          <w:lang w:val="en-US"/>
        </w:rPr>
        <w:t xml:space="preserve">- </w:t>
      </w:r>
      <w:r>
        <w:rPr>
          <w:rFonts w:hint="eastAsia" w:ascii="仿宋_GB2312" w:hAnsi="仿宋" w:eastAsia="仿宋_GB2312"/>
          <w:sz w:val="32"/>
          <w:szCs w:val="32"/>
          <w:lang w:val="en-US"/>
        </w:rPr>
        <w:t xml:space="preserve">然后按照排放数据分摊推算新增产值的生产数据。 </w:t>
      </w:r>
    </w:p>
    <w:p w14:paraId="6978A40F">
      <w:pPr>
        <w:spacing w:after="0" w:line="560" w:lineRule="exact"/>
        <w:ind w:firstLine="659" w:firstLineChars="205"/>
        <w:rPr>
          <w:rFonts w:ascii="仿宋_GB2312" w:hAnsi="仿宋" w:eastAsia="仿宋_GB2312"/>
          <w:b/>
          <w:sz w:val="32"/>
          <w:szCs w:val="32"/>
        </w:rPr>
      </w:pPr>
      <w:r>
        <w:rPr>
          <w:rFonts w:hint="eastAsia" w:ascii="仿宋_GB2312" w:hAnsi="仿宋" w:eastAsia="仿宋_GB2312"/>
          <w:b/>
          <w:sz w:val="32"/>
          <w:szCs w:val="32"/>
        </w:rPr>
        <w:t>3.6.3</w:t>
      </w:r>
      <w:r>
        <w:rPr>
          <w:rFonts w:hint="eastAsia" w:ascii="仿宋_GB2312" w:hAnsi="仿宋" w:eastAsia="仿宋_GB2312"/>
          <w:b/>
          <w:bCs/>
          <w:sz w:val="32"/>
          <w:szCs w:val="32"/>
        </w:rPr>
        <w:t>新增设施排放量的核查</w:t>
      </w:r>
    </w:p>
    <w:p w14:paraId="71015639">
      <w:pPr>
        <w:spacing w:after="0" w:line="560" w:lineRule="exact"/>
        <w:ind w:firstLine="659" w:firstLineChars="205"/>
        <w:outlineLvl w:val="0"/>
        <w:rPr>
          <w:rFonts w:ascii="仿宋_GB2312" w:hAnsi="仿宋" w:eastAsia="仿宋_GB2312"/>
          <w:b/>
          <w:sz w:val="32"/>
          <w:szCs w:val="32"/>
        </w:rPr>
      </w:pPr>
      <w:r>
        <w:rPr>
          <w:rFonts w:hint="eastAsia" w:ascii="仿宋_GB2312" w:hAnsi="仿宋" w:eastAsia="仿宋_GB2312"/>
          <w:b/>
          <w:sz w:val="32"/>
          <w:szCs w:val="32"/>
        </w:rPr>
        <w:t>A)报告内容</w:t>
      </w:r>
    </w:p>
    <w:p w14:paraId="654FBF45">
      <w:pPr>
        <w:widowControl w:val="0"/>
        <w:spacing w:after="0" w:line="560" w:lineRule="exact"/>
        <w:ind w:firstLine="643" w:firstLineChars="201"/>
        <w:jc w:val="both"/>
        <w:rPr>
          <w:rFonts w:ascii="仿宋_GB2312" w:hAnsi="仿宋" w:eastAsia="仿宋_GB2312"/>
          <w:sz w:val="32"/>
          <w:szCs w:val="32"/>
        </w:rPr>
      </w:pPr>
      <w:r>
        <w:rPr>
          <w:rFonts w:hint="eastAsia" w:ascii="仿宋_GB2312" w:hAnsi="仿宋" w:eastAsia="仿宋_GB2312"/>
          <w:sz w:val="32"/>
          <w:szCs w:val="32"/>
        </w:rPr>
        <w:t>核查机构应对每一个新增设施的活动水平数据、排放因子以及排放量进行核查。活动水平和排放因子的核查发现可与核查报告中的3.3.2.2和报告中的3.3.2.3相协调，如果前面的核查发现已经描述很详细，这里简要描述一下即可。</w:t>
      </w:r>
    </w:p>
    <w:p w14:paraId="26A27025">
      <w:pPr>
        <w:spacing w:after="0" w:line="560" w:lineRule="exact"/>
        <w:ind w:firstLine="630" w:firstLineChars="196"/>
        <w:outlineLvl w:val="0"/>
        <w:rPr>
          <w:rFonts w:ascii="仿宋_GB2312" w:hAnsi="仿宋" w:eastAsia="仿宋_GB2312"/>
          <w:b/>
          <w:sz w:val="32"/>
          <w:szCs w:val="32"/>
        </w:rPr>
      </w:pPr>
      <w:r>
        <w:rPr>
          <w:rFonts w:hint="eastAsia" w:ascii="仿宋_GB2312" w:hAnsi="仿宋" w:eastAsia="仿宋_GB2312"/>
          <w:b/>
          <w:sz w:val="32"/>
          <w:szCs w:val="32"/>
        </w:rPr>
        <w:t>B)核查方法</w:t>
      </w:r>
    </w:p>
    <w:p w14:paraId="7BCA33CE">
      <w:pPr>
        <w:widowControl w:val="0"/>
        <w:spacing w:after="0" w:line="560" w:lineRule="exact"/>
        <w:ind w:firstLine="640" w:firstLineChars="200"/>
        <w:jc w:val="both"/>
        <w:rPr>
          <w:rFonts w:ascii="仿宋_GB2312" w:hAnsi="仿宋" w:eastAsia="仿宋_GB2312"/>
          <w:sz w:val="32"/>
          <w:szCs w:val="32"/>
          <w:lang w:val="en-US"/>
        </w:rPr>
      </w:pPr>
      <w:r>
        <w:rPr>
          <w:rFonts w:hint="eastAsia" w:ascii="仿宋_GB2312" w:hAnsi="仿宋" w:eastAsia="仿宋_GB2312"/>
          <w:sz w:val="32"/>
          <w:szCs w:val="32"/>
        </w:rPr>
        <w:t>同对既有设施的核查。</w:t>
      </w:r>
    </w:p>
    <w:p w14:paraId="3EE5101D">
      <w:pPr>
        <w:spacing w:after="0" w:line="560" w:lineRule="exact"/>
        <w:ind w:firstLine="659" w:firstLineChars="205"/>
        <w:rPr>
          <w:rFonts w:ascii="仿宋_GB2312" w:hAnsi="仿宋" w:eastAsia="仿宋_GB2312"/>
          <w:b/>
          <w:sz w:val="32"/>
          <w:szCs w:val="32"/>
          <w:lang w:val="en-US"/>
        </w:rPr>
      </w:pPr>
      <w:r>
        <w:rPr>
          <w:rFonts w:hint="eastAsia" w:ascii="仿宋_GB2312" w:hAnsi="仿宋" w:eastAsia="仿宋_GB2312"/>
          <w:b/>
          <w:sz w:val="32"/>
          <w:szCs w:val="32"/>
        </w:rPr>
        <w:t>3.6.4</w:t>
      </w:r>
      <w:r>
        <w:rPr>
          <w:rFonts w:hint="eastAsia" w:ascii="仿宋_GB2312" w:hAnsi="仿宋" w:eastAsia="仿宋_GB2312"/>
          <w:b/>
          <w:bCs/>
          <w:sz w:val="32"/>
          <w:szCs w:val="32"/>
        </w:rPr>
        <w:t>新增设施排放强度的核查</w:t>
      </w:r>
    </w:p>
    <w:p w14:paraId="4C14D3AA">
      <w:pPr>
        <w:spacing w:after="0" w:line="560" w:lineRule="exact"/>
        <w:ind w:firstLine="659" w:firstLineChars="205"/>
        <w:jc w:val="both"/>
        <w:outlineLvl w:val="0"/>
        <w:rPr>
          <w:rFonts w:ascii="仿宋_GB2312" w:hAnsi="仿宋" w:eastAsia="仿宋_GB2312"/>
          <w:b/>
          <w:sz w:val="32"/>
          <w:szCs w:val="32"/>
        </w:rPr>
      </w:pPr>
      <w:r>
        <w:rPr>
          <w:rFonts w:hint="eastAsia" w:ascii="仿宋_GB2312" w:hAnsi="仿宋" w:eastAsia="仿宋_GB2312"/>
          <w:b/>
          <w:sz w:val="32"/>
          <w:szCs w:val="32"/>
        </w:rPr>
        <w:t>A)报告内容</w:t>
      </w:r>
    </w:p>
    <w:p w14:paraId="7129BD6C">
      <w:pPr>
        <w:widowControl w:val="0"/>
        <w:spacing w:after="0" w:line="560" w:lineRule="exact"/>
        <w:ind w:firstLine="643" w:firstLineChars="201"/>
        <w:jc w:val="both"/>
        <w:rPr>
          <w:rFonts w:ascii="仿宋_GB2312" w:hAnsi="仿宋" w:eastAsia="仿宋_GB2312"/>
          <w:sz w:val="32"/>
          <w:szCs w:val="32"/>
        </w:rPr>
      </w:pPr>
      <w:r>
        <w:rPr>
          <w:rFonts w:hint="eastAsia" w:ascii="仿宋_GB2312" w:hAnsi="仿宋" w:eastAsia="仿宋_GB2312"/>
          <w:sz w:val="32"/>
          <w:szCs w:val="32"/>
        </w:rPr>
        <w:t>核查机构应对新增设施的排放强度进行核查。核查机构应详细报告排放强度计算过程。</w:t>
      </w:r>
    </w:p>
    <w:p w14:paraId="3585EEAF">
      <w:pPr>
        <w:widowControl w:val="0"/>
        <w:spacing w:after="0" w:line="560" w:lineRule="exact"/>
        <w:ind w:firstLine="643" w:firstLineChars="201"/>
        <w:jc w:val="both"/>
        <w:rPr>
          <w:rFonts w:ascii="仿宋_GB2312" w:hAnsi="仿宋" w:eastAsia="仿宋_GB2312"/>
          <w:sz w:val="32"/>
          <w:szCs w:val="32"/>
        </w:rPr>
      </w:pPr>
      <w:r>
        <w:rPr>
          <w:rFonts w:hint="eastAsia" w:ascii="仿宋_GB2312" w:hAnsi="仿宋" w:eastAsia="仿宋_GB2312"/>
          <w:sz w:val="32"/>
          <w:szCs w:val="32"/>
        </w:rPr>
        <w:t>（计算方法：排放强度＝所有新增设施的直接排放和间接排放／所有新增设施对应的生产数据）。</w:t>
      </w:r>
    </w:p>
    <w:p w14:paraId="52ABC437">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B)核查方法</w:t>
      </w:r>
    </w:p>
    <w:p w14:paraId="4C79E770">
      <w:pPr>
        <w:widowControl w:val="0"/>
        <w:spacing w:after="0" w:line="560" w:lineRule="exact"/>
        <w:ind w:firstLine="640" w:firstLineChars="200"/>
        <w:jc w:val="both"/>
        <w:rPr>
          <w:rFonts w:ascii="仿宋_GB2312" w:hAnsi="仿宋" w:eastAsia="仿宋_GB2312"/>
          <w:sz w:val="32"/>
          <w:szCs w:val="32"/>
          <w:lang w:val="en-US"/>
        </w:rPr>
      </w:pPr>
      <w:r>
        <w:rPr>
          <w:rFonts w:hint="eastAsia" w:ascii="仿宋_GB2312" w:hAnsi="仿宋" w:eastAsia="仿宋_GB2312"/>
          <w:sz w:val="32"/>
          <w:szCs w:val="32"/>
        </w:rPr>
        <w:t>验算计算过程。</w:t>
      </w:r>
    </w:p>
    <w:p w14:paraId="3A3AEF32">
      <w:pPr>
        <w:spacing w:after="0" w:line="560" w:lineRule="exact"/>
        <w:ind w:firstLine="659" w:firstLineChars="205"/>
        <w:rPr>
          <w:rFonts w:ascii="仿宋_GB2312" w:hAnsi="仿宋" w:eastAsia="仿宋_GB2312"/>
          <w:b/>
          <w:sz w:val="32"/>
          <w:szCs w:val="32"/>
          <w:lang w:val="en-US"/>
        </w:rPr>
      </w:pPr>
      <w:r>
        <w:rPr>
          <w:rFonts w:hint="eastAsia" w:ascii="仿宋_GB2312" w:hAnsi="仿宋" w:eastAsia="仿宋_GB2312"/>
          <w:b/>
          <w:sz w:val="32"/>
          <w:szCs w:val="32"/>
        </w:rPr>
        <w:t>3.6.5</w:t>
      </w:r>
      <w:r>
        <w:rPr>
          <w:rFonts w:hint="eastAsia" w:ascii="仿宋_GB2312" w:hAnsi="仿宋" w:eastAsia="仿宋_GB2312"/>
          <w:b/>
          <w:bCs/>
          <w:sz w:val="32"/>
          <w:szCs w:val="32"/>
        </w:rPr>
        <w:t>新增设施替代既有设施的核查</w:t>
      </w:r>
    </w:p>
    <w:p w14:paraId="7DBDBA4F">
      <w:pPr>
        <w:spacing w:after="0" w:line="560" w:lineRule="exact"/>
        <w:ind w:firstLine="659" w:firstLineChars="205"/>
        <w:outlineLvl w:val="0"/>
        <w:rPr>
          <w:rFonts w:ascii="仿宋_GB2312" w:hAnsi="仿宋" w:eastAsia="仿宋_GB2312"/>
          <w:b/>
          <w:sz w:val="32"/>
          <w:szCs w:val="32"/>
        </w:rPr>
      </w:pPr>
      <w:r>
        <w:rPr>
          <w:rFonts w:hint="eastAsia" w:ascii="仿宋_GB2312" w:hAnsi="仿宋" w:eastAsia="仿宋_GB2312"/>
          <w:b/>
          <w:sz w:val="32"/>
          <w:szCs w:val="32"/>
        </w:rPr>
        <w:t>A)报告内容</w:t>
      </w:r>
    </w:p>
    <w:p w14:paraId="46D1EE89">
      <w:pPr>
        <w:widowControl w:val="0"/>
        <w:spacing w:after="0" w:line="560" w:lineRule="exact"/>
        <w:ind w:firstLine="643" w:firstLineChars="201"/>
        <w:jc w:val="both"/>
        <w:rPr>
          <w:rFonts w:ascii="仿宋_GB2312" w:hAnsi="仿宋" w:eastAsia="仿宋_GB2312"/>
          <w:sz w:val="32"/>
          <w:szCs w:val="32"/>
        </w:rPr>
      </w:pPr>
      <w:r>
        <w:rPr>
          <w:rFonts w:hint="eastAsia" w:ascii="仿宋_GB2312" w:hAnsi="仿宋" w:eastAsia="仿宋_GB2312"/>
          <w:sz w:val="32"/>
          <w:szCs w:val="32"/>
        </w:rPr>
        <w:t>核查机构应对新增设施中那些对既有设施替代的新增设施进行核查。核查内容包括设施的基本信息、替代既有设备的情况、排放量。如有既有设施退出，也应在本节中详细描述核查发现。</w:t>
      </w:r>
    </w:p>
    <w:p w14:paraId="05792030">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B)核查方法</w:t>
      </w:r>
    </w:p>
    <w:p w14:paraId="40FF61E7">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查阅新增设施的可研和环评批复文件确认是否属于替代既有设施；</w:t>
      </w:r>
    </w:p>
    <w:p w14:paraId="099AAE63">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现场观察设施；</w:t>
      </w:r>
    </w:p>
    <w:p w14:paraId="792A8A51">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验算排放量的计算过程</w:t>
      </w:r>
    </w:p>
    <w:p w14:paraId="2ADB230F">
      <w:pPr>
        <w:spacing w:after="0" w:line="560" w:lineRule="exact"/>
        <w:ind w:firstLine="768" w:firstLineChars="239"/>
        <w:rPr>
          <w:rFonts w:ascii="仿宋_GB2312" w:hAnsi="仿宋" w:eastAsia="仿宋_GB2312"/>
          <w:b/>
          <w:sz w:val="32"/>
          <w:szCs w:val="32"/>
        </w:rPr>
      </w:pPr>
      <w:r>
        <w:rPr>
          <w:rFonts w:hint="eastAsia" w:ascii="仿宋_GB2312" w:hAnsi="仿宋" w:eastAsia="仿宋_GB2312"/>
          <w:b/>
          <w:sz w:val="32"/>
          <w:szCs w:val="32"/>
        </w:rPr>
        <w:t>3.6.6既有设施退出的核查</w:t>
      </w:r>
    </w:p>
    <w:p w14:paraId="5741BEE9">
      <w:pPr>
        <w:spacing w:after="0" w:line="560" w:lineRule="exact"/>
        <w:ind w:firstLine="768" w:firstLineChars="239"/>
        <w:rPr>
          <w:rFonts w:ascii="仿宋_GB2312" w:hAnsi="仿宋" w:eastAsia="仿宋_GB2312"/>
          <w:b/>
          <w:sz w:val="32"/>
          <w:szCs w:val="32"/>
        </w:rPr>
      </w:pPr>
      <w:r>
        <w:rPr>
          <w:rFonts w:hint="eastAsia" w:ascii="仿宋_GB2312" w:hAnsi="仿宋" w:eastAsia="仿宋_GB2312"/>
          <w:b/>
          <w:sz w:val="32"/>
          <w:szCs w:val="32"/>
        </w:rPr>
        <w:t>A)报告内容</w:t>
      </w:r>
    </w:p>
    <w:p w14:paraId="44F039AD">
      <w:pPr>
        <w:spacing w:after="0" w:line="560" w:lineRule="exact"/>
        <w:ind w:firstLine="764" w:firstLineChars="239"/>
        <w:jc w:val="both"/>
        <w:rPr>
          <w:rFonts w:ascii="仿宋_GB2312" w:hAnsi="仿宋" w:eastAsia="仿宋_GB2312"/>
          <w:sz w:val="32"/>
          <w:szCs w:val="32"/>
        </w:rPr>
      </w:pPr>
      <w:r>
        <w:rPr>
          <w:rFonts w:hint="eastAsia" w:ascii="仿宋_GB2312" w:hAnsi="仿宋" w:eastAsia="仿宋_GB2312"/>
          <w:sz w:val="32"/>
          <w:szCs w:val="32"/>
        </w:rPr>
        <w:t>核查机构应对既有设施退出进行核查。核查内容包括既有设施退出的基本信息及在历史基准年及上一年度的排放量和</w:t>
      </w:r>
      <w:r>
        <w:rPr>
          <w:rFonts w:ascii="仿宋_GB2312" w:hAnsi="仿宋" w:eastAsia="仿宋_GB2312"/>
          <w:sz w:val="32"/>
          <w:szCs w:val="32"/>
        </w:rPr>
        <w:t>排放强度</w:t>
      </w:r>
      <w:r>
        <w:rPr>
          <w:rFonts w:hint="eastAsia" w:ascii="仿宋_GB2312" w:hAnsi="仿宋" w:eastAsia="仿宋_GB2312"/>
          <w:sz w:val="32"/>
          <w:szCs w:val="32"/>
        </w:rPr>
        <w:t>。</w:t>
      </w:r>
    </w:p>
    <w:p w14:paraId="598E9AAB">
      <w:pPr>
        <w:spacing w:after="0" w:line="560" w:lineRule="exact"/>
        <w:ind w:firstLine="768" w:firstLineChars="239"/>
        <w:rPr>
          <w:rFonts w:ascii="仿宋_GB2312" w:hAnsi="仿宋" w:eastAsia="仿宋_GB2312"/>
          <w:b/>
          <w:sz w:val="32"/>
          <w:szCs w:val="32"/>
        </w:rPr>
      </w:pPr>
      <w:r>
        <w:rPr>
          <w:rFonts w:hint="eastAsia" w:ascii="仿宋_GB2312" w:hAnsi="仿宋" w:eastAsia="仿宋_GB2312"/>
          <w:b/>
          <w:sz w:val="32"/>
          <w:szCs w:val="32"/>
        </w:rPr>
        <w:t>B)核查方法</w:t>
      </w:r>
    </w:p>
    <w:p w14:paraId="0AF6768D">
      <w:pPr>
        <w:spacing w:after="0" w:line="560" w:lineRule="exact"/>
        <w:ind w:firstLine="764" w:firstLineChars="239"/>
        <w:rPr>
          <w:rFonts w:ascii="仿宋_GB2312" w:hAnsi="仿宋" w:eastAsia="仿宋_GB2312"/>
          <w:sz w:val="32"/>
          <w:szCs w:val="32"/>
        </w:rPr>
      </w:pPr>
      <w:r>
        <w:rPr>
          <w:rFonts w:ascii="仿宋_GB2312" w:hAnsi="仿宋" w:eastAsia="仿宋_GB2312"/>
          <w:sz w:val="32"/>
          <w:szCs w:val="32"/>
        </w:rPr>
        <w:t>-</w:t>
      </w:r>
      <w:r>
        <w:rPr>
          <w:rFonts w:eastAsia="仿宋_GB2312" w:cs="Calibri"/>
          <w:sz w:val="32"/>
          <w:szCs w:val="32"/>
        </w:rPr>
        <w:t>      </w:t>
      </w:r>
      <w:r>
        <w:rPr>
          <w:rFonts w:ascii="仿宋_GB2312" w:hAnsi="仿宋" w:eastAsia="仿宋_GB2312"/>
          <w:sz w:val="32"/>
          <w:szCs w:val="32"/>
        </w:rPr>
        <w:t xml:space="preserve"> 查阅设施、设备管理台账、企业运行情况统计与说明等；</w:t>
      </w:r>
    </w:p>
    <w:p w14:paraId="0920748A">
      <w:pPr>
        <w:spacing w:after="0" w:line="560" w:lineRule="exact"/>
        <w:ind w:firstLine="764" w:firstLineChars="239"/>
        <w:rPr>
          <w:rFonts w:ascii="仿宋_GB2312" w:hAnsi="仿宋" w:eastAsia="仿宋_GB2312"/>
          <w:sz w:val="32"/>
          <w:szCs w:val="32"/>
        </w:rPr>
      </w:pPr>
      <w:r>
        <w:rPr>
          <w:rFonts w:ascii="仿宋_GB2312" w:hAnsi="仿宋" w:eastAsia="仿宋_GB2312"/>
          <w:sz w:val="32"/>
          <w:szCs w:val="32"/>
        </w:rPr>
        <w:t>-</w:t>
      </w:r>
      <w:r>
        <w:rPr>
          <w:rFonts w:eastAsia="仿宋_GB2312" w:cs="Calibri"/>
          <w:sz w:val="32"/>
          <w:szCs w:val="32"/>
        </w:rPr>
        <w:t>      </w:t>
      </w:r>
      <w:r>
        <w:rPr>
          <w:rFonts w:ascii="仿宋_GB2312" w:hAnsi="仿宋" w:eastAsia="仿宋_GB2312"/>
          <w:sz w:val="32"/>
          <w:szCs w:val="32"/>
        </w:rPr>
        <w:t xml:space="preserve"> 现场观察；</w:t>
      </w:r>
    </w:p>
    <w:p w14:paraId="5D745D2A">
      <w:pPr>
        <w:spacing w:after="0" w:line="560" w:lineRule="exact"/>
        <w:ind w:firstLine="764" w:firstLineChars="239"/>
        <w:rPr>
          <w:rFonts w:ascii="仿宋_GB2312" w:hAnsi="仿宋" w:eastAsia="仿宋_GB2312"/>
          <w:sz w:val="32"/>
          <w:szCs w:val="32"/>
        </w:rPr>
      </w:pPr>
      <w:r>
        <w:rPr>
          <w:rFonts w:ascii="仿宋_GB2312" w:hAnsi="仿宋" w:eastAsia="仿宋_GB2312"/>
          <w:sz w:val="32"/>
          <w:szCs w:val="32"/>
        </w:rPr>
        <w:t>-</w:t>
      </w:r>
      <w:r>
        <w:rPr>
          <w:rFonts w:eastAsia="仿宋_GB2312" w:cs="Calibri"/>
          <w:sz w:val="32"/>
          <w:szCs w:val="32"/>
        </w:rPr>
        <w:t>      </w:t>
      </w:r>
      <w:r>
        <w:rPr>
          <w:rFonts w:ascii="仿宋_GB2312" w:hAnsi="仿宋" w:eastAsia="仿宋_GB2312"/>
          <w:sz w:val="32"/>
          <w:szCs w:val="32"/>
        </w:rPr>
        <w:t xml:space="preserve"> 验算既有设施退出</w:t>
      </w:r>
      <w:r>
        <w:rPr>
          <w:rFonts w:hint="eastAsia" w:ascii="仿宋_GB2312" w:hAnsi="仿宋" w:eastAsia="仿宋_GB2312"/>
          <w:sz w:val="32"/>
          <w:szCs w:val="32"/>
        </w:rPr>
        <w:t>在</w:t>
      </w:r>
      <w:r>
        <w:rPr>
          <w:rFonts w:ascii="仿宋_GB2312" w:hAnsi="仿宋" w:eastAsia="仿宋_GB2312"/>
          <w:sz w:val="32"/>
          <w:szCs w:val="32"/>
        </w:rPr>
        <w:t>历史</w:t>
      </w:r>
      <w:r>
        <w:rPr>
          <w:rFonts w:hint="eastAsia" w:ascii="仿宋_GB2312" w:hAnsi="仿宋" w:eastAsia="仿宋_GB2312"/>
          <w:sz w:val="32"/>
          <w:szCs w:val="32"/>
        </w:rPr>
        <w:t>基准年排放量和</w:t>
      </w:r>
      <w:r>
        <w:rPr>
          <w:rFonts w:ascii="仿宋_GB2312" w:hAnsi="仿宋" w:eastAsia="仿宋_GB2312"/>
          <w:sz w:val="32"/>
          <w:szCs w:val="32"/>
        </w:rPr>
        <w:t>排放强度等</w:t>
      </w:r>
      <w:r>
        <w:rPr>
          <w:rFonts w:hint="eastAsia" w:ascii="仿宋_GB2312" w:hAnsi="仿宋" w:eastAsia="仿宋_GB2312"/>
          <w:sz w:val="32"/>
          <w:szCs w:val="32"/>
        </w:rPr>
        <w:t>的计算过程。</w:t>
      </w:r>
    </w:p>
    <w:p w14:paraId="3F111934">
      <w:pPr>
        <w:spacing w:after="0" w:line="560" w:lineRule="exact"/>
        <w:ind w:firstLine="768" w:firstLineChars="239"/>
        <w:rPr>
          <w:rFonts w:ascii="仿宋_GB2312" w:hAnsi="仿宋" w:eastAsia="仿宋_GB2312"/>
          <w:b/>
          <w:sz w:val="32"/>
          <w:szCs w:val="32"/>
        </w:rPr>
      </w:pPr>
      <w:r>
        <w:rPr>
          <w:rFonts w:hint="eastAsia" w:ascii="仿宋_GB2312" w:hAnsi="仿宋" w:eastAsia="仿宋_GB2312"/>
          <w:b/>
          <w:sz w:val="32"/>
          <w:szCs w:val="32"/>
        </w:rPr>
        <w:t>3.7 未来二氧化碳控制措施的核查</w:t>
      </w:r>
    </w:p>
    <w:p w14:paraId="3CAE7530">
      <w:pPr>
        <w:spacing w:after="0" w:line="560" w:lineRule="exact"/>
        <w:ind w:firstLine="768" w:firstLineChars="239"/>
        <w:outlineLvl w:val="0"/>
        <w:rPr>
          <w:rFonts w:ascii="仿宋_GB2312" w:hAnsi="仿宋" w:eastAsia="仿宋_GB2312"/>
          <w:b/>
          <w:sz w:val="32"/>
          <w:szCs w:val="32"/>
        </w:rPr>
      </w:pPr>
      <w:r>
        <w:rPr>
          <w:rFonts w:hint="eastAsia" w:ascii="仿宋_GB2312" w:hAnsi="仿宋" w:eastAsia="仿宋_GB2312"/>
          <w:b/>
          <w:sz w:val="32"/>
          <w:szCs w:val="32"/>
        </w:rPr>
        <w:t>A）报告内容</w:t>
      </w:r>
    </w:p>
    <w:p w14:paraId="505E1B0F">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核查机构应对重点碳排放单位描述的未来</w:t>
      </w:r>
      <w:r>
        <w:rPr>
          <w:rFonts w:ascii="仿宋_GB2312" w:hAnsi="仿宋" w:eastAsia="仿宋_GB2312"/>
          <w:sz w:val="32"/>
          <w:szCs w:val="32"/>
        </w:rPr>
        <w:t>3～5年二氧化碳控制措施</w:t>
      </w:r>
      <w:r>
        <w:rPr>
          <w:rFonts w:hint="eastAsia" w:ascii="仿宋_GB2312" w:hAnsi="仿宋" w:eastAsia="仿宋_GB2312"/>
          <w:sz w:val="32"/>
          <w:szCs w:val="32"/>
        </w:rPr>
        <w:t>特别是针对碳排放达峰和碳中和等方面采取的计划或规划等情况进行核查，并核查采用控制措施情况下和未采用控制措施情况下未来</w:t>
      </w:r>
      <w:r>
        <w:rPr>
          <w:rFonts w:ascii="仿宋_GB2312" w:hAnsi="仿宋" w:eastAsia="仿宋_GB2312"/>
          <w:sz w:val="32"/>
          <w:szCs w:val="32"/>
        </w:rPr>
        <w:t>3～5年每年的二氧化碳排放量的预估结果。</w:t>
      </w:r>
      <w:r>
        <w:rPr>
          <w:rFonts w:hint="eastAsia" w:ascii="仿宋_GB2312" w:hAnsi="仿宋" w:eastAsia="仿宋_GB2312"/>
          <w:sz w:val="32"/>
          <w:szCs w:val="32"/>
        </w:rPr>
        <w:t>核查机构应对上年度提交的二氧化碳控制措施的实施情况进行核查。报告内容应包含：</w:t>
      </w:r>
    </w:p>
    <w:p w14:paraId="5D94E672">
      <w:pPr>
        <w:widowControl w:val="0"/>
        <w:numPr>
          <w:ilvl w:val="0"/>
          <w:numId w:val="23"/>
        </w:numPr>
        <w:spacing w:after="0" w:line="560" w:lineRule="exact"/>
        <w:ind w:left="851" w:hanging="291"/>
        <w:jc w:val="both"/>
        <w:rPr>
          <w:rFonts w:ascii="仿宋_GB2312" w:hAnsi="仿宋" w:eastAsia="仿宋_GB2312"/>
          <w:sz w:val="32"/>
          <w:szCs w:val="32"/>
        </w:rPr>
      </w:pPr>
      <w:r>
        <w:rPr>
          <w:rFonts w:hint="eastAsia" w:ascii="仿宋_GB2312" w:hAnsi="仿宋" w:eastAsia="仿宋_GB2312"/>
          <w:sz w:val="32"/>
          <w:szCs w:val="32"/>
        </w:rPr>
        <w:t>控制措施的内容及其与法规的符合性；</w:t>
      </w:r>
    </w:p>
    <w:p w14:paraId="5F079CB0">
      <w:pPr>
        <w:widowControl w:val="0"/>
        <w:numPr>
          <w:ilvl w:val="0"/>
          <w:numId w:val="23"/>
        </w:numPr>
        <w:spacing w:after="0" w:line="560" w:lineRule="exact"/>
        <w:ind w:left="851" w:hanging="291"/>
        <w:jc w:val="both"/>
        <w:rPr>
          <w:rFonts w:ascii="仿宋_GB2312" w:hAnsi="仿宋" w:eastAsia="仿宋_GB2312"/>
          <w:sz w:val="32"/>
          <w:szCs w:val="32"/>
        </w:rPr>
      </w:pPr>
      <w:r>
        <w:rPr>
          <w:rFonts w:hint="eastAsia" w:ascii="仿宋_GB2312" w:hAnsi="仿宋" w:eastAsia="仿宋_GB2312"/>
          <w:sz w:val="32"/>
          <w:szCs w:val="32"/>
        </w:rPr>
        <w:t>采用控制措施情况下未来3～5年每年的二氧化碳排放量的预估过程及计算是否正确；</w:t>
      </w:r>
    </w:p>
    <w:p w14:paraId="309B057B">
      <w:pPr>
        <w:widowControl w:val="0"/>
        <w:numPr>
          <w:ilvl w:val="0"/>
          <w:numId w:val="23"/>
        </w:numPr>
        <w:spacing w:after="0" w:line="560" w:lineRule="exact"/>
        <w:ind w:left="851" w:hanging="291"/>
        <w:jc w:val="both"/>
        <w:rPr>
          <w:rFonts w:ascii="仿宋_GB2312" w:hAnsi="仿宋" w:eastAsia="仿宋_GB2312"/>
          <w:sz w:val="32"/>
          <w:szCs w:val="32"/>
        </w:rPr>
      </w:pPr>
      <w:r>
        <w:rPr>
          <w:rFonts w:hint="eastAsia" w:ascii="仿宋_GB2312" w:hAnsi="仿宋" w:eastAsia="仿宋_GB2312"/>
          <w:sz w:val="32"/>
          <w:szCs w:val="32"/>
        </w:rPr>
        <w:t>未采用控制措施情况下未来3～5年每年的二氧化碳排放量的预估过程及计算是否正确；</w:t>
      </w:r>
    </w:p>
    <w:p w14:paraId="41F9309C">
      <w:pPr>
        <w:widowControl w:val="0"/>
        <w:numPr>
          <w:ilvl w:val="0"/>
          <w:numId w:val="23"/>
        </w:numPr>
        <w:spacing w:after="0" w:line="560" w:lineRule="exact"/>
        <w:ind w:left="851" w:hanging="291"/>
        <w:jc w:val="both"/>
        <w:rPr>
          <w:rFonts w:ascii="仿宋_GB2312" w:hAnsi="仿宋" w:eastAsia="仿宋_GB2312"/>
          <w:sz w:val="32"/>
          <w:szCs w:val="32"/>
        </w:rPr>
      </w:pPr>
      <w:r>
        <w:rPr>
          <w:rFonts w:hint="eastAsia" w:ascii="仿宋_GB2312" w:hAnsi="仿宋" w:eastAsia="仿宋_GB2312"/>
          <w:sz w:val="32"/>
          <w:szCs w:val="32"/>
        </w:rPr>
        <w:t>上年度提交的二氧化碳控制措施的实施情况。</w:t>
      </w:r>
    </w:p>
    <w:p w14:paraId="26135482">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B）核查方法</w:t>
      </w:r>
    </w:p>
    <w:p w14:paraId="06EE34AB">
      <w:pPr>
        <w:widowControl w:val="0"/>
        <w:numPr>
          <w:ilvl w:val="0"/>
          <w:numId w:val="24"/>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与管理人员及二氧化碳和能源管理人员交谈；</w:t>
      </w:r>
    </w:p>
    <w:p w14:paraId="54BBE9B4">
      <w:pPr>
        <w:widowControl w:val="0"/>
        <w:numPr>
          <w:ilvl w:val="0"/>
          <w:numId w:val="24"/>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查阅能源审计等相关报告中的节能措施；</w:t>
      </w:r>
    </w:p>
    <w:p w14:paraId="45AFA937">
      <w:pPr>
        <w:widowControl w:val="0"/>
        <w:numPr>
          <w:ilvl w:val="0"/>
          <w:numId w:val="24"/>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利用EXCEL表格验算排放量的估算。</w:t>
      </w:r>
    </w:p>
    <w:p w14:paraId="34A3F821">
      <w:pPr>
        <w:widowControl w:val="0"/>
        <w:spacing w:after="0" w:line="560" w:lineRule="exact"/>
        <w:ind w:left="420" w:firstLine="144" w:firstLineChars="45"/>
        <w:jc w:val="both"/>
        <w:rPr>
          <w:rFonts w:ascii="仿宋_GB2312" w:hAnsi="仿宋" w:eastAsia="仿宋_GB2312"/>
          <w:sz w:val="32"/>
          <w:szCs w:val="32"/>
        </w:rPr>
      </w:pPr>
    </w:p>
    <w:p w14:paraId="6B574D47">
      <w:pPr>
        <w:widowControl w:val="0"/>
        <w:spacing w:after="0" w:line="560" w:lineRule="exact"/>
        <w:ind w:left="420" w:firstLine="145" w:firstLineChars="45"/>
        <w:jc w:val="both"/>
        <w:rPr>
          <w:rFonts w:ascii="仿宋_GB2312" w:hAnsi="仿宋" w:eastAsia="仿宋_GB2312"/>
          <w:b/>
          <w:sz w:val="32"/>
          <w:szCs w:val="32"/>
        </w:rPr>
      </w:pPr>
      <w:r>
        <w:rPr>
          <w:rFonts w:hint="eastAsia" w:ascii="仿宋_GB2312" w:hAnsi="仿宋" w:eastAsia="仿宋_GB2312"/>
          <w:b/>
          <w:sz w:val="32"/>
          <w:szCs w:val="32"/>
        </w:rPr>
        <w:t>3.8对监测计划的核查</w:t>
      </w:r>
    </w:p>
    <w:p w14:paraId="2C5A2211">
      <w:pPr>
        <w:widowControl w:val="0"/>
        <w:spacing w:after="0" w:line="560" w:lineRule="exact"/>
        <w:ind w:left="567"/>
        <w:jc w:val="both"/>
        <w:outlineLvl w:val="0"/>
        <w:rPr>
          <w:rFonts w:ascii="仿宋_GB2312" w:hAnsi="仿宋" w:eastAsia="仿宋_GB2312"/>
          <w:sz w:val="32"/>
          <w:szCs w:val="32"/>
        </w:rPr>
      </w:pPr>
      <w:r>
        <w:rPr>
          <w:rFonts w:hint="eastAsia" w:ascii="仿宋_GB2312" w:hAnsi="仿宋" w:eastAsia="仿宋_GB2312"/>
          <w:sz w:val="32"/>
          <w:szCs w:val="32"/>
        </w:rPr>
        <w:t>A）报告内容</w:t>
      </w:r>
    </w:p>
    <w:p w14:paraId="698F8483">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核查机构应对重点碳排放单位的监测计划进行核查,确认根据适用的地方标准或核算和报告指南要求建立的监测计划合理性和执行情况，并报告如下的核查发现，格式参考下表：</w:t>
      </w:r>
    </w:p>
    <w:p w14:paraId="3F6F7753">
      <w:pPr>
        <w:widowControl w:val="0"/>
        <w:numPr>
          <w:ilvl w:val="0"/>
          <w:numId w:val="2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监测计划版本及修订情况符合性的核查发现；</w:t>
      </w:r>
    </w:p>
    <w:p w14:paraId="7E9B2F73">
      <w:pPr>
        <w:widowControl w:val="0"/>
        <w:numPr>
          <w:ilvl w:val="0"/>
          <w:numId w:val="2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报告主体描述符合性的核查发现；</w:t>
      </w:r>
    </w:p>
    <w:p w14:paraId="647F917D">
      <w:pPr>
        <w:widowControl w:val="0"/>
        <w:numPr>
          <w:ilvl w:val="0"/>
          <w:numId w:val="2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核算边界和主要排放设施描述符合性的核查发现；</w:t>
      </w:r>
    </w:p>
    <w:p w14:paraId="081F90C5">
      <w:pPr>
        <w:widowControl w:val="0"/>
        <w:numPr>
          <w:ilvl w:val="0"/>
          <w:numId w:val="2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各个活动数据和排放因子获取方式符合性的核查发现；</w:t>
      </w:r>
    </w:p>
    <w:p w14:paraId="121E8917">
      <w:pPr>
        <w:widowControl w:val="0"/>
        <w:numPr>
          <w:ilvl w:val="0"/>
          <w:numId w:val="2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数据内部质量控制和质量保证相关规定符合性的核查发现；</w:t>
      </w:r>
    </w:p>
    <w:p w14:paraId="01006611">
      <w:pPr>
        <w:widowControl w:val="0"/>
        <w:numPr>
          <w:ilvl w:val="0"/>
          <w:numId w:val="2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上一年度监测计划的合理性和核查年度监测计划的执行情况核查发现；</w:t>
      </w:r>
    </w:p>
    <w:p w14:paraId="7EE3E4A7">
      <w:pPr>
        <w:widowControl w:val="0"/>
        <w:numPr>
          <w:ilvl w:val="0"/>
          <w:numId w:val="2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核查年度的下一年度监测计划合理性的核查发现；</w:t>
      </w:r>
    </w:p>
    <w:tbl>
      <w:tblPr>
        <w:tblStyle w:val="35"/>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7804"/>
      </w:tblGrid>
      <w:tr w14:paraId="48827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663" w:type="dxa"/>
            <w:shd w:val="clear" w:color="auto" w:fill="D8D8D8" w:themeFill="background1" w:themeFillShade="D9"/>
            <w:vAlign w:val="center"/>
          </w:tcPr>
          <w:p w14:paraId="3C8A3379">
            <w:pPr>
              <w:keepNext w:val="0"/>
              <w:keepLines w:val="0"/>
              <w:pageBreakBefore w:val="0"/>
              <w:widowControl/>
              <w:tabs>
                <w:tab w:val="left" w:pos="3960"/>
                <w:tab w:val="left" w:pos="4140"/>
              </w:tabs>
              <w:kinsoku/>
              <w:wordWrap/>
              <w:overflowPunct/>
              <w:topLinePunct w:val="0"/>
              <w:autoSpaceDE/>
              <w:autoSpaceDN/>
              <w:bidi w:val="0"/>
              <w:adjustRightInd/>
              <w:snapToGrid w:val="0"/>
              <w:spacing w:before="156" w:beforeLines="50" w:after="0" w:line="300" w:lineRule="auto"/>
              <w:ind w:firstLine="0" w:firstLineChars="0"/>
              <w:textAlignment w:val="auto"/>
              <w:rPr>
                <w:rFonts w:eastAsia="仿宋"/>
                <w:b/>
                <w:sz w:val="24"/>
                <w:szCs w:val="24"/>
              </w:rPr>
            </w:pPr>
            <w:r>
              <w:rPr>
                <w:rFonts w:eastAsia="仿宋"/>
                <w:b/>
                <w:sz w:val="24"/>
                <w:szCs w:val="24"/>
              </w:rPr>
              <w:t>监测计划版本的符合性</w:t>
            </w:r>
          </w:p>
        </w:tc>
        <w:tc>
          <w:tcPr>
            <w:tcW w:w="7804" w:type="dxa"/>
            <w:vAlign w:val="center"/>
          </w:tcPr>
          <w:p w14:paraId="73FCABE1">
            <w:pPr>
              <w:keepNext w:val="0"/>
              <w:keepLines w:val="0"/>
              <w:pageBreakBefore w:val="0"/>
              <w:widowControl/>
              <w:tabs>
                <w:tab w:val="left" w:pos="3960"/>
                <w:tab w:val="left" w:pos="4140"/>
              </w:tabs>
              <w:kinsoku/>
              <w:wordWrap/>
              <w:overflowPunct/>
              <w:topLinePunct w:val="0"/>
              <w:autoSpaceDE/>
              <w:autoSpaceDN/>
              <w:bidi w:val="0"/>
              <w:snapToGrid w:val="0"/>
              <w:spacing w:after="0" w:line="300" w:lineRule="auto"/>
              <w:ind w:firstLine="480" w:firstLineChars="200"/>
              <w:textAlignment w:val="auto"/>
              <w:rPr>
                <w:rFonts w:eastAsia="仿宋"/>
                <w:sz w:val="24"/>
                <w:szCs w:val="24"/>
              </w:rPr>
            </w:pPr>
            <w:r>
              <w:rPr>
                <w:rFonts w:eastAsia="仿宋"/>
                <w:sz w:val="24"/>
                <w:szCs w:val="24"/>
              </w:rPr>
              <w:t>最终版本与实际情况符合情况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14:paraId="1D58C6BF">
            <w:pPr>
              <w:keepNext w:val="0"/>
              <w:keepLines w:val="0"/>
              <w:pageBreakBefore w:val="0"/>
              <w:widowControl/>
              <w:tabs>
                <w:tab w:val="left" w:pos="3960"/>
                <w:tab w:val="left" w:pos="4140"/>
              </w:tabs>
              <w:kinsoku/>
              <w:wordWrap/>
              <w:overflowPunct/>
              <w:topLinePunct w:val="0"/>
              <w:autoSpaceDE/>
              <w:autoSpaceDN/>
              <w:bidi w:val="0"/>
              <w:snapToGrid w:val="0"/>
              <w:spacing w:after="0" w:line="300" w:lineRule="auto"/>
              <w:ind w:firstLine="480" w:firstLineChars="200"/>
              <w:textAlignment w:val="auto"/>
              <w:rPr>
                <w:rFonts w:eastAsia="仿宋"/>
                <w:sz w:val="24"/>
                <w:szCs w:val="24"/>
              </w:rPr>
            </w:pPr>
            <w:r>
              <w:rPr>
                <w:rFonts w:eastAsia="仿宋"/>
                <w:sz w:val="24"/>
                <w:szCs w:val="24"/>
              </w:rPr>
              <w:t>发布或修改时间与实际情况相符合情况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14:paraId="33A6BA76">
            <w:pPr>
              <w:keepNext w:val="0"/>
              <w:keepLines w:val="0"/>
              <w:pageBreakBefore w:val="0"/>
              <w:widowControl/>
              <w:tabs>
                <w:tab w:val="left" w:pos="3960"/>
                <w:tab w:val="left" w:pos="4140"/>
              </w:tabs>
              <w:kinsoku/>
              <w:wordWrap/>
              <w:overflowPunct/>
              <w:topLinePunct w:val="0"/>
              <w:autoSpaceDE/>
              <w:autoSpaceDN/>
              <w:bidi w:val="0"/>
              <w:adjustRightInd w:val="0"/>
              <w:snapToGrid w:val="0"/>
              <w:spacing w:after="0" w:line="300" w:lineRule="auto"/>
              <w:ind w:firstLine="480" w:firstLineChars="200"/>
              <w:textAlignment w:val="auto"/>
              <w:rPr>
                <w:rFonts w:eastAsia="仿宋"/>
                <w:sz w:val="24"/>
                <w:szCs w:val="24"/>
              </w:rPr>
            </w:pPr>
            <w:r>
              <w:rPr>
                <w:rFonts w:eastAsia="仿宋"/>
                <w:sz w:val="24"/>
                <w:szCs w:val="24"/>
              </w:rPr>
              <w:t>发布或修改的内容满足适用地方标准或核算和报告指南要求情况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14:paraId="3EE50CFD">
            <w:pPr>
              <w:keepNext w:val="0"/>
              <w:keepLines w:val="0"/>
              <w:pageBreakBefore w:val="0"/>
              <w:widowControl/>
              <w:tabs>
                <w:tab w:val="left" w:pos="3960"/>
                <w:tab w:val="left" w:pos="4140"/>
              </w:tabs>
              <w:kinsoku/>
              <w:wordWrap/>
              <w:overflowPunct/>
              <w:topLinePunct w:val="0"/>
              <w:autoSpaceDE/>
              <w:autoSpaceDN/>
              <w:bidi w:val="0"/>
              <w:adjustRightInd w:val="0"/>
              <w:snapToGrid w:val="0"/>
              <w:spacing w:after="0" w:line="300" w:lineRule="auto"/>
              <w:ind w:firstLine="480" w:firstLineChars="200"/>
              <w:textAlignment w:val="auto"/>
              <w:rPr>
                <w:rFonts w:eastAsia="仿宋"/>
                <w:bCs/>
                <w:sz w:val="24"/>
                <w:szCs w:val="24"/>
              </w:rPr>
            </w:pPr>
            <w:r>
              <w:rPr>
                <w:rFonts w:eastAsia="仿宋"/>
                <w:sz w:val="24"/>
                <w:szCs w:val="24"/>
              </w:rPr>
              <w:t>若否，需要详细说明并</w:t>
            </w:r>
            <w:r>
              <w:rPr>
                <w:rFonts w:hint="eastAsia" w:eastAsia="仿宋"/>
                <w:sz w:val="24"/>
                <w:szCs w:val="24"/>
              </w:rPr>
              <w:t>简要描述不符合(如有),详细描述及纠正措施链接核查报告附件1）。</w:t>
            </w:r>
          </w:p>
        </w:tc>
      </w:tr>
      <w:tr w14:paraId="0ACBE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jc w:val="center"/>
        </w:trPr>
        <w:tc>
          <w:tcPr>
            <w:tcW w:w="1663" w:type="dxa"/>
            <w:shd w:val="clear" w:color="auto" w:fill="D8D8D8" w:themeFill="background1" w:themeFillShade="D9"/>
            <w:vAlign w:val="center"/>
          </w:tcPr>
          <w:p w14:paraId="25461E0B">
            <w:pPr>
              <w:keepNext w:val="0"/>
              <w:keepLines w:val="0"/>
              <w:pageBreakBefore w:val="0"/>
              <w:widowControl/>
              <w:tabs>
                <w:tab w:val="left" w:pos="3960"/>
                <w:tab w:val="left" w:pos="4140"/>
              </w:tabs>
              <w:kinsoku/>
              <w:wordWrap/>
              <w:overflowPunct/>
              <w:topLinePunct w:val="0"/>
              <w:autoSpaceDE/>
              <w:autoSpaceDN/>
              <w:bidi w:val="0"/>
              <w:adjustRightInd/>
              <w:snapToGrid w:val="0"/>
              <w:spacing w:before="156" w:beforeLines="50" w:after="0" w:line="300" w:lineRule="auto"/>
              <w:ind w:firstLine="0" w:firstLineChars="0"/>
              <w:textAlignment w:val="auto"/>
              <w:rPr>
                <w:rFonts w:eastAsia="仿宋"/>
                <w:b/>
                <w:sz w:val="24"/>
                <w:szCs w:val="24"/>
              </w:rPr>
            </w:pPr>
            <w:r>
              <w:rPr>
                <w:rFonts w:eastAsia="仿宋"/>
                <w:b/>
                <w:sz w:val="24"/>
                <w:szCs w:val="24"/>
              </w:rPr>
              <w:t>报告主体描述的符合性</w:t>
            </w:r>
          </w:p>
        </w:tc>
        <w:tc>
          <w:tcPr>
            <w:tcW w:w="7804" w:type="dxa"/>
            <w:vAlign w:val="center"/>
          </w:tcPr>
          <w:p w14:paraId="2EBB9991">
            <w:pPr>
              <w:keepNext w:val="0"/>
              <w:keepLines w:val="0"/>
              <w:pageBreakBefore w:val="0"/>
              <w:widowControl/>
              <w:tabs>
                <w:tab w:val="left" w:pos="3960"/>
                <w:tab w:val="left" w:pos="4140"/>
              </w:tabs>
              <w:kinsoku/>
              <w:wordWrap/>
              <w:overflowPunct/>
              <w:topLinePunct w:val="0"/>
              <w:autoSpaceDE/>
              <w:autoSpaceDN/>
              <w:bidi w:val="0"/>
              <w:snapToGrid w:val="0"/>
              <w:spacing w:after="0" w:line="300" w:lineRule="auto"/>
              <w:ind w:firstLine="480" w:firstLineChars="200"/>
              <w:textAlignment w:val="auto"/>
              <w:rPr>
                <w:rFonts w:eastAsia="仿宋"/>
                <w:bCs/>
                <w:sz w:val="24"/>
                <w:szCs w:val="24"/>
              </w:rPr>
            </w:pPr>
            <w:r>
              <w:rPr>
                <w:rFonts w:hint="eastAsia" w:eastAsia="仿宋"/>
                <w:bCs/>
                <w:sz w:val="24"/>
                <w:szCs w:val="24"/>
              </w:rPr>
              <w:t>企业（或者其他经济组织）的基本信息与实际符合情况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14:paraId="154AF05D">
            <w:pPr>
              <w:keepNext w:val="0"/>
              <w:keepLines w:val="0"/>
              <w:pageBreakBefore w:val="0"/>
              <w:widowControl/>
              <w:tabs>
                <w:tab w:val="left" w:pos="3960"/>
                <w:tab w:val="left" w:pos="4140"/>
              </w:tabs>
              <w:kinsoku/>
              <w:wordWrap/>
              <w:overflowPunct/>
              <w:topLinePunct w:val="0"/>
              <w:autoSpaceDE/>
              <w:autoSpaceDN/>
              <w:bidi w:val="0"/>
              <w:snapToGrid w:val="0"/>
              <w:spacing w:after="0" w:line="300" w:lineRule="auto"/>
              <w:ind w:firstLine="480" w:firstLineChars="200"/>
              <w:textAlignment w:val="auto"/>
              <w:rPr>
                <w:rFonts w:eastAsia="仿宋"/>
                <w:sz w:val="24"/>
                <w:szCs w:val="24"/>
              </w:rPr>
            </w:pPr>
            <w:r>
              <w:rPr>
                <w:rFonts w:hint="eastAsia" w:eastAsia="仿宋"/>
                <w:bCs/>
                <w:sz w:val="24"/>
                <w:szCs w:val="24"/>
              </w:rPr>
              <w:t>企业主营产品、生产设施信息、组织机构图、厂区平面分布图、工艺流程图与实际符合情况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14:paraId="626B454D">
            <w:pPr>
              <w:keepNext w:val="0"/>
              <w:keepLines w:val="0"/>
              <w:pageBreakBefore w:val="0"/>
              <w:widowControl/>
              <w:tabs>
                <w:tab w:val="left" w:pos="3960"/>
                <w:tab w:val="left" w:pos="4140"/>
              </w:tabs>
              <w:kinsoku/>
              <w:wordWrap/>
              <w:overflowPunct/>
              <w:topLinePunct w:val="0"/>
              <w:autoSpaceDE/>
              <w:autoSpaceDN/>
              <w:bidi w:val="0"/>
              <w:snapToGrid w:val="0"/>
              <w:spacing w:after="0" w:line="300" w:lineRule="auto"/>
              <w:ind w:firstLine="480" w:firstLineChars="200"/>
              <w:textAlignment w:val="auto"/>
              <w:rPr>
                <w:rFonts w:eastAsia="仿宋"/>
                <w:bCs/>
                <w:sz w:val="24"/>
                <w:szCs w:val="24"/>
              </w:rPr>
            </w:pPr>
            <w:r>
              <w:rPr>
                <w:rFonts w:eastAsia="仿宋"/>
                <w:sz w:val="24"/>
                <w:szCs w:val="24"/>
              </w:rPr>
              <w:t>若否，需要详细说明并</w:t>
            </w:r>
            <w:r>
              <w:rPr>
                <w:rFonts w:hint="eastAsia" w:eastAsia="仿宋"/>
                <w:sz w:val="24"/>
                <w:szCs w:val="24"/>
              </w:rPr>
              <w:t>简要描述不符合(如有),详细描述及纠正措施链接核查报告附件1）。</w:t>
            </w:r>
          </w:p>
        </w:tc>
      </w:tr>
      <w:tr w14:paraId="5528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3" w:type="dxa"/>
            <w:shd w:val="clear" w:color="auto" w:fill="D8D8D8" w:themeFill="background1" w:themeFillShade="D9"/>
            <w:vAlign w:val="center"/>
          </w:tcPr>
          <w:p w14:paraId="7AE714A0">
            <w:pPr>
              <w:keepNext w:val="0"/>
              <w:keepLines w:val="0"/>
              <w:pageBreakBefore w:val="0"/>
              <w:widowControl/>
              <w:tabs>
                <w:tab w:val="left" w:pos="3960"/>
                <w:tab w:val="left" w:pos="4140"/>
              </w:tabs>
              <w:kinsoku/>
              <w:wordWrap/>
              <w:overflowPunct/>
              <w:topLinePunct w:val="0"/>
              <w:autoSpaceDE/>
              <w:autoSpaceDN/>
              <w:bidi w:val="0"/>
              <w:adjustRightInd/>
              <w:snapToGrid w:val="0"/>
              <w:spacing w:before="156" w:beforeLines="50" w:after="0" w:line="300" w:lineRule="auto"/>
              <w:ind w:firstLine="0" w:firstLineChars="0"/>
              <w:textAlignment w:val="auto"/>
              <w:rPr>
                <w:rFonts w:eastAsia="仿宋"/>
                <w:b/>
                <w:sz w:val="24"/>
                <w:szCs w:val="24"/>
              </w:rPr>
            </w:pPr>
            <w:r>
              <w:rPr>
                <w:rFonts w:eastAsia="仿宋"/>
                <w:b/>
                <w:sz w:val="24"/>
                <w:szCs w:val="24"/>
              </w:rPr>
              <w:t>核算边界和主要排放设施描述的符合性</w:t>
            </w:r>
          </w:p>
        </w:tc>
        <w:tc>
          <w:tcPr>
            <w:tcW w:w="7804" w:type="dxa"/>
            <w:vAlign w:val="center"/>
          </w:tcPr>
          <w:p w14:paraId="60AF2349">
            <w:pPr>
              <w:keepNext w:val="0"/>
              <w:keepLines w:val="0"/>
              <w:pageBreakBefore w:val="0"/>
              <w:widowControl/>
              <w:kinsoku/>
              <w:wordWrap/>
              <w:overflowPunct/>
              <w:topLinePunct w:val="0"/>
              <w:autoSpaceDE/>
              <w:autoSpaceDN/>
              <w:bidi w:val="0"/>
              <w:snapToGrid w:val="0"/>
              <w:spacing w:after="0" w:line="300" w:lineRule="auto"/>
              <w:ind w:firstLine="480" w:firstLineChars="200"/>
              <w:textAlignment w:val="auto"/>
              <w:rPr>
                <w:rFonts w:eastAsia="仿宋"/>
                <w:sz w:val="24"/>
                <w:szCs w:val="24"/>
              </w:rPr>
            </w:pPr>
            <w:r>
              <w:rPr>
                <w:rFonts w:hint="eastAsia" w:eastAsia="仿宋"/>
                <w:sz w:val="24"/>
                <w:szCs w:val="24"/>
              </w:rPr>
              <w:t>法人边界的核算范围与实际的符合情况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14:paraId="43ABBD07">
            <w:pPr>
              <w:keepNext w:val="0"/>
              <w:keepLines w:val="0"/>
              <w:pageBreakBefore w:val="0"/>
              <w:widowControl/>
              <w:kinsoku/>
              <w:wordWrap/>
              <w:overflowPunct/>
              <w:topLinePunct w:val="0"/>
              <w:autoSpaceDE/>
              <w:autoSpaceDN/>
              <w:bidi w:val="0"/>
              <w:snapToGrid w:val="0"/>
              <w:spacing w:after="0" w:line="300" w:lineRule="auto"/>
              <w:ind w:firstLine="480" w:firstLineChars="200"/>
              <w:textAlignment w:val="auto"/>
              <w:rPr>
                <w:rFonts w:eastAsia="仿宋"/>
                <w:sz w:val="24"/>
                <w:szCs w:val="24"/>
              </w:rPr>
            </w:pPr>
            <w:r>
              <w:rPr>
                <w:rFonts w:hint="eastAsia" w:eastAsia="仿宋"/>
                <w:sz w:val="24"/>
                <w:szCs w:val="24"/>
              </w:rPr>
              <w:t>补充数据表的核算范围与实际的符合情况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14:paraId="01F7D683">
            <w:pPr>
              <w:keepNext w:val="0"/>
              <w:keepLines w:val="0"/>
              <w:pageBreakBefore w:val="0"/>
              <w:widowControl/>
              <w:kinsoku/>
              <w:wordWrap/>
              <w:overflowPunct/>
              <w:topLinePunct w:val="0"/>
              <w:autoSpaceDE/>
              <w:autoSpaceDN/>
              <w:bidi w:val="0"/>
              <w:snapToGrid w:val="0"/>
              <w:spacing w:after="0" w:line="300" w:lineRule="auto"/>
              <w:ind w:firstLine="480" w:firstLineChars="200"/>
              <w:textAlignment w:val="auto"/>
              <w:rPr>
                <w:rFonts w:eastAsia="仿宋"/>
                <w:sz w:val="24"/>
                <w:szCs w:val="24"/>
              </w:rPr>
            </w:pPr>
            <w:r>
              <w:rPr>
                <w:rFonts w:hint="eastAsia" w:eastAsia="仿宋"/>
                <w:sz w:val="24"/>
                <w:szCs w:val="24"/>
              </w:rPr>
              <w:t>主要排放设施与实际的符合情况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14:paraId="6FA1D2FE">
            <w:pPr>
              <w:keepNext w:val="0"/>
              <w:keepLines w:val="0"/>
              <w:pageBreakBefore w:val="0"/>
              <w:widowControl/>
              <w:kinsoku/>
              <w:wordWrap/>
              <w:overflowPunct/>
              <w:topLinePunct w:val="0"/>
              <w:autoSpaceDE/>
              <w:autoSpaceDN/>
              <w:bidi w:val="0"/>
              <w:snapToGrid w:val="0"/>
              <w:spacing w:after="0" w:line="300" w:lineRule="auto"/>
              <w:ind w:firstLine="480" w:firstLineChars="200"/>
              <w:textAlignment w:val="auto"/>
              <w:rPr>
                <w:rFonts w:eastAsia="仿宋"/>
                <w:bCs/>
                <w:sz w:val="24"/>
                <w:szCs w:val="24"/>
              </w:rPr>
            </w:pPr>
            <w:r>
              <w:rPr>
                <w:rFonts w:eastAsia="仿宋"/>
                <w:sz w:val="24"/>
                <w:szCs w:val="24"/>
              </w:rPr>
              <w:t>若否，需要详细说明并</w:t>
            </w:r>
            <w:r>
              <w:rPr>
                <w:rFonts w:hint="eastAsia" w:eastAsia="仿宋"/>
                <w:sz w:val="24"/>
                <w:szCs w:val="24"/>
              </w:rPr>
              <w:t>简要描述不符合(如有),详细描述及纠正措施链接核查报告附件1）。</w:t>
            </w:r>
          </w:p>
        </w:tc>
      </w:tr>
      <w:tr w14:paraId="04717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663" w:type="dxa"/>
            <w:shd w:val="clear" w:color="auto" w:fill="D8D8D8" w:themeFill="background1" w:themeFillShade="D9"/>
            <w:vAlign w:val="center"/>
          </w:tcPr>
          <w:p w14:paraId="43E9D097">
            <w:pPr>
              <w:keepNext w:val="0"/>
              <w:keepLines w:val="0"/>
              <w:pageBreakBefore w:val="0"/>
              <w:widowControl/>
              <w:tabs>
                <w:tab w:val="left" w:pos="3960"/>
                <w:tab w:val="left" w:pos="4140"/>
              </w:tabs>
              <w:kinsoku/>
              <w:wordWrap/>
              <w:overflowPunct/>
              <w:topLinePunct w:val="0"/>
              <w:autoSpaceDE/>
              <w:autoSpaceDN/>
              <w:bidi w:val="0"/>
              <w:adjustRightInd/>
              <w:snapToGrid w:val="0"/>
              <w:spacing w:before="156" w:beforeLines="50" w:after="0" w:line="300" w:lineRule="auto"/>
              <w:ind w:firstLine="0" w:firstLineChars="0"/>
              <w:textAlignment w:val="auto"/>
              <w:rPr>
                <w:rFonts w:eastAsia="仿宋"/>
                <w:b/>
                <w:sz w:val="24"/>
                <w:szCs w:val="24"/>
              </w:rPr>
            </w:pPr>
            <w:r>
              <w:rPr>
                <w:rFonts w:eastAsia="仿宋"/>
                <w:b/>
                <w:sz w:val="24"/>
                <w:szCs w:val="24"/>
              </w:rPr>
              <w:t>数据获取方式的符合性</w:t>
            </w:r>
          </w:p>
        </w:tc>
        <w:tc>
          <w:tcPr>
            <w:tcW w:w="7804" w:type="dxa"/>
            <w:vAlign w:val="center"/>
          </w:tcPr>
          <w:p w14:paraId="57FC9C4B">
            <w:pPr>
              <w:keepNext w:val="0"/>
              <w:keepLines w:val="0"/>
              <w:pageBreakBefore w:val="0"/>
              <w:widowControl/>
              <w:tabs>
                <w:tab w:val="left" w:pos="3960"/>
                <w:tab w:val="left" w:pos="4140"/>
              </w:tabs>
              <w:kinsoku/>
              <w:wordWrap/>
              <w:overflowPunct/>
              <w:topLinePunct w:val="0"/>
              <w:autoSpaceDE/>
              <w:autoSpaceDN/>
              <w:bidi w:val="0"/>
              <w:snapToGrid w:val="0"/>
              <w:spacing w:after="0" w:line="300" w:lineRule="auto"/>
              <w:ind w:firstLine="480" w:firstLineChars="200"/>
              <w:textAlignment w:val="auto"/>
              <w:rPr>
                <w:rFonts w:eastAsia="仿宋"/>
                <w:sz w:val="24"/>
                <w:szCs w:val="24"/>
              </w:rPr>
            </w:pPr>
            <w:r>
              <w:rPr>
                <w:rFonts w:eastAsia="仿宋"/>
                <w:sz w:val="24"/>
                <w:szCs w:val="24"/>
              </w:rPr>
              <w:t>监测计划中涉及的所有活动水平数据和排放因子识别全面情况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14:paraId="146435D2">
            <w:pPr>
              <w:keepNext w:val="0"/>
              <w:keepLines w:val="0"/>
              <w:pageBreakBefore w:val="0"/>
              <w:widowControl/>
              <w:tabs>
                <w:tab w:val="left" w:pos="3960"/>
                <w:tab w:val="left" w:pos="4140"/>
              </w:tabs>
              <w:kinsoku/>
              <w:wordWrap/>
              <w:overflowPunct/>
              <w:topLinePunct w:val="0"/>
              <w:autoSpaceDE/>
              <w:autoSpaceDN/>
              <w:bidi w:val="0"/>
              <w:snapToGrid w:val="0"/>
              <w:spacing w:after="0" w:line="300" w:lineRule="auto"/>
              <w:ind w:firstLine="480" w:firstLineChars="200"/>
              <w:textAlignment w:val="auto"/>
              <w:rPr>
                <w:rFonts w:eastAsia="仿宋"/>
                <w:bCs/>
                <w:sz w:val="24"/>
                <w:szCs w:val="24"/>
              </w:rPr>
            </w:pPr>
            <w:r>
              <w:rPr>
                <w:rFonts w:eastAsia="仿宋"/>
                <w:bCs/>
                <w:sz w:val="24"/>
                <w:szCs w:val="24"/>
              </w:rPr>
              <w:t>监测计划中对参与核算所需要的所有数据都制定了获取方式情况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14:paraId="4F592957">
            <w:pPr>
              <w:keepNext w:val="0"/>
              <w:keepLines w:val="0"/>
              <w:pageBreakBefore w:val="0"/>
              <w:widowControl/>
              <w:tabs>
                <w:tab w:val="left" w:pos="3960"/>
                <w:tab w:val="left" w:pos="4140"/>
              </w:tabs>
              <w:kinsoku/>
              <w:wordWrap/>
              <w:overflowPunct/>
              <w:topLinePunct w:val="0"/>
              <w:autoSpaceDE/>
              <w:autoSpaceDN/>
              <w:bidi w:val="0"/>
              <w:snapToGrid w:val="0"/>
              <w:spacing w:after="0" w:line="300" w:lineRule="auto"/>
              <w:ind w:firstLine="480" w:firstLineChars="200"/>
              <w:textAlignment w:val="auto"/>
              <w:rPr>
                <w:rFonts w:eastAsia="仿宋"/>
                <w:bCs/>
                <w:sz w:val="24"/>
                <w:szCs w:val="24"/>
              </w:rPr>
            </w:pPr>
            <w:r>
              <w:rPr>
                <w:rFonts w:eastAsia="仿宋"/>
                <w:sz w:val="24"/>
                <w:szCs w:val="24"/>
              </w:rPr>
              <w:t>所填报的</w:t>
            </w:r>
            <w:r>
              <w:rPr>
                <w:rFonts w:eastAsia="仿宋"/>
                <w:bCs/>
                <w:sz w:val="24"/>
                <w:szCs w:val="24"/>
              </w:rPr>
              <w:t>数据单位与核算指南一致情况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14:paraId="6DC47B0C">
            <w:pPr>
              <w:keepNext w:val="0"/>
              <w:keepLines w:val="0"/>
              <w:pageBreakBefore w:val="0"/>
              <w:widowControl/>
              <w:tabs>
                <w:tab w:val="left" w:pos="3960"/>
                <w:tab w:val="left" w:pos="4140"/>
              </w:tabs>
              <w:kinsoku/>
              <w:wordWrap/>
              <w:overflowPunct/>
              <w:topLinePunct w:val="0"/>
              <w:autoSpaceDE/>
              <w:autoSpaceDN/>
              <w:bidi w:val="0"/>
              <w:snapToGrid w:val="0"/>
              <w:spacing w:after="0" w:line="300" w:lineRule="auto"/>
              <w:ind w:firstLine="480" w:firstLineChars="200"/>
              <w:textAlignment w:val="auto"/>
              <w:rPr>
                <w:rFonts w:eastAsia="仿宋"/>
                <w:sz w:val="24"/>
                <w:szCs w:val="24"/>
              </w:rPr>
            </w:pPr>
            <w:r>
              <w:rPr>
                <w:rFonts w:eastAsia="仿宋"/>
                <w:sz w:val="24"/>
                <w:szCs w:val="24"/>
              </w:rPr>
              <w:t>所有数据的计算方法和获取方式合理且符合适用的地方标准或核算和报告指南的要求</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14:paraId="02065767">
            <w:pPr>
              <w:keepNext w:val="0"/>
              <w:keepLines w:val="0"/>
              <w:pageBreakBefore w:val="0"/>
              <w:widowControl/>
              <w:tabs>
                <w:tab w:val="left" w:pos="3960"/>
                <w:tab w:val="left" w:pos="4140"/>
              </w:tabs>
              <w:kinsoku/>
              <w:wordWrap/>
              <w:overflowPunct/>
              <w:topLinePunct w:val="0"/>
              <w:autoSpaceDE/>
              <w:autoSpaceDN/>
              <w:bidi w:val="0"/>
              <w:snapToGrid w:val="0"/>
              <w:spacing w:after="0" w:line="300" w:lineRule="auto"/>
              <w:ind w:firstLine="480" w:firstLineChars="200"/>
              <w:textAlignment w:val="auto"/>
              <w:rPr>
                <w:rFonts w:eastAsia="仿宋"/>
                <w:sz w:val="24"/>
                <w:szCs w:val="24"/>
              </w:rPr>
            </w:pPr>
            <w:r>
              <w:rPr>
                <w:rFonts w:eastAsia="仿宋"/>
                <w:sz w:val="24"/>
                <w:szCs w:val="24"/>
              </w:rPr>
              <w:t>数据获取过程中涉及的测量设备的型号、位置属实情况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14:paraId="3E5C31E5">
            <w:pPr>
              <w:keepNext w:val="0"/>
              <w:keepLines w:val="0"/>
              <w:pageBreakBefore w:val="0"/>
              <w:widowControl/>
              <w:tabs>
                <w:tab w:val="left" w:pos="3960"/>
                <w:tab w:val="left" w:pos="4140"/>
              </w:tabs>
              <w:kinsoku/>
              <w:wordWrap/>
              <w:overflowPunct/>
              <w:topLinePunct w:val="0"/>
              <w:autoSpaceDE/>
              <w:autoSpaceDN/>
              <w:bidi w:val="0"/>
              <w:snapToGrid w:val="0"/>
              <w:spacing w:after="0" w:line="300" w:lineRule="auto"/>
              <w:ind w:firstLine="480" w:firstLineChars="200"/>
              <w:textAlignment w:val="auto"/>
              <w:rPr>
                <w:rFonts w:eastAsia="仿宋"/>
                <w:sz w:val="24"/>
                <w:szCs w:val="24"/>
              </w:rPr>
            </w:pPr>
            <w:r>
              <w:rPr>
                <w:rFonts w:eastAsia="仿宋"/>
                <w:sz w:val="24"/>
                <w:szCs w:val="24"/>
              </w:rPr>
              <w:t>监测频次、精度和校准频次符合相关要求情况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14:paraId="673A267F">
            <w:pPr>
              <w:keepNext w:val="0"/>
              <w:keepLines w:val="0"/>
              <w:pageBreakBefore w:val="0"/>
              <w:widowControl/>
              <w:tabs>
                <w:tab w:val="left" w:pos="3960"/>
                <w:tab w:val="left" w:pos="4140"/>
              </w:tabs>
              <w:kinsoku/>
              <w:wordWrap/>
              <w:overflowPunct/>
              <w:topLinePunct w:val="0"/>
              <w:autoSpaceDE/>
              <w:autoSpaceDN/>
              <w:bidi w:val="0"/>
              <w:snapToGrid w:val="0"/>
              <w:spacing w:after="0" w:line="300" w:lineRule="auto"/>
              <w:ind w:firstLine="480" w:firstLineChars="200"/>
              <w:textAlignment w:val="auto"/>
              <w:rPr>
                <w:rFonts w:eastAsia="仿宋"/>
                <w:sz w:val="24"/>
                <w:szCs w:val="24"/>
              </w:rPr>
            </w:pPr>
            <w:r>
              <w:rPr>
                <w:rFonts w:eastAsia="仿宋"/>
                <w:sz w:val="24"/>
                <w:szCs w:val="24"/>
              </w:rPr>
              <w:t>数据缺失时的处理方式能够确保不会导致排放量的低估和配额的过量发放情况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14:paraId="385B25E3">
            <w:pPr>
              <w:keepNext w:val="0"/>
              <w:keepLines w:val="0"/>
              <w:pageBreakBefore w:val="0"/>
              <w:widowControl/>
              <w:kinsoku/>
              <w:wordWrap/>
              <w:overflowPunct/>
              <w:topLinePunct w:val="0"/>
              <w:autoSpaceDE/>
              <w:autoSpaceDN/>
              <w:bidi w:val="0"/>
              <w:snapToGrid w:val="0"/>
              <w:spacing w:after="0" w:line="300" w:lineRule="auto"/>
              <w:ind w:firstLine="480" w:firstLineChars="200"/>
              <w:textAlignment w:val="auto"/>
              <w:rPr>
                <w:rFonts w:eastAsia="仿宋"/>
                <w:bCs/>
                <w:sz w:val="24"/>
                <w:szCs w:val="24"/>
              </w:rPr>
            </w:pPr>
            <w:r>
              <w:rPr>
                <w:rFonts w:eastAsia="仿宋"/>
                <w:sz w:val="24"/>
                <w:szCs w:val="24"/>
              </w:rPr>
              <w:t>若否，需要详细说明并</w:t>
            </w:r>
            <w:r>
              <w:rPr>
                <w:rFonts w:hint="eastAsia" w:eastAsia="仿宋"/>
                <w:sz w:val="24"/>
                <w:szCs w:val="24"/>
              </w:rPr>
              <w:t>简要描述不符合(如有),详细描述及纠正措施链接核查报告附件1）。</w:t>
            </w:r>
          </w:p>
        </w:tc>
      </w:tr>
      <w:tr w14:paraId="50585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663" w:type="dxa"/>
            <w:shd w:val="clear" w:color="auto" w:fill="D8D8D8" w:themeFill="background1" w:themeFillShade="D9"/>
            <w:vAlign w:val="center"/>
          </w:tcPr>
          <w:p w14:paraId="54002AFE">
            <w:pPr>
              <w:keepNext w:val="0"/>
              <w:keepLines w:val="0"/>
              <w:pageBreakBefore w:val="0"/>
              <w:widowControl/>
              <w:tabs>
                <w:tab w:val="left" w:pos="3960"/>
                <w:tab w:val="left" w:pos="4140"/>
              </w:tabs>
              <w:kinsoku/>
              <w:wordWrap/>
              <w:overflowPunct/>
              <w:topLinePunct w:val="0"/>
              <w:autoSpaceDE/>
              <w:autoSpaceDN/>
              <w:bidi w:val="0"/>
              <w:adjustRightInd/>
              <w:snapToGrid w:val="0"/>
              <w:spacing w:before="156" w:beforeLines="50" w:after="0" w:line="300" w:lineRule="auto"/>
              <w:ind w:firstLine="0" w:firstLineChars="0"/>
              <w:textAlignment w:val="auto"/>
              <w:rPr>
                <w:rFonts w:eastAsia="仿宋"/>
                <w:b/>
                <w:sz w:val="24"/>
                <w:szCs w:val="24"/>
              </w:rPr>
            </w:pPr>
            <w:r>
              <w:rPr>
                <w:rFonts w:eastAsia="仿宋"/>
                <w:b/>
                <w:sz w:val="24"/>
                <w:szCs w:val="24"/>
              </w:rPr>
              <w:t>数据内部质量控制和质量保证的符合性</w:t>
            </w:r>
          </w:p>
        </w:tc>
        <w:tc>
          <w:tcPr>
            <w:tcW w:w="7804" w:type="dxa"/>
            <w:vAlign w:val="center"/>
          </w:tcPr>
          <w:p w14:paraId="45D82F4E">
            <w:pPr>
              <w:keepNext w:val="0"/>
              <w:keepLines w:val="0"/>
              <w:pageBreakBefore w:val="0"/>
              <w:widowControl/>
              <w:tabs>
                <w:tab w:val="left" w:pos="3960"/>
                <w:tab w:val="left" w:pos="4140"/>
              </w:tabs>
              <w:kinsoku/>
              <w:wordWrap/>
              <w:overflowPunct/>
              <w:topLinePunct w:val="0"/>
              <w:autoSpaceDE/>
              <w:autoSpaceDN/>
              <w:bidi w:val="0"/>
              <w:adjustRightInd/>
              <w:snapToGrid w:val="0"/>
              <w:spacing w:after="0" w:line="276" w:lineRule="auto"/>
              <w:ind w:firstLine="480" w:firstLineChars="200"/>
              <w:textAlignment w:val="auto"/>
              <w:rPr>
                <w:rFonts w:eastAsia="仿宋"/>
                <w:sz w:val="24"/>
                <w:szCs w:val="24"/>
              </w:rPr>
            </w:pPr>
            <w:r>
              <w:rPr>
                <w:rFonts w:eastAsia="仿宋"/>
                <w:sz w:val="24"/>
                <w:szCs w:val="24"/>
              </w:rPr>
              <w:t>受审核方已指定专人负责温室气体监测计划制定、温室气体报告工作情况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14:paraId="3829691A">
            <w:pPr>
              <w:keepNext w:val="0"/>
              <w:keepLines w:val="0"/>
              <w:pageBreakBefore w:val="0"/>
              <w:widowControl/>
              <w:tabs>
                <w:tab w:val="left" w:pos="3960"/>
                <w:tab w:val="left" w:pos="4140"/>
              </w:tabs>
              <w:kinsoku/>
              <w:wordWrap/>
              <w:overflowPunct/>
              <w:topLinePunct w:val="0"/>
              <w:autoSpaceDE/>
              <w:autoSpaceDN/>
              <w:bidi w:val="0"/>
              <w:adjustRightInd/>
              <w:snapToGrid w:val="0"/>
              <w:spacing w:after="0" w:line="276" w:lineRule="auto"/>
              <w:ind w:firstLine="480" w:firstLineChars="200"/>
              <w:textAlignment w:val="auto"/>
              <w:rPr>
                <w:rFonts w:eastAsia="仿宋"/>
                <w:sz w:val="24"/>
                <w:szCs w:val="24"/>
              </w:rPr>
            </w:pPr>
            <w:r>
              <w:rPr>
                <w:rFonts w:eastAsia="仿宋"/>
                <w:sz w:val="24"/>
                <w:szCs w:val="24"/>
              </w:rPr>
              <w:t>受审核方已建立监测计划的制定、修订、审批以及执行等的管理制度情况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14:paraId="3749A79B">
            <w:pPr>
              <w:keepNext w:val="0"/>
              <w:keepLines w:val="0"/>
              <w:pageBreakBefore w:val="0"/>
              <w:widowControl/>
              <w:tabs>
                <w:tab w:val="left" w:pos="3960"/>
                <w:tab w:val="left" w:pos="4140"/>
              </w:tabs>
              <w:kinsoku/>
              <w:wordWrap/>
              <w:overflowPunct/>
              <w:topLinePunct w:val="0"/>
              <w:autoSpaceDE/>
              <w:autoSpaceDN/>
              <w:bidi w:val="0"/>
              <w:adjustRightInd/>
              <w:snapToGrid w:val="0"/>
              <w:spacing w:after="0" w:line="276" w:lineRule="auto"/>
              <w:ind w:firstLine="480" w:firstLineChars="200"/>
              <w:textAlignment w:val="auto"/>
              <w:rPr>
                <w:rFonts w:eastAsia="仿宋"/>
                <w:sz w:val="24"/>
                <w:szCs w:val="24"/>
              </w:rPr>
            </w:pPr>
            <w:r>
              <w:rPr>
                <w:rFonts w:eastAsia="仿宋"/>
                <w:sz w:val="24"/>
                <w:szCs w:val="24"/>
              </w:rPr>
              <w:t>受审核方已建立温室气体排放报告的编写、内部审核以及审批等管理制度情况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14:paraId="2D3B7048">
            <w:pPr>
              <w:keepNext w:val="0"/>
              <w:keepLines w:val="0"/>
              <w:pageBreakBefore w:val="0"/>
              <w:widowControl/>
              <w:tabs>
                <w:tab w:val="left" w:pos="3960"/>
                <w:tab w:val="left" w:pos="4140"/>
              </w:tabs>
              <w:kinsoku/>
              <w:wordWrap/>
              <w:overflowPunct/>
              <w:topLinePunct w:val="0"/>
              <w:autoSpaceDE/>
              <w:autoSpaceDN/>
              <w:bidi w:val="0"/>
              <w:adjustRightInd/>
              <w:snapToGrid w:val="0"/>
              <w:spacing w:after="0" w:line="276" w:lineRule="auto"/>
              <w:ind w:firstLine="480" w:firstLineChars="200"/>
              <w:textAlignment w:val="auto"/>
              <w:rPr>
                <w:rFonts w:eastAsia="仿宋"/>
                <w:sz w:val="24"/>
                <w:szCs w:val="24"/>
              </w:rPr>
            </w:pPr>
            <w:r>
              <w:rPr>
                <w:rFonts w:eastAsia="仿宋"/>
                <w:sz w:val="24"/>
                <w:szCs w:val="24"/>
              </w:rPr>
              <w:t>受审核方已建立温室气体数据文件的保存和归档管理制度</w:t>
            </w:r>
            <w:r>
              <w:rPr>
                <w:rFonts w:hint="eastAsia" w:eastAsia="仿宋"/>
                <w:sz w:val="24"/>
                <w:szCs w:val="24"/>
              </w:rPr>
              <w:t>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14:paraId="1B7C476A">
            <w:pPr>
              <w:keepNext w:val="0"/>
              <w:keepLines w:val="0"/>
              <w:pageBreakBefore w:val="0"/>
              <w:widowControl/>
              <w:tabs>
                <w:tab w:val="left" w:pos="3960"/>
                <w:tab w:val="left" w:pos="4140"/>
              </w:tabs>
              <w:kinsoku/>
              <w:wordWrap/>
              <w:overflowPunct/>
              <w:topLinePunct w:val="0"/>
              <w:autoSpaceDE/>
              <w:autoSpaceDN/>
              <w:bidi w:val="0"/>
              <w:adjustRightInd/>
              <w:snapToGrid w:val="0"/>
              <w:spacing w:after="0" w:line="276" w:lineRule="auto"/>
              <w:ind w:firstLine="480" w:firstLineChars="200"/>
              <w:textAlignment w:val="auto"/>
              <w:rPr>
                <w:rFonts w:eastAsia="仿宋"/>
                <w:sz w:val="24"/>
                <w:szCs w:val="24"/>
              </w:rPr>
            </w:pPr>
            <w:r>
              <w:rPr>
                <w:rFonts w:eastAsia="仿宋"/>
                <w:sz w:val="24"/>
                <w:szCs w:val="24"/>
              </w:rPr>
              <w:t>受审核方监测计划制定和执行人员以及排放报告编制人员具备制定相应报告的能力情况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14:paraId="2F9AB936">
            <w:pPr>
              <w:keepNext w:val="0"/>
              <w:keepLines w:val="0"/>
              <w:pageBreakBefore w:val="0"/>
              <w:widowControl/>
              <w:tabs>
                <w:tab w:val="left" w:pos="3960"/>
                <w:tab w:val="left" w:pos="4140"/>
              </w:tabs>
              <w:kinsoku/>
              <w:wordWrap/>
              <w:overflowPunct/>
              <w:topLinePunct w:val="0"/>
              <w:autoSpaceDE/>
              <w:autoSpaceDN/>
              <w:bidi w:val="0"/>
              <w:adjustRightInd/>
              <w:snapToGrid w:val="0"/>
              <w:spacing w:after="0" w:line="276" w:lineRule="auto"/>
              <w:ind w:firstLine="480" w:firstLineChars="200"/>
              <w:textAlignment w:val="auto"/>
              <w:rPr>
                <w:rFonts w:eastAsia="仿宋"/>
                <w:b/>
                <w:sz w:val="24"/>
                <w:szCs w:val="24"/>
              </w:rPr>
            </w:pPr>
            <w:r>
              <w:rPr>
                <w:rFonts w:eastAsia="仿宋"/>
                <w:sz w:val="24"/>
                <w:szCs w:val="24"/>
              </w:rPr>
              <w:t>若否，需要详细说明并</w:t>
            </w:r>
            <w:r>
              <w:rPr>
                <w:rFonts w:hint="eastAsia" w:eastAsia="仿宋"/>
                <w:sz w:val="24"/>
                <w:szCs w:val="24"/>
              </w:rPr>
              <w:t>简要描述不符合(如有),详细描述及纠正措施链接核查报告附件1）。</w:t>
            </w:r>
          </w:p>
        </w:tc>
      </w:tr>
      <w:tr w14:paraId="22B24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663" w:type="dxa"/>
            <w:shd w:val="clear" w:color="auto" w:fill="D8D8D8" w:themeFill="background1" w:themeFillShade="D9"/>
            <w:vAlign w:val="center"/>
          </w:tcPr>
          <w:p w14:paraId="15356ED3">
            <w:pPr>
              <w:keepNext w:val="0"/>
              <w:keepLines w:val="0"/>
              <w:pageBreakBefore w:val="0"/>
              <w:widowControl/>
              <w:tabs>
                <w:tab w:val="left" w:pos="3960"/>
                <w:tab w:val="left" w:pos="4140"/>
              </w:tabs>
              <w:kinsoku/>
              <w:wordWrap/>
              <w:overflowPunct/>
              <w:topLinePunct w:val="0"/>
              <w:autoSpaceDE/>
              <w:autoSpaceDN/>
              <w:bidi w:val="0"/>
              <w:adjustRightInd/>
              <w:snapToGrid w:val="0"/>
              <w:spacing w:before="156" w:beforeLines="50" w:after="0" w:line="300" w:lineRule="auto"/>
              <w:ind w:firstLine="0" w:firstLineChars="0"/>
              <w:textAlignment w:val="auto"/>
              <w:rPr>
                <w:rFonts w:eastAsia="仿宋"/>
                <w:b/>
                <w:sz w:val="24"/>
                <w:szCs w:val="24"/>
              </w:rPr>
            </w:pPr>
            <w:r>
              <w:rPr>
                <w:rFonts w:eastAsia="仿宋"/>
                <w:b/>
                <w:sz w:val="24"/>
                <w:szCs w:val="24"/>
              </w:rPr>
              <w:t>其他核查发现（如有）</w:t>
            </w:r>
          </w:p>
        </w:tc>
        <w:tc>
          <w:tcPr>
            <w:tcW w:w="7804" w:type="dxa"/>
            <w:vAlign w:val="center"/>
          </w:tcPr>
          <w:p w14:paraId="4A8D4D14">
            <w:pPr>
              <w:keepNext w:val="0"/>
              <w:keepLines w:val="0"/>
              <w:pageBreakBefore w:val="0"/>
              <w:widowControl/>
              <w:kinsoku/>
              <w:wordWrap/>
              <w:overflowPunct/>
              <w:topLinePunct w:val="0"/>
              <w:autoSpaceDE/>
              <w:autoSpaceDN/>
              <w:bidi w:val="0"/>
              <w:snapToGrid w:val="0"/>
              <w:spacing w:after="0" w:line="300" w:lineRule="auto"/>
              <w:ind w:firstLine="480" w:firstLineChars="200"/>
              <w:textAlignment w:val="auto"/>
              <w:rPr>
                <w:rFonts w:eastAsia="仿宋"/>
                <w:bCs/>
                <w:sz w:val="24"/>
                <w:szCs w:val="24"/>
              </w:rPr>
            </w:pPr>
            <w:r>
              <w:rPr>
                <w:rFonts w:eastAsia="仿宋"/>
                <w:bCs/>
                <w:sz w:val="24"/>
                <w:szCs w:val="24"/>
              </w:rPr>
              <w:t>若还有其它需要说明的核查发现，请详细描述。</w:t>
            </w:r>
          </w:p>
        </w:tc>
      </w:tr>
    </w:tbl>
    <w:p w14:paraId="6A5CA362">
      <w:pPr>
        <w:widowControl w:val="0"/>
        <w:spacing w:after="0" w:line="560" w:lineRule="exact"/>
        <w:ind w:left="987"/>
        <w:jc w:val="both"/>
        <w:rPr>
          <w:rFonts w:ascii="仿宋_GB2312" w:hAnsi="仿宋" w:eastAsia="仿宋_GB2312"/>
          <w:sz w:val="32"/>
          <w:szCs w:val="32"/>
        </w:rPr>
      </w:pPr>
    </w:p>
    <w:p w14:paraId="51C69534">
      <w:pPr>
        <w:widowControl w:val="0"/>
        <w:spacing w:after="0" w:line="560" w:lineRule="exact"/>
        <w:ind w:left="567"/>
        <w:jc w:val="both"/>
        <w:outlineLvl w:val="0"/>
        <w:rPr>
          <w:rFonts w:ascii="仿宋_GB2312" w:hAnsi="仿宋" w:eastAsia="仿宋_GB2312"/>
          <w:sz w:val="32"/>
          <w:szCs w:val="32"/>
        </w:rPr>
      </w:pPr>
      <w:r>
        <w:rPr>
          <w:rFonts w:hint="eastAsia" w:ascii="仿宋_GB2312" w:hAnsi="仿宋" w:eastAsia="仿宋_GB2312"/>
          <w:sz w:val="32"/>
          <w:szCs w:val="32"/>
        </w:rPr>
        <w:t>B）核查方法</w:t>
      </w:r>
    </w:p>
    <w:p w14:paraId="21203B93">
      <w:pPr>
        <w:widowControl w:val="0"/>
        <w:numPr>
          <w:ilvl w:val="0"/>
          <w:numId w:val="26"/>
        </w:numPr>
        <w:spacing w:after="0" w:line="560" w:lineRule="exact"/>
        <w:jc w:val="both"/>
        <w:rPr>
          <w:rFonts w:ascii="仿宋_GB2312" w:hAnsi="仿宋" w:eastAsia="仿宋_GB2312"/>
          <w:sz w:val="32"/>
          <w:szCs w:val="32"/>
        </w:rPr>
      </w:pPr>
      <w:r>
        <w:rPr>
          <w:rFonts w:ascii="仿宋_GB2312" w:hAnsi="仿宋" w:eastAsia="仿宋_GB2312"/>
          <w:sz w:val="32"/>
          <w:szCs w:val="32"/>
        </w:rPr>
        <w:t>访谈确认监测计划制定及实施情况；</w:t>
      </w:r>
    </w:p>
    <w:p w14:paraId="285F9521">
      <w:pPr>
        <w:widowControl w:val="0"/>
        <w:numPr>
          <w:ilvl w:val="0"/>
          <w:numId w:val="2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查阅相关参数的检测报告；</w:t>
      </w:r>
    </w:p>
    <w:p w14:paraId="030CBEE6">
      <w:pPr>
        <w:widowControl w:val="0"/>
        <w:numPr>
          <w:ilvl w:val="0"/>
          <w:numId w:val="2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观察现有监测设备的配置情况；</w:t>
      </w:r>
    </w:p>
    <w:p w14:paraId="2E0033B9">
      <w:pPr>
        <w:widowControl w:val="0"/>
        <w:numPr>
          <w:ilvl w:val="0"/>
          <w:numId w:val="26"/>
        </w:numPr>
        <w:spacing w:after="0" w:line="560" w:lineRule="exact"/>
        <w:ind w:left="567" w:firstLine="6"/>
        <w:jc w:val="both"/>
        <w:rPr>
          <w:rFonts w:ascii="仿宋_GB2312" w:hAnsi="仿宋" w:eastAsia="仿宋_GB2312"/>
          <w:sz w:val="32"/>
          <w:szCs w:val="32"/>
        </w:rPr>
      </w:pPr>
      <w:r>
        <w:rPr>
          <w:rFonts w:hint="eastAsia" w:ascii="仿宋_GB2312" w:hAnsi="仿宋" w:eastAsia="仿宋_GB2312"/>
          <w:sz w:val="32"/>
          <w:szCs w:val="32"/>
        </w:rPr>
        <w:t>访谈了解监测设备的下一步配置计划。</w:t>
      </w:r>
    </w:p>
    <w:p w14:paraId="0B6F3D22">
      <w:pPr>
        <w:spacing w:after="0" w:line="560" w:lineRule="exact"/>
        <w:ind w:firstLine="659" w:firstLineChars="205"/>
        <w:rPr>
          <w:rFonts w:ascii="仿宋_GB2312" w:hAnsi="仿宋" w:eastAsia="仿宋_GB2312"/>
          <w:b/>
          <w:sz w:val="32"/>
          <w:szCs w:val="32"/>
        </w:rPr>
      </w:pPr>
      <w:r>
        <w:rPr>
          <w:rFonts w:hint="eastAsia" w:ascii="仿宋_GB2312" w:hAnsi="仿宋" w:eastAsia="仿宋_GB2312"/>
          <w:b/>
          <w:sz w:val="32"/>
          <w:szCs w:val="32"/>
        </w:rPr>
        <w:t>3.9对京内移动设施和京外能源消费总量的核查</w:t>
      </w:r>
    </w:p>
    <w:p w14:paraId="1B86F40F">
      <w:pPr>
        <w:spacing w:after="0" w:line="560" w:lineRule="exact"/>
        <w:ind w:firstLine="659" w:firstLineChars="205"/>
        <w:outlineLvl w:val="0"/>
        <w:rPr>
          <w:rFonts w:ascii="仿宋_GB2312" w:hAnsi="仿宋" w:eastAsia="仿宋_GB2312"/>
          <w:b/>
          <w:sz w:val="32"/>
          <w:szCs w:val="32"/>
        </w:rPr>
      </w:pPr>
      <w:r>
        <w:rPr>
          <w:rFonts w:hint="eastAsia" w:ascii="仿宋_GB2312" w:hAnsi="仿宋" w:eastAsia="仿宋_GB2312"/>
          <w:b/>
          <w:sz w:val="32"/>
          <w:szCs w:val="32"/>
        </w:rPr>
        <w:t>A）报告内容</w:t>
      </w:r>
    </w:p>
    <w:p w14:paraId="6CFDC8D1">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核查机构应对重点碳排放单位的其他能源消费信息进行核查,并报告如下核查发现：</w:t>
      </w:r>
    </w:p>
    <w:p w14:paraId="4127ED6A">
      <w:pPr>
        <w:widowControl w:val="0"/>
        <w:numPr>
          <w:ilvl w:val="0"/>
          <w:numId w:val="27"/>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能源消耗（燃料品种、电力等）是否完整；</w:t>
      </w:r>
    </w:p>
    <w:p w14:paraId="4B1081E7">
      <w:pPr>
        <w:widowControl w:val="0"/>
        <w:numPr>
          <w:ilvl w:val="0"/>
          <w:numId w:val="27"/>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消费数据是否真实、可信。</w:t>
      </w:r>
    </w:p>
    <w:p w14:paraId="4E1374A7">
      <w:pPr>
        <w:spacing w:after="0" w:line="560" w:lineRule="exact"/>
        <w:ind w:firstLine="630" w:firstLineChars="196"/>
        <w:outlineLvl w:val="0"/>
        <w:rPr>
          <w:rFonts w:ascii="仿宋_GB2312" w:hAnsi="仿宋" w:eastAsia="仿宋_GB2312"/>
          <w:b/>
          <w:sz w:val="32"/>
          <w:szCs w:val="32"/>
        </w:rPr>
      </w:pPr>
      <w:r>
        <w:rPr>
          <w:rFonts w:hint="eastAsia" w:ascii="仿宋_GB2312" w:hAnsi="仿宋" w:eastAsia="仿宋_GB2312"/>
          <w:b/>
          <w:sz w:val="32"/>
          <w:szCs w:val="32"/>
        </w:rPr>
        <w:t>B) 核查方法</w:t>
      </w:r>
    </w:p>
    <w:p w14:paraId="3D55957F">
      <w:pPr>
        <w:widowControl w:val="0"/>
        <w:numPr>
          <w:ilvl w:val="0"/>
          <w:numId w:val="24"/>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查阅油品购买记录；</w:t>
      </w:r>
    </w:p>
    <w:p w14:paraId="4986921D">
      <w:pPr>
        <w:widowControl w:val="0"/>
        <w:numPr>
          <w:ilvl w:val="0"/>
          <w:numId w:val="24"/>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查阅移动源行驶里程；</w:t>
      </w:r>
    </w:p>
    <w:p w14:paraId="00E99E12">
      <w:pPr>
        <w:widowControl w:val="0"/>
        <w:numPr>
          <w:ilvl w:val="0"/>
          <w:numId w:val="24"/>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查阅能源平衡表。</w:t>
      </w:r>
    </w:p>
    <w:p w14:paraId="6EFEBDED">
      <w:pPr>
        <w:widowControl w:val="0"/>
        <w:spacing w:after="0" w:line="560" w:lineRule="exact"/>
        <w:ind w:left="420"/>
        <w:jc w:val="both"/>
        <w:rPr>
          <w:rFonts w:ascii="仿宋_GB2312" w:hAnsi="仿宋" w:eastAsia="仿宋_GB2312"/>
          <w:sz w:val="32"/>
          <w:szCs w:val="32"/>
        </w:rPr>
      </w:pPr>
      <w:r>
        <w:rPr>
          <w:rFonts w:hint="eastAsia" w:ascii="仿宋_GB2312" w:hAnsi="仿宋" w:eastAsia="仿宋_GB2312"/>
          <w:sz w:val="32"/>
          <w:szCs w:val="32"/>
        </w:rPr>
        <w:t xml:space="preserve">   核查机构应注意，交通设施的京内移动设施和</w:t>
      </w:r>
      <w:r>
        <w:rPr>
          <w:rFonts w:ascii="仿宋_GB2312" w:hAnsi="仿宋" w:eastAsia="仿宋_GB2312"/>
          <w:sz w:val="32"/>
          <w:szCs w:val="32"/>
        </w:rPr>
        <w:t>航空器的排放</w:t>
      </w:r>
      <w:r>
        <w:rPr>
          <w:rFonts w:hint="eastAsia" w:ascii="仿宋_GB2312" w:hAnsi="仿宋" w:eastAsia="仿宋_GB2312"/>
          <w:sz w:val="32"/>
          <w:szCs w:val="32"/>
        </w:rPr>
        <w:t>应作为核算边界内的排放设施纳入核查范围，而不应当作为本节核查的内容。</w:t>
      </w:r>
    </w:p>
    <w:p w14:paraId="1E7D9D1C">
      <w:pPr>
        <w:spacing w:after="0" w:line="560" w:lineRule="exact"/>
        <w:ind w:firstLine="659" w:firstLineChars="205"/>
        <w:rPr>
          <w:rFonts w:ascii="仿宋_GB2312" w:hAnsi="仿宋" w:eastAsia="仿宋_GB2312"/>
          <w:b/>
          <w:sz w:val="32"/>
          <w:szCs w:val="32"/>
        </w:rPr>
      </w:pPr>
      <w:r>
        <w:rPr>
          <w:rFonts w:hint="eastAsia" w:ascii="仿宋_GB2312" w:hAnsi="仿宋" w:eastAsia="仿宋_GB2312"/>
          <w:b/>
          <w:sz w:val="32"/>
          <w:szCs w:val="32"/>
        </w:rPr>
        <w:t>3.10对数据质量管理的核查</w:t>
      </w:r>
    </w:p>
    <w:p w14:paraId="7130C1AA">
      <w:pPr>
        <w:spacing w:after="0" w:line="560" w:lineRule="exact"/>
        <w:ind w:firstLine="659" w:firstLineChars="205"/>
        <w:jc w:val="both"/>
        <w:outlineLvl w:val="0"/>
        <w:rPr>
          <w:rFonts w:ascii="仿宋_GB2312" w:hAnsi="仿宋" w:eastAsia="仿宋_GB2312"/>
          <w:b/>
          <w:sz w:val="32"/>
          <w:szCs w:val="32"/>
        </w:rPr>
      </w:pPr>
      <w:r>
        <w:rPr>
          <w:rFonts w:hint="eastAsia" w:ascii="仿宋_GB2312" w:hAnsi="仿宋" w:eastAsia="仿宋_GB2312"/>
          <w:b/>
          <w:sz w:val="32"/>
          <w:szCs w:val="32"/>
        </w:rPr>
        <w:t>A）报告内容</w:t>
      </w:r>
    </w:p>
    <w:p w14:paraId="294C4317">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核查机构应对重点碳排放单位的二氧化碳排放质量管理体系进行核查,核查内容包括：</w:t>
      </w:r>
    </w:p>
    <w:p w14:paraId="11296257">
      <w:pPr>
        <w:widowControl w:val="0"/>
        <w:numPr>
          <w:ilvl w:val="0"/>
          <w:numId w:val="27"/>
        </w:numPr>
        <w:spacing w:after="0" w:line="560" w:lineRule="exact"/>
        <w:ind w:left="565" w:leftChars="257" w:firstLine="0"/>
        <w:jc w:val="both"/>
        <w:rPr>
          <w:rFonts w:ascii="仿宋_GB2312" w:hAnsi="仿宋" w:eastAsia="仿宋_GB2312"/>
          <w:sz w:val="32"/>
          <w:szCs w:val="32"/>
        </w:rPr>
      </w:pPr>
      <w:r>
        <w:rPr>
          <w:rFonts w:hint="eastAsia" w:ascii="仿宋_GB2312" w:hAnsi="仿宋" w:eastAsia="仿宋_GB2312"/>
          <w:sz w:val="32"/>
          <w:szCs w:val="32"/>
        </w:rPr>
        <w:t>是否按标准和规定进行仪表的校准和检定；</w:t>
      </w:r>
    </w:p>
    <w:p w14:paraId="02E7D01A">
      <w:pPr>
        <w:widowControl w:val="0"/>
        <w:numPr>
          <w:ilvl w:val="0"/>
          <w:numId w:val="27"/>
        </w:numPr>
        <w:spacing w:after="0" w:line="560" w:lineRule="exact"/>
        <w:ind w:left="565" w:leftChars="257" w:firstLine="0"/>
        <w:jc w:val="both"/>
        <w:rPr>
          <w:rFonts w:ascii="仿宋_GB2312" w:hAnsi="仿宋" w:eastAsia="仿宋_GB2312"/>
          <w:sz w:val="32"/>
          <w:szCs w:val="32"/>
        </w:rPr>
      </w:pPr>
      <w:r>
        <w:rPr>
          <w:rFonts w:hint="eastAsia" w:ascii="仿宋_GB2312" w:hAnsi="仿宋" w:eastAsia="仿宋_GB2312"/>
          <w:sz w:val="32"/>
          <w:szCs w:val="32"/>
        </w:rPr>
        <w:t>是否明确了管理部门，专人负责数据的记录、收集和整理工作；</w:t>
      </w:r>
    </w:p>
    <w:p w14:paraId="56CAA15F">
      <w:pPr>
        <w:widowControl w:val="0"/>
        <w:numPr>
          <w:ilvl w:val="0"/>
          <w:numId w:val="27"/>
        </w:numPr>
        <w:spacing w:after="0" w:line="560" w:lineRule="exact"/>
        <w:ind w:left="565" w:leftChars="257" w:firstLine="0"/>
        <w:jc w:val="both"/>
        <w:rPr>
          <w:rFonts w:ascii="仿宋_GB2312" w:hAnsi="仿宋" w:eastAsia="仿宋_GB2312"/>
          <w:sz w:val="32"/>
          <w:szCs w:val="32"/>
        </w:rPr>
      </w:pPr>
      <w:r>
        <w:rPr>
          <w:rFonts w:hint="eastAsia" w:ascii="仿宋_GB2312" w:hAnsi="仿宋" w:eastAsia="仿宋_GB2312"/>
          <w:sz w:val="32"/>
          <w:szCs w:val="32"/>
        </w:rPr>
        <w:t>是否建立了数据的监测、收集和获取的规章制度；</w:t>
      </w:r>
    </w:p>
    <w:p w14:paraId="5AEEC69E">
      <w:pPr>
        <w:widowControl w:val="0"/>
        <w:numPr>
          <w:ilvl w:val="0"/>
          <w:numId w:val="27"/>
        </w:numPr>
        <w:spacing w:after="0" w:line="560" w:lineRule="exact"/>
        <w:ind w:left="565" w:leftChars="257" w:firstLine="0"/>
        <w:jc w:val="both"/>
        <w:rPr>
          <w:rFonts w:ascii="仿宋_GB2312" w:hAnsi="仿宋" w:eastAsia="仿宋_GB2312"/>
          <w:sz w:val="32"/>
          <w:szCs w:val="32"/>
        </w:rPr>
      </w:pPr>
      <w:r>
        <w:rPr>
          <w:rFonts w:hint="eastAsia" w:ascii="仿宋_GB2312" w:hAnsi="仿宋" w:eastAsia="仿宋_GB2312"/>
          <w:sz w:val="32"/>
          <w:szCs w:val="32"/>
        </w:rPr>
        <w:t>是否制定了数据缺失、生产活动变化以及报告方法变更的应对措施；</w:t>
      </w:r>
    </w:p>
    <w:p w14:paraId="52B2820E">
      <w:pPr>
        <w:widowControl w:val="0"/>
        <w:numPr>
          <w:ilvl w:val="0"/>
          <w:numId w:val="27"/>
        </w:numPr>
        <w:spacing w:after="0" w:line="560" w:lineRule="exact"/>
        <w:ind w:left="565" w:leftChars="257" w:firstLine="0"/>
        <w:jc w:val="both"/>
        <w:rPr>
          <w:rFonts w:ascii="仿宋_GB2312" w:hAnsi="仿宋" w:eastAsia="仿宋_GB2312"/>
          <w:sz w:val="32"/>
          <w:szCs w:val="32"/>
        </w:rPr>
      </w:pPr>
      <w:r>
        <w:rPr>
          <w:rFonts w:hint="eastAsia" w:ascii="仿宋_GB2312" w:hAnsi="仿宋" w:eastAsia="仿宋_GB2312"/>
          <w:sz w:val="32"/>
          <w:szCs w:val="32"/>
        </w:rPr>
        <w:t>文档管理是否规范。</w:t>
      </w:r>
    </w:p>
    <w:p w14:paraId="6AA91FE1">
      <w:pPr>
        <w:spacing w:after="0" w:line="560" w:lineRule="exact"/>
        <w:ind w:firstLine="630" w:firstLineChars="196"/>
        <w:outlineLvl w:val="0"/>
        <w:rPr>
          <w:rFonts w:ascii="仿宋_GB2312" w:hAnsi="仿宋" w:eastAsia="仿宋_GB2312"/>
          <w:b/>
          <w:sz w:val="32"/>
          <w:szCs w:val="32"/>
        </w:rPr>
      </w:pPr>
      <w:r>
        <w:rPr>
          <w:rFonts w:hint="eastAsia" w:ascii="仿宋_GB2312" w:hAnsi="仿宋" w:eastAsia="仿宋_GB2312"/>
          <w:b/>
          <w:sz w:val="32"/>
          <w:szCs w:val="32"/>
        </w:rPr>
        <w:t>B) 核查方法</w:t>
      </w:r>
    </w:p>
    <w:p w14:paraId="6BD427B3">
      <w:pPr>
        <w:widowControl w:val="0"/>
        <w:numPr>
          <w:ilvl w:val="0"/>
          <w:numId w:val="24"/>
        </w:numPr>
        <w:spacing w:after="0" w:line="560" w:lineRule="exact"/>
        <w:ind w:hanging="273"/>
        <w:jc w:val="both"/>
        <w:rPr>
          <w:rFonts w:ascii="仿宋_GB2312" w:hAnsi="仿宋" w:eastAsia="仿宋_GB2312"/>
          <w:sz w:val="32"/>
          <w:szCs w:val="32"/>
        </w:rPr>
      </w:pPr>
      <w:r>
        <w:rPr>
          <w:rFonts w:hint="eastAsia" w:ascii="仿宋_GB2312" w:hAnsi="仿宋" w:eastAsia="仿宋_GB2312"/>
          <w:sz w:val="32"/>
          <w:szCs w:val="32"/>
        </w:rPr>
        <w:t>与管理人员及二氧化碳和能源管理人员交谈；</w:t>
      </w:r>
    </w:p>
    <w:p w14:paraId="2F403902">
      <w:pPr>
        <w:widowControl w:val="0"/>
        <w:numPr>
          <w:ilvl w:val="0"/>
          <w:numId w:val="28"/>
        </w:numPr>
        <w:spacing w:after="0" w:line="560" w:lineRule="exact"/>
        <w:ind w:hanging="273"/>
        <w:jc w:val="both"/>
        <w:rPr>
          <w:rFonts w:ascii="仿宋_GB2312" w:hAnsi="仿宋" w:eastAsia="仿宋_GB2312"/>
          <w:sz w:val="32"/>
          <w:szCs w:val="32"/>
        </w:rPr>
      </w:pPr>
      <w:r>
        <w:rPr>
          <w:rFonts w:hint="eastAsia" w:ascii="仿宋_GB2312" w:hAnsi="仿宋" w:eastAsia="仿宋_GB2312"/>
          <w:sz w:val="32"/>
          <w:szCs w:val="32"/>
        </w:rPr>
        <w:t>查阅企业规章制度及监测计划等确认。</w:t>
      </w:r>
    </w:p>
    <w:p w14:paraId="10FC0673">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4. 核查结论</w:t>
      </w:r>
    </w:p>
    <w:p w14:paraId="39D12C62">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核查机构应在核查报告中出具肯定或否定的核查结论。只有当不符合关闭后，核查机构才能出具肯定的核查结论。核查结论应包含下列内容：</w:t>
      </w:r>
    </w:p>
    <w:p w14:paraId="4BECD3D9">
      <w:pPr>
        <w:pStyle w:val="50"/>
        <w:numPr>
          <w:ilvl w:val="0"/>
          <w:numId w:val="29"/>
        </w:numPr>
        <w:spacing w:after="0" w:line="560" w:lineRule="exact"/>
        <w:ind w:left="851" w:hanging="425"/>
        <w:jc w:val="both"/>
        <w:rPr>
          <w:rFonts w:ascii="仿宋_GB2312" w:hAnsi="仿宋" w:eastAsia="仿宋_GB2312"/>
          <w:sz w:val="32"/>
          <w:szCs w:val="32"/>
        </w:rPr>
      </w:pPr>
      <w:r>
        <w:rPr>
          <w:rFonts w:hint="eastAsia" w:ascii="仿宋_GB2312" w:hAnsi="仿宋" w:eastAsia="仿宋_GB2312"/>
          <w:sz w:val="32"/>
          <w:szCs w:val="32"/>
        </w:rPr>
        <w:t>4.1 核算、报告及方法学的符合性；</w:t>
      </w:r>
    </w:p>
    <w:p w14:paraId="41F9237E">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hint="eastAsia" w:ascii="仿宋_GB2312" w:hAnsi="仿宋" w:eastAsia="仿宋_GB2312"/>
          <w:sz w:val="32"/>
          <w:szCs w:val="32"/>
        </w:rPr>
        <w:t>4.2 本年度排放量及</w:t>
      </w:r>
      <w:r>
        <w:rPr>
          <w:rFonts w:ascii="仿宋_GB2312" w:hAnsi="仿宋" w:eastAsia="仿宋_GB2312"/>
          <w:sz w:val="32"/>
          <w:szCs w:val="32"/>
        </w:rPr>
        <w:t>活动水平数据</w:t>
      </w:r>
      <w:r>
        <w:rPr>
          <w:rFonts w:hint="eastAsia" w:ascii="仿宋_GB2312" w:hAnsi="仿宋" w:eastAsia="仿宋_GB2312"/>
          <w:sz w:val="32"/>
          <w:szCs w:val="32"/>
        </w:rPr>
        <w:t>的声明；</w:t>
      </w:r>
    </w:p>
    <w:p w14:paraId="28DBE8EB">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hint="eastAsia" w:ascii="仿宋_GB2312" w:hAnsi="仿宋" w:eastAsia="仿宋_GB2312"/>
          <w:sz w:val="32"/>
          <w:szCs w:val="32"/>
        </w:rPr>
        <w:t>4.2.1 经核查的直接和间接排放量的声明；</w:t>
      </w:r>
    </w:p>
    <w:p w14:paraId="28A3E35C">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hint="eastAsia" w:ascii="仿宋_GB2312" w:hAnsi="仿宋" w:eastAsia="仿宋_GB2312"/>
          <w:sz w:val="32"/>
          <w:szCs w:val="32"/>
        </w:rPr>
        <w:t>4.2.2 经核查的活动水平</w:t>
      </w:r>
      <w:r>
        <w:rPr>
          <w:rFonts w:ascii="仿宋_GB2312" w:hAnsi="仿宋" w:eastAsia="仿宋_GB2312"/>
          <w:sz w:val="32"/>
          <w:szCs w:val="32"/>
        </w:rPr>
        <w:t>数据的</w:t>
      </w:r>
      <w:r>
        <w:rPr>
          <w:rFonts w:hint="eastAsia" w:ascii="仿宋_GB2312" w:hAnsi="仿宋" w:eastAsia="仿宋_GB2312"/>
          <w:sz w:val="32"/>
          <w:szCs w:val="32"/>
        </w:rPr>
        <w:t>声明。</w:t>
      </w:r>
    </w:p>
    <w:p w14:paraId="72118854">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hint="eastAsia" w:ascii="仿宋_GB2312" w:hAnsi="仿宋" w:eastAsia="仿宋_GB2312"/>
          <w:sz w:val="32"/>
          <w:szCs w:val="32"/>
        </w:rPr>
        <w:t>4.3 本年度排放量及</w:t>
      </w:r>
      <w:r>
        <w:rPr>
          <w:rFonts w:ascii="仿宋_GB2312" w:hAnsi="仿宋" w:eastAsia="仿宋_GB2312"/>
          <w:sz w:val="32"/>
          <w:szCs w:val="32"/>
        </w:rPr>
        <w:t>活动水平</w:t>
      </w:r>
      <w:r>
        <w:rPr>
          <w:rFonts w:hint="eastAsia" w:ascii="仿宋_GB2312" w:hAnsi="仿宋" w:eastAsia="仿宋_GB2312"/>
          <w:sz w:val="32"/>
          <w:szCs w:val="32"/>
        </w:rPr>
        <w:t>波动的</w:t>
      </w:r>
      <w:r>
        <w:rPr>
          <w:rFonts w:ascii="仿宋_GB2312" w:hAnsi="仿宋" w:eastAsia="仿宋_GB2312"/>
          <w:sz w:val="32"/>
          <w:szCs w:val="32"/>
        </w:rPr>
        <w:t>原因说明</w:t>
      </w:r>
    </w:p>
    <w:p w14:paraId="2AE8A17B">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hint="eastAsia" w:ascii="仿宋_GB2312" w:hAnsi="仿宋" w:eastAsia="仿宋_GB2312"/>
          <w:sz w:val="32"/>
          <w:szCs w:val="32"/>
        </w:rPr>
        <w:t>4.3.1 本年度排放量波动的原因说明;</w:t>
      </w:r>
    </w:p>
    <w:p w14:paraId="447547A9">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hint="eastAsia" w:ascii="仿宋_GB2312" w:hAnsi="仿宋" w:eastAsia="仿宋_GB2312"/>
          <w:sz w:val="32"/>
          <w:szCs w:val="32"/>
        </w:rPr>
        <w:t>4.3.2排放下降幅度说明:</w:t>
      </w:r>
      <w:r>
        <w:rPr>
          <w:rFonts w:hint="eastAsia" w:ascii="仿宋_GB2312" w:eastAsia="仿宋_GB2312"/>
          <w:sz w:val="32"/>
          <w:szCs w:val="32"/>
        </w:rPr>
        <w:t>履约年度二氧化碳排放量1</w:t>
      </w:r>
      <w:r>
        <w:rPr>
          <w:rFonts w:ascii="仿宋_GB2312" w:eastAsia="仿宋_GB2312"/>
          <w:sz w:val="32"/>
          <w:szCs w:val="32"/>
        </w:rPr>
        <w:t>0</w:t>
      </w:r>
      <w:r>
        <w:rPr>
          <w:rFonts w:hint="eastAsia" w:ascii="仿宋_GB2312" w:eastAsia="仿宋_GB2312"/>
          <w:sz w:val="32"/>
          <w:szCs w:val="32"/>
        </w:rPr>
        <w:t>万吨（含）以上的</w:t>
      </w:r>
      <w:r>
        <w:rPr>
          <w:rFonts w:ascii="仿宋_GB2312" w:eastAsia="仿宋_GB2312"/>
          <w:sz w:val="32"/>
          <w:szCs w:val="32"/>
        </w:rPr>
        <w:t>重点碳排放单位，</w:t>
      </w:r>
      <w:r>
        <w:rPr>
          <w:rFonts w:hint="eastAsia" w:ascii="仿宋_GB2312" w:eastAsia="仿宋_GB2312"/>
          <w:sz w:val="32"/>
          <w:szCs w:val="32"/>
        </w:rPr>
        <w:t>如</w:t>
      </w:r>
      <w:r>
        <w:rPr>
          <w:rFonts w:ascii="仿宋_GB2312" w:eastAsia="仿宋_GB2312"/>
          <w:sz w:val="32"/>
          <w:szCs w:val="32"/>
        </w:rPr>
        <w:t>果</w:t>
      </w:r>
      <w:r>
        <w:rPr>
          <w:rFonts w:hint="eastAsia" w:ascii="仿宋_GB2312" w:eastAsia="仿宋_GB2312"/>
          <w:sz w:val="32"/>
          <w:szCs w:val="32"/>
        </w:rPr>
        <w:t>履约</w:t>
      </w:r>
      <w:r>
        <w:rPr>
          <w:rFonts w:ascii="仿宋_GB2312" w:eastAsia="仿宋_GB2312"/>
          <w:sz w:val="32"/>
          <w:szCs w:val="32"/>
        </w:rPr>
        <w:t>年度排放量相对于历史基准年</w:t>
      </w:r>
      <w:r>
        <w:rPr>
          <w:rFonts w:hint="eastAsia" w:ascii="仿宋_GB2312" w:eastAsia="仿宋_GB2312"/>
          <w:sz w:val="32"/>
          <w:szCs w:val="32"/>
        </w:rPr>
        <w:t>排放量</w:t>
      </w:r>
      <w:r>
        <w:rPr>
          <w:rFonts w:ascii="仿宋_GB2312" w:eastAsia="仿宋_GB2312"/>
          <w:sz w:val="32"/>
          <w:szCs w:val="32"/>
        </w:rPr>
        <w:t>下降幅度</w:t>
      </w:r>
      <w:r>
        <w:rPr>
          <w:rFonts w:hint="eastAsia" w:ascii="仿宋_GB2312" w:eastAsia="仿宋_GB2312"/>
          <w:sz w:val="32"/>
          <w:szCs w:val="32"/>
        </w:rPr>
        <w:t>超过2</w:t>
      </w:r>
      <w:r>
        <w:rPr>
          <w:rFonts w:ascii="仿宋_GB2312" w:eastAsia="仿宋_GB2312"/>
          <w:sz w:val="32"/>
          <w:szCs w:val="32"/>
        </w:rPr>
        <w:t>0</w:t>
      </w:r>
      <w:r>
        <w:rPr>
          <w:rFonts w:hint="eastAsia" w:ascii="仿宋_GB2312" w:eastAsia="仿宋_GB2312"/>
          <w:sz w:val="32"/>
          <w:szCs w:val="32"/>
        </w:rPr>
        <w:t>%（含）；对于履约年度二氧化碳排放量1</w:t>
      </w:r>
      <w:r>
        <w:rPr>
          <w:rFonts w:ascii="仿宋_GB2312" w:eastAsia="仿宋_GB2312"/>
          <w:sz w:val="32"/>
          <w:szCs w:val="32"/>
        </w:rPr>
        <w:t>0</w:t>
      </w:r>
      <w:r>
        <w:rPr>
          <w:rFonts w:hint="eastAsia" w:ascii="仿宋_GB2312" w:eastAsia="仿宋_GB2312"/>
          <w:sz w:val="32"/>
          <w:szCs w:val="32"/>
        </w:rPr>
        <w:t>万吨以下的</w:t>
      </w:r>
      <w:r>
        <w:rPr>
          <w:rFonts w:ascii="仿宋_GB2312" w:eastAsia="仿宋_GB2312"/>
          <w:sz w:val="32"/>
          <w:szCs w:val="32"/>
        </w:rPr>
        <w:t>重点碳排放单位</w:t>
      </w:r>
      <w:r>
        <w:rPr>
          <w:rFonts w:hint="eastAsia" w:ascii="仿宋_GB2312" w:eastAsia="仿宋_GB2312"/>
          <w:sz w:val="32"/>
          <w:szCs w:val="32"/>
        </w:rPr>
        <w:t>，</w:t>
      </w:r>
      <w:r>
        <w:rPr>
          <w:rFonts w:ascii="仿宋_GB2312" w:eastAsia="仿宋_GB2312"/>
          <w:sz w:val="32"/>
          <w:szCs w:val="32"/>
        </w:rPr>
        <w:t>如果</w:t>
      </w:r>
      <w:r>
        <w:rPr>
          <w:rFonts w:hint="eastAsia" w:ascii="仿宋_GB2312" w:eastAsia="仿宋_GB2312"/>
          <w:sz w:val="32"/>
          <w:szCs w:val="32"/>
        </w:rPr>
        <w:t>履约</w:t>
      </w:r>
      <w:r>
        <w:rPr>
          <w:rFonts w:ascii="仿宋_GB2312" w:eastAsia="仿宋_GB2312"/>
          <w:sz w:val="32"/>
          <w:szCs w:val="32"/>
        </w:rPr>
        <w:t>年度排放量相对于历史基准年</w:t>
      </w:r>
      <w:r>
        <w:rPr>
          <w:rFonts w:hint="eastAsia" w:ascii="仿宋_GB2312" w:eastAsia="仿宋_GB2312"/>
          <w:sz w:val="32"/>
          <w:szCs w:val="32"/>
        </w:rPr>
        <w:t>排放量</w:t>
      </w:r>
      <w:r>
        <w:rPr>
          <w:rFonts w:ascii="仿宋_GB2312" w:eastAsia="仿宋_GB2312"/>
          <w:sz w:val="32"/>
          <w:szCs w:val="32"/>
        </w:rPr>
        <w:t>下降幅度</w:t>
      </w:r>
      <w:r>
        <w:rPr>
          <w:rFonts w:hint="eastAsia" w:ascii="仿宋_GB2312" w:eastAsia="仿宋_GB2312"/>
          <w:sz w:val="32"/>
          <w:szCs w:val="32"/>
        </w:rPr>
        <w:t>超过</w:t>
      </w:r>
      <w:r>
        <w:rPr>
          <w:rFonts w:ascii="仿宋_GB2312" w:eastAsia="仿宋_GB2312"/>
          <w:sz w:val="32"/>
          <w:szCs w:val="32"/>
        </w:rPr>
        <w:t>30</w:t>
      </w:r>
      <w:r>
        <w:rPr>
          <w:rFonts w:hint="eastAsia" w:ascii="仿宋_GB2312" w:eastAsia="仿宋_GB2312"/>
          <w:sz w:val="32"/>
          <w:szCs w:val="32"/>
        </w:rPr>
        <w:t>%（含）</w:t>
      </w:r>
      <w:r>
        <w:rPr>
          <w:rFonts w:hint="eastAsia" w:ascii="仿宋_GB2312" w:hAnsi="仿宋" w:eastAsia="仿宋_GB2312"/>
          <w:sz w:val="32"/>
          <w:szCs w:val="32"/>
        </w:rPr>
        <w:t>；</w:t>
      </w:r>
    </w:p>
    <w:p w14:paraId="51E9B903">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hint="eastAsia" w:ascii="仿宋_GB2312" w:hAnsi="仿宋" w:eastAsia="仿宋_GB2312"/>
          <w:sz w:val="32"/>
          <w:szCs w:val="32"/>
        </w:rPr>
        <w:t>4.3.3本年度</w:t>
      </w:r>
      <w:r>
        <w:rPr>
          <w:rFonts w:ascii="仿宋_GB2312" w:hAnsi="仿宋" w:eastAsia="仿宋_GB2312"/>
          <w:sz w:val="32"/>
          <w:szCs w:val="32"/>
        </w:rPr>
        <w:t>活动水平</w:t>
      </w:r>
      <w:r>
        <w:rPr>
          <w:rFonts w:hint="eastAsia" w:ascii="仿宋_GB2312" w:hAnsi="仿宋" w:eastAsia="仿宋_GB2312"/>
          <w:sz w:val="32"/>
          <w:szCs w:val="32"/>
        </w:rPr>
        <w:t>波动的原因说明，</w:t>
      </w:r>
      <w:r>
        <w:rPr>
          <w:rFonts w:ascii="仿宋_GB2312" w:hAnsi="仿宋" w:eastAsia="仿宋_GB2312"/>
          <w:sz w:val="32"/>
          <w:szCs w:val="32"/>
        </w:rPr>
        <w:t>包括与基准年和上一年度对比的情况。</w:t>
      </w:r>
    </w:p>
    <w:p w14:paraId="626C86EE">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hint="eastAsia" w:ascii="仿宋_GB2312" w:hAnsi="仿宋" w:eastAsia="仿宋_GB2312"/>
          <w:sz w:val="32"/>
          <w:szCs w:val="32"/>
        </w:rPr>
        <w:t>4.4核算</w:t>
      </w:r>
      <w:r>
        <w:rPr>
          <w:rFonts w:ascii="仿宋_GB2312" w:hAnsi="仿宋" w:eastAsia="仿宋_GB2312"/>
          <w:sz w:val="32"/>
          <w:szCs w:val="32"/>
        </w:rPr>
        <w:t>和报告边界变化（</w:t>
      </w:r>
      <w:r>
        <w:rPr>
          <w:rFonts w:hint="eastAsia" w:ascii="仿宋_GB2312" w:hAnsi="仿宋" w:eastAsia="仿宋_GB2312"/>
          <w:sz w:val="32"/>
          <w:szCs w:val="32"/>
        </w:rPr>
        <w:t>含</w:t>
      </w:r>
      <w:r>
        <w:rPr>
          <w:rFonts w:ascii="仿宋_GB2312" w:hAnsi="仿宋" w:eastAsia="仿宋_GB2312"/>
          <w:sz w:val="32"/>
          <w:szCs w:val="32"/>
        </w:rPr>
        <w:t>设施变化）</w:t>
      </w:r>
      <w:r>
        <w:rPr>
          <w:rFonts w:hint="eastAsia" w:ascii="仿宋_GB2312" w:hAnsi="仿宋" w:eastAsia="仿宋_GB2312"/>
          <w:sz w:val="32"/>
          <w:szCs w:val="32"/>
        </w:rPr>
        <w:t>情况</w:t>
      </w:r>
    </w:p>
    <w:p w14:paraId="7919B8D3">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ascii="仿宋_GB2312" w:hAnsi="仿宋" w:eastAsia="仿宋_GB2312"/>
          <w:sz w:val="32"/>
          <w:szCs w:val="32"/>
        </w:rPr>
        <w:t>4.4.1</w:t>
      </w:r>
      <w:r>
        <w:rPr>
          <w:rFonts w:ascii="Times New Roman" w:hAnsi="Times New Roman" w:eastAsia="仿宋_GB2312"/>
          <w:kern w:val="2"/>
          <w:sz w:val="32"/>
          <w:szCs w:val="32"/>
          <w:lang w:val="en-US"/>
        </w:rPr>
        <w:t>本年度场所边界的变化</w:t>
      </w:r>
      <w:r>
        <w:rPr>
          <w:rFonts w:hint="eastAsia" w:ascii="Times New Roman" w:hAnsi="Times New Roman" w:eastAsia="仿宋_GB2312"/>
          <w:kern w:val="2"/>
          <w:sz w:val="32"/>
          <w:szCs w:val="32"/>
          <w:lang w:val="en-US"/>
        </w:rPr>
        <w:t>，</w:t>
      </w:r>
      <w:r>
        <w:rPr>
          <w:rFonts w:ascii="仿宋_GB2312" w:hAnsi="仿宋" w:eastAsia="仿宋_GB2312"/>
          <w:sz w:val="32"/>
          <w:szCs w:val="32"/>
        </w:rPr>
        <w:t>包括与基准年和上一年度对比的情况</w:t>
      </w:r>
      <w:r>
        <w:rPr>
          <w:rFonts w:hint="eastAsia" w:ascii="仿宋_GB2312" w:hAnsi="仿宋" w:eastAsia="仿宋_GB2312"/>
          <w:sz w:val="32"/>
          <w:szCs w:val="32"/>
        </w:rPr>
        <w:t>；</w:t>
      </w:r>
    </w:p>
    <w:p w14:paraId="66750FA6">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ascii="仿宋_GB2312" w:hAnsi="仿宋" w:eastAsia="仿宋_GB2312"/>
          <w:sz w:val="32"/>
          <w:szCs w:val="32"/>
        </w:rPr>
        <w:t>4.4.2</w:t>
      </w:r>
      <w:r>
        <w:rPr>
          <w:rFonts w:ascii="Times New Roman" w:hAnsi="Times New Roman" w:eastAsia="仿宋"/>
          <w:kern w:val="2"/>
          <w:sz w:val="32"/>
          <w:szCs w:val="32"/>
          <w:lang w:val="en-US"/>
        </w:rPr>
        <w:t>本年度排放设施的变化</w:t>
      </w:r>
      <w:r>
        <w:rPr>
          <w:rFonts w:hint="eastAsia" w:ascii="Times New Roman" w:hAnsi="Times New Roman" w:eastAsia="仿宋"/>
          <w:kern w:val="2"/>
          <w:sz w:val="32"/>
          <w:szCs w:val="32"/>
          <w:lang w:val="en-US"/>
        </w:rPr>
        <w:t>，包括是否</w:t>
      </w:r>
      <w:r>
        <w:rPr>
          <w:rFonts w:ascii="Times New Roman" w:hAnsi="Times New Roman" w:eastAsia="仿宋"/>
          <w:kern w:val="2"/>
          <w:sz w:val="32"/>
          <w:szCs w:val="32"/>
          <w:lang w:val="en-US"/>
        </w:rPr>
        <w:t>符合既有设施调整、</w:t>
      </w:r>
      <w:r>
        <w:rPr>
          <w:rFonts w:hint="eastAsia" w:ascii="Times New Roman" w:hAnsi="Times New Roman" w:eastAsia="仿宋"/>
          <w:kern w:val="2"/>
          <w:sz w:val="32"/>
          <w:szCs w:val="32"/>
          <w:lang w:val="en-US"/>
        </w:rPr>
        <w:t>既有</w:t>
      </w:r>
      <w:r>
        <w:rPr>
          <w:rFonts w:ascii="Times New Roman" w:hAnsi="Times New Roman" w:eastAsia="仿宋"/>
          <w:kern w:val="2"/>
          <w:sz w:val="32"/>
          <w:szCs w:val="32"/>
          <w:lang w:val="en-US"/>
        </w:rPr>
        <w:t>设施退出、新增设施</w:t>
      </w:r>
      <w:r>
        <w:rPr>
          <w:rFonts w:hint="eastAsia" w:ascii="Times New Roman" w:hAnsi="Times New Roman" w:eastAsia="仿宋"/>
          <w:kern w:val="2"/>
          <w:sz w:val="32"/>
          <w:szCs w:val="32"/>
          <w:lang w:val="en-US"/>
        </w:rPr>
        <w:t>、</w:t>
      </w:r>
      <w:r>
        <w:rPr>
          <w:rFonts w:ascii="Times New Roman" w:hAnsi="Times New Roman" w:eastAsia="仿宋"/>
          <w:kern w:val="2"/>
          <w:sz w:val="32"/>
          <w:szCs w:val="32"/>
          <w:lang w:val="en-US"/>
        </w:rPr>
        <w:t>新增替代既有</w:t>
      </w:r>
      <w:r>
        <w:rPr>
          <w:rFonts w:hint="eastAsia" w:ascii="Times New Roman" w:hAnsi="Times New Roman" w:eastAsia="仿宋"/>
          <w:kern w:val="2"/>
          <w:sz w:val="32"/>
          <w:szCs w:val="32"/>
          <w:lang w:val="en-US"/>
        </w:rPr>
        <w:t>设施的</w:t>
      </w:r>
      <w:r>
        <w:rPr>
          <w:rFonts w:ascii="Times New Roman" w:hAnsi="Times New Roman" w:eastAsia="仿宋"/>
          <w:kern w:val="2"/>
          <w:sz w:val="32"/>
          <w:szCs w:val="32"/>
          <w:lang w:val="en-US"/>
        </w:rPr>
        <w:t>活动水平和排放量等情况</w:t>
      </w:r>
      <w:r>
        <w:rPr>
          <w:rFonts w:hint="eastAsia" w:ascii="Times New Roman" w:hAnsi="Times New Roman" w:eastAsia="仿宋"/>
          <w:kern w:val="2"/>
          <w:sz w:val="32"/>
          <w:szCs w:val="32"/>
          <w:lang w:val="en-US"/>
        </w:rPr>
        <w:t>。</w:t>
      </w:r>
    </w:p>
    <w:p w14:paraId="1532D6A1">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hint="eastAsia" w:ascii="仿宋_GB2312" w:hAnsi="仿宋" w:eastAsia="仿宋_GB2312"/>
          <w:sz w:val="32"/>
          <w:szCs w:val="32"/>
        </w:rPr>
        <w:t>4.5核查过程未覆盖到的问题的描述。</w:t>
      </w:r>
    </w:p>
    <w:p w14:paraId="266BFD0D">
      <w:pPr>
        <w:spacing w:after="0" w:line="560" w:lineRule="exact"/>
        <w:ind w:firstLine="549" w:firstLineChars="171"/>
        <w:outlineLvl w:val="0"/>
        <w:rPr>
          <w:rFonts w:ascii="仿宋_GB2312" w:hAnsi="仿宋" w:eastAsia="仿宋_GB2312"/>
          <w:b/>
          <w:sz w:val="32"/>
          <w:szCs w:val="32"/>
        </w:rPr>
      </w:pPr>
      <w:r>
        <w:rPr>
          <w:rFonts w:hint="eastAsia" w:ascii="仿宋_GB2312" w:hAnsi="仿宋" w:eastAsia="仿宋_GB2312"/>
          <w:b/>
          <w:sz w:val="32"/>
          <w:szCs w:val="32"/>
        </w:rPr>
        <w:t>5. 附件</w:t>
      </w:r>
    </w:p>
    <w:p w14:paraId="4AC714A4">
      <w:pPr>
        <w:spacing w:after="0" w:line="560" w:lineRule="exact"/>
        <w:ind w:firstLine="549" w:firstLineChars="171"/>
        <w:rPr>
          <w:rFonts w:ascii="仿宋_GB2312" w:hAnsi="仿宋" w:eastAsia="仿宋_GB2312"/>
          <w:b/>
          <w:sz w:val="32"/>
          <w:szCs w:val="32"/>
        </w:rPr>
      </w:pPr>
      <w:r>
        <w:rPr>
          <w:rFonts w:hint="eastAsia" w:ascii="仿宋_GB2312" w:hAnsi="仿宋" w:eastAsia="仿宋_GB2312"/>
          <w:b/>
          <w:sz w:val="32"/>
          <w:szCs w:val="32"/>
        </w:rPr>
        <w:t>附件1：不符合清单</w:t>
      </w:r>
    </w:p>
    <w:p w14:paraId="2986BA06">
      <w:pPr>
        <w:spacing w:after="0" w:line="560" w:lineRule="exact"/>
        <w:ind w:firstLine="564"/>
        <w:jc w:val="both"/>
        <w:rPr>
          <w:rFonts w:ascii="仿宋_GB2312" w:hAnsi="仿宋" w:eastAsia="仿宋_GB2312"/>
          <w:sz w:val="32"/>
          <w:szCs w:val="32"/>
        </w:rPr>
      </w:pPr>
      <w:r>
        <w:rPr>
          <w:rFonts w:hint="eastAsia" w:ascii="仿宋_GB2312" w:hAnsi="仿宋" w:eastAsia="仿宋_GB2312"/>
          <w:sz w:val="32"/>
          <w:szCs w:val="32"/>
        </w:rPr>
        <w:t>核查机构应采用如下格式，详细报告在核查过程中开具的不符合，以及重点碳排放单位对不符合的原因分析、纠正及纠正措施以及最终的核查结论。</w:t>
      </w:r>
    </w:p>
    <w:p w14:paraId="1A696A65">
      <w:pPr>
        <w:spacing w:after="0" w:line="560" w:lineRule="exact"/>
        <w:ind w:firstLine="564"/>
        <w:rPr>
          <w:rFonts w:ascii="仿宋_GB2312" w:hAnsi="仿宋" w:eastAsia="仿宋_GB2312"/>
          <w:sz w:val="32"/>
          <w:szCs w:val="32"/>
        </w:rPr>
      </w:pPr>
    </w:p>
    <w:p w14:paraId="63A948D4">
      <w:pPr>
        <w:spacing w:after="0" w:line="560" w:lineRule="exact"/>
        <w:ind w:firstLine="564"/>
        <w:rPr>
          <w:rFonts w:ascii="仿宋_GB2312" w:hAnsi="仿宋" w:eastAsia="仿宋_GB2312"/>
          <w:sz w:val="32"/>
          <w:szCs w:val="32"/>
        </w:rPr>
      </w:pPr>
    </w:p>
    <w:tbl>
      <w:tblPr>
        <w:tblStyle w:val="3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1189"/>
        <w:gridCol w:w="2739"/>
        <w:gridCol w:w="3119"/>
        <w:gridCol w:w="1559"/>
      </w:tblGrid>
      <w:tr w14:paraId="6F635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14:paraId="392DB4D5">
            <w:pPr>
              <w:spacing w:after="0" w:line="560" w:lineRule="exact"/>
              <w:jc w:val="center"/>
              <w:rPr>
                <w:rFonts w:ascii="仿宋_GB2312" w:hAnsi="仿宋" w:eastAsia="仿宋_GB2312" w:cs="宋体"/>
                <w:b/>
                <w:bCs/>
                <w:sz w:val="28"/>
                <w:szCs w:val="28"/>
              </w:rPr>
            </w:pPr>
            <w:r>
              <w:rPr>
                <w:rFonts w:hint="eastAsia" w:ascii="仿宋_GB2312" w:hAnsi="仿宋" w:eastAsia="仿宋_GB2312" w:cs="宋体"/>
                <w:b/>
                <w:bCs/>
                <w:sz w:val="28"/>
                <w:szCs w:val="28"/>
              </w:rPr>
              <w:t>序号</w:t>
            </w:r>
          </w:p>
        </w:tc>
        <w:tc>
          <w:tcPr>
            <w:tcW w:w="1189" w:type="dxa"/>
          </w:tcPr>
          <w:p w14:paraId="7FD81E1F">
            <w:pPr>
              <w:spacing w:after="0" w:line="560" w:lineRule="exact"/>
              <w:jc w:val="center"/>
              <w:rPr>
                <w:rFonts w:ascii="仿宋_GB2312" w:hAnsi="仿宋" w:eastAsia="仿宋_GB2312" w:cs="宋体"/>
                <w:b/>
                <w:bCs/>
                <w:sz w:val="28"/>
                <w:szCs w:val="28"/>
              </w:rPr>
            </w:pPr>
            <w:r>
              <w:rPr>
                <w:rFonts w:hint="eastAsia" w:ascii="仿宋_GB2312" w:hAnsi="仿宋" w:eastAsia="仿宋_GB2312" w:cs="宋体"/>
                <w:b/>
                <w:bCs/>
                <w:sz w:val="28"/>
                <w:szCs w:val="28"/>
              </w:rPr>
              <w:t>不符合描述</w:t>
            </w:r>
          </w:p>
        </w:tc>
        <w:tc>
          <w:tcPr>
            <w:tcW w:w="2739" w:type="dxa"/>
          </w:tcPr>
          <w:p w14:paraId="49316AF6">
            <w:pPr>
              <w:spacing w:after="0" w:line="560" w:lineRule="exact"/>
              <w:jc w:val="center"/>
              <w:rPr>
                <w:rFonts w:ascii="仿宋_GB2312" w:hAnsi="仿宋" w:eastAsia="仿宋_GB2312" w:cs="宋体"/>
                <w:b/>
                <w:bCs/>
                <w:sz w:val="28"/>
                <w:szCs w:val="28"/>
              </w:rPr>
            </w:pPr>
            <w:r>
              <w:rPr>
                <w:rFonts w:hint="eastAsia" w:ascii="仿宋_GB2312" w:hAnsi="仿宋" w:eastAsia="仿宋_GB2312" w:cs="宋体"/>
                <w:b/>
                <w:bCs/>
                <w:sz w:val="28"/>
                <w:szCs w:val="28"/>
              </w:rPr>
              <w:t>重点碳排放单位原因分析</w:t>
            </w:r>
          </w:p>
        </w:tc>
        <w:tc>
          <w:tcPr>
            <w:tcW w:w="3119" w:type="dxa"/>
          </w:tcPr>
          <w:p w14:paraId="3BDB3B01">
            <w:pPr>
              <w:spacing w:after="0" w:line="560" w:lineRule="exact"/>
              <w:jc w:val="center"/>
              <w:rPr>
                <w:rFonts w:ascii="仿宋_GB2312" w:hAnsi="仿宋" w:eastAsia="仿宋_GB2312" w:cs="宋体"/>
                <w:b/>
                <w:bCs/>
                <w:sz w:val="28"/>
                <w:szCs w:val="28"/>
              </w:rPr>
            </w:pPr>
            <w:r>
              <w:rPr>
                <w:rFonts w:hint="eastAsia" w:ascii="仿宋_GB2312" w:hAnsi="仿宋" w:eastAsia="仿宋_GB2312" w:cs="宋体"/>
                <w:b/>
                <w:bCs/>
                <w:sz w:val="28"/>
                <w:szCs w:val="28"/>
              </w:rPr>
              <w:t>重点碳排放单位采取的纠正及纠正措施</w:t>
            </w:r>
          </w:p>
        </w:tc>
        <w:tc>
          <w:tcPr>
            <w:tcW w:w="1559" w:type="dxa"/>
          </w:tcPr>
          <w:p w14:paraId="0DB1483E">
            <w:pPr>
              <w:spacing w:after="0" w:line="560" w:lineRule="exact"/>
              <w:jc w:val="center"/>
              <w:rPr>
                <w:rFonts w:ascii="仿宋_GB2312" w:hAnsi="仿宋" w:eastAsia="仿宋_GB2312" w:cs="宋体"/>
                <w:b/>
                <w:bCs/>
                <w:sz w:val="28"/>
                <w:szCs w:val="28"/>
              </w:rPr>
            </w:pPr>
            <w:r>
              <w:rPr>
                <w:rFonts w:hint="eastAsia" w:ascii="仿宋_GB2312" w:hAnsi="仿宋" w:eastAsia="仿宋_GB2312" w:cs="宋体"/>
                <w:b/>
                <w:bCs/>
                <w:sz w:val="28"/>
                <w:szCs w:val="28"/>
              </w:rPr>
              <w:t>核查结论</w:t>
            </w:r>
          </w:p>
        </w:tc>
      </w:tr>
      <w:tr w14:paraId="738E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14:paraId="2FCBEDC3">
            <w:pPr>
              <w:spacing w:after="0" w:line="560" w:lineRule="exact"/>
              <w:rPr>
                <w:rFonts w:ascii="仿宋_GB2312" w:hAnsi="仿宋" w:eastAsia="仿宋_GB2312"/>
                <w:sz w:val="32"/>
                <w:szCs w:val="32"/>
              </w:rPr>
            </w:pPr>
            <w:r>
              <w:rPr>
                <w:rFonts w:hint="eastAsia" w:ascii="仿宋_GB2312" w:hAnsi="仿宋" w:eastAsia="仿宋_GB2312"/>
                <w:sz w:val="32"/>
                <w:szCs w:val="32"/>
              </w:rPr>
              <w:t>NC1</w:t>
            </w:r>
          </w:p>
        </w:tc>
        <w:tc>
          <w:tcPr>
            <w:tcW w:w="1189" w:type="dxa"/>
          </w:tcPr>
          <w:p w14:paraId="17738908">
            <w:pPr>
              <w:spacing w:after="0" w:line="560" w:lineRule="exact"/>
              <w:rPr>
                <w:rFonts w:ascii="仿宋_GB2312" w:hAnsi="仿宋" w:eastAsia="仿宋_GB2312"/>
                <w:sz w:val="32"/>
                <w:szCs w:val="32"/>
              </w:rPr>
            </w:pPr>
          </w:p>
        </w:tc>
        <w:tc>
          <w:tcPr>
            <w:tcW w:w="2739" w:type="dxa"/>
          </w:tcPr>
          <w:p w14:paraId="0E8BB923">
            <w:pPr>
              <w:spacing w:after="0" w:line="560" w:lineRule="exact"/>
              <w:rPr>
                <w:rFonts w:ascii="仿宋_GB2312" w:hAnsi="仿宋" w:eastAsia="仿宋_GB2312"/>
                <w:sz w:val="32"/>
                <w:szCs w:val="32"/>
              </w:rPr>
            </w:pPr>
          </w:p>
        </w:tc>
        <w:tc>
          <w:tcPr>
            <w:tcW w:w="3119" w:type="dxa"/>
          </w:tcPr>
          <w:p w14:paraId="650544AE">
            <w:pPr>
              <w:spacing w:after="0" w:line="560" w:lineRule="exact"/>
              <w:rPr>
                <w:rFonts w:ascii="仿宋_GB2312" w:hAnsi="仿宋" w:eastAsia="仿宋_GB2312"/>
                <w:sz w:val="32"/>
                <w:szCs w:val="32"/>
              </w:rPr>
            </w:pPr>
          </w:p>
        </w:tc>
        <w:tc>
          <w:tcPr>
            <w:tcW w:w="1559" w:type="dxa"/>
          </w:tcPr>
          <w:p w14:paraId="7F6F17B9">
            <w:pPr>
              <w:spacing w:after="0" w:line="560" w:lineRule="exact"/>
              <w:rPr>
                <w:rFonts w:ascii="仿宋_GB2312" w:hAnsi="仿宋" w:eastAsia="仿宋_GB2312"/>
                <w:sz w:val="32"/>
                <w:szCs w:val="32"/>
              </w:rPr>
            </w:pPr>
          </w:p>
        </w:tc>
      </w:tr>
      <w:tr w14:paraId="35F38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14:paraId="2EE57B16">
            <w:pPr>
              <w:spacing w:after="0" w:line="560" w:lineRule="exact"/>
              <w:rPr>
                <w:rFonts w:ascii="仿宋_GB2312" w:hAnsi="仿宋" w:eastAsia="仿宋_GB2312"/>
                <w:sz w:val="32"/>
                <w:szCs w:val="32"/>
              </w:rPr>
            </w:pPr>
            <w:r>
              <w:rPr>
                <w:rFonts w:hint="eastAsia" w:ascii="仿宋_GB2312" w:hAnsi="仿宋" w:eastAsia="仿宋_GB2312"/>
                <w:sz w:val="32"/>
                <w:szCs w:val="32"/>
              </w:rPr>
              <w:t>NC2</w:t>
            </w:r>
          </w:p>
        </w:tc>
        <w:tc>
          <w:tcPr>
            <w:tcW w:w="1189" w:type="dxa"/>
          </w:tcPr>
          <w:p w14:paraId="4061BBEF">
            <w:pPr>
              <w:spacing w:after="0" w:line="560" w:lineRule="exact"/>
              <w:rPr>
                <w:rFonts w:ascii="仿宋_GB2312" w:hAnsi="仿宋" w:eastAsia="仿宋_GB2312"/>
                <w:sz w:val="32"/>
                <w:szCs w:val="32"/>
              </w:rPr>
            </w:pPr>
          </w:p>
        </w:tc>
        <w:tc>
          <w:tcPr>
            <w:tcW w:w="2739" w:type="dxa"/>
          </w:tcPr>
          <w:p w14:paraId="695E5BE3">
            <w:pPr>
              <w:spacing w:after="0" w:line="560" w:lineRule="exact"/>
              <w:rPr>
                <w:rFonts w:ascii="仿宋_GB2312" w:hAnsi="仿宋" w:eastAsia="仿宋_GB2312"/>
                <w:sz w:val="32"/>
                <w:szCs w:val="32"/>
              </w:rPr>
            </w:pPr>
          </w:p>
        </w:tc>
        <w:tc>
          <w:tcPr>
            <w:tcW w:w="3119" w:type="dxa"/>
          </w:tcPr>
          <w:p w14:paraId="0393396E">
            <w:pPr>
              <w:spacing w:after="0" w:line="560" w:lineRule="exact"/>
              <w:rPr>
                <w:rFonts w:ascii="仿宋_GB2312" w:hAnsi="仿宋" w:eastAsia="仿宋_GB2312"/>
                <w:sz w:val="32"/>
                <w:szCs w:val="32"/>
              </w:rPr>
            </w:pPr>
          </w:p>
        </w:tc>
        <w:tc>
          <w:tcPr>
            <w:tcW w:w="1559" w:type="dxa"/>
          </w:tcPr>
          <w:p w14:paraId="3A178616">
            <w:pPr>
              <w:spacing w:after="0" w:line="560" w:lineRule="exact"/>
              <w:rPr>
                <w:rFonts w:ascii="仿宋_GB2312" w:hAnsi="仿宋" w:eastAsia="仿宋_GB2312"/>
                <w:sz w:val="32"/>
                <w:szCs w:val="32"/>
              </w:rPr>
            </w:pPr>
          </w:p>
        </w:tc>
      </w:tr>
      <w:tr w14:paraId="277D6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14:paraId="1187374C">
            <w:pPr>
              <w:spacing w:after="0" w:line="560" w:lineRule="exact"/>
              <w:rPr>
                <w:rFonts w:ascii="仿宋_GB2312" w:hAnsi="仿宋" w:eastAsia="仿宋_GB2312"/>
                <w:sz w:val="32"/>
                <w:szCs w:val="32"/>
              </w:rPr>
            </w:pPr>
            <w:r>
              <w:rPr>
                <w:rFonts w:hint="eastAsia" w:ascii="仿宋_GB2312" w:hAnsi="仿宋" w:eastAsia="仿宋_GB2312"/>
                <w:sz w:val="32"/>
                <w:szCs w:val="32"/>
              </w:rPr>
              <w:t>……</w:t>
            </w:r>
          </w:p>
        </w:tc>
        <w:tc>
          <w:tcPr>
            <w:tcW w:w="1189" w:type="dxa"/>
          </w:tcPr>
          <w:p w14:paraId="4DEA22BE">
            <w:pPr>
              <w:spacing w:after="0" w:line="560" w:lineRule="exact"/>
              <w:rPr>
                <w:rFonts w:ascii="仿宋_GB2312" w:hAnsi="仿宋" w:eastAsia="仿宋_GB2312"/>
                <w:sz w:val="32"/>
                <w:szCs w:val="32"/>
              </w:rPr>
            </w:pPr>
          </w:p>
        </w:tc>
        <w:tc>
          <w:tcPr>
            <w:tcW w:w="2739" w:type="dxa"/>
          </w:tcPr>
          <w:p w14:paraId="445AEE4D">
            <w:pPr>
              <w:spacing w:after="0" w:line="560" w:lineRule="exact"/>
              <w:rPr>
                <w:rFonts w:ascii="仿宋_GB2312" w:hAnsi="仿宋" w:eastAsia="仿宋_GB2312"/>
                <w:sz w:val="32"/>
                <w:szCs w:val="32"/>
              </w:rPr>
            </w:pPr>
          </w:p>
        </w:tc>
        <w:tc>
          <w:tcPr>
            <w:tcW w:w="3119" w:type="dxa"/>
          </w:tcPr>
          <w:p w14:paraId="2D4C6BEF">
            <w:pPr>
              <w:spacing w:after="0" w:line="560" w:lineRule="exact"/>
              <w:rPr>
                <w:rFonts w:ascii="仿宋_GB2312" w:hAnsi="仿宋" w:eastAsia="仿宋_GB2312"/>
                <w:sz w:val="32"/>
                <w:szCs w:val="32"/>
              </w:rPr>
            </w:pPr>
          </w:p>
        </w:tc>
        <w:tc>
          <w:tcPr>
            <w:tcW w:w="1559" w:type="dxa"/>
          </w:tcPr>
          <w:p w14:paraId="2EB2A9A7">
            <w:pPr>
              <w:spacing w:after="0" w:line="560" w:lineRule="exact"/>
              <w:rPr>
                <w:rFonts w:ascii="仿宋_GB2312" w:hAnsi="仿宋" w:eastAsia="仿宋_GB2312"/>
                <w:sz w:val="32"/>
                <w:szCs w:val="32"/>
              </w:rPr>
            </w:pPr>
          </w:p>
        </w:tc>
      </w:tr>
    </w:tbl>
    <w:p w14:paraId="439CF042">
      <w:pPr>
        <w:spacing w:after="0" w:line="560" w:lineRule="exact"/>
        <w:rPr>
          <w:rFonts w:ascii="仿宋_GB2312" w:hAnsi="仿宋" w:eastAsia="仿宋_GB2312"/>
          <w:sz w:val="32"/>
          <w:szCs w:val="32"/>
        </w:rPr>
      </w:pPr>
    </w:p>
    <w:p w14:paraId="0B684B0E">
      <w:pPr>
        <w:spacing w:after="0" w:line="560" w:lineRule="exact"/>
        <w:ind w:firstLine="630" w:firstLineChars="196"/>
        <w:rPr>
          <w:rFonts w:ascii="仿宋_GB2312" w:hAnsi="仿宋" w:eastAsia="仿宋_GB2312"/>
          <w:b/>
          <w:sz w:val="32"/>
          <w:szCs w:val="32"/>
        </w:rPr>
      </w:pPr>
      <w:r>
        <w:rPr>
          <w:rFonts w:hint="eastAsia" w:ascii="仿宋_GB2312" w:hAnsi="仿宋" w:eastAsia="仿宋_GB2312"/>
          <w:b/>
          <w:sz w:val="32"/>
          <w:szCs w:val="32"/>
        </w:rPr>
        <w:t>附件2：对今后数据核算活动的建议</w:t>
      </w:r>
    </w:p>
    <w:p w14:paraId="0EE2B640">
      <w:pPr>
        <w:spacing w:after="0" w:line="560" w:lineRule="exact"/>
        <w:ind w:firstLine="564"/>
        <w:jc w:val="both"/>
        <w:rPr>
          <w:rFonts w:ascii="仿宋_GB2312" w:hAnsi="仿宋" w:eastAsia="仿宋_GB2312"/>
          <w:sz w:val="32"/>
          <w:szCs w:val="32"/>
        </w:rPr>
      </w:pPr>
      <w:r>
        <w:rPr>
          <w:rFonts w:hint="eastAsia" w:ascii="仿宋_GB2312" w:hAnsi="仿宋" w:eastAsia="仿宋_GB2312"/>
          <w:sz w:val="32"/>
          <w:szCs w:val="32"/>
        </w:rPr>
        <w:t>核查机构应在核查报告中对重点碳排放单位那些虽然不违反适用的地方标准或核算和报告指南但是将来有可能出现误报告或不符合的情况提出建议。</w:t>
      </w:r>
    </w:p>
    <w:p w14:paraId="69C0398F">
      <w:pPr>
        <w:spacing w:after="0" w:line="560" w:lineRule="exact"/>
        <w:ind w:firstLine="630" w:firstLineChars="196"/>
        <w:jc w:val="both"/>
        <w:outlineLvl w:val="0"/>
        <w:rPr>
          <w:rFonts w:ascii="楷体_GB2312" w:hAnsi="黑体" w:eastAsia="楷体_GB2312"/>
          <w:b/>
          <w:sz w:val="32"/>
          <w:szCs w:val="32"/>
        </w:rPr>
      </w:pPr>
      <w:r>
        <w:rPr>
          <w:rFonts w:hint="eastAsia" w:ascii="楷体_GB2312" w:hAnsi="黑体" w:eastAsia="楷体_GB2312"/>
          <w:b/>
          <w:sz w:val="32"/>
          <w:szCs w:val="32"/>
        </w:rPr>
        <w:t>（五）参考文件</w:t>
      </w:r>
    </w:p>
    <w:p w14:paraId="07411FF7">
      <w:pPr>
        <w:spacing w:after="0" w:line="560" w:lineRule="exact"/>
        <w:ind w:firstLine="645"/>
        <w:jc w:val="both"/>
        <w:rPr>
          <w:rFonts w:ascii="仿宋_GB2312" w:hAnsi="仿宋" w:eastAsia="仿宋_GB2312"/>
          <w:sz w:val="32"/>
          <w:szCs w:val="32"/>
        </w:rPr>
      </w:pPr>
      <w:r>
        <w:rPr>
          <w:rFonts w:hint="eastAsia" w:ascii="仿宋_GB2312" w:hAnsi="仿宋" w:eastAsia="仿宋_GB2312"/>
          <w:sz w:val="32"/>
          <w:szCs w:val="32"/>
        </w:rPr>
        <w:t>核查机构应在核查报告中列出参考文献及核查过程的支持性文件的清单。</w:t>
      </w:r>
    </w:p>
    <w:p w14:paraId="0F56F300">
      <w:pPr>
        <w:spacing w:after="0" w:line="560" w:lineRule="exact"/>
        <w:ind w:firstLine="645"/>
        <w:jc w:val="both"/>
        <w:rPr>
          <w:rFonts w:ascii="仿宋_GB2312" w:hAnsi="仿宋" w:eastAsia="仿宋_GB2312"/>
          <w:sz w:val="32"/>
          <w:szCs w:val="32"/>
        </w:rPr>
      </w:pPr>
    </w:p>
    <w:p w14:paraId="4DFF1FF0">
      <w:pPr>
        <w:spacing w:after="0" w:line="560" w:lineRule="exact"/>
        <w:ind w:firstLine="645"/>
        <w:jc w:val="both"/>
        <w:rPr>
          <w:rFonts w:ascii="仿宋_GB2312" w:hAnsi="仿宋" w:eastAsia="仿宋_GB2312"/>
          <w:bCs/>
          <w:sz w:val="32"/>
          <w:szCs w:val="32"/>
        </w:rPr>
      </w:pPr>
      <w:r>
        <w:rPr>
          <w:rFonts w:hint="eastAsia" w:ascii="仿宋_GB2312" w:hAnsi="仿宋" w:eastAsia="仿宋_GB2312"/>
          <w:sz w:val="32"/>
          <w:szCs w:val="32"/>
        </w:rPr>
        <w:t>附件</w:t>
      </w:r>
      <w:r>
        <w:rPr>
          <w:rFonts w:ascii="仿宋_GB2312" w:hAnsi="仿宋" w:eastAsia="仿宋_GB2312"/>
          <w:sz w:val="32"/>
          <w:szCs w:val="32"/>
        </w:rPr>
        <w:t>：</w:t>
      </w:r>
      <w:r>
        <w:rPr>
          <w:rFonts w:hint="eastAsia" w:ascii="仿宋_GB2312" w:hAnsi="仿宋" w:eastAsia="仿宋_GB2312"/>
          <w:sz w:val="32"/>
          <w:szCs w:val="32"/>
        </w:rPr>
        <w:t>1.</w:t>
      </w:r>
      <w:r>
        <w:rPr>
          <w:rFonts w:hint="eastAsia" w:ascii="仿宋_GB2312" w:hAnsi="仿宋" w:eastAsia="仿宋_GB2312"/>
          <w:bCs/>
          <w:sz w:val="32"/>
          <w:szCs w:val="32"/>
        </w:rPr>
        <w:t>核查报告基本格式</w:t>
      </w:r>
    </w:p>
    <w:p w14:paraId="5F2CFC6F">
      <w:pPr>
        <w:spacing w:after="0" w:line="560" w:lineRule="exact"/>
        <w:ind w:right="850"/>
        <w:rPr>
          <w:rFonts w:ascii="仿宋_GB2312" w:hAnsi="仿宋" w:eastAsia="仿宋_GB2312" w:cs="Arial"/>
          <w:caps/>
          <w:sz w:val="32"/>
          <w:szCs w:val="32"/>
        </w:rPr>
      </w:pPr>
      <w:r>
        <w:rPr>
          <w:rFonts w:ascii="仿宋_GB2312" w:hAnsi="仿宋" w:eastAsia="仿宋_GB2312"/>
          <w:sz w:val="32"/>
          <w:szCs w:val="32"/>
        </w:rPr>
        <w:t xml:space="preserve">          2.</w:t>
      </w:r>
      <w:r>
        <w:rPr>
          <w:rFonts w:hint="eastAsia" w:ascii="仿宋_GB2312" w:hAnsi="仿宋" w:eastAsia="仿宋_GB2312" w:cs="Arial"/>
          <w:caps/>
          <w:sz w:val="32"/>
          <w:szCs w:val="32"/>
        </w:rPr>
        <w:t>扉页核查结论模板</w:t>
      </w:r>
    </w:p>
    <w:p w14:paraId="705D6A2F">
      <w:pPr>
        <w:spacing w:after="0" w:line="560" w:lineRule="exact"/>
        <w:ind w:firstLine="645"/>
        <w:jc w:val="both"/>
        <w:rPr>
          <w:rFonts w:ascii="仿宋_GB2312" w:hAnsi="仿宋" w:eastAsia="仿宋_GB2312"/>
          <w:sz w:val="32"/>
          <w:szCs w:val="32"/>
        </w:rPr>
      </w:pPr>
    </w:p>
    <w:p w14:paraId="5B84E284">
      <w:pPr>
        <w:pStyle w:val="150"/>
        <w:spacing w:after="0" w:line="560" w:lineRule="exact"/>
        <w:ind w:left="0"/>
        <w:rPr>
          <w:rFonts w:ascii="黑体" w:hAnsi="黑体" w:eastAsia="黑体"/>
          <w:sz w:val="32"/>
          <w:szCs w:val="32"/>
        </w:rPr>
      </w:pPr>
      <w:r>
        <w:rPr>
          <w:rFonts w:hint="eastAsia" w:ascii="仿宋_GB2312" w:hAnsi="仿宋" w:eastAsia="仿宋_GB2312"/>
          <w:sz w:val="32"/>
          <w:szCs w:val="32"/>
        </w:rPr>
        <w:br w:type="page"/>
      </w:r>
      <w:r>
        <w:rPr>
          <w:rFonts w:hint="eastAsia" w:ascii="黑体" w:hAnsi="黑体" w:eastAsia="黑体"/>
          <w:sz w:val="32"/>
          <w:szCs w:val="32"/>
        </w:rPr>
        <w:t>附件1</w:t>
      </w:r>
    </w:p>
    <w:p w14:paraId="29C4D3C1">
      <w:pPr>
        <w:spacing w:after="0" w:line="560" w:lineRule="exact"/>
        <w:ind w:right="850"/>
        <w:jc w:val="center"/>
        <w:rPr>
          <w:rFonts w:cs="Arial" w:asciiTheme="majorEastAsia" w:hAnsiTheme="majorEastAsia" w:eastAsiaTheme="majorEastAsia"/>
          <w:b/>
          <w:caps/>
          <w:sz w:val="44"/>
          <w:szCs w:val="44"/>
        </w:rPr>
      </w:pPr>
      <w:r>
        <w:rPr>
          <w:rFonts w:hint="eastAsia" w:cs="Arial" w:asciiTheme="majorEastAsia" w:hAnsiTheme="majorEastAsia" w:eastAsiaTheme="majorEastAsia"/>
          <w:b/>
          <w:caps/>
          <w:sz w:val="44"/>
          <w:szCs w:val="44"/>
        </w:rPr>
        <w:t>核查报告基本格式</w:t>
      </w:r>
    </w:p>
    <w:p w14:paraId="6E653754">
      <w:pPr>
        <w:spacing w:after="0" w:line="560" w:lineRule="exact"/>
        <w:rPr>
          <w:rFonts w:ascii="仿宋_GB2312" w:hAnsi="仿宋" w:eastAsia="仿宋_GB2312" w:cs="宋体"/>
          <w:sz w:val="32"/>
          <w:szCs w:val="32"/>
        </w:rPr>
      </w:pPr>
    </w:p>
    <w:p w14:paraId="7040F41F">
      <w:pPr>
        <w:spacing w:after="0" w:line="560" w:lineRule="exact"/>
        <w:rPr>
          <w:rFonts w:ascii="仿宋_GB2312" w:hAnsi="仿宋" w:eastAsia="仿宋_GB2312" w:cs="宋体"/>
          <w:b/>
          <w:bCs/>
          <w:sz w:val="32"/>
          <w:szCs w:val="32"/>
        </w:rPr>
      </w:pPr>
      <w:r>
        <w:rPr>
          <w:rFonts w:hint="eastAsia" w:ascii="仿宋_GB2312" w:hAnsi="仿宋" w:eastAsia="仿宋_GB2312" w:cs="宋体"/>
          <w:b/>
          <w:bCs/>
          <w:sz w:val="32"/>
          <w:szCs w:val="32"/>
        </w:rPr>
        <w:t xml:space="preserve">第一部分  报告封面 </w:t>
      </w:r>
    </w:p>
    <w:p w14:paraId="5E6538B6">
      <w:pPr>
        <w:spacing w:after="0" w:line="560" w:lineRule="exact"/>
        <w:rPr>
          <w:rFonts w:ascii="仿宋_GB2312" w:hAnsi="宋体" w:eastAsia="仿宋_GB2312" w:cs="宋体"/>
          <w:sz w:val="32"/>
          <w:szCs w:val="32"/>
        </w:rPr>
      </w:pPr>
    </w:p>
    <w:p w14:paraId="52824964">
      <w:pPr>
        <w:spacing w:after="0" w:line="560" w:lineRule="exact"/>
        <w:rPr>
          <w:rFonts w:ascii="仿宋_GB2312" w:hAnsi="宋体" w:eastAsia="仿宋_GB2312" w:cs="宋体"/>
          <w:sz w:val="32"/>
          <w:szCs w:val="32"/>
        </w:rPr>
      </w:pPr>
    </w:p>
    <w:p w14:paraId="47A93425">
      <w:pPr>
        <w:spacing w:after="0" w:line="560" w:lineRule="exact"/>
        <w:rPr>
          <w:rFonts w:ascii="仿宋_GB2312" w:hAnsi="宋体" w:eastAsia="仿宋_GB2312" w:cs="宋体"/>
          <w:sz w:val="32"/>
          <w:szCs w:val="32"/>
        </w:rPr>
      </w:pPr>
    </w:p>
    <w:p w14:paraId="4C290B40">
      <w:pPr>
        <w:spacing w:after="0" w:line="560" w:lineRule="exact"/>
        <w:jc w:val="center"/>
        <w:rPr>
          <w:rFonts w:ascii="仿宋_GB2312" w:hAnsi="仿宋" w:eastAsia="仿宋_GB2312" w:cs="宋体"/>
          <w:sz w:val="32"/>
          <w:szCs w:val="32"/>
        </w:rPr>
      </w:pPr>
      <w:r>
        <w:rPr>
          <w:rFonts w:hint="eastAsia" w:ascii="仿宋_GB2312" w:hAnsi="仿宋" w:eastAsia="仿宋_GB2312" w:cs="宋体"/>
          <w:sz w:val="32"/>
          <w:szCs w:val="32"/>
        </w:rPr>
        <w:t>**** (重点碳排放单位名称)</w:t>
      </w:r>
    </w:p>
    <w:p w14:paraId="39EC33B2">
      <w:pPr>
        <w:spacing w:after="0" w:line="560" w:lineRule="exact"/>
        <w:jc w:val="center"/>
        <w:rPr>
          <w:rFonts w:ascii="仿宋_GB2312" w:hAnsi="仿宋" w:eastAsia="仿宋_GB2312" w:cs="宋体"/>
          <w:sz w:val="32"/>
          <w:szCs w:val="32"/>
        </w:rPr>
      </w:pPr>
      <w:r>
        <w:rPr>
          <w:rFonts w:hint="eastAsia" w:ascii="仿宋_GB2312" w:hAnsi="仿宋" w:eastAsia="仿宋_GB2312" w:cs="宋体"/>
          <w:sz w:val="32"/>
          <w:szCs w:val="32"/>
        </w:rPr>
        <w:t>****年度</w:t>
      </w:r>
    </w:p>
    <w:p w14:paraId="41D3D9B1">
      <w:pPr>
        <w:spacing w:after="0" w:line="560" w:lineRule="exact"/>
        <w:jc w:val="center"/>
        <w:rPr>
          <w:rFonts w:ascii="仿宋_GB2312" w:hAnsi="仿宋" w:eastAsia="仿宋_GB2312" w:cs="宋体"/>
          <w:sz w:val="32"/>
          <w:szCs w:val="32"/>
        </w:rPr>
      </w:pPr>
      <w:r>
        <w:rPr>
          <w:rFonts w:hint="eastAsia" w:ascii="仿宋_GB2312" w:hAnsi="仿宋" w:eastAsia="仿宋_GB2312" w:cs="宋体"/>
          <w:sz w:val="32"/>
          <w:szCs w:val="32"/>
        </w:rPr>
        <w:t>二氧化碳排放核查报告</w:t>
      </w:r>
    </w:p>
    <w:p w14:paraId="6C76CCC9">
      <w:pPr>
        <w:spacing w:after="0" w:line="560" w:lineRule="exact"/>
        <w:rPr>
          <w:rFonts w:ascii="仿宋_GB2312" w:hAnsi="仿宋" w:eastAsia="仿宋_GB2312" w:cs="宋体"/>
          <w:sz w:val="32"/>
          <w:szCs w:val="32"/>
        </w:rPr>
      </w:pPr>
    </w:p>
    <w:p w14:paraId="7200B37E">
      <w:pPr>
        <w:spacing w:after="0" w:line="560" w:lineRule="exact"/>
        <w:rPr>
          <w:rFonts w:ascii="仿宋_GB2312" w:hAnsi="仿宋" w:eastAsia="仿宋_GB2312" w:cs="宋体"/>
          <w:sz w:val="32"/>
          <w:szCs w:val="32"/>
        </w:rPr>
      </w:pPr>
    </w:p>
    <w:p w14:paraId="76A3B66F">
      <w:pPr>
        <w:spacing w:after="0" w:line="560" w:lineRule="exact"/>
        <w:rPr>
          <w:rFonts w:ascii="仿宋_GB2312" w:hAnsi="仿宋" w:eastAsia="仿宋_GB2312" w:cs="宋体"/>
          <w:sz w:val="32"/>
          <w:szCs w:val="32"/>
        </w:rPr>
      </w:pPr>
    </w:p>
    <w:p w14:paraId="43B91A80">
      <w:pPr>
        <w:spacing w:after="0" w:line="560" w:lineRule="exact"/>
        <w:rPr>
          <w:rFonts w:ascii="仿宋_GB2312" w:hAnsi="仿宋" w:eastAsia="仿宋_GB2312" w:cs="宋体"/>
          <w:sz w:val="32"/>
          <w:szCs w:val="32"/>
        </w:rPr>
      </w:pPr>
    </w:p>
    <w:p w14:paraId="63D27B74">
      <w:pPr>
        <w:spacing w:after="0" w:line="560" w:lineRule="exact"/>
        <w:rPr>
          <w:rFonts w:ascii="仿宋_GB2312" w:hAnsi="仿宋" w:eastAsia="仿宋_GB2312" w:cs="宋体"/>
          <w:sz w:val="32"/>
          <w:szCs w:val="32"/>
        </w:rPr>
      </w:pPr>
    </w:p>
    <w:p w14:paraId="20891FAD">
      <w:pPr>
        <w:spacing w:after="0" w:line="560" w:lineRule="exact"/>
        <w:rPr>
          <w:rFonts w:ascii="仿宋_GB2312" w:hAnsi="仿宋" w:eastAsia="仿宋_GB2312" w:cs="宋体"/>
          <w:sz w:val="32"/>
          <w:szCs w:val="32"/>
        </w:rPr>
      </w:pPr>
    </w:p>
    <w:p w14:paraId="2938BCF9">
      <w:pPr>
        <w:spacing w:after="0" w:line="560" w:lineRule="exact"/>
        <w:rPr>
          <w:rFonts w:ascii="仿宋_GB2312" w:hAnsi="仿宋" w:eastAsia="仿宋_GB2312" w:cs="宋体"/>
          <w:sz w:val="32"/>
          <w:szCs w:val="32"/>
        </w:rPr>
      </w:pPr>
    </w:p>
    <w:p w14:paraId="1F38BABC">
      <w:pPr>
        <w:spacing w:after="0" w:line="560" w:lineRule="exact"/>
        <w:rPr>
          <w:rFonts w:ascii="仿宋_GB2312" w:hAnsi="仿宋" w:eastAsia="仿宋_GB2312" w:cs="宋体"/>
          <w:sz w:val="32"/>
          <w:szCs w:val="32"/>
          <w:u w:val="single"/>
        </w:rPr>
      </w:pPr>
      <w:r>
        <w:rPr>
          <w:rFonts w:hint="eastAsia" w:ascii="仿宋_GB2312" w:hAnsi="仿宋" w:eastAsia="仿宋_GB2312" w:cs="宋体"/>
          <w:sz w:val="32"/>
          <w:szCs w:val="32"/>
        </w:rPr>
        <w:t xml:space="preserve">    核查机构名称（公章）：</w:t>
      </w:r>
    </w:p>
    <w:p w14:paraId="193257BE">
      <w:pPr>
        <w:spacing w:after="0" w:line="560" w:lineRule="exact"/>
        <w:ind w:firstLine="567"/>
        <w:rPr>
          <w:rFonts w:ascii="仿宋_GB2312" w:hAnsi="仿宋" w:eastAsia="仿宋_GB2312" w:cs="宋体"/>
          <w:b/>
          <w:bCs/>
          <w:sz w:val="32"/>
          <w:szCs w:val="32"/>
        </w:rPr>
      </w:pPr>
      <w:r>
        <w:rPr>
          <w:rFonts w:hint="eastAsia" w:ascii="仿宋_GB2312" w:hAnsi="仿宋" w:eastAsia="仿宋_GB2312" w:cs="宋体"/>
          <w:sz w:val="32"/>
          <w:szCs w:val="32"/>
        </w:rPr>
        <w:t>报告日期:</w:t>
      </w:r>
      <w:r>
        <w:rPr>
          <w:rFonts w:hint="eastAsia" w:ascii="仿宋_GB2312" w:hAnsi="仿宋" w:eastAsia="仿宋_GB2312" w:cs="宋体"/>
          <w:sz w:val="32"/>
          <w:szCs w:val="32"/>
        </w:rPr>
        <w:br w:type="page"/>
      </w:r>
      <w:r>
        <w:rPr>
          <w:rFonts w:hint="eastAsia" w:ascii="仿宋_GB2312" w:hAnsi="仿宋" w:eastAsia="仿宋_GB2312" w:cs="宋体"/>
          <w:b/>
          <w:bCs/>
          <w:sz w:val="32"/>
          <w:szCs w:val="32"/>
        </w:rPr>
        <w:t>第二部分  报告扉页</w:t>
      </w:r>
    </w:p>
    <w:tbl>
      <w:tblPr>
        <w:tblStyle w:val="35"/>
        <w:tblW w:w="9498" w:type="dxa"/>
        <w:tblInd w:w="-176" w:type="dxa"/>
        <w:tblLayout w:type="fixed"/>
        <w:tblCellMar>
          <w:top w:w="0" w:type="dxa"/>
          <w:left w:w="108" w:type="dxa"/>
          <w:bottom w:w="0" w:type="dxa"/>
          <w:right w:w="108" w:type="dxa"/>
        </w:tblCellMar>
      </w:tblPr>
      <w:tblGrid>
        <w:gridCol w:w="1844"/>
        <w:gridCol w:w="409"/>
        <w:gridCol w:w="1639"/>
        <w:gridCol w:w="78"/>
        <w:gridCol w:w="850"/>
        <w:gridCol w:w="15"/>
        <w:gridCol w:w="2112"/>
        <w:gridCol w:w="47"/>
        <w:gridCol w:w="236"/>
        <w:gridCol w:w="709"/>
        <w:gridCol w:w="1559"/>
      </w:tblGrid>
      <w:tr w14:paraId="61D2463B">
        <w:tblPrEx>
          <w:tblCellMar>
            <w:top w:w="0" w:type="dxa"/>
            <w:left w:w="108" w:type="dxa"/>
            <w:bottom w:w="0" w:type="dxa"/>
            <w:right w:w="108" w:type="dxa"/>
          </w:tblCellMar>
        </w:tblPrEx>
        <w:tc>
          <w:tcPr>
            <w:tcW w:w="2253" w:type="dxa"/>
            <w:gridSpan w:val="2"/>
            <w:tcBorders>
              <w:top w:val="single" w:color="000000" w:sz="4" w:space="0"/>
              <w:left w:val="single" w:color="000000" w:sz="4" w:space="0"/>
              <w:bottom w:val="single" w:color="000000" w:sz="4" w:space="0"/>
              <w:right w:val="single" w:color="000000" w:sz="4" w:space="0"/>
            </w:tcBorders>
            <w:vAlign w:val="center"/>
          </w:tcPr>
          <w:p w14:paraId="5909F2B2">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委托方名称</w:t>
            </w:r>
          </w:p>
        </w:tc>
        <w:tc>
          <w:tcPr>
            <w:tcW w:w="2582" w:type="dxa"/>
            <w:gridSpan w:val="4"/>
            <w:tcBorders>
              <w:top w:val="single" w:color="000000" w:sz="4" w:space="0"/>
              <w:left w:val="nil"/>
              <w:bottom w:val="single" w:color="000000" w:sz="4" w:space="0"/>
              <w:right w:val="single" w:color="000000" w:sz="4" w:space="0"/>
            </w:tcBorders>
            <w:vAlign w:val="center"/>
          </w:tcPr>
          <w:p w14:paraId="5C938616">
            <w:pPr>
              <w:spacing w:after="0" w:line="360" w:lineRule="auto"/>
              <w:rPr>
                <w:rFonts w:ascii="仿宋_GB2312" w:hAnsi="仿宋" w:eastAsia="仿宋_GB2312" w:cs="宋体"/>
                <w:bCs/>
                <w:sz w:val="24"/>
                <w:szCs w:val="24"/>
              </w:rPr>
            </w:pPr>
          </w:p>
        </w:tc>
        <w:tc>
          <w:tcPr>
            <w:tcW w:w="2395" w:type="dxa"/>
            <w:gridSpan w:val="3"/>
            <w:tcBorders>
              <w:top w:val="single" w:color="000000" w:sz="4" w:space="0"/>
              <w:left w:val="nil"/>
              <w:bottom w:val="single" w:color="000000" w:sz="4" w:space="0"/>
              <w:right w:val="single" w:color="000000" w:sz="4" w:space="0"/>
            </w:tcBorders>
            <w:vAlign w:val="center"/>
          </w:tcPr>
          <w:p w14:paraId="640375DA">
            <w:pPr>
              <w:spacing w:after="0" w:line="360" w:lineRule="auto"/>
              <w:rPr>
                <w:rFonts w:ascii="仿宋_GB2312" w:hAnsi="仿宋" w:eastAsia="仿宋_GB2312" w:cs="宋体"/>
                <w:sz w:val="24"/>
                <w:szCs w:val="24"/>
              </w:rPr>
            </w:pPr>
            <w:r>
              <w:rPr>
                <w:rFonts w:hint="eastAsia" w:ascii="仿宋_GB2312" w:hAnsi="仿宋" w:eastAsia="仿宋_GB2312"/>
                <w:sz w:val="24"/>
                <w:szCs w:val="24"/>
              </w:rPr>
              <w:t>地址</w:t>
            </w:r>
          </w:p>
        </w:tc>
        <w:tc>
          <w:tcPr>
            <w:tcW w:w="2268" w:type="dxa"/>
            <w:gridSpan w:val="2"/>
            <w:tcBorders>
              <w:top w:val="single" w:color="000000" w:sz="4" w:space="0"/>
              <w:left w:val="nil"/>
              <w:bottom w:val="single" w:color="000000" w:sz="4" w:space="0"/>
              <w:right w:val="single" w:color="000000" w:sz="4" w:space="0"/>
            </w:tcBorders>
            <w:vAlign w:val="center"/>
          </w:tcPr>
          <w:p w14:paraId="16558C07">
            <w:pPr>
              <w:spacing w:after="0" w:line="360" w:lineRule="auto"/>
              <w:rPr>
                <w:rFonts w:ascii="仿宋_GB2312" w:hAnsi="仿宋" w:eastAsia="仿宋_GB2312"/>
                <w:bCs/>
                <w:sz w:val="24"/>
                <w:szCs w:val="24"/>
              </w:rPr>
            </w:pPr>
          </w:p>
        </w:tc>
      </w:tr>
      <w:tr w14:paraId="31BD695E">
        <w:tblPrEx>
          <w:tblCellMar>
            <w:top w:w="0" w:type="dxa"/>
            <w:left w:w="108" w:type="dxa"/>
            <w:bottom w:w="0" w:type="dxa"/>
            <w:right w:w="108" w:type="dxa"/>
          </w:tblCellMar>
        </w:tblPrEx>
        <w:trPr>
          <w:trHeight w:val="336" w:hRule="atLeast"/>
        </w:trPr>
        <w:tc>
          <w:tcPr>
            <w:tcW w:w="2253" w:type="dxa"/>
            <w:gridSpan w:val="2"/>
            <w:tcBorders>
              <w:top w:val="single" w:color="000000" w:sz="4" w:space="0"/>
              <w:left w:val="single" w:color="000000" w:sz="4" w:space="0"/>
              <w:bottom w:val="single" w:color="000000" w:sz="4" w:space="0"/>
              <w:right w:val="single" w:color="000000" w:sz="4" w:space="0"/>
            </w:tcBorders>
            <w:vAlign w:val="center"/>
          </w:tcPr>
          <w:p w14:paraId="3B5813A3">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联系人</w:t>
            </w:r>
          </w:p>
        </w:tc>
        <w:tc>
          <w:tcPr>
            <w:tcW w:w="2582" w:type="dxa"/>
            <w:gridSpan w:val="4"/>
            <w:tcBorders>
              <w:top w:val="single" w:color="000000" w:sz="4" w:space="0"/>
              <w:left w:val="nil"/>
              <w:bottom w:val="single" w:color="000000" w:sz="4" w:space="0"/>
              <w:right w:val="single" w:color="000000" w:sz="4" w:space="0"/>
            </w:tcBorders>
            <w:vAlign w:val="center"/>
          </w:tcPr>
          <w:p w14:paraId="39B031F1">
            <w:pPr>
              <w:spacing w:after="0" w:line="360" w:lineRule="auto"/>
              <w:rPr>
                <w:rFonts w:ascii="仿宋_GB2312" w:hAnsi="仿宋" w:eastAsia="仿宋_GB2312" w:cs="宋体"/>
                <w:bCs/>
                <w:sz w:val="24"/>
                <w:szCs w:val="24"/>
              </w:rPr>
            </w:pPr>
          </w:p>
        </w:tc>
        <w:tc>
          <w:tcPr>
            <w:tcW w:w="2395" w:type="dxa"/>
            <w:gridSpan w:val="3"/>
            <w:tcBorders>
              <w:top w:val="single" w:color="000000" w:sz="4" w:space="0"/>
              <w:left w:val="nil"/>
              <w:bottom w:val="single" w:color="000000" w:sz="4" w:space="0"/>
              <w:right w:val="single" w:color="000000" w:sz="4" w:space="0"/>
            </w:tcBorders>
            <w:vAlign w:val="center"/>
          </w:tcPr>
          <w:p w14:paraId="7585E517">
            <w:pPr>
              <w:spacing w:after="0" w:line="360" w:lineRule="auto"/>
              <w:rPr>
                <w:rFonts w:ascii="仿宋_GB2312" w:hAnsi="仿宋" w:eastAsia="仿宋_GB2312" w:cs="宋体"/>
                <w:sz w:val="24"/>
                <w:szCs w:val="24"/>
              </w:rPr>
            </w:pPr>
            <w:r>
              <w:rPr>
                <w:rFonts w:hint="eastAsia" w:ascii="仿宋_GB2312" w:hAnsi="仿宋" w:eastAsia="仿宋_GB2312"/>
                <w:sz w:val="24"/>
                <w:szCs w:val="24"/>
              </w:rPr>
              <w:t>联系方式（电话、</w:t>
            </w:r>
            <w:r>
              <w:rPr>
                <w:rFonts w:ascii="仿宋_GB2312" w:hAnsi="仿宋" w:eastAsia="仿宋_GB2312"/>
                <w:sz w:val="24"/>
                <w:szCs w:val="24"/>
              </w:rPr>
              <w:t>email）</w:t>
            </w:r>
          </w:p>
        </w:tc>
        <w:tc>
          <w:tcPr>
            <w:tcW w:w="2268" w:type="dxa"/>
            <w:gridSpan w:val="2"/>
            <w:tcBorders>
              <w:top w:val="single" w:color="000000" w:sz="4" w:space="0"/>
              <w:left w:val="nil"/>
              <w:bottom w:val="single" w:color="000000" w:sz="4" w:space="0"/>
              <w:right w:val="single" w:color="000000" w:sz="4" w:space="0"/>
            </w:tcBorders>
            <w:vAlign w:val="center"/>
          </w:tcPr>
          <w:p w14:paraId="5166574D">
            <w:pPr>
              <w:spacing w:after="0" w:line="360" w:lineRule="auto"/>
              <w:jc w:val="center"/>
              <w:rPr>
                <w:rFonts w:ascii="仿宋_GB2312" w:hAnsi="仿宋" w:eastAsia="仿宋_GB2312"/>
                <w:bCs/>
                <w:sz w:val="24"/>
                <w:szCs w:val="24"/>
              </w:rPr>
            </w:pPr>
          </w:p>
        </w:tc>
      </w:tr>
      <w:tr w14:paraId="49B46BF7">
        <w:tblPrEx>
          <w:tblCellMar>
            <w:top w:w="0" w:type="dxa"/>
            <w:left w:w="108" w:type="dxa"/>
            <w:bottom w:w="0" w:type="dxa"/>
            <w:right w:w="108" w:type="dxa"/>
          </w:tblCellMar>
        </w:tblPrEx>
        <w:tc>
          <w:tcPr>
            <w:tcW w:w="2253" w:type="dxa"/>
            <w:gridSpan w:val="2"/>
            <w:tcBorders>
              <w:top w:val="single" w:color="000000" w:sz="4" w:space="0"/>
              <w:left w:val="single" w:color="000000" w:sz="4" w:space="0"/>
              <w:bottom w:val="single" w:color="000000" w:sz="4" w:space="0"/>
              <w:right w:val="single" w:color="000000" w:sz="4" w:space="0"/>
            </w:tcBorders>
            <w:vAlign w:val="center"/>
          </w:tcPr>
          <w:p w14:paraId="08CC23DD">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核查机构名称</w:t>
            </w:r>
          </w:p>
        </w:tc>
        <w:tc>
          <w:tcPr>
            <w:tcW w:w="2582" w:type="dxa"/>
            <w:gridSpan w:val="4"/>
            <w:tcBorders>
              <w:top w:val="single" w:color="000000" w:sz="4" w:space="0"/>
              <w:left w:val="nil"/>
              <w:bottom w:val="single" w:color="000000" w:sz="4" w:space="0"/>
              <w:right w:val="single" w:color="000000" w:sz="4" w:space="0"/>
            </w:tcBorders>
            <w:vAlign w:val="center"/>
          </w:tcPr>
          <w:p w14:paraId="16E3BFA8">
            <w:pPr>
              <w:spacing w:after="0" w:line="360" w:lineRule="auto"/>
              <w:rPr>
                <w:rFonts w:ascii="仿宋_GB2312" w:hAnsi="仿宋" w:eastAsia="仿宋_GB2312" w:cs="宋体"/>
                <w:bCs/>
                <w:sz w:val="24"/>
                <w:szCs w:val="24"/>
              </w:rPr>
            </w:pPr>
          </w:p>
        </w:tc>
        <w:tc>
          <w:tcPr>
            <w:tcW w:w="2395" w:type="dxa"/>
            <w:gridSpan w:val="3"/>
            <w:tcBorders>
              <w:top w:val="single" w:color="000000" w:sz="4" w:space="0"/>
              <w:left w:val="nil"/>
              <w:bottom w:val="single" w:color="000000" w:sz="4" w:space="0"/>
              <w:right w:val="single" w:color="000000" w:sz="4" w:space="0"/>
            </w:tcBorders>
            <w:vAlign w:val="center"/>
          </w:tcPr>
          <w:p w14:paraId="4C2D6BB6">
            <w:pPr>
              <w:spacing w:after="0" w:line="360" w:lineRule="auto"/>
              <w:rPr>
                <w:rFonts w:ascii="仿宋_GB2312" w:hAnsi="仿宋" w:eastAsia="仿宋_GB2312" w:cs="宋体"/>
                <w:sz w:val="24"/>
                <w:szCs w:val="24"/>
              </w:rPr>
            </w:pPr>
            <w:r>
              <w:rPr>
                <w:rFonts w:hint="eastAsia" w:ascii="仿宋_GB2312" w:hAnsi="仿宋" w:eastAsia="仿宋_GB2312"/>
                <w:sz w:val="24"/>
                <w:szCs w:val="24"/>
              </w:rPr>
              <w:t>地址</w:t>
            </w:r>
          </w:p>
        </w:tc>
        <w:tc>
          <w:tcPr>
            <w:tcW w:w="2268" w:type="dxa"/>
            <w:gridSpan w:val="2"/>
            <w:tcBorders>
              <w:top w:val="single" w:color="000000" w:sz="4" w:space="0"/>
              <w:left w:val="nil"/>
              <w:bottom w:val="single" w:color="000000" w:sz="4" w:space="0"/>
              <w:right w:val="single" w:color="000000" w:sz="4" w:space="0"/>
            </w:tcBorders>
            <w:vAlign w:val="center"/>
          </w:tcPr>
          <w:p w14:paraId="03C1A2A0">
            <w:pPr>
              <w:spacing w:after="0" w:line="360" w:lineRule="auto"/>
              <w:rPr>
                <w:rFonts w:ascii="仿宋_GB2312" w:hAnsi="仿宋" w:eastAsia="仿宋_GB2312"/>
                <w:bCs/>
                <w:sz w:val="24"/>
                <w:szCs w:val="24"/>
              </w:rPr>
            </w:pPr>
          </w:p>
        </w:tc>
      </w:tr>
      <w:tr w14:paraId="6A88B352">
        <w:tblPrEx>
          <w:tblCellMar>
            <w:top w:w="0" w:type="dxa"/>
            <w:left w:w="108" w:type="dxa"/>
            <w:bottom w:w="0" w:type="dxa"/>
            <w:right w:w="108" w:type="dxa"/>
          </w:tblCellMar>
        </w:tblPrEx>
        <w:trPr>
          <w:trHeight w:val="318" w:hRule="atLeast"/>
        </w:trPr>
        <w:tc>
          <w:tcPr>
            <w:tcW w:w="2253" w:type="dxa"/>
            <w:gridSpan w:val="2"/>
            <w:tcBorders>
              <w:top w:val="single" w:color="000000" w:sz="4" w:space="0"/>
              <w:left w:val="single" w:color="000000" w:sz="4" w:space="0"/>
              <w:bottom w:val="single" w:color="000000" w:sz="4" w:space="0"/>
              <w:right w:val="single" w:color="000000" w:sz="4" w:space="0"/>
            </w:tcBorders>
            <w:vAlign w:val="center"/>
          </w:tcPr>
          <w:p w14:paraId="605657D9">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联系人</w:t>
            </w:r>
          </w:p>
        </w:tc>
        <w:tc>
          <w:tcPr>
            <w:tcW w:w="2582" w:type="dxa"/>
            <w:gridSpan w:val="4"/>
            <w:tcBorders>
              <w:top w:val="single" w:color="000000" w:sz="4" w:space="0"/>
              <w:left w:val="nil"/>
              <w:bottom w:val="single" w:color="000000" w:sz="4" w:space="0"/>
              <w:right w:val="single" w:color="000000" w:sz="4" w:space="0"/>
            </w:tcBorders>
            <w:vAlign w:val="center"/>
          </w:tcPr>
          <w:p w14:paraId="2BB37BC4">
            <w:pPr>
              <w:spacing w:after="0" w:line="360" w:lineRule="auto"/>
              <w:rPr>
                <w:rFonts w:ascii="仿宋_GB2312" w:hAnsi="仿宋" w:eastAsia="仿宋_GB2312" w:cs="宋体"/>
                <w:bCs/>
                <w:sz w:val="24"/>
                <w:szCs w:val="24"/>
              </w:rPr>
            </w:pPr>
          </w:p>
        </w:tc>
        <w:tc>
          <w:tcPr>
            <w:tcW w:w="2395" w:type="dxa"/>
            <w:gridSpan w:val="3"/>
            <w:tcBorders>
              <w:top w:val="single" w:color="000000" w:sz="4" w:space="0"/>
              <w:left w:val="nil"/>
              <w:bottom w:val="single" w:color="000000" w:sz="4" w:space="0"/>
              <w:right w:val="single" w:color="000000" w:sz="4" w:space="0"/>
            </w:tcBorders>
            <w:vAlign w:val="center"/>
          </w:tcPr>
          <w:p w14:paraId="5498679A">
            <w:pPr>
              <w:spacing w:after="0" w:line="360" w:lineRule="auto"/>
              <w:rPr>
                <w:rFonts w:ascii="仿宋_GB2312" w:hAnsi="仿宋" w:eastAsia="仿宋_GB2312" w:cs="宋体"/>
                <w:sz w:val="24"/>
                <w:szCs w:val="24"/>
              </w:rPr>
            </w:pPr>
            <w:r>
              <w:rPr>
                <w:rFonts w:hint="eastAsia" w:ascii="仿宋_GB2312" w:hAnsi="仿宋" w:eastAsia="仿宋_GB2312"/>
                <w:sz w:val="24"/>
                <w:szCs w:val="24"/>
              </w:rPr>
              <w:t>联系方式（电话、</w:t>
            </w:r>
            <w:r>
              <w:rPr>
                <w:rFonts w:ascii="仿宋_GB2312" w:hAnsi="仿宋" w:eastAsia="仿宋_GB2312"/>
                <w:sz w:val="24"/>
                <w:szCs w:val="24"/>
              </w:rPr>
              <w:t>email）</w:t>
            </w:r>
          </w:p>
        </w:tc>
        <w:tc>
          <w:tcPr>
            <w:tcW w:w="2268" w:type="dxa"/>
            <w:gridSpan w:val="2"/>
            <w:tcBorders>
              <w:top w:val="single" w:color="000000" w:sz="4" w:space="0"/>
              <w:left w:val="nil"/>
              <w:bottom w:val="single" w:color="000000" w:sz="4" w:space="0"/>
              <w:right w:val="single" w:color="000000" w:sz="4" w:space="0"/>
            </w:tcBorders>
            <w:vAlign w:val="center"/>
          </w:tcPr>
          <w:p w14:paraId="08D39DDE">
            <w:pPr>
              <w:spacing w:after="0" w:line="360" w:lineRule="auto"/>
              <w:jc w:val="center"/>
              <w:rPr>
                <w:rFonts w:ascii="仿宋_GB2312" w:hAnsi="仿宋" w:eastAsia="仿宋_GB2312"/>
                <w:bCs/>
                <w:sz w:val="24"/>
                <w:szCs w:val="24"/>
              </w:rPr>
            </w:pPr>
          </w:p>
        </w:tc>
      </w:tr>
      <w:tr w14:paraId="4684698F">
        <w:tblPrEx>
          <w:tblCellMar>
            <w:top w:w="0" w:type="dxa"/>
            <w:left w:w="108" w:type="dxa"/>
            <w:bottom w:w="0" w:type="dxa"/>
            <w:right w:w="108" w:type="dxa"/>
          </w:tblCellMar>
        </w:tblPrEx>
        <w:tc>
          <w:tcPr>
            <w:tcW w:w="3970" w:type="dxa"/>
            <w:gridSpan w:val="4"/>
            <w:tcBorders>
              <w:top w:val="single" w:color="000000" w:sz="4" w:space="0"/>
              <w:left w:val="single" w:color="000000" w:sz="4" w:space="0"/>
              <w:bottom w:val="single" w:color="000000" w:sz="4" w:space="0"/>
              <w:right w:val="single" w:color="000000" w:sz="4" w:space="0"/>
            </w:tcBorders>
            <w:vAlign w:val="center"/>
          </w:tcPr>
          <w:p w14:paraId="59A8FE00">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二氧化碳排放报告</w:t>
            </w:r>
            <w:r>
              <w:rPr>
                <w:rFonts w:ascii="仿宋_GB2312" w:hAnsi="仿宋" w:eastAsia="仿宋_GB2312" w:cs="宋体"/>
                <w:sz w:val="24"/>
                <w:szCs w:val="24"/>
              </w:rPr>
              <w:t>(初始)版本/日期</w:t>
            </w:r>
          </w:p>
        </w:tc>
        <w:tc>
          <w:tcPr>
            <w:tcW w:w="5528" w:type="dxa"/>
            <w:gridSpan w:val="7"/>
            <w:tcBorders>
              <w:top w:val="single" w:color="000000" w:sz="4" w:space="0"/>
              <w:left w:val="nil"/>
              <w:bottom w:val="single" w:color="000000" w:sz="4" w:space="0"/>
              <w:right w:val="single" w:color="000000" w:sz="4" w:space="0"/>
            </w:tcBorders>
            <w:vAlign w:val="center"/>
          </w:tcPr>
          <w:p w14:paraId="4216D195">
            <w:pPr>
              <w:spacing w:after="0" w:line="360" w:lineRule="auto"/>
              <w:rPr>
                <w:rFonts w:ascii="仿宋_GB2312" w:hAnsi="仿宋" w:eastAsia="仿宋_GB2312" w:cs="宋体"/>
                <w:bCs/>
                <w:sz w:val="24"/>
                <w:szCs w:val="24"/>
              </w:rPr>
            </w:pPr>
          </w:p>
        </w:tc>
      </w:tr>
      <w:tr w14:paraId="053B2332">
        <w:tblPrEx>
          <w:tblCellMar>
            <w:top w:w="0" w:type="dxa"/>
            <w:left w:w="108" w:type="dxa"/>
            <w:bottom w:w="0" w:type="dxa"/>
            <w:right w:w="108" w:type="dxa"/>
          </w:tblCellMar>
        </w:tblPrEx>
        <w:tc>
          <w:tcPr>
            <w:tcW w:w="3970" w:type="dxa"/>
            <w:gridSpan w:val="4"/>
            <w:tcBorders>
              <w:top w:val="single" w:color="000000" w:sz="4" w:space="0"/>
              <w:left w:val="single" w:color="000000" w:sz="4" w:space="0"/>
              <w:bottom w:val="single" w:color="000000" w:sz="4" w:space="0"/>
              <w:right w:val="single" w:color="000000" w:sz="4" w:space="0"/>
            </w:tcBorders>
            <w:vAlign w:val="center"/>
          </w:tcPr>
          <w:p w14:paraId="4443DD25">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二氧化碳排放报告</w:t>
            </w:r>
            <w:r>
              <w:rPr>
                <w:rFonts w:ascii="仿宋_GB2312" w:hAnsi="仿宋" w:eastAsia="仿宋_GB2312" w:cs="宋体"/>
                <w:sz w:val="24"/>
                <w:szCs w:val="24"/>
              </w:rPr>
              <w:t>(最终)版本/日期</w:t>
            </w:r>
          </w:p>
        </w:tc>
        <w:tc>
          <w:tcPr>
            <w:tcW w:w="5528" w:type="dxa"/>
            <w:gridSpan w:val="7"/>
            <w:tcBorders>
              <w:top w:val="single" w:color="000000" w:sz="4" w:space="0"/>
              <w:left w:val="nil"/>
              <w:bottom w:val="single" w:color="000000" w:sz="4" w:space="0"/>
              <w:right w:val="single" w:color="000000" w:sz="4" w:space="0"/>
            </w:tcBorders>
            <w:vAlign w:val="center"/>
          </w:tcPr>
          <w:p w14:paraId="4D123E9B">
            <w:pPr>
              <w:spacing w:after="0" w:line="360" w:lineRule="auto"/>
              <w:rPr>
                <w:rFonts w:ascii="仿宋_GB2312" w:hAnsi="仿宋" w:eastAsia="仿宋_GB2312" w:cs="宋体"/>
                <w:bCs/>
                <w:sz w:val="24"/>
                <w:szCs w:val="24"/>
              </w:rPr>
            </w:pPr>
          </w:p>
        </w:tc>
      </w:tr>
      <w:tr w14:paraId="685C2C16">
        <w:tblPrEx>
          <w:tblCellMar>
            <w:top w:w="0" w:type="dxa"/>
            <w:left w:w="108" w:type="dxa"/>
            <w:bottom w:w="0" w:type="dxa"/>
            <w:right w:w="108" w:type="dxa"/>
          </w:tblCellMar>
        </w:tblPrEx>
        <w:trPr>
          <w:trHeight w:val="281" w:hRule="atLeast"/>
        </w:trPr>
        <w:tc>
          <w:tcPr>
            <w:tcW w:w="3970" w:type="dxa"/>
            <w:gridSpan w:val="4"/>
            <w:tcBorders>
              <w:top w:val="single" w:color="000000" w:sz="4" w:space="0"/>
              <w:left w:val="single" w:color="000000" w:sz="4" w:space="0"/>
              <w:bottom w:val="single" w:color="000000" w:sz="4" w:space="0"/>
              <w:right w:val="single" w:color="000000" w:sz="4" w:space="0"/>
            </w:tcBorders>
            <w:vAlign w:val="center"/>
          </w:tcPr>
          <w:p w14:paraId="2AB5194C">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二氧化碳排放报告期</w:t>
            </w:r>
          </w:p>
        </w:tc>
        <w:tc>
          <w:tcPr>
            <w:tcW w:w="5528" w:type="dxa"/>
            <w:gridSpan w:val="7"/>
            <w:tcBorders>
              <w:top w:val="single" w:color="000000" w:sz="4" w:space="0"/>
              <w:left w:val="nil"/>
              <w:bottom w:val="single" w:color="000000" w:sz="4" w:space="0"/>
              <w:right w:val="single" w:color="000000" w:sz="4" w:space="0"/>
            </w:tcBorders>
            <w:vAlign w:val="center"/>
          </w:tcPr>
          <w:p w14:paraId="3FD5E9D9">
            <w:pPr>
              <w:spacing w:after="0" w:line="360" w:lineRule="auto"/>
              <w:rPr>
                <w:rFonts w:ascii="仿宋_GB2312" w:hAnsi="仿宋" w:eastAsia="仿宋_GB2312" w:cs="宋体"/>
                <w:bCs/>
                <w:sz w:val="24"/>
                <w:szCs w:val="24"/>
              </w:rPr>
            </w:pPr>
          </w:p>
        </w:tc>
      </w:tr>
      <w:tr w14:paraId="61DDEBFD">
        <w:tblPrEx>
          <w:tblCellMar>
            <w:top w:w="0" w:type="dxa"/>
            <w:left w:w="108" w:type="dxa"/>
            <w:bottom w:w="0" w:type="dxa"/>
            <w:right w:w="108" w:type="dxa"/>
          </w:tblCellMar>
        </w:tblPrEx>
        <w:trPr>
          <w:trHeight w:val="281" w:hRule="atLeast"/>
        </w:trPr>
        <w:tc>
          <w:tcPr>
            <w:tcW w:w="3970" w:type="dxa"/>
            <w:gridSpan w:val="4"/>
            <w:tcBorders>
              <w:top w:val="single" w:color="000000" w:sz="4" w:space="0"/>
              <w:left w:val="single" w:color="000000" w:sz="4" w:space="0"/>
              <w:bottom w:val="single" w:color="000000" w:sz="4" w:space="0"/>
              <w:right w:val="single" w:color="000000" w:sz="4" w:space="0"/>
            </w:tcBorders>
            <w:vAlign w:val="center"/>
          </w:tcPr>
          <w:p w14:paraId="1B344DD9">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二氧化碳排放</w:t>
            </w:r>
            <w:r>
              <w:rPr>
                <w:rFonts w:ascii="仿宋_GB2312" w:hAnsi="仿宋" w:eastAsia="仿宋_GB2312" w:cs="宋体"/>
                <w:sz w:val="24"/>
                <w:szCs w:val="24"/>
              </w:rPr>
              <w:t>报告边界</w:t>
            </w:r>
          </w:p>
        </w:tc>
        <w:tc>
          <w:tcPr>
            <w:tcW w:w="5528" w:type="dxa"/>
            <w:gridSpan w:val="7"/>
            <w:tcBorders>
              <w:top w:val="single" w:color="000000" w:sz="4" w:space="0"/>
              <w:left w:val="nil"/>
              <w:bottom w:val="single" w:color="000000" w:sz="4" w:space="0"/>
              <w:right w:val="single" w:color="000000" w:sz="4" w:space="0"/>
            </w:tcBorders>
            <w:vAlign w:val="center"/>
          </w:tcPr>
          <w:p w14:paraId="34475A6A">
            <w:pPr>
              <w:spacing w:after="0" w:line="360" w:lineRule="auto"/>
              <w:rPr>
                <w:rFonts w:ascii="仿宋_GB2312" w:hAnsi="仿宋" w:eastAsia="仿宋_GB2312" w:cs="宋体"/>
                <w:bCs/>
                <w:sz w:val="24"/>
                <w:szCs w:val="24"/>
              </w:rPr>
            </w:pPr>
          </w:p>
        </w:tc>
      </w:tr>
      <w:tr w14:paraId="43BA254A">
        <w:tblPrEx>
          <w:tblCellMar>
            <w:top w:w="0" w:type="dxa"/>
            <w:left w:w="108" w:type="dxa"/>
            <w:bottom w:w="0" w:type="dxa"/>
            <w:right w:w="108" w:type="dxa"/>
          </w:tblCellMar>
        </w:tblPrEx>
        <w:tc>
          <w:tcPr>
            <w:tcW w:w="3970" w:type="dxa"/>
            <w:gridSpan w:val="4"/>
            <w:tcBorders>
              <w:top w:val="single" w:color="000000" w:sz="4" w:space="0"/>
              <w:left w:val="single" w:color="000000" w:sz="4" w:space="0"/>
              <w:bottom w:val="single" w:color="000000" w:sz="4" w:space="0"/>
              <w:right w:val="single" w:color="000000" w:sz="4" w:space="0"/>
            </w:tcBorders>
            <w:vAlign w:val="center"/>
          </w:tcPr>
          <w:p w14:paraId="2BBB61E7">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经核查后的二氧化碳排放量</w:t>
            </w:r>
          </w:p>
        </w:tc>
        <w:tc>
          <w:tcPr>
            <w:tcW w:w="5528" w:type="dxa"/>
            <w:gridSpan w:val="7"/>
            <w:tcBorders>
              <w:top w:val="single" w:color="000000" w:sz="4" w:space="0"/>
              <w:left w:val="nil"/>
              <w:bottom w:val="single" w:color="000000" w:sz="4" w:space="0"/>
              <w:right w:val="single" w:color="000000" w:sz="4" w:space="0"/>
            </w:tcBorders>
            <w:vAlign w:val="center"/>
          </w:tcPr>
          <w:p w14:paraId="74A4B519">
            <w:pPr>
              <w:spacing w:after="0" w:line="360" w:lineRule="auto"/>
              <w:rPr>
                <w:rFonts w:ascii="仿宋_GB2312" w:hAnsi="仿宋" w:eastAsia="仿宋_GB2312" w:cs="宋体"/>
                <w:bCs/>
                <w:sz w:val="24"/>
                <w:szCs w:val="24"/>
              </w:rPr>
            </w:pPr>
          </w:p>
        </w:tc>
      </w:tr>
      <w:tr w14:paraId="24B31E68">
        <w:tblPrEx>
          <w:tblCellMar>
            <w:top w:w="0" w:type="dxa"/>
            <w:left w:w="108" w:type="dxa"/>
            <w:bottom w:w="0" w:type="dxa"/>
            <w:right w:w="108" w:type="dxa"/>
          </w:tblCellMar>
        </w:tblPrEx>
        <w:tc>
          <w:tcPr>
            <w:tcW w:w="3970" w:type="dxa"/>
            <w:gridSpan w:val="4"/>
            <w:tcBorders>
              <w:top w:val="single" w:color="000000" w:sz="4" w:space="0"/>
              <w:left w:val="single" w:color="000000" w:sz="4" w:space="0"/>
              <w:bottom w:val="single" w:color="000000" w:sz="4" w:space="0"/>
              <w:right w:val="single" w:color="000000" w:sz="4" w:space="0"/>
            </w:tcBorders>
            <w:vAlign w:val="center"/>
          </w:tcPr>
          <w:p w14:paraId="3E74D0B2">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新增设施的排放量及排放强度</w:t>
            </w:r>
          </w:p>
        </w:tc>
        <w:tc>
          <w:tcPr>
            <w:tcW w:w="5528" w:type="dxa"/>
            <w:gridSpan w:val="7"/>
            <w:tcBorders>
              <w:top w:val="single" w:color="000000" w:sz="4" w:space="0"/>
              <w:left w:val="nil"/>
              <w:bottom w:val="single" w:color="000000" w:sz="4" w:space="0"/>
              <w:right w:val="single" w:color="000000" w:sz="4" w:space="0"/>
            </w:tcBorders>
            <w:vAlign w:val="center"/>
          </w:tcPr>
          <w:p w14:paraId="470207C0">
            <w:pPr>
              <w:spacing w:after="0" w:line="360" w:lineRule="auto"/>
              <w:rPr>
                <w:rFonts w:ascii="仿宋_GB2312" w:hAnsi="仿宋" w:eastAsia="仿宋_GB2312" w:cs="宋体"/>
                <w:bCs/>
                <w:sz w:val="24"/>
                <w:szCs w:val="24"/>
              </w:rPr>
            </w:pPr>
          </w:p>
        </w:tc>
      </w:tr>
      <w:tr w14:paraId="2F9367FA">
        <w:tblPrEx>
          <w:tblCellMar>
            <w:top w:w="0" w:type="dxa"/>
            <w:left w:w="108" w:type="dxa"/>
            <w:bottom w:w="0" w:type="dxa"/>
            <w:right w:w="108" w:type="dxa"/>
          </w:tblCellMar>
        </w:tblPrEx>
        <w:tc>
          <w:tcPr>
            <w:tcW w:w="3970" w:type="dxa"/>
            <w:gridSpan w:val="4"/>
            <w:tcBorders>
              <w:top w:val="single" w:color="000000" w:sz="4" w:space="0"/>
              <w:left w:val="single" w:color="000000" w:sz="4" w:space="0"/>
              <w:bottom w:val="single" w:color="000000" w:sz="4" w:space="0"/>
              <w:right w:val="single" w:color="000000" w:sz="4" w:space="0"/>
            </w:tcBorders>
            <w:vAlign w:val="center"/>
          </w:tcPr>
          <w:p w14:paraId="1896A21F">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既有</w:t>
            </w:r>
            <w:r>
              <w:rPr>
                <w:rFonts w:ascii="仿宋_GB2312" w:hAnsi="仿宋" w:eastAsia="仿宋_GB2312" w:cs="宋体"/>
                <w:sz w:val="24"/>
                <w:szCs w:val="24"/>
              </w:rPr>
              <w:t>设施退出的</w:t>
            </w:r>
            <w:r>
              <w:rPr>
                <w:rFonts w:hint="eastAsia" w:ascii="仿宋_GB2312" w:hAnsi="仿宋" w:eastAsia="仿宋_GB2312" w:cs="宋体"/>
                <w:sz w:val="24"/>
                <w:szCs w:val="24"/>
              </w:rPr>
              <w:t>基准年</w:t>
            </w:r>
            <w:r>
              <w:rPr>
                <w:rFonts w:ascii="仿宋_GB2312" w:hAnsi="仿宋" w:eastAsia="仿宋_GB2312" w:cs="宋体"/>
                <w:sz w:val="24"/>
                <w:szCs w:val="24"/>
              </w:rPr>
              <w:t>排放量及</w:t>
            </w:r>
            <w:r>
              <w:rPr>
                <w:rFonts w:hint="eastAsia" w:ascii="仿宋_GB2312" w:hAnsi="仿宋" w:eastAsia="仿宋_GB2312" w:cs="宋体"/>
                <w:sz w:val="24"/>
                <w:szCs w:val="24"/>
              </w:rPr>
              <w:t>排放</w:t>
            </w:r>
            <w:r>
              <w:rPr>
                <w:rFonts w:ascii="仿宋_GB2312" w:hAnsi="仿宋" w:eastAsia="仿宋_GB2312" w:cs="宋体"/>
                <w:sz w:val="24"/>
                <w:szCs w:val="24"/>
              </w:rPr>
              <w:t>强度</w:t>
            </w:r>
          </w:p>
        </w:tc>
        <w:tc>
          <w:tcPr>
            <w:tcW w:w="5528" w:type="dxa"/>
            <w:gridSpan w:val="7"/>
            <w:tcBorders>
              <w:top w:val="single" w:color="000000" w:sz="4" w:space="0"/>
              <w:left w:val="nil"/>
              <w:bottom w:val="single" w:color="000000" w:sz="4" w:space="0"/>
              <w:right w:val="single" w:color="000000" w:sz="4" w:space="0"/>
            </w:tcBorders>
            <w:vAlign w:val="center"/>
          </w:tcPr>
          <w:p w14:paraId="37CCCF28">
            <w:pPr>
              <w:spacing w:after="0" w:line="360" w:lineRule="auto"/>
              <w:rPr>
                <w:rFonts w:ascii="仿宋_GB2312" w:hAnsi="仿宋" w:eastAsia="仿宋_GB2312" w:cs="宋体"/>
                <w:bCs/>
                <w:sz w:val="24"/>
                <w:szCs w:val="24"/>
              </w:rPr>
            </w:pPr>
          </w:p>
        </w:tc>
      </w:tr>
      <w:tr w14:paraId="263468AE">
        <w:tblPrEx>
          <w:tblCellMar>
            <w:top w:w="0" w:type="dxa"/>
            <w:left w:w="108" w:type="dxa"/>
            <w:bottom w:w="0" w:type="dxa"/>
            <w:right w:w="108" w:type="dxa"/>
          </w:tblCellMar>
        </w:tblPrEx>
        <w:tc>
          <w:tcPr>
            <w:tcW w:w="3970" w:type="dxa"/>
            <w:gridSpan w:val="4"/>
            <w:tcBorders>
              <w:top w:val="single" w:color="000000" w:sz="4" w:space="0"/>
              <w:left w:val="single" w:color="000000" w:sz="4" w:space="0"/>
              <w:bottom w:val="single" w:color="000000" w:sz="4" w:space="0"/>
              <w:right w:val="single" w:color="000000" w:sz="4" w:space="0"/>
            </w:tcBorders>
            <w:vAlign w:val="center"/>
          </w:tcPr>
          <w:p w14:paraId="646038CD">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替代既有设施的新增设施排放量</w:t>
            </w:r>
          </w:p>
        </w:tc>
        <w:tc>
          <w:tcPr>
            <w:tcW w:w="5528" w:type="dxa"/>
            <w:gridSpan w:val="7"/>
            <w:tcBorders>
              <w:top w:val="single" w:color="000000" w:sz="4" w:space="0"/>
              <w:left w:val="nil"/>
              <w:bottom w:val="single" w:color="000000" w:sz="4" w:space="0"/>
              <w:right w:val="single" w:color="000000" w:sz="4" w:space="0"/>
            </w:tcBorders>
            <w:vAlign w:val="center"/>
          </w:tcPr>
          <w:p w14:paraId="7C9065F3">
            <w:pPr>
              <w:spacing w:after="0" w:line="360" w:lineRule="auto"/>
              <w:rPr>
                <w:rFonts w:ascii="仿宋_GB2312" w:hAnsi="仿宋" w:eastAsia="仿宋_GB2312" w:cs="宋体"/>
                <w:bCs/>
                <w:sz w:val="24"/>
                <w:szCs w:val="24"/>
              </w:rPr>
            </w:pPr>
          </w:p>
        </w:tc>
      </w:tr>
      <w:tr w14:paraId="14485F57">
        <w:tblPrEx>
          <w:tblCellMar>
            <w:top w:w="0" w:type="dxa"/>
            <w:left w:w="108" w:type="dxa"/>
            <w:bottom w:w="0" w:type="dxa"/>
            <w:right w:w="108" w:type="dxa"/>
          </w:tblCellMar>
        </w:tblPrEx>
        <w:tc>
          <w:tcPr>
            <w:tcW w:w="3970" w:type="dxa"/>
            <w:gridSpan w:val="4"/>
            <w:tcBorders>
              <w:top w:val="single" w:color="000000" w:sz="4" w:space="0"/>
              <w:left w:val="single" w:color="000000" w:sz="4" w:space="0"/>
              <w:bottom w:val="single" w:color="000000" w:sz="4" w:space="0"/>
              <w:right w:val="single" w:color="000000" w:sz="4" w:space="0"/>
            </w:tcBorders>
            <w:vAlign w:val="center"/>
          </w:tcPr>
          <w:p w14:paraId="415E33CC">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重点碳排放单位所属行业领域</w:t>
            </w:r>
          </w:p>
        </w:tc>
        <w:tc>
          <w:tcPr>
            <w:tcW w:w="5528" w:type="dxa"/>
            <w:gridSpan w:val="7"/>
            <w:tcBorders>
              <w:top w:val="single" w:color="000000" w:sz="4" w:space="0"/>
              <w:left w:val="nil"/>
              <w:bottom w:val="single" w:color="000000" w:sz="4" w:space="0"/>
              <w:right w:val="single" w:color="000000" w:sz="4" w:space="0"/>
            </w:tcBorders>
            <w:vAlign w:val="center"/>
          </w:tcPr>
          <w:p w14:paraId="57768B6E">
            <w:pPr>
              <w:spacing w:after="0" w:line="360" w:lineRule="auto"/>
              <w:rPr>
                <w:rFonts w:ascii="仿宋_GB2312" w:hAnsi="仿宋" w:eastAsia="仿宋_GB2312" w:cs="宋体"/>
                <w:bCs/>
                <w:sz w:val="24"/>
                <w:szCs w:val="24"/>
              </w:rPr>
            </w:pPr>
          </w:p>
        </w:tc>
      </w:tr>
      <w:tr w14:paraId="6EAB09F1">
        <w:tblPrEx>
          <w:tblCellMar>
            <w:top w:w="0" w:type="dxa"/>
            <w:left w:w="108" w:type="dxa"/>
            <w:bottom w:w="0" w:type="dxa"/>
            <w:right w:w="108" w:type="dxa"/>
          </w:tblCellMar>
        </w:tblPrEx>
        <w:trPr>
          <w:trHeight w:val="290" w:hRule="atLeast"/>
        </w:trPr>
        <w:tc>
          <w:tcPr>
            <w:tcW w:w="3970" w:type="dxa"/>
            <w:gridSpan w:val="4"/>
            <w:tcBorders>
              <w:top w:val="single" w:color="000000" w:sz="4" w:space="0"/>
              <w:left w:val="single" w:color="000000" w:sz="4" w:space="0"/>
              <w:bottom w:val="single" w:color="000000" w:sz="4" w:space="0"/>
              <w:right w:val="single" w:color="000000" w:sz="4" w:space="0"/>
            </w:tcBorders>
            <w:vAlign w:val="center"/>
          </w:tcPr>
          <w:p w14:paraId="58469297">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标准及方法学</w:t>
            </w:r>
          </w:p>
        </w:tc>
        <w:tc>
          <w:tcPr>
            <w:tcW w:w="5528" w:type="dxa"/>
            <w:gridSpan w:val="7"/>
            <w:tcBorders>
              <w:top w:val="single" w:color="000000" w:sz="4" w:space="0"/>
              <w:left w:val="nil"/>
              <w:bottom w:val="single" w:color="000000" w:sz="4" w:space="0"/>
              <w:right w:val="single" w:color="000000" w:sz="4" w:space="0"/>
            </w:tcBorders>
            <w:vAlign w:val="center"/>
          </w:tcPr>
          <w:p w14:paraId="1C83F5EF">
            <w:pPr>
              <w:spacing w:after="0" w:line="360" w:lineRule="auto"/>
              <w:rPr>
                <w:rFonts w:ascii="仿宋_GB2312" w:hAnsi="仿宋" w:eastAsia="仿宋_GB2312" w:cs="宋体"/>
                <w:bCs/>
                <w:sz w:val="24"/>
                <w:szCs w:val="24"/>
              </w:rPr>
            </w:pPr>
          </w:p>
        </w:tc>
      </w:tr>
      <w:tr w14:paraId="2261A535">
        <w:tblPrEx>
          <w:tblCellMar>
            <w:top w:w="0" w:type="dxa"/>
            <w:left w:w="108" w:type="dxa"/>
            <w:bottom w:w="0" w:type="dxa"/>
            <w:right w:w="108" w:type="dxa"/>
          </w:tblCellMar>
        </w:tblPrEx>
        <w:tc>
          <w:tcPr>
            <w:tcW w:w="9498" w:type="dxa"/>
            <w:gridSpan w:val="11"/>
            <w:tcBorders>
              <w:top w:val="single" w:color="000000" w:sz="4" w:space="0"/>
              <w:left w:val="single" w:color="000000" w:sz="4" w:space="0"/>
              <w:bottom w:val="single" w:color="000000" w:sz="4" w:space="0"/>
              <w:right w:val="single" w:color="000000" w:sz="4" w:space="0"/>
            </w:tcBorders>
            <w:vAlign w:val="center"/>
          </w:tcPr>
          <w:p w14:paraId="5E4A86F8">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核查结论</w:t>
            </w:r>
          </w:p>
          <w:p w14:paraId="40355CAD">
            <w:pPr>
              <w:pStyle w:val="58"/>
              <w:spacing w:line="360" w:lineRule="auto"/>
              <w:ind w:firstLine="326"/>
              <w:rPr>
                <w:rFonts w:ascii="仿宋_GB2312" w:hAnsi="仿宋" w:eastAsia="仿宋_GB2312" w:cs="宋体"/>
                <w:color w:val="000000"/>
                <w:spacing w:val="-8"/>
                <w:sz w:val="24"/>
                <w:szCs w:val="24"/>
              </w:rPr>
            </w:pPr>
            <w:r>
              <w:rPr>
                <w:rFonts w:hint="eastAsia" w:ascii="仿宋_GB2312" w:hAnsi="仿宋" w:eastAsia="仿宋_GB2312"/>
                <w:sz w:val="24"/>
                <w:szCs w:val="24"/>
              </w:rPr>
              <w:t>详见附件</w:t>
            </w:r>
            <w:r>
              <w:rPr>
                <w:rFonts w:ascii="仿宋_GB2312" w:hAnsi="仿宋" w:eastAsia="仿宋_GB2312"/>
                <w:sz w:val="24"/>
                <w:szCs w:val="24"/>
              </w:rPr>
              <w:t>的核查结论模板</w:t>
            </w:r>
          </w:p>
        </w:tc>
      </w:tr>
      <w:tr w14:paraId="6D7DBF03">
        <w:tblPrEx>
          <w:tblCellMar>
            <w:top w:w="0" w:type="dxa"/>
            <w:left w:w="108" w:type="dxa"/>
            <w:bottom w:w="0" w:type="dxa"/>
            <w:right w:w="108" w:type="dxa"/>
          </w:tblCellMar>
        </w:tblPrEx>
        <w:trPr>
          <w:trHeight w:val="359" w:hRule="atLeast"/>
        </w:trPr>
        <w:tc>
          <w:tcPr>
            <w:tcW w:w="1844" w:type="dxa"/>
            <w:tcBorders>
              <w:top w:val="single" w:color="000000" w:sz="4" w:space="0"/>
              <w:left w:val="single" w:color="000000" w:sz="4" w:space="0"/>
              <w:bottom w:val="single" w:color="000000" w:sz="4" w:space="0"/>
              <w:right w:val="single" w:color="000000" w:sz="4" w:space="0"/>
            </w:tcBorders>
            <w:vAlign w:val="center"/>
          </w:tcPr>
          <w:p w14:paraId="2C80E11F">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核查组组长</w:t>
            </w:r>
          </w:p>
        </w:tc>
        <w:tc>
          <w:tcPr>
            <w:tcW w:w="2048" w:type="dxa"/>
            <w:gridSpan w:val="2"/>
            <w:tcBorders>
              <w:top w:val="single" w:color="000000" w:sz="4" w:space="0"/>
              <w:left w:val="nil"/>
              <w:bottom w:val="single" w:color="000000" w:sz="4" w:space="0"/>
              <w:right w:val="single" w:color="000000" w:sz="4" w:space="0"/>
            </w:tcBorders>
            <w:vAlign w:val="center"/>
          </w:tcPr>
          <w:p w14:paraId="29966EB3">
            <w:pPr>
              <w:spacing w:after="0" w:line="360" w:lineRule="auto"/>
              <w:rPr>
                <w:rFonts w:ascii="仿宋_GB2312" w:hAnsi="仿宋" w:eastAsia="仿宋_GB2312" w:cs="宋体"/>
                <w:sz w:val="24"/>
                <w:szCs w:val="24"/>
              </w:rPr>
            </w:pPr>
          </w:p>
        </w:tc>
        <w:tc>
          <w:tcPr>
            <w:tcW w:w="928" w:type="dxa"/>
            <w:gridSpan w:val="2"/>
            <w:tcBorders>
              <w:top w:val="single" w:color="000000" w:sz="4" w:space="0"/>
              <w:left w:val="nil"/>
              <w:bottom w:val="single" w:color="000000" w:sz="4" w:space="0"/>
              <w:right w:val="single" w:color="000000" w:sz="4" w:space="0"/>
            </w:tcBorders>
            <w:vAlign w:val="center"/>
          </w:tcPr>
          <w:p w14:paraId="66CED996">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签名</w:t>
            </w:r>
          </w:p>
        </w:tc>
        <w:tc>
          <w:tcPr>
            <w:tcW w:w="2127" w:type="dxa"/>
            <w:gridSpan w:val="2"/>
            <w:tcBorders>
              <w:top w:val="single" w:color="000000" w:sz="4" w:space="0"/>
              <w:left w:val="nil"/>
              <w:bottom w:val="single" w:color="000000" w:sz="4" w:space="0"/>
              <w:right w:val="single" w:color="000000" w:sz="4" w:space="0"/>
            </w:tcBorders>
            <w:vAlign w:val="center"/>
          </w:tcPr>
          <w:p w14:paraId="30485F9A">
            <w:pPr>
              <w:spacing w:after="0" w:line="360" w:lineRule="auto"/>
              <w:rPr>
                <w:rFonts w:ascii="仿宋_GB2312" w:hAnsi="仿宋" w:eastAsia="仿宋_GB2312" w:cs="宋体"/>
                <w:sz w:val="24"/>
                <w:szCs w:val="24"/>
              </w:rPr>
            </w:pPr>
          </w:p>
        </w:tc>
        <w:tc>
          <w:tcPr>
            <w:tcW w:w="992" w:type="dxa"/>
            <w:gridSpan w:val="3"/>
            <w:tcBorders>
              <w:top w:val="single" w:color="000000" w:sz="4" w:space="0"/>
              <w:left w:val="nil"/>
              <w:bottom w:val="single" w:color="000000" w:sz="4" w:space="0"/>
              <w:right w:val="single" w:color="000000" w:sz="4" w:space="0"/>
            </w:tcBorders>
            <w:vAlign w:val="center"/>
          </w:tcPr>
          <w:p w14:paraId="4E8F0DD7">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日期</w:t>
            </w:r>
          </w:p>
        </w:tc>
        <w:tc>
          <w:tcPr>
            <w:tcW w:w="1559" w:type="dxa"/>
            <w:tcBorders>
              <w:top w:val="single" w:color="000000" w:sz="4" w:space="0"/>
              <w:left w:val="nil"/>
              <w:bottom w:val="single" w:color="000000" w:sz="4" w:space="0"/>
              <w:right w:val="single" w:color="000000" w:sz="4" w:space="0"/>
            </w:tcBorders>
          </w:tcPr>
          <w:p w14:paraId="067EEEF3">
            <w:pPr>
              <w:spacing w:after="0" w:line="360" w:lineRule="auto"/>
              <w:rPr>
                <w:rFonts w:ascii="仿宋_GB2312" w:hAnsi="仿宋" w:eastAsia="仿宋_GB2312" w:cs="宋体"/>
                <w:b/>
                <w:sz w:val="24"/>
                <w:szCs w:val="24"/>
              </w:rPr>
            </w:pPr>
          </w:p>
        </w:tc>
      </w:tr>
      <w:tr w14:paraId="159EFC33">
        <w:tblPrEx>
          <w:tblCellMar>
            <w:top w:w="0" w:type="dxa"/>
            <w:left w:w="108" w:type="dxa"/>
            <w:bottom w:w="0" w:type="dxa"/>
            <w:right w:w="108" w:type="dxa"/>
          </w:tblCellMar>
        </w:tblPrEx>
        <w:trPr>
          <w:trHeight w:val="257" w:hRule="atLeast"/>
        </w:trPr>
        <w:tc>
          <w:tcPr>
            <w:tcW w:w="1844" w:type="dxa"/>
            <w:tcBorders>
              <w:top w:val="single" w:color="000000" w:sz="4" w:space="0"/>
              <w:left w:val="single" w:color="000000" w:sz="4" w:space="0"/>
              <w:bottom w:val="single" w:color="auto" w:sz="4" w:space="0"/>
              <w:right w:val="single" w:color="000000" w:sz="4" w:space="0"/>
            </w:tcBorders>
            <w:vAlign w:val="center"/>
          </w:tcPr>
          <w:p w14:paraId="3760B37B">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核查组成员</w:t>
            </w:r>
          </w:p>
        </w:tc>
        <w:tc>
          <w:tcPr>
            <w:tcW w:w="7654" w:type="dxa"/>
            <w:gridSpan w:val="10"/>
            <w:tcBorders>
              <w:top w:val="single" w:color="000000" w:sz="4" w:space="0"/>
              <w:left w:val="nil"/>
              <w:bottom w:val="single" w:color="auto" w:sz="4" w:space="0"/>
              <w:right w:val="single" w:color="000000" w:sz="4" w:space="0"/>
            </w:tcBorders>
            <w:vAlign w:val="center"/>
          </w:tcPr>
          <w:p w14:paraId="17F41B4B">
            <w:pPr>
              <w:spacing w:after="0" w:line="360" w:lineRule="auto"/>
              <w:rPr>
                <w:rFonts w:ascii="仿宋_GB2312" w:hAnsi="仿宋" w:eastAsia="仿宋_GB2312" w:cs="宋体"/>
                <w:sz w:val="24"/>
                <w:szCs w:val="24"/>
              </w:rPr>
            </w:pPr>
          </w:p>
        </w:tc>
      </w:tr>
      <w:tr w14:paraId="0824F650">
        <w:tblPrEx>
          <w:tblCellMar>
            <w:top w:w="0" w:type="dxa"/>
            <w:left w:w="108" w:type="dxa"/>
            <w:bottom w:w="0" w:type="dxa"/>
            <w:right w:w="108" w:type="dxa"/>
          </w:tblCellMar>
        </w:tblPrEx>
        <w:trPr>
          <w:trHeight w:val="363" w:hRule="atLeast"/>
        </w:trPr>
        <w:tc>
          <w:tcPr>
            <w:tcW w:w="1844" w:type="dxa"/>
            <w:tcBorders>
              <w:top w:val="single" w:color="auto" w:sz="4" w:space="0"/>
              <w:left w:val="single" w:color="auto" w:sz="4" w:space="0"/>
              <w:bottom w:val="single" w:color="auto" w:sz="4" w:space="0"/>
              <w:right w:val="single" w:color="auto" w:sz="4" w:space="0"/>
            </w:tcBorders>
            <w:vAlign w:val="center"/>
          </w:tcPr>
          <w:p w14:paraId="5D608201">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技术复核人</w:t>
            </w:r>
          </w:p>
        </w:tc>
        <w:tc>
          <w:tcPr>
            <w:tcW w:w="2048" w:type="dxa"/>
            <w:gridSpan w:val="2"/>
            <w:tcBorders>
              <w:top w:val="single" w:color="auto" w:sz="4" w:space="0"/>
              <w:left w:val="single" w:color="auto" w:sz="4" w:space="0"/>
              <w:bottom w:val="single" w:color="auto" w:sz="4" w:space="0"/>
              <w:right w:val="single" w:color="auto" w:sz="4" w:space="0"/>
            </w:tcBorders>
            <w:vAlign w:val="center"/>
          </w:tcPr>
          <w:p w14:paraId="481FDFA9">
            <w:pPr>
              <w:spacing w:after="0" w:line="360" w:lineRule="auto"/>
              <w:rPr>
                <w:rFonts w:ascii="仿宋_GB2312" w:hAnsi="仿宋" w:eastAsia="仿宋_GB2312" w:cs="宋体"/>
                <w:bCs/>
                <w:sz w:val="24"/>
                <w:szCs w:val="24"/>
              </w:rPr>
            </w:pPr>
          </w:p>
        </w:tc>
        <w:tc>
          <w:tcPr>
            <w:tcW w:w="943" w:type="dxa"/>
            <w:gridSpan w:val="3"/>
            <w:tcBorders>
              <w:top w:val="single" w:color="auto" w:sz="4" w:space="0"/>
              <w:left w:val="single" w:color="auto" w:sz="4" w:space="0"/>
              <w:bottom w:val="single" w:color="auto" w:sz="4" w:space="0"/>
              <w:right w:val="single" w:color="auto" w:sz="4" w:space="0"/>
            </w:tcBorders>
            <w:vAlign w:val="center"/>
          </w:tcPr>
          <w:p w14:paraId="08D9584E">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签名</w:t>
            </w:r>
          </w:p>
        </w:tc>
        <w:tc>
          <w:tcPr>
            <w:tcW w:w="2159" w:type="dxa"/>
            <w:gridSpan w:val="2"/>
            <w:tcBorders>
              <w:top w:val="single" w:color="auto" w:sz="4" w:space="0"/>
              <w:left w:val="single" w:color="auto" w:sz="4" w:space="0"/>
              <w:bottom w:val="single" w:color="auto" w:sz="4" w:space="0"/>
              <w:right w:val="single" w:color="auto" w:sz="4" w:space="0"/>
            </w:tcBorders>
            <w:vAlign w:val="center"/>
          </w:tcPr>
          <w:p w14:paraId="487C8624">
            <w:pPr>
              <w:spacing w:after="0" w:line="360" w:lineRule="auto"/>
              <w:rPr>
                <w:rFonts w:ascii="仿宋_GB2312" w:hAnsi="仿宋" w:eastAsia="仿宋_GB2312" w:cs="宋体"/>
                <w:sz w:val="24"/>
                <w:szCs w:val="24"/>
              </w:rPr>
            </w:pPr>
          </w:p>
        </w:tc>
        <w:tc>
          <w:tcPr>
            <w:tcW w:w="945" w:type="dxa"/>
            <w:gridSpan w:val="2"/>
            <w:tcBorders>
              <w:top w:val="single" w:color="auto" w:sz="4" w:space="0"/>
              <w:left w:val="single" w:color="auto" w:sz="4" w:space="0"/>
              <w:bottom w:val="single" w:color="auto" w:sz="4" w:space="0"/>
              <w:right w:val="single" w:color="auto" w:sz="4" w:space="0"/>
            </w:tcBorders>
            <w:vAlign w:val="center"/>
          </w:tcPr>
          <w:p w14:paraId="1FBF95F3">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日期</w:t>
            </w:r>
          </w:p>
        </w:tc>
        <w:tc>
          <w:tcPr>
            <w:tcW w:w="1559" w:type="dxa"/>
            <w:tcBorders>
              <w:top w:val="single" w:color="auto" w:sz="4" w:space="0"/>
              <w:left w:val="single" w:color="auto" w:sz="4" w:space="0"/>
              <w:bottom w:val="single" w:color="auto" w:sz="4" w:space="0"/>
              <w:right w:val="single" w:color="auto" w:sz="4" w:space="0"/>
            </w:tcBorders>
          </w:tcPr>
          <w:p w14:paraId="1208827E">
            <w:pPr>
              <w:spacing w:after="0" w:line="360" w:lineRule="auto"/>
              <w:rPr>
                <w:rFonts w:ascii="仿宋_GB2312" w:hAnsi="仿宋" w:eastAsia="仿宋_GB2312" w:cs="宋体"/>
                <w:b/>
                <w:sz w:val="24"/>
                <w:szCs w:val="24"/>
              </w:rPr>
            </w:pPr>
          </w:p>
        </w:tc>
      </w:tr>
      <w:tr w14:paraId="391D5759">
        <w:tblPrEx>
          <w:tblCellMar>
            <w:top w:w="0" w:type="dxa"/>
            <w:left w:w="108" w:type="dxa"/>
            <w:bottom w:w="0" w:type="dxa"/>
            <w:right w:w="108" w:type="dxa"/>
          </w:tblCellMar>
        </w:tblPrEx>
        <w:trPr>
          <w:trHeight w:val="411" w:hRule="atLeast"/>
        </w:trPr>
        <w:tc>
          <w:tcPr>
            <w:tcW w:w="1844" w:type="dxa"/>
            <w:tcBorders>
              <w:top w:val="single" w:color="auto" w:sz="4" w:space="0"/>
              <w:left w:val="single" w:color="auto" w:sz="4" w:space="0"/>
              <w:bottom w:val="single" w:color="auto" w:sz="4" w:space="0"/>
              <w:right w:val="single" w:color="auto" w:sz="4" w:space="0"/>
            </w:tcBorders>
            <w:vAlign w:val="center"/>
          </w:tcPr>
          <w:p w14:paraId="405276EB">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批准人</w:t>
            </w:r>
          </w:p>
        </w:tc>
        <w:tc>
          <w:tcPr>
            <w:tcW w:w="2048" w:type="dxa"/>
            <w:gridSpan w:val="2"/>
            <w:tcBorders>
              <w:top w:val="single" w:color="auto" w:sz="4" w:space="0"/>
              <w:left w:val="single" w:color="auto" w:sz="4" w:space="0"/>
              <w:bottom w:val="single" w:color="auto" w:sz="4" w:space="0"/>
              <w:right w:val="single" w:color="auto" w:sz="4" w:space="0"/>
            </w:tcBorders>
            <w:vAlign w:val="center"/>
          </w:tcPr>
          <w:p w14:paraId="608C1BA7">
            <w:pPr>
              <w:spacing w:after="0" w:line="360" w:lineRule="auto"/>
              <w:rPr>
                <w:rFonts w:ascii="仿宋_GB2312" w:hAnsi="仿宋" w:eastAsia="仿宋_GB2312" w:cs="宋体"/>
                <w:bCs/>
                <w:sz w:val="24"/>
                <w:szCs w:val="24"/>
              </w:rPr>
            </w:pPr>
          </w:p>
        </w:tc>
        <w:tc>
          <w:tcPr>
            <w:tcW w:w="943" w:type="dxa"/>
            <w:gridSpan w:val="3"/>
            <w:tcBorders>
              <w:top w:val="single" w:color="auto" w:sz="4" w:space="0"/>
              <w:left w:val="single" w:color="auto" w:sz="4" w:space="0"/>
              <w:bottom w:val="single" w:color="auto" w:sz="4" w:space="0"/>
              <w:right w:val="single" w:color="auto" w:sz="4" w:space="0"/>
            </w:tcBorders>
            <w:vAlign w:val="center"/>
          </w:tcPr>
          <w:p w14:paraId="14EA3113">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签名</w:t>
            </w:r>
          </w:p>
        </w:tc>
        <w:tc>
          <w:tcPr>
            <w:tcW w:w="2159" w:type="dxa"/>
            <w:gridSpan w:val="2"/>
            <w:tcBorders>
              <w:top w:val="single" w:color="auto" w:sz="4" w:space="0"/>
              <w:left w:val="single" w:color="auto" w:sz="4" w:space="0"/>
              <w:bottom w:val="single" w:color="auto" w:sz="4" w:space="0"/>
              <w:right w:val="single" w:color="auto" w:sz="4" w:space="0"/>
            </w:tcBorders>
            <w:vAlign w:val="center"/>
          </w:tcPr>
          <w:p w14:paraId="2B4039B4">
            <w:pPr>
              <w:spacing w:after="0" w:line="360" w:lineRule="auto"/>
              <w:rPr>
                <w:rFonts w:ascii="仿宋_GB2312" w:hAnsi="仿宋" w:eastAsia="仿宋_GB2312" w:cs="宋体"/>
                <w:sz w:val="24"/>
                <w:szCs w:val="24"/>
              </w:rPr>
            </w:pPr>
          </w:p>
        </w:tc>
        <w:tc>
          <w:tcPr>
            <w:tcW w:w="945" w:type="dxa"/>
            <w:gridSpan w:val="2"/>
            <w:tcBorders>
              <w:top w:val="single" w:color="auto" w:sz="4" w:space="0"/>
              <w:left w:val="single" w:color="auto" w:sz="4" w:space="0"/>
              <w:bottom w:val="single" w:color="auto" w:sz="4" w:space="0"/>
              <w:right w:val="single" w:color="auto" w:sz="4" w:space="0"/>
            </w:tcBorders>
            <w:vAlign w:val="center"/>
          </w:tcPr>
          <w:p w14:paraId="13FA85D8">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日期</w:t>
            </w:r>
          </w:p>
        </w:tc>
        <w:tc>
          <w:tcPr>
            <w:tcW w:w="1559" w:type="dxa"/>
            <w:tcBorders>
              <w:top w:val="single" w:color="auto" w:sz="4" w:space="0"/>
              <w:left w:val="single" w:color="auto" w:sz="4" w:space="0"/>
              <w:bottom w:val="single" w:color="auto" w:sz="4" w:space="0"/>
              <w:right w:val="single" w:color="auto" w:sz="4" w:space="0"/>
            </w:tcBorders>
          </w:tcPr>
          <w:p w14:paraId="4565F5E3">
            <w:pPr>
              <w:spacing w:after="0" w:line="360" w:lineRule="auto"/>
              <w:rPr>
                <w:rFonts w:ascii="仿宋_GB2312" w:hAnsi="仿宋" w:eastAsia="仿宋_GB2312" w:cs="宋体"/>
                <w:b/>
                <w:sz w:val="24"/>
                <w:szCs w:val="24"/>
              </w:rPr>
            </w:pPr>
          </w:p>
        </w:tc>
      </w:tr>
    </w:tbl>
    <w:p w14:paraId="509B388E">
      <w:pPr>
        <w:spacing w:after="0" w:line="560" w:lineRule="exact"/>
        <w:rPr>
          <w:rFonts w:ascii="仿宋_GB2312" w:hAnsi="仿宋" w:eastAsia="仿宋_GB2312" w:cs="宋体"/>
          <w:sz w:val="32"/>
          <w:szCs w:val="32"/>
        </w:rPr>
      </w:pPr>
    </w:p>
    <w:p w14:paraId="0EA29D44">
      <w:pPr>
        <w:spacing w:after="0" w:line="560" w:lineRule="exact"/>
        <w:rPr>
          <w:rFonts w:ascii="仿宋_GB2312" w:hAnsi="仿宋" w:eastAsia="仿宋_GB2312" w:cs="宋体"/>
          <w:b/>
          <w:bCs/>
          <w:sz w:val="32"/>
          <w:szCs w:val="32"/>
        </w:rPr>
      </w:pPr>
      <w:r>
        <w:rPr>
          <w:rFonts w:hint="eastAsia" w:ascii="仿宋_GB2312" w:hAnsi="仿宋" w:eastAsia="仿宋_GB2312" w:cs="宋体"/>
          <w:sz w:val="32"/>
          <w:szCs w:val="32"/>
        </w:rPr>
        <w:br w:type="page"/>
      </w:r>
      <w:r>
        <w:rPr>
          <w:rFonts w:hint="eastAsia" w:ascii="仿宋_GB2312" w:hAnsi="仿宋" w:eastAsia="仿宋_GB2312" w:cs="宋体"/>
          <w:b/>
          <w:bCs/>
          <w:sz w:val="32"/>
          <w:szCs w:val="32"/>
        </w:rPr>
        <w:t>第三部分  目录</w:t>
      </w:r>
    </w:p>
    <w:p w14:paraId="376E7B87">
      <w:pPr>
        <w:spacing w:after="0" w:line="560" w:lineRule="exact"/>
        <w:rPr>
          <w:rFonts w:ascii="仿宋_GB2312" w:hAnsi="仿宋" w:eastAsia="仿宋_GB2312" w:cs="宋体"/>
          <w:b/>
          <w:bCs/>
          <w:sz w:val="32"/>
          <w:szCs w:val="32"/>
        </w:rPr>
      </w:pPr>
      <w:r>
        <w:rPr>
          <w:rFonts w:hint="eastAsia" w:ascii="仿宋_GB2312" w:hAnsi="仿宋" w:eastAsia="仿宋_GB2312" w:cs="宋体"/>
          <w:b/>
          <w:bCs/>
          <w:sz w:val="32"/>
          <w:szCs w:val="32"/>
        </w:rPr>
        <w:t>第四部分  核查报告正文（至少包括以下内容）</w:t>
      </w:r>
    </w:p>
    <w:p w14:paraId="51733854">
      <w:pPr>
        <w:spacing w:after="0" w:line="560" w:lineRule="exact"/>
        <w:ind w:right="850"/>
        <w:outlineLvl w:val="0"/>
        <w:rPr>
          <w:rFonts w:ascii="仿宋_GB2312" w:hAnsi="仿宋" w:eastAsia="仿宋_GB2312" w:cs="Arial"/>
          <w:b/>
          <w:sz w:val="32"/>
          <w:szCs w:val="32"/>
        </w:rPr>
      </w:pPr>
      <w:r>
        <w:rPr>
          <w:rFonts w:hint="eastAsia" w:ascii="仿宋_GB2312" w:hAnsi="仿宋" w:eastAsia="仿宋_GB2312" w:cs="Arial"/>
          <w:b/>
          <w:caps/>
          <w:sz w:val="32"/>
          <w:szCs w:val="32"/>
        </w:rPr>
        <w:t>1. 概述</w:t>
      </w:r>
    </w:p>
    <w:p w14:paraId="14DE7DAA">
      <w:pPr>
        <w:spacing w:after="0" w:line="560" w:lineRule="exact"/>
        <w:ind w:right="851"/>
        <w:rPr>
          <w:rFonts w:ascii="仿宋_GB2312" w:hAnsi="仿宋" w:eastAsia="仿宋_GB2312" w:cs="Arial"/>
          <w:sz w:val="32"/>
          <w:szCs w:val="32"/>
        </w:rPr>
      </w:pPr>
      <w:r>
        <w:rPr>
          <w:rFonts w:hint="eastAsia" w:ascii="仿宋_GB2312" w:hAnsi="仿宋" w:eastAsia="仿宋_GB2312" w:cs="Arial"/>
          <w:sz w:val="32"/>
          <w:szCs w:val="32"/>
        </w:rPr>
        <w:t>1.1. 核查目的</w:t>
      </w:r>
    </w:p>
    <w:p w14:paraId="7B7AF0B5">
      <w:pPr>
        <w:spacing w:after="0" w:line="560" w:lineRule="exact"/>
        <w:ind w:right="851"/>
        <w:rPr>
          <w:rFonts w:ascii="仿宋_GB2312" w:hAnsi="仿宋" w:eastAsia="仿宋_GB2312" w:cs="Arial"/>
          <w:sz w:val="32"/>
          <w:szCs w:val="32"/>
        </w:rPr>
      </w:pPr>
      <w:r>
        <w:rPr>
          <w:rFonts w:hint="eastAsia" w:ascii="仿宋_GB2312" w:hAnsi="仿宋" w:eastAsia="仿宋_GB2312" w:cs="Arial"/>
          <w:sz w:val="32"/>
          <w:szCs w:val="32"/>
        </w:rPr>
        <w:t>1.2. 核查范围</w:t>
      </w:r>
    </w:p>
    <w:p w14:paraId="56C2C2D3">
      <w:pPr>
        <w:spacing w:after="0" w:line="560" w:lineRule="exact"/>
        <w:ind w:right="851"/>
        <w:rPr>
          <w:rFonts w:ascii="仿宋_GB2312" w:hAnsi="仿宋" w:eastAsia="仿宋_GB2312" w:cs="Arial"/>
          <w:sz w:val="32"/>
          <w:szCs w:val="32"/>
        </w:rPr>
      </w:pPr>
      <w:r>
        <w:rPr>
          <w:rFonts w:hint="eastAsia" w:ascii="仿宋_GB2312" w:hAnsi="仿宋" w:eastAsia="仿宋_GB2312" w:cs="Arial"/>
          <w:sz w:val="32"/>
          <w:szCs w:val="32"/>
        </w:rPr>
        <w:t>1.3. 核查准则</w:t>
      </w:r>
    </w:p>
    <w:p w14:paraId="2E103B9E">
      <w:pPr>
        <w:spacing w:after="0" w:line="560" w:lineRule="exact"/>
        <w:ind w:right="850"/>
        <w:outlineLvl w:val="0"/>
        <w:rPr>
          <w:rFonts w:ascii="仿宋_GB2312" w:hAnsi="仿宋" w:eastAsia="仿宋_GB2312" w:cs="Arial"/>
          <w:b/>
          <w:caps/>
          <w:sz w:val="32"/>
          <w:szCs w:val="32"/>
        </w:rPr>
      </w:pPr>
      <w:r>
        <w:rPr>
          <w:rFonts w:hint="eastAsia" w:ascii="仿宋_GB2312" w:hAnsi="仿宋" w:eastAsia="仿宋_GB2312" w:cs="Arial"/>
          <w:b/>
          <w:caps/>
          <w:sz w:val="32"/>
          <w:szCs w:val="32"/>
        </w:rPr>
        <w:t>2. 核查过程和方法</w:t>
      </w:r>
    </w:p>
    <w:p w14:paraId="16AA51EE">
      <w:pPr>
        <w:spacing w:after="0" w:line="560" w:lineRule="exact"/>
        <w:ind w:right="851"/>
        <w:rPr>
          <w:rFonts w:ascii="仿宋_GB2312" w:hAnsi="仿宋" w:eastAsia="仿宋_GB2312" w:cs="Arial"/>
          <w:sz w:val="32"/>
          <w:szCs w:val="32"/>
        </w:rPr>
      </w:pPr>
      <w:r>
        <w:rPr>
          <w:rFonts w:hint="eastAsia" w:ascii="仿宋_GB2312" w:hAnsi="仿宋" w:eastAsia="仿宋_GB2312" w:cs="Arial"/>
          <w:sz w:val="32"/>
          <w:szCs w:val="32"/>
        </w:rPr>
        <w:t>2.1. 核查组安排</w:t>
      </w:r>
    </w:p>
    <w:p w14:paraId="01270AA4">
      <w:pPr>
        <w:spacing w:after="0" w:line="560" w:lineRule="exact"/>
        <w:ind w:right="851"/>
        <w:rPr>
          <w:rFonts w:ascii="仿宋_GB2312" w:hAnsi="仿宋" w:eastAsia="仿宋_GB2312" w:cs="Arial"/>
          <w:sz w:val="32"/>
          <w:szCs w:val="32"/>
        </w:rPr>
      </w:pPr>
      <w:r>
        <w:rPr>
          <w:rFonts w:hint="eastAsia" w:ascii="仿宋_GB2312" w:hAnsi="仿宋" w:eastAsia="仿宋_GB2312" w:cs="Arial"/>
          <w:sz w:val="32"/>
          <w:szCs w:val="32"/>
        </w:rPr>
        <w:t>2.2. 文件评审</w:t>
      </w:r>
    </w:p>
    <w:p w14:paraId="040222D5">
      <w:pPr>
        <w:spacing w:after="0" w:line="560" w:lineRule="exact"/>
        <w:ind w:right="851"/>
        <w:rPr>
          <w:rFonts w:ascii="仿宋_GB2312" w:hAnsi="仿宋" w:eastAsia="仿宋_GB2312" w:cs="Arial"/>
          <w:sz w:val="32"/>
          <w:szCs w:val="32"/>
        </w:rPr>
      </w:pPr>
      <w:r>
        <w:rPr>
          <w:rFonts w:hint="eastAsia" w:ascii="仿宋_GB2312" w:hAnsi="仿宋" w:eastAsia="仿宋_GB2312" w:cs="Arial"/>
          <w:sz w:val="32"/>
          <w:szCs w:val="32"/>
        </w:rPr>
        <w:t>2.3. 现场访问</w:t>
      </w:r>
    </w:p>
    <w:p w14:paraId="7596B840">
      <w:pPr>
        <w:spacing w:after="0" w:line="560" w:lineRule="exact"/>
        <w:ind w:right="851"/>
        <w:rPr>
          <w:rFonts w:ascii="仿宋_GB2312" w:hAnsi="仿宋" w:eastAsia="仿宋_GB2312" w:cs="Arial"/>
          <w:sz w:val="32"/>
          <w:szCs w:val="32"/>
        </w:rPr>
      </w:pPr>
      <w:r>
        <w:rPr>
          <w:rFonts w:hint="eastAsia" w:ascii="仿宋_GB2312" w:hAnsi="仿宋" w:eastAsia="仿宋_GB2312" w:cs="Arial"/>
          <w:sz w:val="32"/>
          <w:szCs w:val="32"/>
        </w:rPr>
        <w:t>2.4. 核查报告编写及内部技术复核</w:t>
      </w:r>
    </w:p>
    <w:p w14:paraId="52ABFB26">
      <w:pPr>
        <w:spacing w:after="0" w:line="560" w:lineRule="exact"/>
        <w:ind w:left="851" w:right="851" w:hanging="851"/>
        <w:rPr>
          <w:rFonts w:ascii="仿宋_GB2312" w:hAnsi="仿宋" w:eastAsia="仿宋_GB2312" w:cs="Arial"/>
          <w:b/>
          <w:sz w:val="32"/>
          <w:szCs w:val="32"/>
        </w:rPr>
      </w:pPr>
      <w:r>
        <w:rPr>
          <w:rFonts w:hint="eastAsia" w:ascii="仿宋_GB2312" w:hAnsi="仿宋" w:eastAsia="仿宋_GB2312" w:cs="Arial"/>
          <w:b/>
          <w:sz w:val="32"/>
          <w:szCs w:val="32"/>
        </w:rPr>
        <w:t>3 .核查发现</w:t>
      </w:r>
    </w:p>
    <w:p w14:paraId="705F152A">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3.1  重点碳排放单位的基本信息的核查</w:t>
      </w:r>
    </w:p>
    <w:p w14:paraId="738EC5B9">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3.2  重点碳排放单位的设施边界及排放源识别的核查</w:t>
      </w:r>
    </w:p>
    <w:p w14:paraId="23CD650B">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3.3  核算方法、数据与《企业(单位)二氧化碳核算与报告指南》的符合性的核查</w:t>
      </w:r>
    </w:p>
    <w:p w14:paraId="56670EC7">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3.4  测量设备校准的符合性的核查</w:t>
      </w:r>
    </w:p>
    <w:p w14:paraId="04FE5CB6">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3.5  二氧化碳排放量计算过程及结果的核查</w:t>
      </w:r>
    </w:p>
    <w:p w14:paraId="3A1860E4">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3.6</w:t>
      </w:r>
      <w:r>
        <w:rPr>
          <w:rFonts w:hint="eastAsia" w:ascii="仿宋_GB2312" w:hAnsi="仿宋" w:eastAsia="仿宋_GB2312" w:cs="宋体"/>
          <w:sz w:val="32"/>
          <w:szCs w:val="32"/>
        </w:rPr>
        <w:tab/>
      </w:r>
      <w:r>
        <w:rPr>
          <w:rFonts w:hint="eastAsia" w:ascii="仿宋_GB2312" w:hAnsi="仿宋" w:eastAsia="仿宋_GB2312" w:cs="宋体"/>
          <w:sz w:val="32"/>
          <w:szCs w:val="32"/>
        </w:rPr>
        <w:t>新增排放设施及既有设施退出的核查</w:t>
      </w:r>
    </w:p>
    <w:p w14:paraId="2A6F3A79">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3.7</w:t>
      </w:r>
      <w:r>
        <w:rPr>
          <w:rFonts w:hint="eastAsia" w:ascii="仿宋_GB2312" w:hAnsi="仿宋" w:eastAsia="仿宋_GB2312" w:cs="宋体"/>
          <w:sz w:val="32"/>
          <w:szCs w:val="32"/>
        </w:rPr>
        <w:tab/>
      </w:r>
      <w:r>
        <w:rPr>
          <w:rFonts w:hint="eastAsia" w:ascii="仿宋_GB2312" w:hAnsi="仿宋" w:eastAsia="仿宋_GB2312" w:cs="宋体"/>
          <w:sz w:val="32"/>
          <w:szCs w:val="32"/>
        </w:rPr>
        <w:t>未来二氧化碳控制措施的核查</w:t>
      </w:r>
    </w:p>
    <w:p w14:paraId="6FF18247">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3.8 对监测计划的核查</w:t>
      </w:r>
    </w:p>
    <w:p w14:paraId="0FE351BF">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3.9</w:t>
      </w:r>
      <w:r>
        <w:rPr>
          <w:rFonts w:hint="eastAsia" w:ascii="仿宋_GB2312" w:hAnsi="仿宋" w:eastAsia="仿宋_GB2312" w:cs="宋体"/>
          <w:sz w:val="32"/>
          <w:szCs w:val="32"/>
        </w:rPr>
        <w:tab/>
      </w:r>
      <w:r>
        <w:rPr>
          <w:rFonts w:hint="eastAsia" w:ascii="仿宋_GB2312" w:hAnsi="仿宋" w:eastAsia="仿宋_GB2312" w:cs="宋体"/>
          <w:sz w:val="32"/>
          <w:szCs w:val="32"/>
        </w:rPr>
        <w:t>京内移动设施和京外能源消费总量的核查</w:t>
      </w:r>
    </w:p>
    <w:p w14:paraId="23B1B382">
      <w:pPr>
        <w:spacing w:after="0" w:line="560" w:lineRule="exact"/>
        <w:ind w:right="850"/>
        <w:rPr>
          <w:rFonts w:ascii="仿宋_GB2312" w:hAnsi="仿宋" w:eastAsia="仿宋_GB2312" w:cs="Arial"/>
          <w:caps/>
          <w:sz w:val="32"/>
          <w:szCs w:val="32"/>
        </w:rPr>
      </w:pPr>
      <w:r>
        <w:rPr>
          <w:rFonts w:hint="eastAsia" w:ascii="仿宋_GB2312" w:hAnsi="仿宋" w:eastAsia="仿宋_GB2312" w:cs="Arial"/>
          <w:caps/>
          <w:sz w:val="32"/>
          <w:szCs w:val="32"/>
        </w:rPr>
        <w:t>3.10对数据质量管理的核查</w:t>
      </w:r>
    </w:p>
    <w:p w14:paraId="45C1A4DC">
      <w:pPr>
        <w:spacing w:after="0" w:line="560" w:lineRule="exact"/>
        <w:ind w:right="850"/>
        <w:outlineLvl w:val="0"/>
        <w:rPr>
          <w:rFonts w:ascii="仿宋_GB2312" w:hAnsi="仿宋" w:eastAsia="仿宋_GB2312" w:cs="Arial"/>
          <w:b/>
          <w:caps/>
          <w:sz w:val="32"/>
          <w:szCs w:val="32"/>
        </w:rPr>
      </w:pPr>
      <w:r>
        <w:rPr>
          <w:rFonts w:hint="eastAsia" w:ascii="仿宋_GB2312" w:hAnsi="仿宋" w:eastAsia="仿宋_GB2312" w:cs="Arial"/>
          <w:b/>
          <w:caps/>
          <w:sz w:val="32"/>
          <w:szCs w:val="32"/>
        </w:rPr>
        <w:t>4. 核查结论</w:t>
      </w:r>
    </w:p>
    <w:p w14:paraId="055525F1">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4.1</w:t>
      </w:r>
      <w:r>
        <w:rPr>
          <w:rFonts w:hint="eastAsia" w:ascii="仿宋_GB2312" w:hAnsi="仿宋" w:eastAsia="仿宋_GB2312" w:cs="宋体"/>
          <w:sz w:val="32"/>
          <w:szCs w:val="32"/>
        </w:rPr>
        <w:tab/>
      </w:r>
      <w:r>
        <w:rPr>
          <w:rFonts w:hint="eastAsia" w:ascii="仿宋_GB2312" w:hAnsi="仿宋" w:eastAsia="仿宋_GB2312" w:cs="宋体"/>
          <w:sz w:val="32"/>
          <w:szCs w:val="32"/>
        </w:rPr>
        <w:t>核算、报告与方法学的符合性</w:t>
      </w:r>
    </w:p>
    <w:p w14:paraId="6DA065A1">
      <w:pPr>
        <w:spacing w:after="0" w:line="560" w:lineRule="exact"/>
        <w:ind w:left="640" w:hanging="640" w:hangingChars="200"/>
        <w:rPr>
          <w:rFonts w:ascii="仿宋_GB2312" w:hAnsi="仿宋" w:eastAsia="仿宋_GB2312" w:cs="宋体"/>
          <w:sz w:val="32"/>
          <w:szCs w:val="32"/>
        </w:rPr>
      </w:pPr>
      <w:r>
        <w:rPr>
          <w:rFonts w:hint="eastAsia" w:ascii="仿宋_GB2312" w:hAnsi="仿宋" w:eastAsia="仿宋_GB2312" w:cs="宋体"/>
          <w:sz w:val="32"/>
          <w:szCs w:val="32"/>
        </w:rPr>
        <w:t>4.2</w:t>
      </w:r>
      <w:r>
        <w:rPr>
          <w:rFonts w:hint="eastAsia" w:ascii="仿宋_GB2312" w:hAnsi="仿宋" w:eastAsia="仿宋_GB2312" w:cs="宋体"/>
          <w:sz w:val="32"/>
          <w:szCs w:val="32"/>
        </w:rPr>
        <w:tab/>
      </w:r>
      <w:r>
        <w:rPr>
          <w:rFonts w:hint="eastAsia" w:ascii="仿宋_GB2312" w:hAnsi="仿宋" w:eastAsia="仿宋_GB2312" w:cs="宋体"/>
          <w:sz w:val="32"/>
          <w:szCs w:val="32"/>
        </w:rPr>
        <w:t>本年度排放量及活动水平</w:t>
      </w:r>
      <w:r>
        <w:rPr>
          <w:rFonts w:ascii="仿宋_GB2312" w:hAnsi="仿宋" w:eastAsia="仿宋_GB2312" w:cs="宋体"/>
          <w:sz w:val="32"/>
          <w:szCs w:val="32"/>
        </w:rPr>
        <w:t>数据</w:t>
      </w:r>
      <w:r>
        <w:rPr>
          <w:rFonts w:hint="eastAsia" w:ascii="仿宋_GB2312" w:hAnsi="仿宋" w:eastAsia="仿宋_GB2312" w:cs="宋体"/>
          <w:sz w:val="32"/>
          <w:szCs w:val="32"/>
        </w:rPr>
        <w:t>的声明</w:t>
      </w:r>
    </w:p>
    <w:p w14:paraId="6F05420F">
      <w:pPr>
        <w:spacing w:after="0" w:line="560" w:lineRule="exact"/>
        <w:ind w:left="640" w:hanging="640" w:hangingChars="200"/>
        <w:rPr>
          <w:rFonts w:ascii="仿宋_GB2312" w:hAnsi="仿宋" w:eastAsia="仿宋_GB2312" w:cs="宋体"/>
          <w:sz w:val="32"/>
          <w:szCs w:val="32"/>
        </w:rPr>
      </w:pPr>
      <w:r>
        <w:rPr>
          <w:rFonts w:hint="eastAsia" w:ascii="仿宋_GB2312" w:hAnsi="仿宋" w:eastAsia="仿宋_GB2312" w:cs="宋体"/>
          <w:sz w:val="32"/>
          <w:szCs w:val="32"/>
        </w:rPr>
        <w:t>4.3</w:t>
      </w:r>
      <w:r>
        <w:rPr>
          <w:rFonts w:hint="eastAsia" w:ascii="仿宋_GB2312" w:hAnsi="仿宋" w:eastAsia="仿宋_GB2312"/>
          <w:sz w:val="32"/>
          <w:szCs w:val="32"/>
        </w:rPr>
        <w:t>本年度排放量及</w:t>
      </w:r>
      <w:r>
        <w:rPr>
          <w:rFonts w:ascii="仿宋_GB2312" w:hAnsi="仿宋" w:eastAsia="仿宋_GB2312"/>
          <w:sz w:val="32"/>
          <w:szCs w:val="32"/>
        </w:rPr>
        <w:t>活动水平</w:t>
      </w:r>
      <w:r>
        <w:rPr>
          <w:rFonts w:hint="eastAsia" w:ascii="仿宋_GB2312" w:hAnsi="仿宋" w:eastAsia="仿宋_GB2312"/>
          <w:sz w:val="32"/>
          <w:szCs w:val="32"/>
        </w:rPr>
        <w:t>波动的</w:t>
      </w:r>
      <w:r>
        <w:rPr>
          <w:rFonts w:ascii="仿宋_GB2312" w:hAnsi="仿宋" w:eastAsia="仿宋_GB2312"/>
          <w:sz w:val="32"/>
          <w:szCs w:val="32"/>
        </w:rPr>
        <w:t>原因说明</w:t>
      </w:r>
    </w:p>
    <w:p w14:paraId="6799AF4E">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4.</w:t>
      </w:r>
      <w:r>
        <w:rPr>
          <w:rFonts w:ascii="仿宋_GB2312" w:hAnsi="仿宋" w:eastAsia="仿宋_GB2312" w:cs="宋体"/>
          <w:sz w:val="32"/>
          <w:szCs w:val="32"/>
        </w:rPr>
        <w:t>4</w:t>
      </w:r>
      <w:r>
        <w:rPr>
          <w:rFonts w:hint="eastAsia" w:ascii="仿宋_GB2312" w:hAnsi="仿宋" w:eastAsia="仿宋_GB2312"/>
          <w:sz w:val="32"/>
          <w:szCs w:val="32"/>
        </w:rPr>
        <w:t>核算</w:t>
      </w:r>
      <w:r>
        <w:rPr>
          <w:rFonts w:ascii="仿宋_GB2312" w:hAnsi="仿宋" w:eastAsia="仿宋_GB2312"/>
          <w:sz w:val="32"/>
          <w:szCs w:val="32"/>
        </w:rPr>
        <w:t>和报告边界变化（</w:t>
      </w:r>
      <w:r>
        <w:rPr>
          <w:rFonts w:hint="eastAsia" w:ascii="仿宋_GB2312" w:hAnsi="仿宋" w:eastAsia="仿宋_GB2312"/>
          <w:sz w:val="32"/>
          <w:szCs w:val="32"/>
        </w:rPr>
        <w:t>含</w:t>
      </w:r>
      <w:r>
        <w:rPr>
          <w:rFonts w:ascii="仿宋_GB2312" w:hAnsi="仿宋" w:eastAsia="仿宋_GB2312"/>
          <w:sz w:val="32"/>
          <w:szCs w:val="32"/>
        </w:rPr>
        <w:t>设施变化）</w:t>
      </w:r>
      <w:r>
        <w:rPr>
          <w:rFonts w:hint="eastAsia" w:ascii="仿宋_GB2312" w:hAnsi="仿宋" w:eastAsia="仿宋_GB2312"/>
          <w:sz w:val="32"/>
          <w:szCs w:val="32"/>
        </w:rPr>
        <w:t>情况</w:t>
      </w:r>
    </w:p>
    <w:p w14:paraId="1445922C">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4.</w:t>
      </w:r>
      <w:r>
        <w:rPr>
          <w:rFonts w:ascii="仿宋_GB2312" w:hAnsi="仿宋" w:eastAsia="仿宋_GB2312" w:cs="宋体"/>
          <w:sz w:val="32"/>
          <w:szCs w:val="32"/>
        </w:rPr>
        <w:t>5</w:t>
      </w:r>
      <w:r>
        <w:rPr>
          <w:rFonts w:hint="eastAsia" w:ascii="仿宋_GB2312" w:hAnsi="仿宋" w:eastAsia="仿宋_GB2312" w:cs="宋体"/>
          <w:sz w:val="32"/>
          <w:szCs w:val="32"/>
        </w:rPr>
        <w:tab/>
      </w:r>
      <w:r>
        <w:rPr>
          <w:rFonts w:hint="eastAsia" w:ascii="仿宋_GB2312" w:hAnsi="仿宋" w:eastAsia="仿宋_GB2312" w:cs="宋体"/>
          <w:sz w:val="32"/>
          <w:szCs w:val="32"/>
        </w:rPr>
        <w:t>核查过程未覆盖到的问题的描述</w:t>
      </w:r>
    </w:p>
    <w:p w14:paraId="35390B37">
      <w:pPr>
        <w:spacing w:after="0" w:line="560" w:lineRule="exact"/>
        <w:ind w:right="850"/>
        <w:outlineLvl w:val="0"/>
        <w:rPr>
          <w:rFonts w:ascii="仿宋_GB2312" w:hAnsi="仿宋" w:eastAsia="仿宋_GB2312" w:cs="Arial"/>
          <w:b/>
          <w:caps/>
          <w:sz w:val="32"/>
          <w:szCs w:val="32"/>
        </w:rPr>
      </w:pPr>
      <w:r>
        <w:rPr>
          <w:rFonts w:hint="eastAsia" w:ascii="仿宋_GB2312" w:hAnsi="仿宋" w:eastAsia="仿宋_GB2312" w:cs="Arial"/>
          <w:b/>
          <w:caps/>
          <w:sz w:val="32"/>
          <w:szCs w:val="32"/>
        </w:rPr>
        <w:t>5. 附件</w:t>
      </w:r>
    </w:p>
    <w:p w14:paraId="169A8793">
      <w:pPr>
        <w:spacing w:after="0" w:line="560" w:lineRule="exact"/>
        <w:ind w:right="850"/>
        <w:rPr>
          <w:rFonts w:ascii="仿宋_GB2312" w:hAnsi="仿宋" w:eastAsia="仿宋_GB2312" w:cs="Arial"/>
          <w:caps/>
          <w:sz w:val="32"/>
          <w:szCs w:val="32"/>
        </w:rPr>
      </w:pPr>
      <w:r>
        <w:rPr>
          <w:rFonts w:hint="eastAsia" w:ascii="仿宋_GB2312" w:hAnsi="仿宋" w:eastAsia="仿宋_GB2312" w:cs="Arial"/>
          <w:caps/>
          <w:sz w:val="32"/>
          <w:szCs w:val="32"/>
        </w:rPr>
        <w:t>附件1：不符合清单</w:t>
      </w:r>
    </w:p>
    <w:p w14:paraId="772010C5">
      <w:pPr>
        <w:spacing w:after="0" w:line="560" w:lineRule="exact"/>
        <w:ind w:right="850"/>
        <w:rPr>
          <w:rFonts w:ascii="仿宋_GB2312" w:hAnsi="仿宋" w:eastAsia="仿宋_GB2312" w:cs="Arial"/>
          <w:caps/>
          <w:sz w:val="32"/>
          <w:szCs w:val="32"/>
        </w:rPr>
      </w:pPr>
      <w:r>
        <w:rPr>
          <w:rFonts w:hint="eastAsia" w:ascii="仿宋_GB2312" w:hAnsi="仿宋" w:eastAsia="仿宋_GB2312" w:cs="Arial"/>
          <w:caps/>
          <w:sz w:val="32"/>
          <w:szCs w:val="32"/>
        </w:rPr>
        <w:t>附件2：对今后核算活动的建议</w:t>
      </w:r>
    </w:p>
    <w:p w14:paraId="3E348B73">
      <w:pPr>
        <w:spacing w:after="0" w:line="560" w:lineRule="exact"/>
        <w:rPr>
          <w:rFonts w:ascii="仿宋_GB2312" w:hAnsi="仿宋" w:eastAsia="仿宋_GB2312" w:cs="宋体"/>
          <w:b/>
          <w:bCs/>
          <w:sz w:val="32"/>
          <w:szCs w:val="32"/>
        </w:rPr>
      </w:pPr>
    </w:p>
    <w:p w14:paraId="2EAC310D">
      <w:pPr>
        <w:spacing w:after="0" w:line="560" w:lineRule="exact"/>
        <w:rPr>
          <w:rFonts w:ascii="仿宋_GB2312" w:hAnsi="仿宋" w:eastAsia="仿宋_GB2312" w:cs="Arial"/>
          <w:caps/>
          <w:sz w:val="32"/>
          <w:szCs w:val="32"/>
        </w:rPr>
      </w:pPr>
      <w:r>
        <w:rPr>
          <w:rFonts w:hint="eastAsia" w:ascii="仿宋_GB2312" w:hAnsi="仿宋" w:eastAsia="仿宋_GB2312" w:cs="宋体"/>
          <w:b/>
          <w:bCs/>
          <w:sz w:val="32"/>
          <w:szCs w:val="32"/>
        </w:rPr>
        <w:t>第五部分  参考文件</w:t>
      </w:r>
      <w:r>
        <w:rPr>
          <w:rFonts w:ascii="仿宋_GB2312" w:hAnsi="仿宋" w:eastAsia="仿宋_GB2312" w:cs="Arial"/>
          <w:caps/>
          <w:sz w:val="32"/>
          <w:szCs w:val="32"/>
        </w:rPr>
        <w:br w:type="page"/>
      </w:r>
    </w:p>
    <w:p w14:paraId="3EB7C82D">
      <w:pPr>
        <w:spacing w:after="0" w:line="560" w:lineRule="exact"/>
        <w:rPr>
          <w:rFonts w:ascii="黑体" w:hAnsi="黑体" w:eastAsia="黑体"/>
          <w:sz w:val="32"/>
          <w:szCs w:val="32"/>
        </w:rPr>
      </w:pPr>
      <w:r>
        <w:rPr>
          <w:rFonts w:hint="eastAsia" w:ascii="黑体" w:hAnsi="黑体" w:eastAsia="黑体"/>
          <w:sz w:val="32"/>
          <w:szCs w:val="32"/>
        </w:rPr>
        <w:t>附件2</w:t>
      </w:r>
    </w:p>
    <w:p w14:paraId="3BF02D49">
      <w:pPr>
        <w:spacing w:after="0" w:line="560" w:lineRule="exact"/>
        <w:ind w:right="850"/>
        <w:jc w:val="center"/>
        <w:rPr>
          <w:rFonts w:cs="Arial" w:asciiTheme="majorEastAsia" w:hAnsiTheme="majorEastAsia" w:eastAsiaTheme="majorEastAsia"/>
          <w:b/>
          <w:caps/>
          <w:sz w:val="44"/>
          <w:szCs w:val="44"/>
        </w:rPr>
      </w:pPr>
    </w:p>
    <w:p w14:paraId="056DD1FF">
      <w:pPr>
        <w:spacing w:after="0" w:line="560" w:lineRule="exact"/>
        <w:ind w:right="850"/>
        <w:jc w:val="center"/>
        <w:rPr>
          <w:rFonts w:cs="Arial" w:asciiTheme="majorEastAsia" w:hAnsiTheme="majorEastAsia" w:eastAsiaTheme="majorEastAsia"/>
          <w:b/>
          <w:caps/>
          <w:sz w:val="44"/>
          <w:szCs w:val="44"/>
        </w:rPr>
      </w:pPr>
      <w:r>
        <w:rPr>
          <w:rFonts w:hint="eastAsia" w:cs="Arial" w:asciiTheme="majorEastAsia" w:hAnsiTheme="majorEastAsia" w:eastAsiaTheme="majorEastAsia"/>
          <w:b/>
          <w:caps/>
          <w:sz w:val="44"/>
          <w:szCs w:val="44"/>
        </w:rPr>
        <w:t>扉页核查结论模板</w:t>
      </w:r>
    </w:p>
    <w:p w14:paraId="531688EA">
      <w:pPr>
        <w:spacing w:after="0" w:line="560" w:lineRule="exact"/>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核查结论</w:t>
      </w:r>
    </w:p>
    <w:p w14:paraId="70E10D70">
      <w:pPr>
        <w:spacing w:after="0" w:line="560"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Xxxx</w:t>
      </w:r>
      <w:r>
        <w:rPr>
          <w:rFonts w:hint="eastAsia" w:ascii="Times New Roman" w:hAnsi="Times New Roman" w:eastAsia="仿宋_GB2312"/>
          <w:color w:val="000000" w:themeColor="text1"/>
          <w:sz w:val="32"/>
          <w:szCs w:val="32"/>
        </w:rPr>
        <w:t>二氧化碳排放重点排放单位（以下简称排放单位）委托</w:t>
      </w:r>
      <w:r>
        <w:rPr>
          <w:rFonts w:ascii="Times New Roman" w:hAnsi="Times New Roman" w:eastAsia="仿宋_GB2312"/>
          <w:color w:val="000000" w:themeColor="text1"/>
          <w:sz w:val="32"/>
          <w:szCs w:val="32"/>
        </w:rPr>
        <w:t>xxx单位（核查机构）</w:t>
      </w:r>
      <w:r>
        <w:rPr>
          <w:rFonts w:hint="eastAsia" w:ascii="Times New Roman" w:hAnsi="Times New Roman" w:eastAsia="仿宋_GB2312"/>
          <w:color w:val="000000" w:themeColor="text1"/>
          <w:sz w:val="32"/>
          <w:szCs w:val="32"/>
        </w:rPr>
        <w:t>开展</w:t>
      </w:r>
      <w:r>
        <w:rPr>
          <w:rFonts w:ascii="Times New Roman" w:hAnsi="Times New Roman" w:eastAsia="仿宋_GB2312"/>
          <w:color w:val="000000" w:themeColor="text1"/>
          <w:sz w:val="32"/>
          <w:szCs w:val="32"/>
        </w:rPr>
        <w:t>XXXX</w:t>
      </w:r>
      <w:r>
        <w:rPr>
          <w:rFonts w:hint="eastAsia" w:ascii="Times New Roman" w:hAnsi="Times New Roman" w:eastAsia="仿宋_GB2312"/>
          <w:color w:val="000000" w:themeColor="text1"/>
          <w:sz w:val="32"/>
          <w:szCs w:val="32"/>
        </w:rPr>
        <w:t>年二氧化碳排放的核查工作。核查范围包括排放单位所有在北京市辖区内的固定设施和</w:t>
      </w:r>
      <w:r>
        <w:rPr>
          <w:rFonts w:hint="eastAsia" w:ascii="仿宋_GB2312" w:hAnsi="仿宋" w:eastAsia="仿宋_GB2312"/>
          <w:color w:val="000000" w:themeColor="text1"/>
          <w:sz w:val="32"/>
          <w:szCs w:val="32"/>
        </w:rPr>
        <w:t>以北京为注册地的交通运输行业的移动设施产生的二氧化碳直接排放和二氧化碳间接排放</w:t>
      </w:r>
    </w:p>
    <w:p w14:paraId="5D3BDF6C">
      <w:pPr>
        <w:spacing w:after="0" w:line="560" w:lineRule="exact"/>
        <w:ind w:firstLine="640" w:firstLineChars="200"/>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通过文件评审、现场访问、核查报告编写及内部技术复核，核查组对排放单位</w:t>
      </w:r>
      <w:r>
        <w:rPr>
          <w:rFonts w:ascii="Times New Roman" w:hAnsi="Times New Roman" w:eastAsia="仿宋_GB2312"/>
          <w:color w:val="000000" w:themeColor="text1"/>
          <w:sz w:val="32"/>
          <w:szCs w:val="32"/>
        </w:rPr>
        <w:t>XXXX</w:t>
      </w:r>
      <w:r>
        <w:rPr>
          <w:rFonts w:hint="eastAsia" w:ascii="Times New Roman" w:hAnsi="Times New Roman" w:eastAsia="仿宋_GB2312"/>
          <w:color w:val="000000" w:themeColor="text1"/>
          <w:sz w:val="32"/>
          <w:szCs w:val="32"/>
        </w:rPr>
        <w:t>年度二氧化碳排放报告形成如下核查结论：</w:t>
      </w:r>
    </w:p>
    <w:p w14:paraId="10A2A118">
      <w:pPr>
        <w:pStyle w:val="50"/>
        <w:numPr>
          <w:ilvl w:val="0"/>
          <w:numId w:val="30"/>
        </w:numPr>
        <w:spacing w:after="0" w:line="560" w:lineRule="exact"/>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核算、报告与方法学的符合性</w:t>
      </w:r>
    </w:p>
    <w:p w14:paraId="5DC779B6">
      <w:pPr>
        <w:spacing w:after="0" w:line="560" w:lineRule="exact"/>
        <w:ind w:firstLine="640" w:firstLineChars="200"/>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核查组确认所有不符合已全部关闭，排放单位的核算与报告均符合地方标准或适用的核算和报告指南（名称）的要求，核查组对本排放报告出具肯定的核查结论。</w:t>
      </w:r>
    </w:p>
    <w:p w14:paraId="796D1B23">
      <w:pPr>
        <w:spacing w:after="0" w:line="560"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2.</w:t>
      </w:r>
      <w:r>
        <w:rPr>
          <w:rFonts w:hint="eastAsia" w:ascii="Times New Roman" w:hAnsi="Times New Roman" w:eastAsia="仿宋_GB2312"/>
          <w:color w:val="000000" w:themeColor="text1"/>
          <w:sz w:val="32"/>
          <w:szCs w:val="32"/>
        </w:rPr>
        <w:t>本年度排放量及活动水平数据的声明</w:t>
      </w:r>
    </w:p>
    <w:p w14:paraId="50E578EA">
      <w:pPr>
        <w:spacing w:after="0" w:line="560" w:lineRule="exact"/>
        <w:ind w:firstLine="640" w:firstLineChars="200"/>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经核查的直接和间接排放量与最终排放报告中数据一致。经核查的直接排放量为</w:t>
      </w:r>
      <w:r>
        <w:rPr>
          <w:rFonts w:ascii="Times New Roman" w:hAnsi="Times New Roman" w:eastAsia="仿宋_GB2312"/>
          <w:color w:val="000000" w:themeColor="text1"/>
          <w:sz w:val="32"/>
          <w:szCs w:val="32"/>
        </w:rPr>
        <w:t>xxxx.xx</w:t>
      </w:r>
      <w:r>
        <w:rPr>
          <w:rFonts w:hint="eastAsia" w:ascii="Times New Roman" w:hAnsi="Times New Roman" w:eastAsia="仿宋_GB2312"/>
          <w:color w:val="000000" w:themeColor="text1"/>
          <w:sz w:val="32"/>
          <w:szCs w:val="32"/>
        </w:rPr>
        <w:t>吨，间接排放量为</w:t>
      </w:r>
      <w:r>
        <w:rPr>
          <w:rFonts w:ascii="Times New Roman" w:hAnsi="Times New Roman" w:eastAsia="仿宋_GB2312"/>
          <w:color w:val="000000" w:themeColor="text1"/>
          <w:sz w:val="32"/>
          <w:szCs w:val="32"/>
        </w:rPr>
        <w:t>xxxx.xx</w:t>
      </w:r>
      <w:r>
        <w:rPr>
          <w:rFonts w:hint="eastAsia" w:ascii="Times New Roman" w:hAnsi="Times New Roman" w:eastAsia="仿宋_GB2312"/>
          <w:color w:val="000000" w:themeColor="text1"/>
          <w:sz w:val="32"/>
          <w:szCs w:val="32"/>
        </w:rPr>
        <w:t>吨，总排放量为</w:t>
      </w:r>
      <w:r>
        <w:rPr>
          <w:rFonts w:ascii="Times New Roman" w:hAnsi="Times New Roman" w:eastAsia="仿宋_GB2312"/>
          <w:color w:val="000000" w:themeColor="text1"/>
          <w:sz w:val="32"/>
          <w:szCs w:val="32"/>
        </w:rPr>
        <w:t>xxxx.xx</w:t>
      </w:r>
      <w:r>
        <w:rPr>
          <w:rFonts w:hint="eastAsia" w:ascii="Times New Roman" w:hAnsi="Times New Roman" w:eastAsia="仿宋_GB2312"/>
          <w:color w:val="000000" w:themeColor="text1"/>
          <w:sz w:val="32"/>
          <w:szCs w:val="32"/>
        </w:rPr>
        <w:t>吨。</w:t>
      </w:r>
    </w:p>
    <w:p w14:paraId="789A8079">
      <w:pPr>
        <w:spacing w:after="0" w:line="560" w:lineRule="exact"/>
        <w:ind w:firstLine="640" w:firstLineChars="200"/>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经核查活动水平数据</w:t>
      </w:r>
      <w:r>
        <w:rPr>
          <w:rFonts w:ascii="Times New Roman" w:hAnsi="Times New Roman" w:eastAsia="仿宋_GB2312"/>
          <w:color w:val="000000" w:themeColor="text1"/>
          <w:sz w:val="32"/>
          <w:szCs w:val="32"/>
        </w:rPr>
        <w:t>xxx</w:t>
      </w:r>
      <w:r>
        <w:rPr>
          <w:rFonts w:hint="eastAsia" w:ascii="Times New Roman" w:hAnsi="Times New Roman" w:eastAsia="仿宋_GB2312"/>
          <w:color w:val="000000" w:themeColor="text1"/>
          <w:sz w:val="32"/>
          <w:szCs w:val="32"/>
        </w:rPr>
        <w:t>（例如建筑面积）与最终排放报告中数据一致。经核查的建筑面积为</w:t>
      </w:r>
      <w:r>
        <w:rPr>
          <w:rFonts w:ascii="Times New Roman" w:hAnsi="Times New Roman" w:eastAsia="仿宋_GB2312"/>
          <w:color w:val="000000" w:themeColor="text1"/>
          <w:sz w:val="32"/>
          <w:szCs w:val="32"/>
        </w:rPr>
        <w:t>xxx</w:t>
      </w:r>
      <w:r>
        <w:rPr>
          <w:rFonts w:hint="eastAsia" w:ascii="Times New Roman" w:hAnsi="Times New Roman" w:eastAsia="仿宋_GB2312"/>
          <w:color w:val="000000" w:themeColor="text1"/>
          <w:sz w:val="32"/>
          <w:szCs w:val="32"/>
        </w:rPr>
        <w:t>平方米。</w:t>
      </w:r>
    </w:p>
    <w:p w14:paraId="69AEE92B">
      <w:pPr>
        <w:spacing w:after="0" w:line="560"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3.</w:t>
      </w:r>
      <w:r>
        <w:rPr>
          <w:rFonts w:hint="eastAsia" w:ascii="Times New Roman" w:hAnsi="Times New Roman" w:eastAsia="仿宋_GB2312"/>
          <w:color w:val="000000" w:themeColor="text1"/>
          <w:sz w:val="32"/>
          <w:szCs w:val="32"/>
        </w:rPr>
        <w:t>年度排放量及活动水平波动的原因说明</w:t>
      </w:r>
    </w:p>
    <w:p w14:paraId="18752898">
      <w:pPr>
        <w:spacing w:after="0" w:line="560" w:lineRule="exact"/>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本年度排放量与上一年度排放量相比增加（或减少）</w:t>
      </w:r>
      <w:r>
        <w:rPr>
          <w:rFonts w:ascii="Times New Roman" w:hAnsi="Times New Roman" w:eastAsia="仿宋_GB2312"/>
          <w:color w:val="000000" w:themeColor="text1"/>
          <w:sz w:val="32"/>
          <w:szCs w:val="32"/>
        </w:rPr>
        <w:t>xxxx.xx</w:t>
      </w:r>
      <w:r>
        <w:rPr>
          <w:rFonts w:hint="eastAsia" w:ascii="Times New Roman" w:hAnsi="Times New Roman" w:eastAsia="仿宋_GB2312"/>
          <w:color w:val="000000" w:themeColor="text1"/>
          <w:sz w:val="32"/>
          <w:szCs w:val="32"/>
        </w:rPr>
        <w:t>吨</w:t>
      </w:r>
      <w:r>
        <w:rPr>
          <w:rFonts w:ascii="Times New Roman" w:hAnsi="Times New Roman" w:eastAsia="仿宋_GB2312"/>
          <w:color w:val="000000" w:themeColor="text1"/>
          <w:sz w:val="32"/>
          <w:szCs w:val="32"/>
        </w:rPr>
        <w:t>/x.xx%</w:t>
      </w:r>
      <w:r>
        <w:rPr>
          <w:rFonts w:hint="eastAsia" w:ascii="Times New Roman" w:hAnsi="Times New Roman" w:eastAsia="仿宋_GB2312"/>
          <w:color w:val="000000" w:themeColor="text1"/>
          <w:sz w:val="32"/>
          <w:szCs w:val="32"/>
        </w:rPr>
        <w:t>，其中直接排放相比上一年度增加（或减少）</w:t>
      </w:r>
      <w:r>
        <w:rPr>
          <w:rFonts w:ascii="Times New Roman" w:hAnsi="Times New Roman" w:eastAsia="仿宋_GB2312"/>
          <w:color w:val="000000" w:themeColor="text1"/>
          <w:sz w:val="32"/>
          <w:szCs w:val="32"/>
        </w:rPr>
        <w:t>xxxx.xx</w:t>
      </w:r>
      <w:r>
        <w:rPr>
          <w:rFonts w:hint="eastAsia" w:ascii="Times New Roman" w:hAnsi="Times New Roman" w:eastAsia="仿宋_GB2312"/>
          <w:color w:val="000000" w:themeColor="text1"/>
          <w:sz w:val="32"/>
          <w:szCs w:val="32"/>
        </w:rPr>
        <w:t>吨</w:t>
      </w:r>
      <w:r>
        <w:rPr>
          <w:rFonts w:ascii="Times New Roman" w:hAnsi="Times New Roman" w:eastAsia="仿宋_GB2312"/>
          <w:color w:val="000000" w:themeColor="text1"/>
          <w:sz w:val="32"/>
          <w:szCs w:val="32"/>
        </w:rPr>
        <w:t>/x.xx%</w:t>
      </w:r>
      <w:r>
        <w:rPr>
          <w:rFonts w:hint="eastAsia" w:ascii="Times New Roman" w:hAnsi="Times New Roman" w:eastAsia="仿宋_GB2312"/>
          <w:color w:val="000000" w:themeColor="text1"/>
          <w:sz w:val="32"/>
          <w:szCs w:val="32"/>
        </w:rPr>
        <w:t>，间接排放相比上一年度增加（或减少）</w:t>
      </w:r>
      <w:r>
        <w:rPr>
          <w:rFonts w:ascii="Times New Roman" w:hAnsi="Times New Roman" w:eastAsia="仿宋_GB2312"/>
          <w:color w:val="000000" w:themeColor="text1"/>
          <w:sz w:val="32"/>
          <w:szCs w:val="32"/>
        </w:rPr>
        <w:t>xxxx.xx</w:t>
      </w:r>
      <w:r>
        <w:rPr>
          <w:rFonts w:hint="eastAsia" w:ascii="Times New Roman" w:hAnsi="Times New Roman" w:eastAsia="仿宋_GB2312"/>
          <w:color w:val="000000" w:themeColor="text1"/>
          <w:sz w:val="32"/>
          <w:szCs w:val="32"/>
        </w:rPr>
        <w:t>吨</w:t>
      </w:r>
      <w:r>
        <w:rPr>
          <w:rFonts w:ascii="Times New Roman" w:hAnsi="Times New Roman" w:eastAsia="仿宋_GB2312"/>
          <w:color w:val="000000" w:themeColor="text1"/>
          <w:sz w:val="32"/>
          <w:szCs w:val="32"/>
        </w:rPr>
        <w:t>/x.xx%</w:t>
      </w:r>
      <w:r>
        <w:rPr>
          <w:rFonts w:hint="eastAsia" w:ascii="Times New Roman" w:hAnsi="Times New Roman" w:eastAsia="仿宋_GB2312"/>
          <w:color w:val="000000" w:themeColor="text1"/>
          <w:sz w:val="32"/>
          <w:szCs w:val="32"/>
        </w:rPr>
        <w:t>，原因为</w:t>
      </w:r>
      <w:r>
        <w:rPr>
          <w:rFonts w:ascii="Times New Roman" w:hAnsi="Times New Roman" w:eastAsia="仿宋_GB2312"/>
          <w:color w:val="000000" w:themeColor="text1"/>
          <w:sz w:val="32"/>
          <w:szCs w:val="32"/>
        </w:rPr>
        <w:t>xxxxxxx</w:t>
      </w:r>
      <w:r>
        <w:rPr>
          <w:rFonts w:hint="eastAsia" w:ascii="Times New Roman" w:hAnsi="Times New Roman" w:eastAsia="仿宋_GB2312"/>
          <w:color w:val="000000" w:themeColor="text1"/>
          <w:sz w:val="32"/>
          <w:szCs w:val="32"/>
        </w:rPr>
        <w:t>。</w:t>
      </w:r>
    </w:p>
    <w:p w14:paraId="5A231125">
      <w:pPr>
        <w:spacing w:after="0" w:line="560" w:lineRule="exact"/>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本年度排放量相比历史基准年份排放量相比增加（或减少）</w:t>
      </w:r>
      <w:r>
        <w:rPr>
          <w:rFonts w:ascii="Times New Roman" w:hAnsi="Times New Roman" w:eastAsia="仿宋_GB2312"/>
          <w:color w:val="000000" w:themeColor="text1"/>
          <w:sz w:val="32"/>
          <w:szCs w:val="32"/>
        </w:rPr>
        <w:t>xxxx.xx</w:t>
      </w:r>
      <w:r>
        <w:rPr>
          <w:rFonts w:hint="eastAsia" w:ascii="Times New Roman" w:hAnsi="Times New Roman" w:eastAsia="仿宋_GB2312"/>
          <w:color w:val="000000" w:themeColor="text1"/>
          <w:sz w:val="32"/>
          <w:szCs w:val="32"/>
        </w:rPr>
        <w:t>吨，增加（或减少）比例为</w:t>
      </w:r>
      <w:r>
        <w:rPr>
          <w:rFonts w:ascii="Times New Roman" w:hAnsi="Times New Roman" w:eastAsia="仿宋_GB2312"/>
          <w:color w:val="000000" w:themeColor="text1"/>
          <w:sz w:val="32"/>
          <w:szCs w:val="32"/>
        </w:rPr>
        <w:t>x.xx%；</w:t>
      </w:r>
      <w:r>
        <w:rPr>
          <w:rFonts w:hint="eastAsia" w:ascii="Times New Roman" w:hAnsi="Times New Roman" w:eastAsia="仿宋_GB2312"/>
          <w:color w:val="000000" w:themeColor="text1"/>
          <w:sz w:val="32"/>
          <w:szCs w:val="32"/>
        </w:rPr>
        <w:t>本年度排放量相比上一年度增加（或减少）</w:t>
      </w:r>
      <w:r>
        <w:rPr>
          <w:rFonts w:ascii="Times New Roman" w:hAnsi="Times New Roman" w:eastAsia="仿宋_GB2312"/>
          <w:color w:val="000000" w:themeColor="text1"/>
          <w:sz w:val="32"/>
          <w:szCs w:val="32"/>
        </w:rPr>
        <w:t>xxxx.xx</w:t>
      </w:r>
      <w:r>
        <w:rPr>
          <w:rFonts w:hint="eastAsia" w:ascii="Times New Roman" w:hAnsi="Times New Roman" w:eastAsia="仿宋_GB2312"/>
          <w:color w:val="000000" w:themeColor="text1"/>
          <w:sz w:val="32"/>
          <w:szCs w:val="32"/>
        </w:rPr>
        <w:t>吨，增加（或减少）比例为</w:t>
      </w:r>
      <w:r>
        <w:rPr>
          <w:rFonts w:ascii="Times New Roman" w:hAnsi="Times New Roman" w:eastAsia="仿宋_GB2312"/>
          <w:color w:val="000000" w:themeColor="text1"/>
          <w:sz w:val="32"/>
          <w:szCs w:val="32"/>
        </w:rPr>
        <w:t>x.xx%</w:t>
      </w:r>
      <w:r>
        <w:rPr>
          <w:rFonts w:hint="eastAsia" w:ascii="Times New Roman" w:hAnsi="Times New Roman" w:eastAsia="仿宋_GB2312"/>
          <w:color w:val="000000" w:themeColor="text1"/>
          <w:sz w:val="32"/>
          <w:szCs w:val="32"/>
        </w:rPr>
        <w:t>。</w:t>
      </w:r>
    </w:p>
    <w:p w14:paraId="5A1CB69C">
      <w:pPr>
        <w:spacing w:after="0" w:line="560" w:lineRule="exact"/>
        <w:jc w:val="center"/>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24"/>
        </w:rPr>
        <w:t>表</w:t>
      </w:r>
      <w:r>
        <w:rPr>
          <w:rFonts w:ascii="Times New Roman" w:hAnsi="Times New Roman" w:eastAsia="仿宋_GB2312"/>
          <w:color w:val="000000" w:themeColor="text1"/>
          <w:sz w:val="24"/>
        </w:rPr>
        <w:t xml:space="preserve">XX  </w:t>
      </w:r>
      <w:r>
        <w:rPr>
          <w:rFonts w:hint="eastAsia" w:ascii="Times New Roman" w:hAnsi="Times New Roman" w:eastAsia="仿宋_GB2312"/>
          <w:color w:val="000000" w:themeColor="text1"/>
          <w:sz w:val="24"/>
        </w:rPr>
        <w:t>排放量汇总表</w:t>
      </w:r>
    </w:p>
    <w:tbl>
      <w:tblPr>
        <w:tblStyle w:val="35"/>
        <w:tblW w:w="79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144"/>
        <w:gridCol w:w="2243"/>
        <w:gridCol w:w="2270"/>
      </w:tblGrid>
      <w:tr w14:paraId="0905F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260" w:type="dxa"/>
            <w:vAlign w:val="center"/>
          </w:tcPr>
          <w:p w14:paraId="3894B09C">
            <w:pPr>
              <w:spacing w:after="0" w:line="560" w:lineRule="exact"/>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年度</w:t>
            </w:r>
          </w:p>
        </w:tc>
        <w:tc>
          <w:tcPr>
            <w:tcW w:w="2144" w:type="dxa"/>
            <w:vAlign w:val="center"/>
          </w:tcPr>
          <w:p w14:paraId="49580415">
            <w:pPr>
              <w:spacing w:after="0" w:line="560" w:lineRule="exact"/>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直接排放量（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c>
          <w:tcPr>
            <w:tcW w:w="2243" w:type="dxa"/>
            <w:vAlign w:val="center"/>
          </w:tcPr>
          <w:p w14:paraId="7ED10430">
            <w:pPr>
              <w:spacing w:after="0" w:line="560" w:lineRule="exact"/>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间接排放量（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c>
          <w:tcPr>
            <w:tcW w:w="2270" w:type="dxa"/>
            <w:vAlign w:val="center"/>
          </w:tcPr>
          <w:p w14:paraId="2EAB2E61">
            <w:pPr>
              <w:spacing w:after="0" w:line="560" w:lineRule="exact"/>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排放总量（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r>
      <w:tr w14:paraId="012DB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260" w:type="dxa"/>
            <w:noWrap/>
            <w:vAlign w:val="center"/>
          </w:tcPr>
          <w:p w14:paraId="579BB185">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2016</w:t>
            </w:r>
          </w:p>
        </w:tc>
        <w:tc>
          <w:tcPr>
            <w:tcW w:w="2144" w:type="dxa"/>
            <w:noWrap/>
            <w:vAlign w:val="center"/>
          </w:tcPr>
          <w:p w14:paraId="2BF82838">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500.00</w:t>
            </w:r>
          </w:p>
        </w:tc>
        <w:tc>
          <w:tcPr>
            <w:tcW w:w="2243" w:type="dxa"/>
            <w:noWrap/>
            <w:vAlign w:val="center"/>
          </w:tcPr>
          <w:p w14:paraId="3ADC3B95">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14297.00</w:t>
            </w:r>
          </w:p>
        </w:tc>
        <w:tc>
          <w:tcPr>
            <w:tcW w:w="2270" w:type="dxa"/>
            <w:vAlign w:val="center"/>
          </w:tcPr>
          <w:p w14:paraId="042CBEE8">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14797.00</w:t>
            </w:r>
          </w:p>
        </w:tc>
      </w:tr>
      <w:tr w14:paraId="3F22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noWrap/>
            <w:vAlign w:val="center"/>
          </w:tcPr>
          <w:p w14:paraId="42B88C56">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2017</w:t>
            </w:r>
          </w:p>
        </w:tc>
        <w:tc>
          <w:tcPr>
            <w:tcW w:w="2144" w:type="dxa"/>
            <w:noWrap/>
            <w:vAlign w:val="center"/>
          </w:tcPr>
          <w:p w14:paraId="6CD2B4F3">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3000.00</w:t>
            </w:r>
          </w:p>
        </w:tc>
        <w:tc>
          <w:tcPr>
            <w:tcW w:w="2243" w:type="dxa"/>
            <w:noWrap/>
            <w:vAlign w:val="center"/>
          </w:tcPr>
          <w:p w14:paraId="346C46E7">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13643.00</w:t>
            </w:r>
          </w:p>
        </w:tc>
        <w:tc>
          <w:tcPr>
            <w:tcW w:w="2270" w:type="dxa"/>
            <w:vAlign w:val="center"/>
          </w:tcPr>
          <w:p w14:paraId="3BA6B73A">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16643.00</w:t>
            </w:r>
          </w:p>
        </w:tc>
      </w:tr>
      <w:tr w14:paraId="1CD3F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noWrap/>
            <w:vAlign w:val="center"/>
          </w:tcPr>
          <w:p w14:paraId="0BDEC2DE">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2018</w:t>
            </w:r>
          </w:p>
        </w:tc>
        <w:tc>
          <w:tcPr>
            <w:tcW w:w="2144" w:type="dxa"/>
            <w:noWrap/>
            <w:vAlign w:val="center"/>
          </w:tcPr>
          <w:p w14:paraId="1E19D7B7">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3500.00</w:t>
            </w:r>
          </w:p>
        </w:tc>
        <w:tc>
          <w:tcPr>
            <w:tcW w:w="2243" w:type="dxa"/>
            <w:noWrap/>
            <w:vAlign w:val="center"/>
          </w:tcPr>
          <w:p w14:paraId="26004663">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13500.00</w:t>
            </w:r>
          </w:p>
        </w:tc>
        <w:tc>
          <w:tcPr>
            <w:tcW w:w="2270" w:type="dxa"/>
            <w:vAlign w:val="center"/>
          </w:tcPr>
          <w:p w14:paraId="7AE3BC4B">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17000.00</w:t>
            </w:r>
          </w:p>
        </w:tc>
      </w:tr>
      <w:tr w14:paraId="4C631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noWrap/>
            <w:vAlign w:val="center"/>
          </w:tcPr>
          <w:p w14:paraId="1031AF1E">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2019</w:t>
            </w:r>
          </w:p>
        </w:tc>
        <w:tc>
          <w:tcPr>
            <w:tcW w:w="2144" w:type="dxa"/>
            <w:noWrap/>
            <w:vAlign w:val="center"/>
          </w:tcPr>
          <w:p w14:paraId="733CAA04">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4500.00</w:t>
            </w:r>
          </w:p>
        </w:tc>
        <w:tc>
          <w:tcPr>
            <w:tcW w:w="2243" w:type="dxa"/>
            <w:noWrap/>
            <w:vAlign w:val="center"/>
          </w:tcPr>
          <w:p w14:paraId="73FC4752">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13600.00</w:t>
            </w:r>
          </w:p>
        </w:tc>
        <w:tc>
          <w:tcPr>
            <w:tcW w:w="2270" w:type="dxa"/>
            <w:vAlign w:val="center"/>
          </w:tcPr>
          <w:p w14:paraId="481BE5D4">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18100.00</w:t>
            </w:r>
          </w:p>
        </w:tc>
      </w:tr>
      <w:tr w14:paraId="4355F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noWrap/>
            <w:vAlign w:val="center"/>
          </w:tcPr>
          <w:p w14:paraId="6FCAE4CD">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2020</w:t>
            </w:r>
          </w:p>
        </w:tc>
        <w:tc>
          <w:tcPr>
            <w:tcW w:w="2144" w:type="dxa"/>
            <w:noWrap/>
            <w:vAlign w:val="center"/>
          </w:tcPr>
          <w:p w14:paraId="5CDFE973">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4500.00</w:t>
            </w:r>
          </w:p>
        </w:tc>
        <w:tc>
          <w:tcPr>
            <w:tcW w:w="2243" w:type="dxa"/>
            <w:noWrap/>
            <w:vAlign w:val="center"/>
          </w:tcPr>
          <w:p w14:paraId="758858FD">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14000.00</w:t>
            </w:r>
          </w:p>
        </w:tc>
        <w:tc>
          <w:tcPr>
            <w:tcW w:w="2270" w:type="dxa"/>
            <w:vAlign w:val="center"/>
          </w:tcPr>
          <w:p w14:paraId="025DA19C">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18900.00</w:t>
            </w:r>
          </w:p>
        </w:tc>
      </w:tr>
    </w:tbl>
    <w:p w14:paraId="48CA0EF6">
      <w:pPr>
        <w:ind w:firstLine="640" w:firstLineChars="200"/>
        <w:rPr>
          <w:rFonts w:ascii="Times New Roman" w:hAnsi="Times New Roman" w:eastAsia="仿宋_GB2312"/>
          <w:sz w:val="32"/>
          <w:szCs w:val="32"/>
        </w:rPr>
      </w:pPr>
    </w:p>
    <w:p w14:paraId="3E30319D">
      <w:pPr>
        <w:ind w:firstLine="440" w:firstLineChars="200"/>
        <w:rPr>
          <w:rFonts w:ascii="Times New Roman" w:hAnsi="Times New Roman" w:eastAsia="仿宋_GB2312"/>
          <w:sz w:val="32"/>
          <w:szCs w:val="32"/>
        </w:rPr>
      </w:pPr>
      <w:r>
        <w:rPr>
          <w:lang w:val="en-US"/>
        </w:rPr>
        <w:drawing>
          <wp:inline distT="0" distB="0" distL="0" distR="0">
            <wp:extent cx="4568825" cy="2740025"/>
            <wp:effectExtent l="0" t="0" r="3175" b="3175"/>
            <wp:docPr id="10" name="图表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4D396F9">
      <w:pPr>
        <w:jc w:val="center"/>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24"/>
        </w:rPr>
        <w:t>图</w:t>
      </w:r>
      <w:r>
        <w:rPr>
          <w:rFonts w:ascii="Times New Roman" w:hAnsi="Times New Roman" w:eastAsia="仿宋_GB2312"/>
          <w:color w:val="000000" w:themeColor="text1"/>
          <w:sz w:val="24"/>
        </w:rPr>
        <w:t xml:space="preserve">XX  </w:t>
      </w:r>
      <w:r>
        <w:rPr>
          <w:rFonts w:hint="eastAsia" w:ascii="Times New Roman" w:hAnsi="Times New Roman" w:eastAsia="仿宋_GB2312"/>
          <w:color w:val="000000" w:themeColor="text1"/>
          <w:sz w:val="24"/>
        </w:rPr>
        <w:t>排放量变化趋势图（增加2</w:t>
      </w:r>
      <w:r>
        <w:rPr>
          <w:rFonts w:ascii="Times New Roman" w:hAnsi="Times New Roman" w:eastAsia="仿宋_GB2312"/>
          <w:color w:val="000000" w:themeColor="text1"/>
          <w:sz w:val="24"/>
        </w:rPr>
        <w:t>020年度）</w:t>
      </w:r>
    </w:p>
    <w:p w14:paraId="3DF55E79">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列表说明从基准年一直到现在每年直接和间接排放量及其变化情况，并说出变化的原因，活动水平的变化等。</w:t>
      </w:r>
    </w:p>
    <w:p w14:paraId="14C90703">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4.核算和报告边界变化</w:t>
      </w:r>
      <w:r>
        <w:rPr>
          <w:rFonts w:hint="eastAsia" w:ascii="Times New Roman" w:hAnsi="Times New Roman" w:eastAsia="仿宋_GB2312"/>
          <w:sz w:val="32"/>
          <w:szCs w:val="32"/>
        </w:rPr>
        <w:t>（含设施变化）</w:t>
      </w:r>
      <w:r>
        <w:rPr>
          <w:rFonts w:ascii="Times New Roman" w:hAnsi="Times New Roman" w:eastAsia="仿宋_GB2312"/>
          <w:sz w:val="32"/>
          <w:szCs w:val="32"/>
        </w:rPr>
        <w:t>情况</w:t>
      </w:r>
    </w:p>
    <w:p w14:paraId="238B9099">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4.1 本年度场所边界的变化</w:t>
      </w:r>
    </w:p>
    <w:p w14:paraId="47D1554A">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排放单位核算和报告边界为北京市辖区内的xxxxx的厂区（或服务范围），与上一年度相比，增加（或减少）xxxx厂区（或服务范围）；与</w:t>
      </w:r>
      <w:r>
        <w:rPr>
          <w:rFonts w:hint="eastAsia" w:ascii="Times New Roman" w:hAnsi="Times New Roman" w:eastAsia="仿宋_GB2312"/>
          <w:sz w:val="32"/>
          <w:szCs w:val="32"/>
        </w:rPr>
        <w:t>历史</w:t>
      </w:r>
      <w:r>
        <w:rPr>
          <w:rFonts w:ascii="Times New Roman" w:hAnsi="Times New Roman" w:eastAsia="仿宋_GB2312"/>
          <w:sz w:val="32"/>
          <w:szCs w:val="32"/>
        </w:rPr>
        <w:t>基准年相比，增加（或减少）xxx厂区（或服务范围）。</w:t>
      </w:r>
    </w:p>
    <w:p w14:paraId="07742E57">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4.2 </w:t>
      </w:r>
      <w:r>
        <w:rPr>
          <w:rFonts w:ascii="Times New Roman" w:hAnsi="Times New Roman" w:eastAsia="仿宋"/>
          <w:sz w:val="32"/>
          <w:szCs w:val="32"/>
        </w:rPr>
        <w:t>本年度排放设施的变化</w:t>
      </w:r>
    </w:p>
    <w:p w14:paraId="1B36E7AF">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排放单位2018年xxxx设施（或服务范围）截至2018年底运行（或服务）时间不足12个月，符合既有设施排放配额调整的申请条件。此信息供既有设施调整配额参考。</w:t>
      </w:r>
    </w:p>
    <w:p w14:paraId="7320F35B">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排放单位退出的既有设施（或服务范围）包括xxx。</w:t>
      </w:r>
    </w:p>
    <w:p w14:paraId="6CC3CDF7">
      <w:pPr>
        <w:spacing w:after="0" w:line="560" w:lineRule="exact"/>
        <w:jc w:val="center"/>
        <w:rPr>
          <w:rFonts w:ascii="Times New Roman" w:hAnsi="Times New Roman" w:eastAsia="仿宋_GB2312"/>
          <w:sz w:val="24"/>
        </w:rPr>
      </w:pPr>
      <w:r>
        <w:rPr>
          <w:rFonts w:ascii="Times New Roman" w:hAnsi="Times New Roman" w:eastAsia="仿宋_GB2312"/>
          <w:sz w:val="24"/>
        </w:rPr>
        <w:t>表XX  既有设施退出信息表</w:t>
      </w:r>
    </w:p>
    <w:tbl>
      <w:tblPr>
        <w:tblStyle w:val="35"/>
        <w:tblW w:w="8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
        <w:gridCol w:w="756"/>
        <w:gridCol w:w="1206"/>
        <w:gridCol w:w="576"/>
        <w:gridCol w:w="922"/>
        <w:gridCol w:w="1083"/>
        <w:gridCol w:w="1181"/>
        <w:gridCol w:w="1181"/>
        <w:gridCol w:w="1181"/>
      </w:tblGrid>
      <w:tr w14:paraId="02D07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62" w:type="dxa"/>
            <w:vMerge w:val="restart"/>
            <w:vAlign w:val="center"/>
          </w:tcPr>
          <w:p w14:paraId="491E59D1">
            <w:pPr>
              <w:spacing w:after="0" w:line="240" w:lineRule="auto"/>
              <w:jc w:val="center"/>
              <w:rPr>
                <w:rFonts w:ascii="Times New Roman" w:hAnsi="Times New Roman" w:eastAsia="仿宋_GB2312"/>
                <w:sz w:val="24"/>
                <w:szCs w:val="24"/>
              </w:rPr>
            </w:pPr>
            <w:r>
              <w:rPr>
                <w:rFonts w:ascii="Times New Roman" w:hAnsi="Times New Roman" w:eastAsia="仿宋_GB2312"/>
                <w:sz w:val="24"/>
                <w:szCs w:val="24"/>
              </w:rPr>
              <w:t>序号</w:t>
            </w:r>
          </w:p>
        </w:tc>
        <w:tc>
          <w:tcPr>
            <w:tcW w:w="756" w:type="dxa"/>
            <w:vMerge w:val="restart"/>
            <w:vAlign w:val="center"/>
          </w:tcPr>
          <w:p w14:paraId="03234104">
            <w:pPr>
              <w:spacing w:after="0" w:line="240" w:lineRule="auto"/>
              <w:jc w:val="center"/>
              <w:rPr>
                <w:rFonts w:ascii="Times New Roman" w:hAnsi="Times New Roman" w:eastAsia="仿宋_GB2312"/>
                <w:sz w:val="24"/>
                <w:szCs w:val="24"/>
              </w:rPr>
            </w:pPr>
            <w:r>
              <w:rPr>
                <w:rFonts w:ascii="Times New Roman" w:hAnsi="Times New Roman" w:eastAsia="仿宋_GB2312"/>
                <w:sz w:val="24"/>
                <w:szCs w:val="24"/>
              </w:rPr>
              <w:t>既有设施名称</w:t>
            </w:r>
          </w:p>
        </w:tc>
        <w:tc>
          <w:tcPr>
            <w:tcW w:w="1206" w:type="dxa"/>
            <w:vMerge w:val="restart"/>
            <w:vAlign w:val="center"/>
          </w:tcPr>
          <w:p w14:paraId="723EB932">
            <w:pPr>
              <w:spacing w:after="0" w:line="240" w:lineRule="auto"/>
              <w:jc w:val="center"/>
              <w:rPr>
                <w:rFonts w:ascii="Times New Roman" w:hAnsi="Times New Roman" w:eastAsia="仿宋_GB2312"/>
                <w:sz w:val="24"/>
                <w:szCs w:val="24"/>
              </w:rPr>
            </w:pPr>
            <w:r>
              <w:rPr>
                <w:rFonts w:hint="eastAsia" w:ascii="Times New Roman" w:hAnsi="Times New Roman" w:eastAsia="仿宋_GB2312"/>
                <w:sz w:val="24"/>
                <w:szCs w:val="24"/>
              </w:rPr>
              <w:t>既有设施对应其它生产信息（如适用）</w:t>
            </w:r>
          </w:p>
        </w:tc>
        <w:tc>
          <w:tcPr>
            <w:tcW w:w="576" w:type="dxa"/>
            <w:vMerge w:val="restart"/>
            <w:vAlign w:val="center"/>
          </w:tcPr>
          <w:p w14:paraId="46257A88">
            <w:pPr>
              <w:spacing w:after="0" w:line="240" w:lineRule="auto"/>
              <w:jc w:val="center"/>
              <w:rPr>
                <w:rFonts w:ascii="Times New Roman" w:hAnsi="Times New Roman" w:eastAsia="仿宋_GB2312"/>
                <w:sz w:val="24"/>
                <w:szCs w:val="24"/>
              </w:rPr>
            </w:pPr>
            <w:r>
              <w:rPr>
                <w:rFonts w:hint="eastAsia" w:ascii="Times New Roman" w:hAnsi="Times New Roman" w:eastAsia="仿宋_GB2312"/>
                <w:sz w:val="24"/>
                <w:szCs w:val="24"/>
              </w:rPr>
              <w:t>退出时间</w:t>
            </w:r>
          </w:p>
        </w:tc>
        <w:tc>
          <w:tcPr>
            <w:tcW w:w="922" w:type="dxa"/>
            <w:vMerge w:val="restart"/>
            <w:vAlign w:val="center"/>
          </w:tcPr>
          <w:p w14:paraId="32615B41">
            <w:pPr>
              <w:spacing w:after="0" w:line="240" w:lineRule="auto"/>
              <w:jc w:val="center"/>
              <w:rPr>
                <w:rFonts w:ascii="Times New Roman" w:hAnsi="Times New Roman" w:eastAsia="仿宋_GB2312"/>
                <w:sz w:val="24"/>
                <w:szCs w:val="24"/>
              </w:rPr>
            </w:pPr>
            <w:r>
              <w:rPr>
                <w:rFonts w:hint="eastAsia" w:ascii="Times New Roman" w:hAnsi="Times New Roman" w:eastAsia="仿宋_GB2312"/>
                <w:sz w:val="24"/>
                <w:szCs w:val="24"/>
              </w:rPr>
              <w:t>是否由新增设施替代</w:t>
            </w:r>
          </w:p>
        </w:tc>
        <w:tc>
          <w:tcPr>
            <w:tcW w:w="1083" w:type="dxa"/>
            <w:vMerge w:val="restart"/>
            <w:tcBorders>
              <w:right w:val="single" w:color="auto" w:sz="4" w:space="0"/>
            </w:tcBorders>
            <w:vAlign w:val="center"/>
          </w:tcPr>
          <w:p w14:paraId="13994D26">
            <w:pPr>
              <w:spacing w:after="0" w:line="240" w:lineRule="auto"/>
              <w:jc w:val="center"/>
              <w:rPr>
                <w:rFonts w:ascii="Times New Roman" w:hAnsi="Times New Roman" w:eastAsia="仿宋_GB2312"/>
                <w:sz w:val="24"/>
                <w:szCs w:val="24"/>
              </w:rPr>
            </w:pPr>
            <w:r>
              <w:rPr>
                <w:rFonts w:hint="eastAsia" w:ascii="Times New Roman" w:hAnsi="Times New Roman" w:eastAsia="仿宋_GB2312"/>
                <w:sz w:val="24"/>
                <w:szCs w:val="24"/>
              </w:rPr>
              <w:t>年度</w:t>
            </w:r>
          </w:p>
        </w:tc>
        <w:tc>
          <w:tcPr>
            <w:tcW w:w="3543" w:type="dxa"/>
            <w:gridSpan w:val="3"/>
            <w:tcBorders>
              <w:left w:val="single" w:color="auto" w:sz="4" w:space="0"/>
            </w:tcBorders>
            <w:vAlign w:val="center"/>
          </w:tcPr>
          <w:p w14:paraId="5D325FCA">
            <w:pPr>
              <w:spacing w:after="0" w:line="240" w:lineRule="auto"/>
              <w:jc w:val="center"/>
              <w:rPr>
                <w:rFonts w:ascii="Times New Roman" w:hAnsi="Times New Roman" w:eastAsia="仿宋_GB2312"/>
                <w:sz w:val="24"/>
                <w:szCs w:val="24"/>
              </w:rPr>
            </w:pPr>
            <w:r>
              <w:rPr>
                <w:rFonts w:hint="eastAsia" w:ascii="Times New Roman" w:hAnsi="Times New Roman" w:eastAsia="仿宋_GB2312"/>
                <w:sz w:val="24"/>
                <w:szCs w:val="24"/>
              </w:rPr>
              <w:t>历史年度排放量</w:t>
            </w:r>
          </w:p>
        </w:tc>
      </w:tr>
      <w:tr w14:paraId="4057E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462" w:type="dxa"/>
            <w:vMerge w:val="continue"/>
            <w:vAlign w:val="center"/>
          </w:tcPr>
          <w:p w14:paraId="48BF35A0">
            <w:pPr>
              <w:jc w:val="center"/>
              <w:rPr>
                <w:rFonts w:ascii="Times New Roman" w:hAnsi="Times New Roman" w:eastAsia="仿宋_GB2312"/>
                <w:sz w:val="24"/>
                <w:szCs w:val="24"/>
              </w:rPr>
            </w:pPr>
          </w:p>
        </w:tc>
        <w:tc>
          <w:tcPr>
            <w:tcW w:w="756" w:type="dxa"/>
            <w:vMerge w:val="continue"/>
            <w:vAlign w:val="center"/>
          </w:tcPr>
          <w:p w14:paraId="0C455130">
            <w:pPr>
              <w:jc w:val="center"/>
              <w:rPr>
                <w:rFonts w:ascii="Times New Roman" w:hAnsi="Times New Roman" w:eastAsia="仿宋_GB2312"/>
                <w:sz w:val="24"/>
                <w:szCs w:val="24"/>
              </w:rPr>
            </w:pPr>
          </w:p>
        </w:tc>
        <w:tc>
          <w:tcPr>
            <w:tcW w:w="1206" w:type="dxa"/>
            <w:vMerge w:val="continue"/>
            <w:vAlign w:val="center"/>
          </w:tcPr>
          <w:p w14:paraId="441ED5D7">
            <w:pPr>
              <w:jc w:val="center"/>
              <w:rPr>
                <w:rFonts w:ascii="Times New Roman" w:hAnsi="Times New Roman" w:eastAsia="仿宋_GB2312"/>
                <w:sz w:val="24"/>
                <w:szCs w:val="24"/>
              </w:rPr>
            </w:pPr>
          </w:p>
        </w:tc>
        <w:tc>
          <w:tcPr>
            <w:tcW w:w="576" w:type="dxa"/>
            <w:vMerge w:val="continue"/>
            <w:vAlign w:val="center"/>
          </w:tcPr>
          <w:p w14:paraId="598B0F8C">
            <w:pPr>
              <w:jc w:val="center"/>
              <w:rPr>
                <w:rFonts w:ascii="Times New Roman" w:hAnsi="Times New Roman" w:eastAsia="仿宋_GB2312"/>
                <w:sz w:val="24"/>
                <w:szCs w:val="24"/>
              </w:rPr>
            </w:pPr>
          </w:p>
        </w:tc>
        <w:tc>
          <w:tcPr>
            <w:tcW w:w="922" w:type="dxa"/>
            <w:vMerge w:val="continue"/>
            <w:vAlign w:val="center"/>
          </w:tcPr>
          <w:p w14:paraId="51F0512F">
            <w:pPr>
              <w:jc w:val="center"/>
              <w:rPr>
                <w:rFonts w:ascii="Times New Roman" w:hAnsi="Times New Roman" w:eastAsia="仿宋_GB2312"/>
                <w:sz w:val="24"/>
                <w:szCs w:val="24"/>
              </w:rPr>
            </w:pPr>
          </w:p>
        </w:tc>
        <w:tc>
          <w:tcPr>
            <w:tcW w:w="1083" w:type="dxa"/>
            <w:vMerge w:val="continue"/>
            <w:tcBorders>
              <w:right w:val="single" w:color="auto" w:sz="4" w:space="0"/>
            </w:tcBorders>
            <w:vAlign w:val="center"/>
          </w:tcPr>
          <w:p w14:paraId="6B0B1136">
            <w:pPr>
              <w:jc w:val="center"/>
              <w:rPr>
                <w:rFonts w:ascii="Times New Roman" w:hAnsi="Times New Roman" w:eastAsia="仿宋_GB2312"/>
                <w:sz w:val="24"/>
                <w:szCs w:val="24"/>
              </w:rPr>
            </w:pPr>
          </w:p>
        </w:tc>
        <w:tc>
          <w:tcPr>
            <w:tcW w:w="1181" w:type="dxa"/>
            <w:tcBorders>
              <w:left w:val="single" w:color="auto" w:sz="4" w:space="0"/>
            </w:tcBorders>
            <w:vAlign w:val="center"/>
          </w:tcPr>
          <w:p w14:paraId="0059838F">
            <w:pPr>
              <w:jc w:val="center"/>
              <w:rPr>
                <w:rFonts w:ascii="Times New Roman" w:hAnsi="Times New Roman" w:eastAsia="仿宋_GB2312"/>
                <w:sz w:val="24"/>
                <w:szCs w:val="24"/>
              </w:rPr>
            </w:pPr>
            <w:r>
              <w:rPr>
                <w:rFonts w:hint="eastAsia" w:ascii="Times New Roman" w:hAnsi="Times New Roman" w:eastAsia="仿宋_GB2312"/>
                <w:sz w:val="24"/>
                <w:szCs w:val="24"/>
              </w:rPr>
              <w:t>直接排放量</w:t>
            </w:r>
          </w:p>
          <w:p w14:paraId="30A07EA3">
            <w:pPr>
              <w:jc w:val="center"/>
              <w:rPr>
                <w:rFonts w:ascii="Times New Roman" w:hAnsi="Times New Roman" w:eastAsia="仿宋_GB2312"/>
                <w:sz w:val="24"/>
                <w:szCs w:val="24"/>
              </w:rPr>
            </w:pPr>
            <w:r>
              <w:rPr>
                <w:rFonts w:hint="eastAsia" w:ascii="Times New Roman" w:hAnsi="Times New Roman" w:eastAsia="仿宋_GB2312"/>
                <w:sz w:val="24"/>
                <w:szCs w:val="24"/>
              </w:rPr>
              <w:t>（</w:t>
            </w:r>
            <w:r>
              <w:rPr>
                <w:rFonts w:ascii="Times New Roman" w:hAnsi="Times New Roman" w:eastAsia="仿宋_GB2312"/>
                <w:sz w:val="24"/>
                <w:szCs w:val="24"/>
              </w:rPr>
              <w:t>tCO</w:t>
            </w:r>
            <w:r>
              <w:rPr>
                <w:rFonts w:ascii="Times New Roman" w:hAnsi="Times New Roman" w:eastAsia="仿宋_GB2312"/>
                <w:sz w:val="24"/>
                <w:szCs w:val="24"/>
                <w:vertAlign w:val="subscript"/>
              </w:rPr>
              <w:t>2</w:t>
            </w:r>
            <w:r>
              <w:rPr>
                <w:rFonts w:hint="eastAsia" w:ascii="Times New Roman" w:hAnsi="Times New Roman" w:eastAsia="仿宋_GB2312"/>
                <w:sz w:val="24"/>
                <w:szCs w:val="24"/>
              </w:rPr>
              <w:t>）</w:t>
            </w:r>
          </w:p>
        </w:tc>
        <w:tc>
          <w:tcPr>
            <w:tcW w:w="1181" w:type="dxa"/>
            <w:vAlign w:val="center"/>
          </w:tcPr>
          <w:p w14:paraId="09A5B6D9">
            <w:pPr>
              <w:jc w:val="center"/>
              <w:rPr>
                <w:rFonts w:ascii="Times New Roman" w:hAnsi="Times New Roman" w:eastAsia="仿宋_GB2312"/>
                <w:sz w:val="24"/>
                <w:szCs w:val="24"/>
              </w:rPr>
            </w:pPr>
            <w:r>
              <w:rPr>
                <w:rFonts w:hint="eastAsia" w:ascii="Times New Roman" w:hAnsi="Times New Roman" w:eastAsia="仿宋_GB2312"/>
                <w:sz w:val="24"/>
                <w:szCs w:val="24"/>
              </w:rPr>
              <w:t>间接排放量（</w:t>
            </w:r>
            <w:r>
              <w:rPr>
                <w:rFonts w:ascii="Times New Roman" w:hAnsi="Times New Roman" w:eastAsia="仿宋_GB2312"/>
                <w:sz w:val="24"/>
                <w:szCs w:val="24"/>
              </w:rPr>
              <w:t>tCO</w:t>
            </w:r>
            <w:r>
              <w:rPr>
                <w:rFonts w:ascii="Times New Roman" w:hAnsi="Times New Roman" w:eastAsia="仿宋_GB2312"/>
                <w:sz w:val="24"/>
                <w:szCs w:val="24"/>
                <w:vertAlign w:val="subscript"/>
              </w:rPr>
              <w:t>2</w:t>
            </w:r>
            <w:r>
              <w:rPr>
                <w:rFonts w:hint="eastAsia" w:ascii="Times New Roman" w:hAnsi="Times New Roman" w:eastAsia="仿宋_GB2312"/>
                <w:sz w:val="24"/>
                <w:szCs w:val="24"/>
              </w:rPr>
              <w:t>）</w:t>
            </w:r>
          </w:p>
        </w:tc>
        <w:tc>
          <w:tcPr>
            <w:tcW w:w="1181" w:type="dxa"/>
            <w:vAlign w:val="center"/>
          </w:tcPr>
          <w:p w14:paraId="749A5C81">
            <w:pPr>
              <w:jc w:val="center"/>
              <w:rPr>
                <w:rFonts w:ascii="Times New Roman" w:hAnsi="Times New Roman" w:eastAsia="仿宋_GB2312"/>
                <w:sz w:val="24"/>
                <w:szCs w:val="24"/>
              </w:rPr>
            </w:pPr>
            <w:r>
              <w:rPr>
                <w:rFonts w:hint="eastAsia" w:ascii="Times New Roman" w:hAnsi="Times New Roman" w:eastAsia="仿宋_GB2312"/>
                <w:sz w:val="24"/>
                <w:szCs w:val="24"/>
              </w:rPr>
              <w:t>总排放量（</w:t>
            </w:r>
            <w:r>
              <w:rPr>
                <w:rFonts w:ascii="Times New Roman" w:hAnsi="Times New Roman" w:eastAsia="仿宋_GB2312"/>
                <w:sz w:val="24"/>
                <w:szCs w:val="24"/>
              </w:rPr>
              <w:t>tCO</w:t>
            </w:r>
            <w:r>
              <w:rPr>
                <w:rFonts w:ascii="Times New Roman" w:hAnsi="Times New Roman" w:eastAsia="仿宋_GB2312"/>
                <w:sz w:val="24"/>
                <w:szCs w:val="24"/>
                <w:vertAlign w:val="subscript"/>
              </w:rPr>
              <w:t>2</w:t>
            </w:r>
            <w:r>
              <w:rPr>
                <w:rFonts w:hint="eastAsia" w:ascii="Times New Roman" w:hAnsi="Times New Roman" w:eastAsia="仿宋_GB2312"/>
                <w:sz w:val="24"/>
                <w:szCs w:val="24"/>
              </w:rPr>
              <w:t>）</w:t>
            </w:r>
          </w:p>
        </w:tc>
      </w:tr>
      <w:tr w14:paraId="446F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462" w:type="dxa"/>
            <w:vMerge w:val="restart"/>
            <w:vAlign w:val="center"/>
          </w:tcPr>
          <w:p w14:paraId="1BD03D46">
            <w:pPr>
              <w:jc w:val="center"/>
              <w:rPr>
                <w:rFonts w:ascii="Times New Roman" w:hAnsi="Times New Roman" w:eastAsia="仿宋_GB2312"/>
                <w:sz w:val="24"/>
                <w:szCs w:val="24"/>
              </w:rPr>
            </w:pPr>
            <w:r>
              <w:rPr>
                <w:rFonts w:ascii="Times New Roman" w:hAnsi="Times New Roman" w:eastAsia="仿宋_GB2312"/>
                <w:sz w:val="24"/>
                <w:szCs w:val="24"/>
              </w:rPr>
              <w:t>1</w:t>
            </w:r>
            <w:r>
              <w:rPr>
                <w:rFonts w:hint="eastAsia" w:ascii="Times New Roman" w:hAnsi="Times New Roman" w:eastAsia="仿宋_GB2312"/>
                <w:sz w:val="24"/>
                <w:szCs w:val="24"/>
                <w:vertAlign w:val="superscript"/>
              </w:rPr>
              <w:t>※</w:t>
            </w:r>
          </w:p>
        </w:tc>
        <w:tc>
          <w:tcPr>
            <w:tcW w:w="756" w:type="dxa"/>
            <w:vMerge w:val="restart"/>
            <w:vAlign w:val="center"/>
          </w:tcPr>
          <w:p w14:paraId="0E3327FE">
            <w:pPr>
              <w:jc w:val="center"/>
              <w:rPr>
                <w:rFonts w:ascii="Times New Roman" w:hAnsi="Times New Roman" w:eastAsia="仿宋_GB2312"/>
                <w:sz w:val="24"/>
                <w:szCs w:val="24"/>
              </w:rPr>
            </w:pPr>
          </w:p>
        </w:tc>
        <w:tc>
          <w:tcPr>
            <w:tcW w:w="1206" w:type="dxa"/>
            <w:vMerge w:val="restart"/>
            <w:vAlign w:val="center"/>
          </w:tcPr>
          <w:p w14:paraId="7E28CBB1">
            <w:pPr>
              <w:jc w:val="center"/>
              <w:rPr>
                <w:rFonts w:ascii="Times New Roman" w:hAnsi="Times New Roman" w:eastAsia="仿宋_GB2312"/>
                <w:sz w:val="24"/>
                <w:szCs w:val="24"/>
              </w:rPr>
            </w:pPr>
          </w:p>
        </w:tc>
        <w:tc>
          <w:tcPr>
            <w:tcW w:w="576" w:type="dxa"/>
            <w:vMerge w:val="restart"/>
            <w:vAlign w:val="center"/>
          </w:tcPr>
          <w:p w14:paraId="66223985">
            <w:pPr>
              <w:jc w:val="center"/>
              <w:rPr>
                <w:rFonts w:ascii="Times New Roman" w:hAnsi="Times New Roman" w:eastAsia="仿宋_GB2312"/>
                <w:sz w:val="24"/>
                <w:szCs w:val="24"/>
              </w:rPr>
            </w:pPr>
          </w:p>
        </w:tc>
        <w:tc>
          <w:tcPr>
            <w:tcW w:w="922" w:type="dxa"/>
            <w:vMerge w:val="restart"/>
          </w:tcPr>
          <w:p w14:paraId="58E96A0C">
            <w:pPr>
              <w:rPr>
                <w:rFonts w:ascii="Times New Roman" w:hAnsi="Times New Roman" w:eastAsia="仿宋_GB2312"/>
                <w:sz w:val="24"/>
                <w:szCs w:val="24"/>
              </w:rPr>
            </w:pPr>
          </w:p>
        </w:tc>
        <w:tc>
          <w:tcPr>
            <w:tcW w:w="1083" w:type="dxa"/>
            <w:tcBorders>
              <w:right w:val="single" w:color="auto" w:sz="4" w:space="0"/>
            </w:tcBorders>
          </w:tcPr>
          <w:p w14:paraId="049230F2">
            <w:pPr>
              <w:rPr>
                <w:rFonts w:ascii="Times New Roman" w:hAnsi="Times New Roman" w:eastAsia="仿宋_GB2312"/>
                <w:sz w:val="24"/>
                <w:szCs w:val="24"/>
              </w:rPr>
            </w:pPr>
            <w:r>
              <w:rPr>
                <w:rFonts w:ascii="Times New Roman" w:hAnsi="Times New Roman" w:eastAsia="仿宋_GB2312"/>
                <w:sz w:val="24"/>
                <w:szCs w:val="24"/>
              </w:rPr>
              <w:t>2016</w:t>
            </w:r>
            <w:r>
              <w:rPr>
                <w:rFonts w:hint="eastAsia" w:ascii="Times New Roman" w:hAnsi="Times New Roman" w:eastAsia="仿宋_GB2312"/>
                <w:sz w:val="24"/>
                <w:szCs w:val="24"/>
              </w:rPr>
              <w:t>年</w:t>
            </w:r>
          </w:p>
        </w:tc>
        <w:tc>
          <w:tcPr>
            <w:tcW w:w="1181" w:type="dxa"/>
            <w:tcBorders>
              <w:left w:val="single" w:color="auto" w:sz="4" w:space="0"/>
            </w:tcBorders>
          </w:tcPr>
          <w:p w14:paraId="3B750395">
            <w:pPr>
              <w:rPr>
                <w:rFonts w:ascii="Times New Roman" w:hAnsi="Times New Roman" w:eastAsia="仿宋_GB2312"/>
                <w:sz w:val="24"/>
                <w:szCs w:val="24"/>
              </w:rPr>
            </w:pPr>
          </w:p>
        </w:tc>
        <w:tc>
          <w:tcPr>
            <w:tcW w:w="1181" w:type="dxa"/>
          </w:tcPr>
          <w:p w14:paraId="03C47C5B">
            <w:pPr>
              <w:rPr>
                <w:rFonts w:ascii="Times New Roman" w:hAnsi="Times New Roman" w:eastAsia="仿宋_GB2312"/>
                <w:sz w:val="24"/>
                <w:szCs w:val="24"/>
              </w:rPr>
            </w:pPr>
          </w:p>
        </w:tc>
        <w:tc>
          <w:tcPr>
            <w:tcW w:w="1181" w:type="dxa"/>
          </w:tcPr>
          <w:p w14:paraId="6A401E2A">
            <w:pPr>
              <w:rPr>
                <w:rFonts w:ascii="Times New Roman" w:hAnsi="Times New Roman" w:eastAsia="仿宋_GB2312"/>
                <w:sz w:val="24"/>
                <w:szCs w:val="24"/>
              </w:rPr>
            </w:pPr>
          </w:p>
        </w:tc>
      </w:tr>
      <w:tr w14:paraId="4FF8B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462" w:type="dxa"/>
            <w:vMerge w:val="continue"/>
          </w:tcPr>
          <w:p w14:paraId="43F81C6C">
            <w:pPr>
              <w:rPr>
                <w:rFonts w:ascii="Times New Roman" w:hAnsi="Times New Roman" w:eastAsia="仿宋_GB2312"/>
                <w:sz w:val="24"/>
                <w:szCs w:val="24"/>
              </w:rPr>
            </w:pPr>
          </w:p>
        </w:tc>
        <w:tc>
          <w:tcPr>
            <w:tcW w:w="756" w:type="dxa"/>
            <w:vMerge w:val="continue"/>
          </w:tcPr>
          <w:p w14:paraId="42C64C93">
            <w:pPr>
              <w:rPr>
                <w:rFonts w:ascii="Times New Roman" w:hAnsi="Times New Roman" w:eastAsia="仿宋_GB2312"/>
                <w:sz w:val="24"/>
                <w:szCs w:val="24"/>
              </w:rPr>
            </w:pPr>
          </w:p>
        </w:tc>
        <w:tc>
          <w:tcPr>
            <w:tcW w:w="1206" w:type="dxa"/>
            <w:vMerge w:val="continue"/>
          </w:tcPr>
          <w:p w14:paraId="31C6E4D3">
            <w:pPr>
              <w:rPr>
                <w:rFonts w:ascii="Times New Roman" w:hAnsi="Times New Roman" w:eastAsia="仿宋_GB2312"/>
                <w:sz w:val="24"/>
                <w:szCs w:val="24"/>
              </w:rPr>
            </w:pPr>
          </w:p>
        </w:tc>
        <w:tc>
          <w:tcPr>
            <w:tcW w:w="576" w:type="dxa"/>
            <w:vMerge w:val="continue"/>
          </w:tcPr>
          <w:p w14:paraId="2FBBD8DD">
            <w:pPr>
              <w:rPr>
                <w:rFonts w:ascii="Times New Roman" w:hAnsi="Times New Roman" w:eastAsia="仿宋_GB2312"/>
                <w:sz w:val="24"/>
                <w:szCs w:val="24"/>
              </w:rPr>
            </w:pPr>
          </w:p>
        </w:tc>
        <w:tc>
          <w:tcPr>
            <w:tcW w:w="922" w:type="dxa"/>
            <w:vMerge w:val="continue"/>
          </w:tcPr>
          <w:p w14:paraId="05971CF1">
            <w:pPr>
              <w:rPr>
                <w:rFonts w:ascii="Times New Roman" w:hAnsi="Times New Roman" w:eastAsia="仿宋_GB2312"/>
                <w:sz w:val="24"/>
                <w:szCs w:val="24"/>
              </w:rPr>
            </w:pPr>
          </w:p>
        </w:tc>
        <w:tc>
          <w:tcPr>
            <w:tcW w:w="1083" w:type="dxa"/>
            <w:tcBorders>
              <w:right w:val="single" w:color="auto" w:sz="4" w:space="0"/>
            </w:tcBorders>
          </w:tcPr>
          <w:p w14:paraId="78023F57">
            <w:pPr>
              <w:rPr>
                <w:rFonts w:ascii="Times New Roman" w:hAnsi="Times New Roman" w:eastAsia="仿宋_GB2312"/>
                <w:sz w:val="24"/>
                <w:szCs w:val="24"/>
              </w:rPr>
            </w:pPr>
            <w:r>
              <w:rPr>
                <w:rFonts w:ascii="Times New Roman" w:hAnsi="Times New Roman" w:eastAsia="仿宋_GB2312"/>
                <w:sz w:val="24"/>
                <w:szCs w:val="24"/>
              </w:rPr>
              <w:t>2017</w:t>
            </w:r>
            <w:r>
              <w:rPr>
                <w:rFonts w:hint="eastAsia" w:ascii="Times New Roman" w:hAnsi="Times New Roman" w:eastAsia="仿宋_GB2312"/>
                <w:sz w:val="24"/>
                <w:szCs w:val="24"/>
              </w:rPr>
              <w:t>年</w:t>
            </w:r>
          </w:p>
        </w:tc>
        <w:tc>
          <w:tcPr>
            <w:tcW w:w="1181" w:type="dxa"/>
            <w:tcBorders>
              <w:left w:val="single" w:color="auto" w:sz="4" w:space="0"/>
            </w:tcBorders>
          </w:tcPr>
          <w:p w14:paraId="5DD01188">
            <w:pPr>
              <w:rPr>
                <w:rFonts w:ascii="Times New Roman" w:hAnsi="Times New Roman" w:eastAsia="仿宋_GB2312"/>
                <w:sz w:val="24"/>
                <w:szCs w:val="24"/>
              </w:rPr>
            </w:pPr>
          </w:p>
        </w:tc>
        <w:tc>
          <w:tcPr>
            <w:tcW w:w="1181" w:type="dxa"/>
          </w:tcPr>
          <w:p w14:paraId="0C9D6FBF">
            <w:pPr>
              <w:rPr>
                <w:rFonts w:ascii="Times New Roman" w:hAnsi="Times New Roman" w:eastAsia="仿宋_GB2312"/>
                <w:sz w:val="24"/>
                <w:szCs w:val="24"/>
              </w:rPr>
            </w:pPr>
          </w:p>
        </w:tc>
        <w:tc>
          <w:tcPr>
            <w:tcW w:w="1181" w:type="dxa"/>
          </w:tcPr>
          <w:p w14:paraId="183A14AF">
            <w:pPr>
              <w:rPr>
                <w:rFonts w:ascii="Times New Roman" w:hAnsi="Times New Roman" w:eastAsia="仿宋_GB2312"/>
                <w:sz w:val="24"/>
                <w:szCs w:val="24"/>
              </w:rPr>
            </w:pPr>
          </w:p>
        </w:tc>
      </w:tr>
      <w:tr w14:paraId="51C99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462" w:type="dxa"/>
            <w:vMerge w:val="continue"/>
          </w:tcPr>
          <w:p w14:paraId="6AF40712">
            <w:pPr>
              <w:rPr>
                <w:rFonts w:ascii="Times New Roman" w:hAnsi="Times New Roman" w:eastAsia="仿宋_GB2312"/>
                <w:sz w:val="24"/>
                <w:szCs w:val="24"/>
              </w:rPr>
            </w:pPr>
          </w:p>
        </w:tc>
        <w:tc>
          <w:tcPr>
            <w:tcW w:w="756" w:type="dxa"/>
            <w:vMerge w:val="continue"/>
          </w:tcPr>
          <w:p w14:paraId="46D55EF6">
            <w:pPr>
              <w:rPr>
                <w:rFonts w:ascii="Times New Roman" w:hAnsi="Times New Roman" w:eastAsia="仿宋_GB2312"/>
                <w:sz w:val="24"/>
                <w:szCs w:val="24"/>
              </w:rPr>
            </w:pPr>
          </w:p>
        </w:tc>
        <w:tc>
          <w:tcPr>
            <w:tcW w:w="1206" w:type="dxa"/>
            <w:vMerge w:val="continue"/>
          </w:tcPr>
          <w:p w14:paraId="2A90F6D6">
            <w:pPr>
              <w:rPr>
                <w:rFonts w:ascii="Times New Roman" w:hAnsi="Times New Roman" w:eastAsia="仿宋_GB2312"/>
                <w:sz w:val="24"/>
                <w:szCs w:val="24"/>
              </w:rPr>
            </w:pPr>
          </w:p>
        </w:tc>
        <w:tc>
          <w:tcPr>
            <w:tcW w:w="576" w:type="dxa"/>
            <w:vMerge w:val="continue"/>
          </w:tcPr>
          <w:p w14:paraId="23B7177A">
            <w:pPr>
              <w:rPr>
                <w:rFonts w:ascii="Times New Roman" w:hAnsi="Times New Roman" w:eastAsia="仿宋_GB2312"/>
                <w:sz w:val="24"/>
                <w:szCs w:val="24"/>
              </w:rPr>
            </w:pPr>
          </w:p>
        </w:tc>
        <w:tc>
          <w:tcPr>
            <w:tcW w:w="922" w:type="dxa"/>
            <w:vMerge w:val="continue"/>
          </w:tcPr>
          <w:p w14:paraId="5E3D3861">
            <w:pPr>
              <w:rPr>
                <w:rFonts w:ascii="Times New Roman" w:hAnsi="Times New Roman" w:eastAsia="仿宋_GB2312"/>
                <w:sz w:val="24"/>
                <w:szCs w:val="24"/>
              </w:rPr>
            </w:pPr>
          </w:p>
        </w:tc>
        <w:tc>
          <w:tcPr>
            <w:tcW w:w="1083" w:type="dxa"/>
            <w:tcBorders>
              <w:right w:val="single" w:color="auto" w:sz="4" w:space="0"/>
            </w:tcBorders>
          </w:tcPr>
          <w:p w14:paraId="43A720F1">
            <w:pPr>
              <w:rPr>
                <w:rFonts w:ascii="Times New Roman" w:hAnsi="Times New Roman" w:eastAsia="仿宋_GB2312"/>
                <w:sz w:val="24"/>
                <w:szCs w:val="24"/>
              </w:rPr>
            </w:pPr>
            <w:r>
              <w:rPr>
                <w:rFonts w:ascii="Times New Roman" w:hAnsi="Times New Roman" w:eastAsia="仿宋_GB2312"/>
                <w:sz w:val="24"/>
                <w:szCs w:val="24"/>
              </w:rPr>
              <w:t>2018</w:t>
            </w:r>
            <w:r>
              <w:rPr>
                <w:rFonts w:hint="eastAsia" w:ascii="Times New Roman" w:hAnsi="Times New Roman" w:eastAsia="仿宋_GB2312"/>
                <w:sz w:val="24"/>
                <w:szCs w:val="24"/>
              </w:rPr>
              <w:t>年</w:t>
            </w:r>
          </w:p>
        </w:tc>
        <w:tc>
          <w:tcPr>
            <w:tcW w:w="1181" w:type="dxa"/>
            <w:tcBorders>
              <w:left w:val="single" w:color="auto" w:sz="4" w:space="0"/>
            </w:tcBorders>
          </w:tcPr>
          <w:p w14:paraId="62EFD334">
            <w:pPr>
              <w:rPr>
                <w:rFonts w:ascii="Times New Roman" w:hAnsi="Times New Roman" w:eastAsia="仿宋_GB2312"/>
                <w:sz w:val="24"/>
                <w:szCs w:val="24"/>
              </w:rPr>
            </w:pPr>
          </w:p>
        </w:tc>
        <w:tc>
          <w:tcPr>
            <w:tcW w:w="1181" w:type="dxa"/>
          </w:tcPr>
          <w:p w14:paraId="0F10A174">
            <w:pPr>
              <w:rPr>
                <w:rFonts w:ascii="Times New Roman" w:hAnsi="Times New Roman" w:eastAsia="仿宋_GB2312"/>
                <w:sz w:val="24"/>
                <w:szCs w:val="24"/>
              </w:rPr>
            </w:pPr>
          </w:p>
        </w:tc>
        <w:tc>
          <w:tcPr>
            <w:tcW w:w="1181" w:type="dxa"/>
          </w:tcPr>
          <w:p w14:paraId="0223272F">
            <w:pPr>
              <w:rPr>
                <w:rFonts w:ascii="Times New Roman" w:hAnsi="Times New Roman" w:eastAsia="仿宋_GB2312"/>
                <w:sz w:val="24"/>
                <w:szCs w:val="24"/>
              </w:rPr>
            </w:pPr>
          </w:p>
        </w:tc>
      </w:tr>
      <w:tr w14:paraId="55C02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62" w:type="dxa"/>
            <w:vMerge w:val="restart"/>
            <w:vAlign w:val="center"/>
          </w:tcPr>
          <w:p w14:paraId="26BAEB98">
            <w:pPr>
              <w:jc w:val="center"/>
              <w:rPr>
                <w:rFonts w:ascii="Times New Roman" w:hAnsi="Times New Roman" w:eastAsia="仿宋_GB2312"/>
                <w:sz w:val="24"/>
                <w:szCs w:val="24"/>
              </w:rPr>
            </w:pPr>
            <w:r>
              <w:rPr>
                <w:rFonts w:ascii="Times New Roman" w:hAnsi="Times New Roman" w:eastAsia="仿宋_GB2312"/>
                <w:sz w:val="24"/>
                <w:szCs w:val="24"/>
              </w:rPr>
              <w:t>2</w:t>
            </w:r>
          </w:p>
        </w:tc>
        <w:tc>
          <w:tcPr>
            <w:tcW w:w="756" w:type="dxa"/>
            <w:vMerge w:val="restart"/>
            <w:vAlign w:val="center"/>
          </w:tcPr>
          <w:p w14:paraId="2AFAFD9A">
            <w:pPr>
              <w:jc w:val="center"/>
              <w:rPr>
                <w:rFonts w:ascii="Times New Roman" w:hAnsi="Times New Roman" w:eastAsia="仿宋_GB2312"/>
                <w:sz w:val="24"/>
                <w:szCs w:val="24"/>
              </w:rPr>
            </w:pPr>
          </w:p>
        </w:tc>
        <w:tc>
          <w:tcPr>
            <w:tcW w:w="1206" w:type="dxa"/>
            <w:vMerge w:val="restart"/>
            <w:vAlign w:val="center"/>
          </w:tcPr>
          <w:p w14:paraId="7F2D0533">
            <w:pPr>
              <w:jc w:val="center"/>
              <w:rPr>
                <w:rFonts w:ascii="Times New Roman" w:hAnsi="Times New Roman" w:eastAsia="仿宋_GB2312"/>
                <w:sz w:val="24"/>
                <w:szCs w:val="24"/>
              </w:rPr>
            </w:pPr>
          </w:p>
        </w:tc>
        <w:tc>
          <w:tcPr>
            <w:tcW w:w="576" w:type="dxa"/>
            <w:vMerge w:val="restart"/>
            <w:vAlign w:val="center"/>
          </w:tcPr>
          <w:p w14:paraId="3E6C01DB">
            <w:pPr>
              <w:jc w:val="center"/>
              <w:rPr>
                <w:rFonts w:ascii="Times New Roman" w:hAnsi="Times New Roman" w:eastAsia="仿宋_GB2312"/>
                <w:sz w:val="24"/>
                <w:szCs w:val="24"/>
              </w:rPr>
            </w:pPr>
          </w:p>
        </w:tc>
        <w:tc>
          <w:tcPr>
            <w:tcW w:w="922" w:type="dxa"/>
            <w:vMerge w:val="restart"/>
          </w:tcPr>
          <w:p w14:paraId="605B2755">
            <w:pPr>
              <w:rPr>
                <w:rFonts w:ascii="Times New Roman" w:hAnsi="Times New Roman" w:eastAsia="仿宋_GB2312"/>
                <w:sz w:val="24"/>
                <w:szCs w:val="24"/>
              </w:rPr>
            </w:pPr>
          </w:p>
        </w:tc>
        <w:tc>
          <w:tcPr>
            <w:tcW w:w="1083" w:type="dxa"/>
            <w:tcBorders>
              <w:right w:val="single" w:color="auto" w:sz="4" w:space="0"/>
            </w:tcBorders>
          </w:tcPr>
          <w:p w14:paraId="534D226F">
            <w:pPr>
              <w:rPr>
                <w:rFonts w:ascii="Times New Roman" w:hAnsi="Times New Roman" w:eastAsia="仿宋_GB2312"/>
                <w:sz w:val="24"/>
                <w:szCs w:val="24"/>
              </w:rPr>
            </w:pPr>
            <w:r>
              <w:rPr>
                <w:rFonts w:ascii="Times New Roman" w:hAnsi="Times New Roman" w:eastAsia="仿宋_GB2312"/>
                <w:sz w:val="24"/>
                <w:szCs w:val="24"/>
              </w:rPr>
              <w:t>2016</w:t>
            </w:r>
            <w:r>
              <w:rPr>
                <w:rFonts w:hint="eastAsia" w:ascii="Times New Roman" w:hAnsi="Times New Roman" w:eastAsia="仿宋_GB2312"/>
                <w:sz w:val="24"/>
                <w:szCs w:val="24"/>
              </w:rPr>
              <w:t>年</w:t>
            </w:r>
          </w:p>
        </w:tc>
        <w:tc>
          <w:tcPr>
            <w:tcW w:w="1181" w:type="dxa"/>
            <w:tcBorders>
              <w:left w:val="single" w:color="auto" w:sz="4" w:space="0"/>
            </w:tcBorders>
          </w:tcPr>
          <w:p w14:paraId="16E86166">
            <w:pPr>
              <w:rPr>
                <w:rFonts w:ascii="Times New Roman" w:hAnsi="Times New Roman" w:eastAsia="仿宋_GB2312"/>
                <w:sz w:val="24"/>
                <w:szCs w:val="24"/>
              </w:rPr>
            </w:pPr>
          </w:p>
        </w:tc>
        <w:tc>
          <w:tcPr>
            <w:tcW w:w="1181" w:type="dxa"/>
          </w:tcPr>
          <w:p w14:paraId="0D4BF8C4">
            <w:pPr>
              <w:rPr>
                <w:rFonts w:ascii="Times New Roman" w:hAnsi="Times New Roman" w:eastAsia="仿宋_GB2312"/>
                <w:sz w:val="24"/>
                <w:szCs w:val="24"/>
              </w:rPr>
            </w:pPr>
          </w:p>
        </w:tc>
        <w:tc>
          <w:tcPr>
            <w:tcW w:w="1181" w:type="dxa"/>
          </w:tcPr>
          <w:p w14:paraId="10E70A23">
            <w:pPr>
              <w:rPr>
                <w:rFonts w:ascii="Times New Roman" w:hAnsi="Times New Roman" w:eastAsia="仿宋_GB2312"/>
                <w:sz w:val="24"/>
                <w:szCs w:val="24"/>
              </w:rPr>
            </w:pPr>
          </w:p>
        </w:tc>
      </w:tr>
      <w:tr w14:paraId="04623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62" w:type="dxa"/>
            <w:vMerge w:val="continue"/>
          </w:tcPr>
          <w:p w14:paraId="66CCA55E">
            <w:pPr>
              <w:rPr>
                <w:rFonts w:ascii="Times New Roman" w:hAnsi="Times New Roman" w:eastAsia="仿宋_GB2312"/>
                <w:sz w:val="24"/>
                <w:szCs w:val="24"/>
              </w:rPr>
            </w:pPr>
          </w:p>
        </w:tc>
        <w:tc>
          <w:tcPr>
            <w:tcW w:w="756" w:type="dxa"/>
            <w:vMerge w:val="continue"/>
          </w:tcPr>
          <w:p w14:paraId="170F06F8">
            <w:pPr>
              <w:rPr>
                <w:rFonts w:ascii="Times New Roman" w:hAnsi="Times New Roman" w:eastAsia="仿宋_GB2312"/>
                <w:sz w:val="24"/>
                <w:szCs w:val="24"/>
              </w:rPr>
            </w:pPr>
          </w:p>
        </w:tc>
        <w:tc>
          <w:tcPr>
            <w:tcW w:w="1206" w:type="dxa"/>
            <w:vMerge w:val="continue"/>
          </w:tcPr>
          <w:p w14:paraId="4110D91F">
            <w:pPr>
              <w:rPr>
                <w:rFonts w:ascii="Times New Roman" w:hAnsi="Times New Roman" w:eastAsia="仿宋_GB2312"/>
                <w:sz w:val="24"/>
                <w:szCs w:val="24"/>
              </w:rPr>
            </w:pPr>
          </w:p>
        </w:tc>
        <w:tc>
          <w:tcPr>
            <w:tcW w:w="576" w:type="dxa"/>
            <w:vMerge w:val="continue"/>
          </w:tcPr>
          <w:p w14:paraId="1C16FF92">
            <w:pPr>
              <w:rPr>
                <w:rFonts w:ascii="Times New Roman" w:hAnsi="Times New Roman" w:eastAsia="仿宋_GB2312"/>
                <w:sz w:val="24"/>
                <w:szCs w:val="24"/>
              </w:rPr>
            </w:pPr>
          </w:p>
        </w:tc>
        <w:tc>
          <w:tcPr>
            <w:tcW w:w="922" w:type="dxa"/>
            <w:vMerge w:val="continue"/>
          </w:tcPr>
          <w:p w14:paraId="25A3D636">
            <w:pPr>
              <w:rPr>
                <w:rFonts w:ascii="Times New Roman" w:hAnsi="Times New Roman" w:eastAsia="仿宋_GB2312"/>
                <w:sz w:val="24"/>
                <w:szCs w:val="24"/>
              </w:rPr>
            </w:pPr>
          </w:p>
        </w:tc>
        <w:tc>
          <w:tcPr>
            <w:tcW w:w="1083" w:type="dxa"/>
            <w:tcBorders>
              <w:right w:val="single" w:color="auto" w:sz="4" w:space="0"/>
            </w:tcBorders>
          </w:tcPr>
          <w:p w14:paraId="3FA74D40">
            <w:pPr>
              <w:rPr>
                <w:rFonts w:ascii="Times New Roman" w:hAnsi="Times New Roman" w:eastAsia="仿宋_GB2312"/>
                <w:sz w:val="24"/>
                <w:szCs w:val="24"/>
              </w:rPr>
            </w:pPr>
            <w:r>
              <w:rPr>
                <w:rFonts w:ascii="Times New Roman" w:hAnsi="Times New Roman" w:eastAsia="仿宋_GB2312"/>
                <w:sz w:val="24"/>
                <w:szCs w:val="24"/>
              </w:rPr>
              <w:t>2017</w:t>
            </w:r>
            <w:r>
              <w:rPr>
                <w:rFonts w:hint="eastAsia" w:ascii="Times New Roman" w:hAnsi="Times New Roman" w:eastAsia="仿宋_GB2312"/>
                <w:sz w:val="24"/>
                <w:szCs w:val="24"/>
              </w:rPr>
              <w:t>年</w:t>
            </w:r>
          </w:p>
        </w:tc>
        <w:tc>
          <w:tcPr>
            <w:tcW w:w="1181" w:type="dxa"/>
            <w:tcBorders>
              <w:left w:val="single" w:color="auto" w:sz="4" w:space="0"/>
            </w:tcBorders>
          </w:tcPr>
          <w:p w14:paraId="3CCBF7D6">
            <w:pPr>
              <w:rPr>
                <w:rFonts w:ascii="Times New Roman" w:hAnsi="Times New Roman" w:eastAsia="仿宋_GB2312"/>
                <w:sz w:val="24"/>
                <w:szCs w:val="24"/>
              </w:rPr>
            </w:pPr>
          </w:p>
        </w:tc>
        <w:tc>
          <w:tcPr>
            <w:tcW w:w="1181" w:type="dxa"/>
          </w:tcPr>
          <w:p w14:paraId="2B9B3DA0">
            <w:pPr>
              <w:rPr>
                <w:rFonts w:ascii="Times New Roman" w:hAnsi="Times New Roman" w:eastAsia="仿宋_GB2312"/>
                <w:sz w:val="24"/>
                <w:szCs w:val="24"/>
              </w:rPr>
            </w:pPr>
          </w:p>
        </w:tc>
        <w:tc>
          <w:tcPr>
            <w:tcW w:w="1181" w:type="dxa"/>
          </w:tcPr>
          <w:p w14:paraId="2CFC8177">
            <w:pPr>
              <w:rPr>
                <w:rFonts w:ascii="Times New Roman" w:hAnsi="Times New Roman" w:eastAsia="仿宋_GB2312"/>
                <w:sz w:val="24"/>
                <w:szCs w:val="24"/>
              </w:rPr>
            </w:pPr>
          </w:p>
        </w:tc>
      </w:tr>
      <w:tr w14:paraId="5320E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62" w:type="dxa"/>
            <w:vMerge w:val="continue"/>
          </w:tcPr>
          <w:p w14:paraId="04AEB05D">
            <w:pPr>
              <w:rPr>
                <w:rFonts w:ascii="Times New Roman" w:hAnsi="Times New Roman" w:eastAsia="仿宋_GB2312"/>
                <w:sz w:val="24"/>
                <w:szCs w:val="24"/>
              </w:rPr>
            </w:pPr>
          </w:p>
        </w:tc>
        <w:tc>
          <w:tcPr>
            <w:tcW w:w="756" w:type="dxa"/>
            <w:vMerge w:val="continue"/>
          </w:tcPr>
          <w:p w14:paraId="6214E797">
            <w:pPr>
              <w:rPr>
                <w:rFonts w:ascii="Times New Roman" w:hAnsi="Times New Roman" w:eastAsia="仿宋_GB2312"/>
                <w:sz w:val="24"/>
                <w:szCs w:val="24"/>
              </w:rPr>
            </w:pPr>
          </w:p>
        </w:tc>
        <w:tc>
          <w:tcPr>
            <w:tcW w:w="1206" w:type="dxa"/>
            <w:vMerge w:val="continue"/>
          </w:tcPr>
          <w:p w14:paraId="7232A670">
            <w:pPr>
              <w:rPr>
                <w:rFonts w:ascii="Times New Roman" w:hAnsi="Times New Roman" w:eastAsia="仿宋_GB2312"/>
                <w:sz w:val="24"/>
                <w:szCs w:val="24"/>
              </w:rPr>
            </w:pPr>
          </w:p>
        </w:tc>
        <w:tc>
          <w:tcPr>
            <w:tcW w:w="576" w:type="dxa"/>
            <w:vMerge w:val="continue"/>
          </w:tcPr>
          <w:p w14:paraId="5943154E">
            <w:pPr>
              <w:rPr>
                <w:rFonts w:ascii="Times New Roman" w:hAnsi="Times New Roman" w:eastAsia="仿宋_GB2312"/>
                <w:sz w:val="24"/>
                <w:szCs w:val="24"/>
              </w:rPr>
            </w:pPr>
          </w:p>
        </w:tc>
        <w:tc>
          <w:tcPr>
            <w:tcW w:w="922" w:type="dxa"/>
            <w:vMerge w:val="continue"/>
          </w:tcPr>
          <w:p w14:paraId="08D0CE90">
            <w:pPr>
              <w:rPr>
                <w:rFonts w:ascii="Times New Roman" w:hAnsi="Times New Roman" w:eastAsia="仿宋_GB2312"/>
                <w:sz w:val="24"/>
                <w:szCs w:val="24"/>
              </w:rPr>
            </w:pPr>
          </w:p>
        </w:tc>
        <w:tc>
          <w:tcPr>
            <w:tcW w:w="1083" w:type="dxa"/>
            <w:tcBorders>
              <w:right w:val="single" w:color="auto" w:sz="4" w:space="0"/>
            </w:tcBorders>
          </w:tcPr>
          <w:p w14:paraId="4BB315BE">
            <w:pPr>
              <w:rPr>
                <w:rFonts w:ascii="Times New Roman" w:hAnsi="Times New Roman" w:eastAsia="仿宋_GB2312"/>
                <w:sz w:val="24"/>
                <w:szCs w:val="24"/>
              </w:rPr>
            </w:pPr>
            <w:r>
              <w:rPr>
                <w:rFonts w:ascii="Times New Roman" w:hAnsi="Times New Roman" w:eastAsia="仿宋_GB2312"/>
                <w:sz w:val="24"/>
                <w:szCs w:val="24"/>
              </w:rPr>
              <w:t>2018</w:t>
            </w:r>
            <w:r>
              <w:rPr>
                <w:rFonts w:hint="eastAsia" w:ascii="Times New Roman" w:hAnsi="Times New Roman" w:eastAsia="仿宋_GB2312"/>
                <w:sz w:val="24"/>
                <w:szCs w:val="24"/>
              </w:rPr>
              <w:t>年</w:t>
            </w:r>
          </w:p>
        </w:tc>
        <w:tc>
          <w:tcPr>
            <w:tcW w:w="1181" w:type="dxa"/>
            <w:tcBorders>
              <w:left w:val="single" w:color="auto" w:sz="4" w:space="0"/>
            </w:tcBorders>
          </w:tcPr>
          <w:p w14:paraId="6DBE4418">
            <w:pPr>
              <w:rPr>
                <w:rFonts w:ascii="Times New Roman" w:hAnsi="Times New Roman" w:eastAsia="仿宋_GB2312"/>
                <w:sz w:val="24"/>
                <w:szCs w:val="24"/>
              </w:rPr>
            </w:pPr>
          </w:p>
        </w:tc>
        <w:tc>
          <w:tcPr>
            <w:tcW w:w="1181" w:type="dxa"/>
          </w:tcPr>
          <w:p w14:paraId="63C8F512">
            <w:pPr>
              <w:rPr>
                <w:rFonts w:ascii="Times New Roman" w:hAnsi="Times New Roman" w:eastAsia="仿宋_GB2312"/>
                <w:sz w:val="24"/>
                <w:szCs w:val="24"/>
              </w:rPr>
            </w:pPr>
          </w:p>
        </w:tc>
        <w:tc>
          <w:tcPr>
            <w:tcW w:w="1181" w:type="dxa"/>
          </w:tcPr>
          <w:p w14:paraId="653F7596">
            <w:pPr>
              <w:rPr>
                <w:rFonts w:ascii="Times New Roman" w:hAnsi="Times New Roman" w:eastAsia="仿宋_GB2312"/>
                <w:sz w:val="24"/>
                <w:szCs w:val="24"/>
              </w:rPr>
            </w:pPr>
          </w:p>
        </w:tc>
      </w:tr>
    </w:tbl>
    <w:p w14:paraId="52EDEFCF">
      <w:pPr>
        <w:rPr>
          <w:rFonts w:ascii="Times New Roman" w:hAnsi="Times New Roman"/>
        </w:rPr>
      </w:pPr>
      <w:r>
        <w:rPr>
          <w:rFonts w:ascii="Times New Roman" w:hAnsi="Times New Roman"/>
          <w:vertAlign w:val="superscript"/>
        </w:rPr>
        <w:t>※</w:t>
      </w:r>
      <w:r>
        <w:rPr>
          <w:rFonts w:ascii="Times New Roman" w:hAnsi="Times New Roman"/>
        </w:rPr>
        <w:t>注1：若有多个既有设施退出，请自行添加。</w:t>
      </w:r>
    </w:p>
    <w:p w14:paraId="502DB15B">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排放单位新增设施（或新增服务范围）主要包括xxx。其中，xx替代了既有设施xx，新增设施及其排放量如下：</w:t>
      </w:r>
    </w:p>
    <w:p w14:paraId="11D41AF0">
      <w:pPr>
        <w:spacing w:after="0"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表</w:t>
      </w:r>
      <w:r>
        <w:rPr>
          <w:rFonts w:ascii="Times New Roman" w:hAnsi="Times New Roman" w:eastAsia="仿宋_GB2312"/>
          <w:color w:val="000000" w:themeColor="text1"/>
          <w:sz w:val="24"/>
        </w:rPr>
        <w:t xml:space="preserve">XX  </w:t>
      </w:r>
      <w:r>
        <w:rPr>
          <w:rFonts w:hint="eastAsia" w:ascii="Times New Roman" w:hAnsi="Times New Roman" w:eastAsia="仿宋_GB2312"/>
          <w:color w:val="000000" w:themeColor="text1"/>
          <w:sz w:val="24"/>
        </w:rPr>
        <w:t>新增设施信息表</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1293"/>
        <w:gridCol w:w="1772"/>
        <w:gridCol w:w="1661"/>
        <w:gridCol w:w="1661"/>
        <w:gridCol w:w="1666"/>
      </w:tblGrid>
      <w:tr w14:paraId="4D442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Align w:val="center"/>
          </w:tcPr>
          <w:p w14:paraId="7CB7B5F7">
            <w:pPr>
              <w:tabs>
                <w:tab w:val="left" w:pos="1701"/>
              </w:tabs>
              <w:spacing w:after="0" w:line="240" w:lineRule="auto"/>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序号</w:t>
            </w:r>
          </w:p>
        </w:tc>
        <w:tc>
          <w:tcPr>
            <w:tcW w:w="714" w:type="pct"/>
            <w:vAlign w:val="center"/>
          </w:tcPr>
          <w:p w14:paraId="5123135B">
            <w:pPr>
              <w:tabs>
                <w:tab w:val="left" w:pos="1701"/>
              </w:tabs>
              <w:spacing w:after="0" w:line="240" w:lineRule="auto"/>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设施新增年份</w:t>
            </w:r>
          </w:p>
        </w:tc>
        <w:tc>
          <w:tcPr>
            <w:tcW w:w="978" w:type="pct"/>
            <w:vAlign w:val="center"/>
          </w:tcPr>
          <w:p w14:paraId="7D2A7AB0">
            <w:pPr>
              <w:tabs>
                <w:tab w:val="left" w:pos="1701"/>
              </w:tabs>
              <w:spacing w:after="0" w:line="240" w:lineRule="auto"/>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新增设施类型</w:t>
            </w:r>
          </w:p>
        </w:tc>
        <w:tc>
          <w:tcPr>
            <w:tcW w:w="917" w:type="pct"/>
            <w:vAlign w:val="center"/>
          </w:tcPr>
          <w:p w14:paraId="6BF46EAF">
            <w:pPr>
              <w:tabs>
                <w:tab w:val="left" w:pos="1701"/>
              </w:tabs>
              <w:spacing w:after="0" w:line="240" w:lineRule="auto"/>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是否替代既有设施，被替代既有设施类型</w:t>
            </w:r>
          </w:p>
        </w:tc>
        <w:tc>
          <w:tcPr>
            <w:tcW w:w="917" w:type="pct"/>
            <w:vAlign w:val="center"/>
          </w:tcPr>
          <w:p w14:paraId="3DE05401">
            <w:pPr>
              <w:tabs>
                <w:tab w:val="left" w:pos="1701"/>
              </w:tabs>
              <w:spacing w:after="0" w:line="240" w:lineRule="auto"/>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新增设施排放量（吨）</w:t>
            </w:r>
          </w:p>
        </w:tc>
        <w:tc>
          <w:tcPr>
            <w:tcW w:w="917" w:type="pct"/>
            <w:vAlign w:val="center"/>
          </w:tcPr>
          <w:p w14:paraId="2465112B">
            <w:pPr>
              <w:tabs>
                <w:tab w:val="left" w:pos="1701"/>
              </w:tabs>
              <w:spacing w:after="0" w:line="240" w:lineRule="auto"/>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替代既有设施的新增排放量</w:t>
            </w:r>
            <w:r>
              <w:rPr>
                <w:rFonts w:ascii="Times New Roman" w:hAnsi="Times New Roman" w:eastAsia="仿宋_GB2312"/>
                <w:color w:val="000000"/>
                <w:sz w:val="24"/>
                <w:szCs w:val="24"/>
              </w:rPr>
              <w:t>(</w:t>
            </w:r>
            <w:r>
              <w:rPr>
                <w:rFonts w:hint="eastAsia" w:ascii="Times New Roman" w:hAnsi="Times New Roman" w:eastAsia="仿宋_GB2312"/>
                <w:color w:val="000000"/>
                <w:sz w:val="24"/>
                <w:szCs w:val="24"/>
              </w:rPr>
              <w:t>吨</w:t>
            </w:r>
            <w:r>
              <w:rPr>
                <w:rFonts w:ascii="Times New Roman" w:hAnsi="Times New Roman" w:eastAsia="仿宋_GB2312"/>
                <w:color w:val="000000"/>
                <w:sz w:val="24"/>
                <w:szCs w:val="24"/>
              </w:rPr>
              <w:t>)</w:t>
            </w:r>
          </w:p>
        </w:tc>
      </w:tr>
      <w:tr w14:paraId="7A53A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tcPr>
          <w:p w14:paraId="277839B4">
            <w:pPr>
              <w:spacing w:after="0" w:line="240" w:lineRule="auto"/>
              <w:jc w:val="center"/>
              <w:rPr>
                <w:rFonts w:ascii="Times New Roman" w:hAnsi="Times New Roman" w:eastAsia="仿宋"/>
                <w:sz w:val="24"/>
                <w:szCs w:val="24"/>
              </w:rPr>
            </w:pPr>
            <w:r>
              <w:rPr>
                <w:rFonts w:ascii="Times New Roman" w:hAnsi="Times New Roman" w:eastAsia="仿宋_GB2312"/>
                <w:color w:val="000000"/>
                <w:sz w:val="24"/>
                <w:szCs w:val="24"/>
              </w:rPr>
              <w:t>1</w:t>
            </w:r>
          </w:p>
        </w:tc>
        <w:tc>
          <w:tcPr>
            <w:tcW w:w="714" w:type="pct"/>
          </w:tcPr>
          <w:p w14:paraId="0C50A1EA">
            <w:pPr>
              <w:spacing w:after="0" w:line="240" w:lineRule="auto"/>
              <w:rPr>
                <w:rFonts w:ascii="Times New Roman" w:hAnsi="Times New Roman" w:eastAsia="仿宋"/>
                <w:sz w:val="24"/>
                <w:szCs w:val="24"/>
              </w:rPr>
            </w:pPr>
          </w:p>
        </w:tc>
        <w:tc>
          <w:tcPr>
            <w:tcW w:w="978" w:type="pct"/>
          </w:tcPr>
          <w:p w14:paraId="4500B916">
            <w:pPr>
              <w:spacing w:after="0" w:line="240" w:lineRule="auto"/>
              <w:rPr>
                <w:rFonts w:ascii="Times New Roman" w:hAnsi="Times New Roman" w:eastAsia="仿宋"/>
                <w:sz w:val="24"/>
                <w:szCs w:val="24"/>
              </w:rPr>
            </w:pPr>
          </w:p>
        </w:tc>
        <w:tc>
          <w:tcPr>
            <w:tcW w:w="917" w:type="pct"/>
          </w:tcPr>
          <w:p w14:paraId="20AFD4AA">
            <w:pPr>
              <w:spacing w:after="0" w:line="240" w:lineRule="auto"/>
              <w:rPr>
                <w:rFonts w:ascii="Times New Roman" w:hAnsi="Times New Roman" w:eastAsia="仿宋"/>
                <w:sz w:val="24"/>
                <w:szCs w:val="24"/>
              </w:rPr>
            </w:pPr>
          </w:p>
        </w:tc>
        <w:tc>
          <w:tcPr>
            <w:tcW w:w="917" w:type="pct"/>
          </w:tcPr>
          <w:p w14:paraId="66D43A2D">
            <w:pPr>
              <w:spacing w:after="0" w:line="240" w:lineRule="auto"/>
              <w:rPr>
                <w:rFonts w:ascii="Times New Roman" w:hAnsi="Times New Roman" w:eastAsia="仿宋"/>
                <w:sz w:val="24"/>
                <w:szCs w:val="24"/>
              </w:rPr>
            </w:pPr>
          </w:p>
        </w:tc>
        <w:tc>
          <w:tcPr>
            <w:tcW w:w="917" w:type="pct"/>
          </w:tcPr>
          <w:p w14:paraId="5870AF3B">
            <w:pPr>
              <w:spacing w:after="0" w:line="240" w:lineRule="auto"/>
              <w:rPr>
                <w:rFonts w:ascii="Times New Roman" w:hAnsi="Times New Roman" w:eastAsia="仿宋"/>
                <w:sz w:val="24"/>
                <w:szCs w:val="24"/>
              </w:rPr>
            </w:pPr>
          </w:p>
        </w:tc>
      </w:tr>
      <w:tr w14:paraId="077A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tcPr>
          <w:p w14:paraId="793A4A72">
            <w:pPr>
              <w:spacing w:after="0" w:line="240" w:lineRule="auto"/>
              <w:jc w:val="center"/>
              <w:rPr>
                <w:rFonts w:ascii="Times New Roman" w:hAnsi="Times New Roman" w:eastAsia="仿宋"/>
                <w:sz w:val="24"/>
                <w:szCs w:val="24"/>
              </w:rPr>
            </w:pPr>
            <w:r>
              <w:rPr>
                <w:rFonts w:hint="eastAsia" w:ascii="Times New Roman" w:hAnsi="Times New Roman" w:eastAsia="仿宋_GB2312"/>
                <w:color w:val="000000"/>
                <w:sz w:val="24"/>
                <w:szCs w:val="24"/>
              </w:rPr>
              <w:t>合计</w:t>
            </w:r>
          </w:p>
        </w:tc>
        <w:tc>
          <w:tcPr>
            <w:tcW w:w="714" w:type="pct"/>
          </w:tcPr>
          <w:p w14:paraId="2591223A">
            <w:pPr>
              <w:spacing w:after="0" w:line="240" w:lineRule="auto"/>
              <w:rPr>
                <w:rFonts w:ascii="Times New Roman" w:hAnsi="Times New Roman" w:eastAsia="仿宋"/>
                <w:sz w:val="24"/>
                <w:szCs w:val="24"/>
              </w:rPr>
            </w:pPr>
          </w:p>
        </w:tc>
        <w:tc>
          <w:tcPr>
            <w:tcW w:w="978" w:type="pct"/>
          </w:tcPr>
          <w:p w14:paraId="02DBAD89">
            <w:pPr>
              <w:spacing w:after="0" w:line="240" w:lineRule="auto"/>
              <w:rPr>
                <w:rFonts w:ascii="Times New Roman" w:hAnsi="Times New Roman" w:eastAsia="仿宋"/>
                <w:sz w:val="24"/>
                <w:szCs w:val="24"/>
              </w:rPr>
            </w:pPr>
          </w:p>
        </w:tc>
        <w:tc>
          <w:tcPr>
            <w:tcW w:w="917" w:type="pct"/>
          </w:tcPr>
          <w:p w14:paraId="522BFB65">
            <w:pPr>
              <w:spacing w:after="0" w:line="240" w:lineRule="auto"/>
              <w:rPr>
                <w:rFonts w:ascii="Times New Roman" w:hAnsi="Times New Roman" w:eastAsia="仿宋"/>
                <w:sz w:val="24"/>
                <w:szCs w:val="24"/>
              </w:rPr>
            </w:pPr>
          </w:p>
        </w:tc>
        <w:tc>
          <w:tcPr>
            <w:tcW w:w="917" w:type="pct"/>
          </w:tcPr>
          <w:p w14:paraId="283FE872">
            <w:pPr>
              <w:spacing w:after="0" w:line="240" w:lineRule="auto"/>
              <w:rPr>
                <w:rFonts w:ascii="Times New Roman" w:hAnsi="Times New Roman" w:eastAsia="仿宋"/>
                <w:sz w:val="24"/>
                <w:szCs w:val="24"/>
              </w:rPr>
            </w:pPr>
          </w:p>
        </w:tc>
        <w:tc>
          <w:tcPr>
            <w:tcW w:w="917" w:type="pct"/>
          </w:tcPr>
          <w:p w14:paraId="49D654D6">
            <w:pPr>
              <w:spacing w:after="0" w:line="240" w:lineRule="auto"/>
              <w:rPr>
                <w:rFonts w:ascii="Times New Roman" w:hAnsi="Times New Roman" w:eastAsia="仿宋"/>
                <w:sz w:val="24"/>
                <w:szCs w:val="24"/>
              </w:rPr>
            </w:pPr>
          </w:p>
        </w:tc>
      </w:tr>
      <w:tr w14:paraId="3E6AF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14:paraId="61811A2A">
            <w:pPr>
              <w:spacing w:after="0" w:line="240" w:lineRule="auto"/>
              <w:rPr>
                <w:rFonts w:ascii="Times New Roman" w:hAnsi="Times New Roman" w:eastAsia="仿宋"/>
                <w:sz w:val="24"/>
                <w:szCs w:val="24"/>
              </w:rPr>
            </w:pPr>
            <w:r>
              <w:rPr>
                <w:rFonts w:hint="eastAsia" w:ascii="Times New Roman" w:hAnsi="Times New Roman" w:eastAsia="仿宋"/>
                <w:sz w:val="24"/>
                <w:szCs w:val="24"/>
              </w:rPr>
              <w:t>备注：</w:t>
            </w:r>
          </w:p>
        </w:tc>
      </w:tr>
    </w:tbl>
    <w:p w14:paraId="64EE2B1F">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新增设施排放量为xxxx.xx吨，是基准年份排放量的xx.xx%，新增设施对应的活动水平为xxx（例如新增建筑面积xxx平方米），此信息供新增设施配额发放参考。</w:t>
      </w:r>
    </w:p>
    <w:p w14:paraId="5976D78C">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5.核查过程未覆盖的问题描述</w:t>
      </w:r>
    </w:p>
    <w:p w14:paraId="7043D4C4">
      <w:pPr>
        <w:spacing w:after="0" w:line="560" w:lineRule="exact"/>
        <w:ind w:firstLine="640" w:firstLineChars="200"/>
        <w:rPr>
          <w:rFonts w:ascii="Times New Roman" w:hAnsi="Times New Roman"/>
        </w:rPr>
      </w:pPr>
      <w:r>
        <w:rPr>
          <w:rFonts w:ascii="Times New Roman" w:hAnsi="Times New Roman" w:eastAsia="仿宋_GB2312"/>
          <w:sz w:val="32"/>
          <w:szCs w:val="32"/>
        </w:rPr>
        <w:t>本次核查中，由于xx原因，xxxx方面未覆盖。</w:t>
      </w:r>
      <w:r>
        <w:rPr>
          <w:rFonts w:ascii="Times New Roman" w:hAnsi="Times New Roman"/>
        </w:rPr>
        <w:br w:type="page"/>
      </w:r>
    </w:p>
    <w:p w14:paraId="6831A124">
      <w:pPr>
        <w:pStyle w:val="4"/>
        <w:rPr>
          <w:rFonts w:asciiTheme="majorEastAsia" w:hAnsiTheme="majorEastAsia" w:eastAsiaTheme="majorEastAsia"/>
          <w:sz w:val="32"/>
          <w:szCs w:val="32"/>
        </w:rPr>
      </w:pPr>
      <w:r>
        <w:rPr>
          <w:rFonts w:hint="eastAsia" w:asciiTheme="majorEastAsia" w:hAnsiTheme="majorEastAsia" w:eastAsiaTheme="majorEastAsia"/>
          <w:sz w:val="32"/>
          <w:szCs w:val="32"/>
        </w:rPr>
        <w:t>热力生产和供应企业</w:t>
      </w:r>
    </w:p>
    <w:p w14:paraId="02EF7AB4">
      <w:pPr>
        <w:spacing w:after="0" w:line="560" w:lineRule="exact"/>
        <w:rPr>
          <w:rFonts w:ascii="Times New Roman" w:hAnsi="Times New Roman" w:eastAsia="仿宋"/>
          <w:sz w:val="32"/>
          <w:szCs w:val="32"/>
        </w:rPr>
      </w:pPr>
      <w:r>
        <w:rPr>
          <w:rFonts w:ascii="Times New Roman" w:hAnsi="Times New Roman" w:eastAsia="仿宋"/>
          <w:sz w:val="32"/>
          <w:szCs w:val="32"/>
        </w:rPr>
        <w:t>核查结论</w:t>
      </w:r>
    </w:p>
    <w:p w14:paraId="41F79092">
      <w:pPr>
        <w:spacing w:after="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xxxx公司（以下简称排放单位）委托xxx公司开展XXXX年二氧化碳排放的核查工作。核查范围包括排放单位所有在北京市辖区内固定设施导致的二氧化碳直接排放和二氧化碳间接排放。</w:t>
      </w:r>
    </w:p>
    <w:p w14:paraId="596C9A39">
      <w:pPr>
        <w:spacing w:after="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通过文件评审、现场访问、核查报告编写及内部技术复核，核查组对排放单位XXXX年度二氧化碳排放报告形成如下核查结论：</w:t>
      </w:r>
    </w:p>
    <w:p w14:paraId="6FB14195">
      <w:pPr>
        <w:spacing w:after="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1. 核算、报告与方法学的符合性</w:t>
      </w:r>
    </w:p>
    <w:p w14:paraId="1DF4F73F">
      <w:pPr>
        <w:spacing w:after="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核查组确认所有不符合已全部关闭，排放单位的核算与报告均符合方法学</w:t>
      </w:r>
      <w:r>
        <w:rPr>
          <w:rFonts w:hint="eastAsia" w:ascii="Times New Roman" w:hAnsi="Times New Roman" w:eastAsia="仿宋"/>
          <w:sz w:val="32"/>
          <w:szCs w:val="32"/>
        </w:rPr>
        <w:t>《二氧化碳排放核算和报告要求热力生产和供应业》（DB11/T 1784-2020）</w:t>
      </w:r>
      <w:r>
        <w:rPr>
          <w:rFonts w:ascii="Times New Roman" w:hAnsi="Times New Roman" w:eastAsia="仿宋"/>
          <w:sz w:val="32"/>
          <w:szCs w:val="32"/>
        </w:rPr>
        <w:t>的要求，核查组对本排放报告出具肯定的核查结论。</w:t>
      </w:r>
    </w:p>
    <w:p w14:paraId="107C026C">
      <w:pPr>
        <w:spacing w:after="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2. 本年度排放量及活动水平数据的声明</w:t>
      </w:r>
    </w:p>
    <w:p w14:paraId="70ABC096">
      <w:pPr>
        <w:spacing w:after="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经核查的直接和间接排放量与最终排放报告中数据一致。经核查的直接排放量为310424.18</w:t>
      </w:r>
      <w:r>
        <w:rPr>
          <w:rFonts w:ascii="Times New Roman" w:hAnsi="Times New Roman" w:eastAsia="仿宋"/>
          <w:color w:val="000000"/>
          <w:sz w:val="32"/>
          <w:szCs w:val="32"/>
        </w:rPr>
        <w:t>吨，间接排放量为36779.13吨，总排放量为347203.31吨</w:t>
      </w:r>
      <w:r>
        <w:rPr>
          <w:rFonts w:ascii="Times New Roman" w:hAnsi="Times New Roman" w:eastAsia="仿宋"/>
          <w:sz w:val="32"/>
          <w:szCs w:val="32"/>
        </w:rPr>
        <w:t>。</w:t>
      </w:r>
    </w:p>
    <w:p w14:paraId="0E3A2631">
      <w:pPr>
        <w:spacing w:after="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经核查的供热量与最终排放报告中数据一致。其中燃气锅炉直供的建筑物供热量为xxxxTJ，燃气锅炉间供的热力站一次侧输入热源产生热量为xxxxTJ，燃煤锅炉直供的建筑供热量为xxxxTJ，燃煤锅炉间供的热力站一次侧输入热源产生热量为xxxxTJ，电锅炉所供的建筑供热量为xxxxTJ，燃油锅炉所供的建筑供热量为xxxxTJ，地源热泵所供的建筑供热量为xxxxTJ，其他供热方式所供的建筑物供热量为xxxxTJ；热力站一次侧输入热量为xxxTJ。</w:t>
      </w:r>
    </w:p>
    <w:p w14:paraId="5AD5CE06">
      <w:pPr>
        <w:spacing w:after="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3. 年度</w:t>
      </w:r>
      <w:r>
        <w:rPr>
          <w:rFonts w:hint="eastAsia" w:ascii="Times New Roman" w:hAnsi="Times New Roman" w:eastAsia="仿宋"/>
          <w:sz w:val="32"/>
          <w:szCs w:val="32"/>
        </w:rPr>
        <w:t>排放量及活动水平</w:t>
      </w:r>
      <w:r>
        <w:rPr>
          <w:rFonts w:ascii="Times New Roman" w:hAnsi="Times New Roman" w:eastAsia="仿宋"/>
          <w:sz w:val="32"/>
          <w:szCs w:val="32"/>
        </w:rPr>
        <w:t>波动的原因说明</w:t>
      </w:r>
    </w:p>
    <w:p w14:paraId="3AA45471">
      <w:pPr>
        <w:spacing w:after="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本年度排放量与上年度排放量相比增加</w:t>
      </w:r>
      <w:r>
        <w:rPr>
          <w:rFonts w:ascii="Times New Roman" w:hAnsi="Times New Roman" w:eastAsia="仿宋"/>
          <w:color w:val="000000"/>
          <w:sz w:val="32"/>
          <w:szCs w:val="32"/>
        </w:rPr>
        <w:t>71782.51吨/26.06%</w:t>
      </w:r>
      <w:r>
        <w:rPr>
          <w:rFonts w:ascii="Times New Roman" w:hAnsi="Times New Roman" w:eastAsia="仿宋"/>
          <w:sz w:val="32"/>
          <w:szCs w:val="32"/>
        </w:rPr>
        <w:t>，</w:t>
      </w:r>
      <w:bookmarkStart w:id="21" w:name="OLE_LINK2"/>
      <w:bookmarkStart w:id="22" w:name="OLE_LINK3"/>
      <w:r>
        <w:rPr>
          <w:rFonts w:ascii="Times New Roman" w:hAnsi="Times New Roman" w:eastAsia="仿宋"/>
          <w:sz w:val="32"/>
          <w:szCs w:val="32"/>
        </w:rPr>
        <w:t>其中直接排放相比上一年度增加66006.69吨/27.01%，间接排放相比上一年度增加</w:t>
      </w:r>
      <w:bookmarkEnd w:id="21"/>
      <w:bookmarkEnd w:id="22"/>
      <w:r>
        <w:rPr>
          <w:rFonts w:ascii="Times New Roman" w:hAnsi="Times New Roman" w:eastAsia="仿宋"/>
          <w:sz w:val="32"/>
          <w:szCs w:val="32"/>
        </w:rPr>
        <w:t>5775.82吨/18.63%，原因为排放单位2019年通过新建、划转和收购增加了xx个热源厂，供热量明显增加，热力站耗电量也相应有所提高。</w:t>
      </w:r>
    </w:p>
    <w:p w14:paraId="3E33DA89">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本年度排放量相比历史基准年份排放量相比上升71782.51吨，上升比例为26.06%，原因为排放单位增加了xx个热源厂含xx座燃气锅炉、xx座燃煤锅炉</w:t>
      </w:r>
      <w:r>
        <w:rPr>
          <w:rFonts w:hint="eastAsia" w:ascii="Times New Roman" w:hAnsi="Times New Roman" w:eastAsia="仿宋_GB2312"/>
          <w:sz w:val="32"/>
          <w:szCs w:val="32"/>
        </w:rPr>
        <w:t>、xx座燃油锅炉、xx座电锅炉</w:t>
      </w:r>
      <w:r>
        <w:rPr>
          <w:rFonts w:ascii="Times New Roman" w:hAnsi="Times New Roman" w:eastAsia="仿宋_GB2312"/>
          <w:sz w:val="32"/>
          <w:szCs w:val="32"/>
        </w:rPr>
        <w:t>，增加了xx个热力站，供热面积增加了xxx平方米，供热量增加了xxxxTJ；相比上一年度增加了XXX，原因是XXX</w:t>
      </w:r>
    </w:p>
    <w:p w14:paraId="0E78B955">
      <w:pPr>
        <w:jc w:val="center"/>
        <w:rPr>
          <w:rFonts w:ascii="Times New Roman" w:hAnsi="Times New Roman" w:eastAsia="仿宋_GB2312"/>
          <w:sz w:val="32"/>
          <w:szCs w:val="32"/>
        </w:rPr>
      </w:pPr>
      <w:r>
        <w:rPr>
          <w:rFonts w:ascii="Times New Roman" w:hAnsi="Times New Roman" w:eastAsia="仿宋_GB2312"/>
          <w:sz w:val="24"/>
        </w:rPr>
        <w:t>表XX  排放量汇总表</w:t>
      </w:r>
    </w:p>
    <w:tbl>
      <w:tblPr>
        <w:tblStyle w:val="35"/>
        <w:tblW w:w="79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144"/>
        <w:gridCol w:w="2243"/>
        <w:gridCol w:w="2270"/>
      </w:tblGrid>
      <w:tr w14:paraId="7A200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260" w:type="dxa"/>
            <w:vAlign w:val="center"/>
          </w:tcPr>
          <w:p w14:paraId="53D63268">
            <w:pPr>
              <w:spacing w:line="240" w:lineRule="auto"/>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年度</w:t>
            </w:r>
          </w:p>
        </w:tc>
        <w:tc>
          <w:tcPr>
            <w:tcW w:w="2144" w:type="dxa"/>
            <w:vAlign w:val="center"/>
          </w:tcPr>
          <w:p w14:paraId="076057FA">
            <w:pPr>
              <w:spacing w:line="240" w:lineRule="auto"/>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直接排放量（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c>
          <w:tcPr>
            <w:tcW w:w="2243" w:type="dxa"/>
            <w:vAlign w:val="center"/>
          </w:tcPr>
          <w:p w14:paraId="54831FB6">
            <w:pPr>
              <w:spacing w:line="240" w:lineRule="auto"/>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间接排放量（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c>
          <w:tcPr>
            <w:tcW w:w="2270" w:type="dxa"/>
            <w:vAlign w:val="center"/>
          </w:tcPr>
          <w:p w14:paraId="3DEC0C58">
            <w:pPr>
              <w:spacing w:line="240" w:lineRule="auto"/>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排放总量（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r>
      <w:tr w14:paraId="7CC7E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260" w:type="dxa"/>
            <w:noWrap/>
            <w:vAlign w:val="center"/>
          </w:tcPr>
          <w:p w14:paraId="15D7AC95">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2016</w:t>
            </w:r>
          </w:p>
        </w:tc>
        <w:tc>
          <w:tcPr>
            <w:tcW w:w="2144" w:type="dxa"/>
            <w:noWrap/>
            <w:vAlign w:val="center"/>
          </w:tcPr>
          <w:p w14:paraId="71CB47F5">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229417.49</w:t>
            </w:r>
          </w:p>
        </w:tc>
        <w:tc>
          <w:tcPr>
            <w:tcW w:w="2243" w:type="dxa"/>
            <w:noWrap/>
            <w:vAlign w:val="center"/>
          </w:tcPr>
          <w:p w14:paraId="26A57D2C">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29003.31</w:t>
            </w:r>
          </w:p>
        </w:tc>
        <w:tc>
          <w:tcPr>
            <w:tcW w:w="2270" w:type="dxa"/>
            <w:vAlign w:val="center"/>
          </w:tcPr>
          <w:p w14:paraId="693DDE73">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258420.80</w:t>
            </w:r>
          </w:p>
        </w:tc>
      </w:tr>
      <w:tr w14:paraId="51E9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noWrap/>
            <w:vAlign w:val="center"/>
          </w:tcPr>
          <w:p w14:paraId="5D676401">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2017</w:t>
            </w:r>
          </w:p>
        </w:tc>
        <w:tc>
          <w:tcPr>
            <w:tcW w:w="2144" w:type="dxa"/>
            <w:noWrap/>
            <w:vAlign w:val="center"/>
          </w:tcPr>
          <w:p w14:paraId="7F2E779C">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234417.49</w:t>
            </w:r>
          </w:p>
        </w:tc>
        <w:tc>
          <w:tcPr>
            <w:tcW w:w="2243" w:type="dxa"/>
            <w:noWrap/>
            <w:vAlign w:val="center"/>
          </w:tcPr>
          <w:p w14:paraId="0FD1EBB2">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30203.31</w:t>
            </w:r>
          </w:p>
        </w:tc>
        <w:tc>
          <w:tcPr>
            <w:tcW w:w="2270" w:type="dxa"/>
            <w:vAlign w:val="center"/>
          </w:tcPr>
          <w:p w14:paraId="590E6CA6">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264620.80</w:t>
            </w:r>
          </w:p>
        </w:tc>
      </w:tr>
      <w:tr w14:paraId="759EC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noWrap/>
            <w:vAlign w:val="center"/>
          </w:tcPr>
          <w:p w14:paraId="4E007282">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2018</w:t>
            </w:r>
          </w:p>
        </w:tc>
        <w:tc>
          <w:tcPr>
            <w:tcW w:w="2144" w:type="dxa"/>
            <w:noWrap/>
            <w:vAlign w:val="center"/>
          </w:tcPr>
          <w:p w14:paraId="4F315274">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244417.49</w:t>
            </w:r>
          </w:p>
        </w:tc>
        <w:tc>
          <w:tcPr>
            <w:tcW w:w="2243" w:type="dxa"/>
            <w:noWrap/>
            <w:vAlign w:val="center"/>
          </w:tcPr>
          <w:p w14:paraId="3C738C8A">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31003.31</w:t>
            </w:r>
          </w:p>
        </w:tc>
        <w:tc>
          <w:tcPr>
            <w:tcW w:w="2270" w:type="dxa"/>
            <w:vAlign w:val="center"/>
          </w:tcPr>
          <w:p w14:paraId="5CFCAA51">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275420.80</w:t>
            </w:r>
          </w:p>
        </w:tc>
      </w:tr>
      <w:tr w14:paraId="4CA3D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noWrap/>
            <w:vAlign w:val="center"/>
          </w:tcPr>
          <w:p w14:paraId="343F9BBE">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2019</w:t>
            </w:r>
          </w:p>
        </w:tc>
        <w:tc>
          <w:tcPr>
            <w:tcW w:w="2144" w:type="dxa"/>
            <w:noWrap/>
            <w:vAlign w:val="center"/>
          </w:tcPr>
          <w:p w14:paraId="24B7C04C">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310424.18</w:t>
            </w:r>
          </w:p>
        </w:tc>
        <w:tc>
          <w:tcPr>
            <w:tcW w:w="2243" w:type="dxa"/>
            <w:noWrap/>
            <w:vAlign w:val="center"/>
          </w:tcPr>
          <w:p w14:paraId="49239FC7">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36779.13</w:t>
            </w:r>
          </w:p>
        </w:tc>
        <w:tc>
          <w:tcPr>
            <w:tcW w:w="2270" w:type="dxa"/>
            <w:vAlign w:val="center"/>
          </w:tcPr>
          <w:p w14:paraId="6C355C7B">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347203.31</w:t>
            </w:r>
          </w:p>
        </w:tc>
      </w:tr>
      <w:tr w14:paraId="4F9F6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noWrap/>
            <w:vAlign w:val="center"/>
          </w:tcPr>
          <w:p w14:paraId="7CF655CF">
            <w:pPr>
              <w:spacing w:line="240" w:lineRule="auto"/>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2</w:t>
            </w:r>
            <w:r>
              <w:rPr>
                <w:rFonts w:ascii="Times New Roman" w:hAnsi="Times New Roman" w:eastAsia="仿宋_GB2312"/>
                <w:color w:val="000000"/>
                <w:sz w:val="21"/>
                <w:szCs w:val="21"/>
              </w:rPr>
              <w:t>020</w:t>
            </w:r>
          </w:p>
        </w:tc>
        <w:tc>
          <w:tcPr>
            <w:tcW w:w="2144" w:type="dxa"/>
            <w:noWrap/>
            <w:vAlign w:val="center"/>
          </w:tcPr>
          <w:p w14:paraId="4DC6EBD1">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310424.18</w:t>
            </w:r>
          </w:p>
        </w:tc>
        <w:tc>
          <w:tcPr>
            <w:tcW w:w="2243" w:type="dxa"/>
            <w:noWrap/>
            <w:vAlign w:val="center"/>
          </w:tcPr>
          <w:p w14:paraId="5E78AA2D">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36779.13</w:t>
            </w:r>
          </w:p>
        </w:tc>
        <w:tc>
          <w:tcPr>
            <w:tcW w:w="2270" w:type="dxa"/>
            <w:vAlign w:val="center"/>
          </w:tcPr>
          <w:p w14:paraId="7E53400D">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347203.31</w:t>
            </w:r>
          </w:p>
        </w:tc>
      </w:tr>
    </w:tbl>
    <w:p w14:paraId="30896647">
      <w:pPr>
        <w:ind w:firstLine="440" w:firstLineChars="200"/>
        <w:rPr>
          <w:rFonts w:ascii="Times New Roman" w:hAnsi="Times New Roman" w:eastAsia="仿宋_GB2312"/>
          <w:sz w:val="32"/>
          <w:szCs w:val="32"/>
        </w:rPr>
      </w:pPr>
      <w:r>
        <w:rPr>
          <w:lang w:val="en-US"/>
        </w:rPr>
        <w:drawing>
          <wp:inline distT="0" distB="0" distL="0" distR="0">
            <wp:extent cx="4568825" cy="2740025"/>
            <wp:effectExtent l="0" t="0" r="3175" b="3175"/>
            <wp:docPr id="9" name="图表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F82BA33">
      <w:pPr>
        <w:spacing w:after="0" w:line="560" w:lineRule="exact"/>
        <w:ind w:firstLine="640" w:firstLineChars="200"/>
        <w:jc w:val="center"/>
        <w:rPr>
          <w:rFonts w:ascii="Times New Roman" w:hAnsi="Times New Roman" w:eastAsia="仿宋_GB2312"/>
          <w:sz w:val="32"/>
          <w:szCs w:val="32"/>
        </w:rPr>
      </w:pPr>
      <w:r>
        <w:rPr>
          <w:rFonts w:ascii="Times New Roman" w:hAnsi="Times New Roman" w:eastAsia="仿宋_GB2312"/>
          <w:sz w:val="32"/>
          <w:szCs w:val="32"/>
        </w:rPr>
        <w:t>图1  排放量变化趋势图（增加</w:t>
      </w:r>
      <w:r>
        <w:rPr>
          <w:rFonts w:hint="eastAsia" w:ascii="Times New Roman" w:hAnsi="Times New Roman" w:eastAsia="仿宋_GB2312"/>
          <w:sz w:val="32"/>
          <w:szCs w:val="32"/>
        </w:rPr>
        <w:t>2</w:t>
      </w:r>
      <w:r>
        <w:rPr>
          <w:rFonts w:ascii="Times New Roman" w:hAnsi="Times New Roman" w:eastAsia="仿宋_GB2312"/>
          <w:sz w:val="32"/>
          <w:szCs w:val="32"/>
        </w:rPr>
        <w:t>020年度）</w:t>
      </w:r>
    </w:p>
    <w:p w14:paraId="72FC7976">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4.核算和报告边界变化</w:t>
      </w:r>
      <w:r>
        <w:rPr>
          <w:rFonts w:hint="eastAsia" w:ascii="Times New Roman" w:hAnsi="Times New Roman" w:eastAsia="仿宋_GB2312"/>
          <w:sz w:val="32"/>
          <w:szCs w:val="32"/>
        </w:rPr>
        <w:t>（含设施变化）</w:t>
      </w:r>
      <w:r>
        <w:rPr>
          <w:rFonts w:ascii="Times New Roman" w:hAnsi="Times New Roman" w:eastAsia="仿宋_GB2312"/>
          <w:sz w:val="32"/>
          <w:szCs w:val="32"/>
        </w:rPr>
        <w:t>情况</w:t>
      </w:r>
    </w:p>
    <w:p w14:paraId="597C7CE3">
      <w:pPr>
        <w:spacing w:after="0" w:line="560" w:lineRule="exact"/>
        <w:ind w:firstLine="640" w:firstLineChars="200"/>
        <w:rPr>
          <w:rFonts w:ascii="Times New Roman" w:hAnsi="Times New Roman" w:eastAsia="仿宋_GB2312"/>
          <w:sz w:val="32"/>
          <w:szCs w:val="32"/>
        </w:rPr>
      </w:pPr>
      <w:r>
        <w:rPr>
          <w:rFonts w:ascii="Times New Roman" w:hAnsi="Times New Roman" w:eastAsia="仿宋"/>
          <w:sz w:val="32"/>
          <w:szCs w:val="32"/>
        </w:rPr>
        <w:t>4.1 本年度</w:t>
      </w:r>
      <w:r>
        <w:rPr>
          <w:rFonts w:ascii="Times New Roman" w:hAnsi="Times New Roman" w:eastAsia="仿宋_GB2312"/>
          <w:sz w:val="32"/>
          <w:szCs w:val="32"/>
        </w:rPr>
        <w:t>场所边界的变化</w:t>
      </w:r>
    </w:p>
    <w:p w14:paraId="6DAF15D3">
      <w:pPr>
        <w:spacing w:after="0" w:line="560" w:lineRule="exact"/>
        <w:ind w:firstLine="640" w:firstLineChars="200"/>
        <w:rPr>
          <w:rFonts w:ascii="Times New Roman" w:hAnsi="Times New Roman" w:eastAsia="仿宋"/>
          <w:sz w:val="32"/>
          <w:szCs w:val="32"/>
        </w:rPr>
      </w:pPr>
      <w:r>
        <w:rPr>
          <w:rFonts w:ascii="Times New Roman" w:hAnsi="Times New Roman" w:eastAsia="仿宋"/>
          <w:sz w:val="32"/>
          <w:szCs w:val="32"/>
        </w:rPr>
        <w:t>排放单位核算和报告边界为北京市辖区内所涉及的热源厂xxx个，热力站xxx座，热力管网xxx公里，总供热面积xxx亿平方米，此外，还包括位于xxx的办公楼。</w:t>
      </w:r>
    </w:p>
    <w:p w14:paraId="444BBDDB">
      <w:pPr>
        <w:spacing w:after="0" w:line="560" w:lineRule="exact"/>
        <w:ind w:firstLine="640" w:firstLineChars="200"/>
        <w:rPr>
          <w:rFonts w:ascii="Times New Roman" w:hAnsi="Times New Roman" w:eastAsia="仿宋"/>
          <w:sz w:val="32"/>
          <w:szCs w:val="32"/>
        </w:rPr>
      </w:pPr>
      <w:r>
        <w:rPr>
          <w:rFonts w:ascii="Times New Roman" w:hAnsi="Times New Roman" w:eastAsia="仿宋"/>
          <w:sz w:val="32"/>
          <w:szCs w:val="32"/>
        </w:rPr>
        <w:t>相比上年度，增加xxx个热源厂、xxx座热力站，增加供热面积xxx平方米。</w:t>
      </w:r>
    </w:p>
    <w:p w14:paraId="01636A86">
      <w:pPr>
        <w:spacing w:after="0" w:line="560" w:lineRule="exact"/>
        <w:ind w:firstLine="640" w:firstLineChars="200"/>
        <w:rPr>
          <w:rFonts w:ascii="Times New Roman" w:hAnsi="Times New Roman" w:eastAsia="仿宋"/>
          <w:sz w:val="32"/>
          <w:szCs w:val="32"/>
        </w:rPr>
      </w:pPr>
      <w:r>
        <w:rPr>
          <w:rFonts w:ascii="Times New Roman" w:hAnsi="Times New Roman" w:eastAsia="仿宋"/>
          <w:sz w:val="32"/>
          <w:szCs w:val="32"/>
        </w:rPr>
        <w:t>相比基准年，增加xxx个热源厂、xxx座热力站，增加供热面积xxx平方米。</w:t>
      </w:r>
    </w:p>
    <w:p w14:paraId="64211DFC">
      <w:pPr>
        <w:spacing w:after="0" w:line="560" w:lineRule="exact"/>
        <w:ind w:firstLine="640" w:firstLineChars="200"/>
        <w:rPr>
          <w:rFonts w:ascii="Times New Roman" w:hAnsi="Times New Roman" w:eastAsia="仿宋"/>
          <w:sz w:val="32"/>
          <w:szCs w:val="32"/>
        </w:rPr>
      </w:pPr>
      <w:r>
        <w:rPr>
          <w:rFonts w:ascii="Times New Roman" w:hAnsi="Times New Roman" w:eastAsia="仿宋"/>
          <w:sz w:val="32"/>
          <w:szCs w:val="32"/>
        </w:rPr>
        <w:t>4.2本年度排放设施的变化</w:t>
      </w:r>
    </w:p>
    <w:p w14:paraId="5C3CE685">
      <w:pPr>
        <w:spacing w:after="0" w:line="560" w:lineRule="exact"/>
        <w:ind w:firstLine="465"/>
        <w:rPr>
          <w:rFonts w:ascii="Times New Roman" w:hAnsi="Times New Roman" w:eastAsia="仿宋"/>
          <w:sz w:val="32"/>
          <w:szCs w:val="32"/>
        </w:rPr>
      </w:pPr>
      <w:r>
        <w:rPr>
          <w:rFonts w:ascii="Times New Roman" w:hAnsi="Times New Roman" w:eastAsia="仿宋"/>
          <w:sz w:val="32"/>
          <w:szCs w:val="32"/>
        </w:rPr>
        <w:t>排放单位不涉及既有设施配额调整。</w:t>
      </w:r>
    </w:p>
    <w:p w14:paraId="384FBC4F">
      <w:pPr>
        <w:spacing w:after="0" w:line="560" w:lineRule="exact"/>
        <w:ind w:firstLine="465"/>
        <w:rPr>
          <w:rFonts w:ascii="Times New Roman" w:hAnsi="Times New Roman" w:eastAsia="仿宋"/>
          <w:bCs/>
          <w:sz w:val="32"/>
          <w:szCs w:val="32"/>
        </w:rPr>
      </w:pPr>
      <w:r>
        <w:rPr>
          <w:rFonts w:ascii="Times New Roman" w:hAnsi="Times New Roman" w:eastAsia="仿宋"/>
          <w:bCs/>
          <w:sz w:val="32"/>
          <w:szCs w:val="32"/>
        </w:rPr>
        <w:t>排放单位退出的既有设施包括xx热源厂的2台燃气锅炉。</w:t>
      </w:r>
    </w:p>
    <w:p w14:paraId="707EFE18">
      <w:pPr>
        <w:jc w:val="center"/>
        <w:rPr>
          <w:rFonts w:ascii="Times New Roman" w:hAnsi="Times New Roman" w:eastAsia="仿宋_GB2312"/>
          <w:sz w:val="24"/>
        </w:rPr>
      </w:pPr>
      <w:r>
        <w:rPr>
          <w:rFonts w:ascii="Times New Roman" w:hAnsi="Times New Roman" w:eastAsia="仿宋_GB2312"/>
          <w:sz w:val="24"/>
        </w:rPr>
        <w:t>表XX  既有设施退出信息表</w:t>
      </w:r>
    </w:p>
    <w:tbl>
      <w:tblPr>
        <w:tblStyle w:val="3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52"/>
        <w:gridCol w:w="1090"/>
        <w:gridCol w:w="708"/>
        <w:gridCol w:w="916"/>
        <w:gridCol w:w="1078"/>
        <w:gridCol w:w="1174"/>
        <w:gridCol w:w="1174"/>
        <w:gridCol w:w="1174"/>
      </w:tblGrid>
      <w:tr w14:paraId="32ED2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456" w:type="dxa"/>
            <w:vMerge w:val="restart"/>
            <w:vAlign w:val="center"/>
          </w:tcPr>
          <w:p w14:paraId="3437A556">
            <w:pPr>
              <w:jc w:val="center"/>
              <w:rPr>
                <w:rFonts w:ascii="Times New Roman" w:hAnsi="Times New Roman" w:eastAsia="仿宋_GB2312"/>
                <w:sz w:val="24"/>
              </w:rPr>
            </w:pPr>
            <w:r>
              <w:rPr>
                <w:rFonts w:ascii="Times New Roman" w:hAnsi="Times New Roman" w:eastAsia="仿宋_GB2312"/>
                <w:sz w:val="24"/>
              </w:rPr>
              <w:t>序号</w:t>
            </w:r>
          </w:p>
        </w:tc>
        <w:tc>
          <w:tcPr>
            <w:tcW w:w="786" w:type="dxa"/>
            <w:vMerge w:val="restart"/>
            <w:vAlign w:val="center"/>
          </w:tcPr>
          <w:p w14:paraId="4E957EF2">
            <w:pPr>
              <w:jc w:val="center"/>
              <w:rPr>
                <w:rFonts w:ascii="Times New Roman" w:hAnsi="Times New Roman" w:eastAsia="仿宋_GB2312"/>
                <w:sz w:val="24"/>
              </w:rPr>
            </w:pPr>
            <w:r>
              <w:rPr>
                <w:rFonts w:ascii="Times New Roman" w:hAnsi="Times New Roman" w:eastAsia="仿宋_GB2312"/>
                <w:sz w:val="24"/>
              </w:rPr>
              <w:t>既有设施名称</w:t>
            </w:r>
          </w:p>
        </w:tc>
        <w:tc>
          <w:tcPr>
            <w:tcW w:w="1134" w:type="dxa"/>
            <w:vMerge w:val="restart"/>
            <w:vAlign w:val="center"/>
          </w:tcPr>
          <w:p w14:paraId="42BF40AF">
            <w:pPr>
              <w:jc w:val="center"/>
              <w:rPr>
                <w:rFonts w:ascii="Times New Roman" w:hAnsi="Times New Roman" w:eastAsia="仿宋_GB2312"/>
                <w:sz w:val="24"/>
              </w:rPr>
            </w:pPr>
            <w:r>
              <w:rPr>
                <w:rFonts w:ascii="Times New Roman" w:hAnsi="Times New Roman" w:eastAsia="仿宋_GB2312"/>
                <w:sz w:val="24"/>
              </w:rPr>
              <w:t>既有设施对应其它生产信息（如适用）</w:t>
            </w:r>
          </w:p>
        </w:tc>
        <w:tc>
          <w:tcPr>
            <w:tcW w:w="709" w:type="dxa"/>
            <w:vMerge w:val="restart"/>
            <w:vAlign w:val="center"/>
          </w:tcPr>
          <w:p w14:paraId="4F37FDF3">
            <w:pPr>
              <w:jc w:val="center"/>
              <w:rPr>
                <w:rFonts w:ascii="Times New Roman" w:hAnsi="Times New Roman" w:eastAsia="仿宋_GB2312"/>
                <w:sz w:val="24"/>
              </w:rPr>
            </w:pPr>
            <w:r>
              <w:rPr>
                <w:rFonts w:ascii="Times New Roman" w:hAnsi="Times New Roman" w:eastAsia="仿宋_GB2312"/>
                <w:sz w:val="24"/>
              </w:rPr>
              <w:t>退出时间</w:t>
            </w:r>
          </w:p>
        </w:tc>
        <w:tc>
          <w:tcPr>
            <w:tcW w:w="968" w:type="dxa"/>
            <w:vMerge w:val="restart"/>
            <w:vAlign w:val="center"/>
          </w:tcPr>
          <w:p w14:paraId="0FEDA69E">
            <w:pPr>
              <w:jc w:val="center"/>
              <w:rPr>
                <w:rFonts w:ascii="Times New Roman" w:hAnsi="Times New Roman" w:eastAsia="仿宋_GB2312"/>
                <w:sz w:val="24"/>
              </w:rPr>
            </w:pPr>
            <w:r>
              <w:rPr>
                <w:rFonts w:ascii="Times New Roman" w:hAnsi="Times New Roman" w:eastAsia="仿宋_GB2312"/>
                <w:sz w:val="24"/>
              </w:rPr>
              <w:t>是否由新增设施替代</w:t>
            </w:r>
          </w:p>
        </w:tc>
        <w:tc>
          <w:tcPr>
            <w:tcW w:w="1121" w:type="dxa"/>
            <w:vMerge w:val="restart"/>
            <w:tcBorders>
              <w:right w:val="single" w:color="auto" w:sz="4" w:space="0"/>
            </w:tcBorders>
            <w:vAlign w:val="center"/>
          </w:tcPr>
          <w:p w14:paraId="7CE3E701">
            <w:pPr>
              <w:jc w:val="center"/>
              <w:rPr>
                <w:rFonts w:ascii="Times New Roman" w:hAnsi="Times New Roman" w:eastAsia="仿宋_GB2312"/>
                <w:sz w:val="24"/>
              </w:rPr>
            </w:pPr>
            <w:r>
              <w:rPr>
                <w:rFonts w:ascii="Times New Roman" w:hAnsi="Times New Roman" w:eastAsia="仿宋_GB2312"/>
                <w:sz w:val="24"/>
              </w:rPr>
              <w:t>年度</w:t>
            </w:r>
          </w:p>
        </w:tc>
        <w:tc>
          <w:tcPr>
            <w:tcW w:w="3348" w:type="dxa"/>
            <w:gridSpan w:val="3"/>
            <w:tcBorders>
              <w:left w:val="single" w:color="auto" w:sz="4" w:space="0"/>
            </w:tcBorders>
            <w:vAlign w:val="center"/>
          </w:tcPr>
          <w:p w14:paraId="4CFB65AB">
            <w:pPr>
              <w:jc w:val="center"/>
              <w:rPr>
                <w:rFonts w:ascii="Times New Roman" w:hAnsi="Times New Roman" w:eastAsia="仿宋_GB2312"/>
                <w:sz w:val="24"/>
              </w:rPr>
            </w:pPr>
            <w:r>
              <w:rPr>
                <w:rFonts w:ascii="Times New Roman" w:hAnsi="Times New Roman" w:eastAsia="仿宋_GB2312"/>
                <w:sz w:val="24"/>
              </w:rPr>
              <w:t>历史年度排放量</w:t>
            </w:r>
          </w:p>
        </w:tc>
      </w:tr>
      <w:tr w14:paraId="5D49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56" w:type="dxa"/>
            <w:vMerge w:val="continue"/>
            <w:vAlign w:val="center"/>
          </w:tcPr>
          <w:p w14:paraId="0BD3643C">
            <w:pPr>
              <w:jc w:val="center"/>
              <w:rPr>
                <w:rFonts w:ascii="Times New Roman" w:hAnsi="Times New Roman" w:eastAsia="仿宋_GB2312"/>
                <w:sz w:val="24"/>
              </w:rPr>
            </w:pPr>
          </w:p>
        </w:tc>
        <w:tc>
          <w:tcPr>
            <w:tcW w:w="786" w:type="dxa"/>
            <w:vMerge w:val="continue"/>
            <w:vAlign w:val="center"/>
          </w:tcPr>
          <w:p w14:paraId="3138BC6F">
            <w:pPr>
              <w:jc w:val="center"/>
              <w:rPr>
                <w:rFonts w:ascii="Times New Roman" w:hAnsi="Times New Roman" w:eastAsia="仿宋_GB2312"/>
                <w:sz w:val="24"/>
              </w:rPr>
            </w:pPr>
          </w:p>
        </w:tc>
        <w:tc>
          <w:tcPr>
            <w:tcW w:w="1134" w:type="dxa"/>
            <w:vMerge w:val="continue"/>
            <w:vAlign w:val="center"/>
          </w:tcPr>
          <w:p w14:paraId="34F0AD40">
            <w:pPr>
              <w:jc w:val="center"/>
              <w:rPr>
                <w:rFonts w:ascii="Times New Roman" w:hAnsi="Times New Roman" w:eastAsia="仿宋_GB2312"/>
                <w:sz w:val="24"/>
              </w:rPr>
            </w:pPr>
          </w:p>
        </w:tc>
        <w:tc>
          <w:tcPr>
            <w:tcW w:w="709" w:type="dxa"/>
            <w:vMerge w:val="continue"/>
            <w:vAlign w:val="center"/>
          </w:tcPr>
          <w:p w14:paraId="4D139DBC">
            <w:pPr>
              <w:jc w:val="center"/>
              <w:rPr>
                <w:rFonts w:ascii="Times New Roman" w:hAnsi="Times New Roman" w:eastAsia="仿宋_GB2312"/>
                <w:sz w:val="24"/>
              </w:rPr>
            </w:pPr>
          </w:p>
        </w:tc>
        <w:tc>
          <w:tcPr>
            <w:tcW w:w="968" w:type="dxa"/>
            <w:vMerge w:val="continue"/>
            <w:vAlign w:val="center"/>
          </w:tcPr>
          <w:p w14:paraId="6AE27776">
            <w:pPr>
              <w:jc w:val="center"/>
              <w:rPr>
                <w:rFonts w:ascii="Times New Roman" w:hAnsi="Times New Roman" w:eastAsia="仿宋_GB2312"/>
                <w:sz w:val="24"/>
              </w:rPr>
            </w:pPr>
          </w:p>
        </w:tc>
        <w:tc>
          <w:tcPr>
            <w:tcW w:w="1121" w:type="dxa"/>
            <w:vMerge w:val="continue"/>
            <w:tcBorders>
              <w:right w:val="single" w:color="auto" w:sz="4" w:space="0"/>
            </w:tcBorders>
            <w:vAlign w:val="center"/>
          </w:tcPr>
          <w:p w14:paraId="611FEC04">
            <w:pPr>
              <w:jc w:val="center"/>
              <w:rPr>
                <w:rFonts w:ascii="Times New Roman" w:hAnsi="Times New Roman" w:eastAsia="仿宋_GB2312"/>
                <w:sz w:val="24"/>
              </w:rPr>
            </w:pPr>
          </w:p>
        </w:tc>
        <w:tc>
          <w:tcPr>
            <w:tcW w:w="1116" w:type="dxa"/>
            <w:tcBorders>
              <w:left w:val="single" w:color="auto" w:sz="4" w:space="0"/>
            </w:tcBorders>
            <w:vAlign w:val="center"/>
          </w:tcPr>
          <w:p w14:paraId="50E63378">
            <w:pPr>
              <w:jc w:val="center"/>
              <w:rPr>
                <w:rFonts w:ascii="Times New Roman" w:hAnsi="Times New Roman" w:eastAsia="仿宋_GB2312"/>
                <w:sz w:val="24"/>
              </w:rPr>
            </w:pPr>
            <w:r>
              <w:rPr>
                <w:rFonts w:ascii="Times New Roman" w:hAnsi="Times New Roman" w:eastAsia="仿宋_GB2312"/>
                <w:sz w:val="24"/>
              </w:rPr>
              <w:t>直接排放量</w:t>
            </w:r>
          </w:p>
          <w:p w14:paraId="38986E2F">
            <w:pPr>
              <w:jc w:val="center"/>
              <w:rPr>
                <w:rFonts w:ascii="Times New Roman" w:hAnsi="Times New Roman" w:eastAsia="仿宋_GB2312"/>
                <w:sz w:val="24"/>
              </w:rPr>
            </w:pPr>
            <w:r>
              <w:rPr>
                <w:rFonts w:ascii="Times New Roman" w:hAnsi="Times New Roman" w:eastAsia="仿宋_GB2312"/>
                <w:sz w:val="24"/>
              </w:rPr>
              <w:t>（tCO</w:t>
            </w:r>
            <w:r>
              <w:rPr>
                <w:rFonts w:ascii="Times New Roman" w:hAnsi="Times New Roman" w:eastAsia="仿宋_GB2312"/>
                <w:sz w:val="24"/>
                <w:vertAlign w:val="subscript"/>
              </w:rPr>
              <w:t>2</w:t>
            </w:r>
            <w:r>
              <w:rPr>
                <w:rFonts w:ascii="Times New Roman" w:hAnsi="Times New Roman" w:eastAsia="仿宋_GB2312"/>
                <w:sz w:val="24"/>
              </w:rPr>
              <w:t>）</w:t>
            </w:r>
          </w:p>
        </w:tc>
        <w:tc>
          <w:tcPr>
            <w:tcW w:w="1116" w:type="dxa"/>
            <w:vAlign w:val="center"/>
          </w:tcPr>
          <w:p w14:paraId="530FE2A7">
            <w:pPr>
              <w:jc w:val="center"/>
              <w:rPr>
                <w:rFonts w:ascii="Times New Roman" w:hAnsi="Times New Roman" w:eastAsia="仿宋_GB2312"/>
                <w:sz w:val="24"/>
              </w:rPr>
            </w:pPr>
            <w:r>
              <w:rPr>
                <w:rFonts w:ascii="Times New Roman" w:hAnsi="Times New Roman" w:eastAsia="仿宋_GB2312"/>
                <w:sz w:val="24"/>
              </w:rPr>
              <w:t>间接排放量（tCO</w:t>
            </w:r>
            <w:r>
              <w:rPr>
                <w:rFonts w:ascii="Times New Roman" w:hAnsi="Times New Roman" w:eastAsia="仿宋_GB2312"/>
                <w:sz w:val="24"/>
                <w:vertAlign w:val="subscript"/>
              </w:rPr>
              <w:t>2</w:t>
            </w:r>
            <w:r>
              <w:rPr>
                <w:rFonts w:ascii="Times New Roman" w:hAnsi="Times New Roman" w:eastAsia="仿宋_GB2312"/>
                <w:sz w:val="24"/>
              </w:rPr>
              <w:t>）</w:t>
            </w:r>
          </w:p>
        </w:tc>
        <w:tc>
          <w:tcPr>
            <w:tcW w:w="1116" w:type="dxa"/>
            <w:vAlign w:val="center"/>
          </w:tcPr>
          <w:p w14:paraId="2A17D283">
            <w:pPr>
              <w:jc w:val="center"/>
              <w:rPr>
                <w:rFonts w:ascii="Times New Roman" w:hAnsi="Times New Roman" w:eastAsia="仿宋_GB2312"/>
                <w:sz w:val="24"/>
              </w:rPr>
            </w:pPr>
            <w:r>
              <w:rPr>
                <w:rFonts w:ascii="Times New Roman" w:hAnsi="Times New Roman" w:eastAsia="仿宋_GB2312"/>
                <w:sz w:val="24"/>
              </w:rPr>
              <w:t>总排放量（tCO</w:t>
            </w:r>
            <w:r>
              <w:rPr>
                <w:rFonts w:ascii="Times New Roman" w:hAnsi="Times New Roman" w:eastAsia="仿宋_GB2312"/>
                <w:sz w:val="24"/>
                <w:vertAlign w:val="subscript"/>
              </w:rPr>
              <w:t>2</w:t>
            </w:r>
            <w:r>
              <w:rPr>
                <w:rFonts w:ascii="Times New Roman" w:hAnsi="Times New Roman" w:eastAsia="仿宋_GB2312"/>
                <w:sz w:val="24"/>
              </w:rPr>
              <w:t>）</w:t>
            </w:r>
          </w:p>
        </w:tc>
      </w:tr>
      <w:tr w14:paraId="50528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456" w:type="dxa"/>
            <w:vMerge w:val="restart"/>
            <w:vAlign w:val="center"/>
          </w:tcPr>
          <w:p w14:paraId="2E3F1E75">
            <w:pPr>
              <w:jc w:val="center"/>
              <w:rPr>
                <w:rFonts w:ascii="Times New Roman" w:hAnsi="Times New Roman" w:eastAsia="仿宋_GB2312"/>
                <w:sz w:val="24"/>
              </w:rPr>
            </w:pPr>
            <w:r>
              <w:rPr>
                <w:rFonts w:ascii="Times New Roman" w:hAnsi="Times New Roman" w:eastAsia="仿宋_GB2312"/>
                <w:sz w:val="24"/>
              </w:rPr>
              <w:t>1</w:t>
            </w:r>
          </w:p>
        </w:tc>
        <w:tc>
          <w:tcPr>
            <w:tcW w:w="786" w:type="dxa"/>
            <w:vMerge w:val="restart"/>
            <w:vAlign w:val="center"/>
          </w:tcPr>
          <w:p w14:paraId="3EF61654">
            <w:pPr>
              <w:jc w:val="center"/>
              <w:rPr>
                <w:rFonts w:ascii="Times New Roman" w:hAnsi="Times New Roman" w:eastAsia="仿宋_GB2312"/>
                <w:sz w:val="24"/>
              </w:rPr>
            </w:pPr>
            <w:r>
              <w:rPr>
                <w:rFonts w:ascii="Times New Roman" w:hAnsi="Times New Roman" w:eastAsia="仿宋_GB2312"/>
                <w:sz w:val="24"/>
              </w:rPr>
              <w:t>燃气锅炉</w:t>
            </w:r>
          </w:p>
        </w:tc>
        <w:tc>
          <w:tcPr>
            <w:tcW w:w="1134" w:type="dxa"/>
            <w:vMerge w:val="restart"/>
            <w:vAlign w:val="center"/>
          </w:tcPr>
          <w:p w14:paraId="7FB7D12D">
            <w:pPr>
              <w:jc w:val="center"/>
              <w:rPr>
                <w:rFonts w:ascii="Times New Roman" w:hAnsi="Times New Roman" w:eastAsia="仿宋_GB2312"/>
                <w:sz w:val="24"/>
              </w:rPr>
            </w:pPr>
          </w:p>
        </w:tc>
        <w:tc>
          <w:tcPr>
            <w:tcW w:w="709" w:type="dxa"/>
            <w:vMerge w:val="restart"/>
            <w:vAlign w:val="center"/>
          </w:tcPr>
          <w:p w14:paraId="4CB7A836">
            <w:pPr>
              <w:jc w:val="center"/>
              <w:rPr>
                <w:rFonts w:ascii="Times New Roman" w:hAnsi="Times New Roman" w:eastAsia="仿宋_GB2312"/>
                <w:sz w:val="24"/>
              </w:rPr>
            </w:pPr>
            <w:r>
              <w:rPr>
                <w:rFonts w:ascii="Times New Roman" w:hAnsi="Times New Roman" w:eastAsia="仿宋_GB2312"/>
                <w:sz w:val="24"/>
              </w:rPr>
              <w:t>2017</w:t>
            </w:r>
          </w:p>
        </w:tc>
        <w:tc>
          <w:tcPr>
            <w:tcW w:w="968" w:type="dxa"/>
            <w:vMerge w:val="restart"/>
            <w:vAlign w:val="center"/>
          </w:tcPr>
          <w:p w14:paraId="4B0B170B">
            <w:pPr>
              <w:jc w:val="center"/>
              <w:rPr>
                <w:rFonts w:ascii="Times New Roman" w:hAnsi="Times New Roman" w:eastAsia="仿宋_GB2312"/>
                <w:sz w:val="24"/>
              </w:rPr>
            </w:pPr>
            <w:r>
              <w:rPr>
                <w:rFonts w:ascii="Times New Roman" w:hAnsi="Times New Roman" w:eastAsia="仿宋_GB2312"/>
                <w:sz w:val="24"/>
              </w:rPr>
              <w:t>否</w:t>
            </w:r>
          </w:p>
        </w:tc>
        <w:tc>
          <w:tcPr>
            <w:tcW w:w="1121" w:type="dxa"/>
            <w:tcBorders>
              <w:right w:val="single" w:color="auto" w:sz="4" w:space="0"/>
            </w:tcBorders>
          </w:tcPr>
          <w:p w14:paraId="18358771">
            <w:pPr>
              <w:rPr>
                <w:rFonts w:ascii="Times New Roman" w:hAnsi="Times New Roman" w:eastAsia="仿宋_GB2312"/>
                <w:sz w:val="24"/>
              </w:rPr>
            </w:pPr>
            <w:r>
              <w:rPr>
                <w:rFonts w:ascii="Times New Roman" w:hAnsi="Times New Roman" w:eastAsia="仿宋_GB2312"/>
                <w:sz w:val="24"/>
              </w:rPr>
              <w:t>2016年</w:t>
            </w:r>
          </w:p>
        </w:tc>
        <w:tc>
          <w:tcPr>
            <w:tcW w:w="1116" w:type="dxa"/>
            <w:tcBorders>
              <w:left w:val="single" w:color="auto" w:sz="4" w:space="0"/>
            </w:tcBorders>
          </w:tcPr>
          <w:p w14:paraId="181988A1">
            <w:pPr>
              <w:rPr>
                <w:rFonts w:ascii="Times New Roman" w:hAnsi="Times New Roman" w:eastAsia="仿宋_GB2312"/>
                <w:sz w:val="24"/>
              </w:rPr>
            </w:pPr>
            <w:r>
              <w:rPr>
                <w:rFonts w:ascii="Times New Roman" w:hAnsi="Times New Roman" w:eastAsia="仿宋_GB2312"/>
                <w:sz w:val="24"/>
              </w:rPr>
              <w:t>2000.00</w:t>
            </w:r>
          </w:p>
        </w:tc>
        <w:tc>
          <w:tcPr>
            <w:tcW w:w="1116" w:type="dxa"/>
          </w:tcPr>
          <w:p w14:paraId="0CB85B28">
            <w:pPr>
              <w:rPr>
                <w:rFonts w:ascii="Times New Roman" w:hAnsi="Times New Roman" w:eastAsia="仿宋_GB2312"/>
                <w:sz w:val="24"/>
              </w:rPr>
            </w:pPr>
            <w:r>
              <w:rPr>
                <w:rFonts w:ascii="Times New Roman" w:hAnsi="Times New Roman" w:eastAsia="仿宋_GB2312"/>
                <w:sz w:val="24"/>
              </w:rPr>
              <w:t>30.00</w:t>
            </w:r>
          </w:p>
        </w:tc>
        <w:tc>
          <w:tcPr>
            <w:tcW w:w="1116" w:type="dxa"/>
          </w:tcPr>
          <w:p w14:paraId="3E195751">
            <w:pPr>
              <w:rPr>
                <w:rFonts w:ascii="Times New Roman" w:hAnsi="Times New Roman" w:eastAsia="仿宋_GB2312"/>
                <w:sz w:val="24"/>
              </w:rPr>
            </w:pPr>
            <w:r>
              <w:rPr>
                <w:rFonts w:ascii="Times New Roman" w:hAnsi="Times New Roman" w:eastAsia="仿宋_GB2312"/>
                <w:sz w:val="24"/>
              </w:rPr>
              <w:t>2030.00</w:t>
            </w:r>
          </w:p>
        </w:tc>
      </w:tr>
      <w:tr w14:paraId="11A4B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56" w:type="dxa"/>
            <w:vMerge w:val="continue"/>
          </w:tcPr>
          <w:p w14:paraId="1A7FEB9B">
            <w:pPr>
              <w:rPr>
                <w:rFonts w:ascii="Times New Roman" w:hAnsi="Times New Roman" w:eastAsia="仿宋_GB2312"/>
                <w:sz w:val="24"/>
              </w:rPr>
            </w:pPr>
          </w:p>
        </w:tc>
        <w:tc>
          <w:tcPr>
            <w:tcW w:w="786" w:type="dxa"/>
            <w:vMerge w:val="continue"/>
          </w:tcPr>
          <w:p w14:paraId="267C6535">
            <w:pPr>
              <w:rPr>
                <w:rFonts w:ascii="Times New Roman" w:hAnsi="Times New Roman" w:eastAsia="仿宋_GB2312"/>
                <w:sz w:val="24"/>
              </w:rPr>
            </w:pPr>
          </w:p>
        </w:tc>
        <w:tc>
          <w:tcPr>
            <w:tcW w:w="1134" w:type="dxa"/>
            <w:vMerge w:val="continue"/>
          </w:tcPr>
          <w:p w14:paraId="1A284699">
            <w:pPr>
              <w:rPr>
                <w:rFonts w:ascii="Times New Roman" w:hAnsi="Times New Roman" w:eastAsia="仿宋_GB2312"/>
                <w:sz w:val="24"/>
              </w:rPr>
            </w:pPr>
          </w:p>
        </w:tc>
        <w:tc>
          <w:tcPr>
            <w:tcW w:w="709" w:type="dxa"/>
            <w:vMerge w:val="continue"/>
          </w:tcPr>
          <w:p w14:paraId="767131A6">
            <w:pPr>
              <w:rPr>
                <w:rFonts w:ascii="Times New Roman" w:hAnsi="Times New Roman" w:eastAsia="仿宋_GB2312"/>
                <w:sz w:val="24"/>
              </w:rPr>
            </w:pPr>
          </w:p>
        </w:tc>
        <w:tc>
          <w:tcPr>
            <w:tcW w:w="968" w:type="dxa"/>
            <w:vMerge w:val="continue"/>
          </w:tcPr>
          <w:p w14:paraId="11848549">
            <w:pPr>
              <w:rPr>
                <w:rFonts w:ascii="Times New Roman" w:hAnsi="Times New Roman" w:eastAsia="仿宋_GB2312"/>
                <w:sz w:val="24"/>
              </w:rPr>
            </w:pPr>
          </w:p>
        </w:tc>
        <w:tc>
          <w:tcPr>
            <w:tcW w:w="1121" w:type="dxa"/>
            <w:tcBorders>
              <w:right w:val="single" w:color="auto" w:sz="4" w:space="0"/>
            </w:tcBorders>
          </w:tcPr>
          <w:p w14:paraId="780C3ABC">
            <w:pPr>
              <w:rPr>
                <w:rFonts w:ascii="Times New Roman" w:hAnsi="Times New Roman" w:eastAsia="仿宋_GB2312"/>
                <w:sz w:val="24"/>
              </w:rPr>
            </w:pPr>
            <w:r>
              <w:rPr>
                <w:rFonts w:ascii="Times New Roman" w:hAnsi="Times New Roman" w:eastAsia="仿宋_GB2312"/>
                <w:sz w:val="24"/>
              </w:rPr>
              <w:t>2017年</w:t>
            </w:r>
          </w:p>
        </w:tc>
        <w:tc>
          <w:tcPr>
            <w:tcW w:w="1116" w:type="dxa"/>
            <w:tcBorders>
              <w:left w:val="single" w:color="auto" w:sz="4" w:space="0"/>
            </w:tcBorders>
          </w:tcPr>
          <w:p w14:paraId="3E71B8EE">
            <w:pPr>
              <w:rPr>
                <w:rFonts w:ascii="Times New Roman" w:hAnsi="Times New Roman" w:eastAsia="仿宋_GB2312"/>
                <w:sz w:val="24"/>
              </w:rPr>
            </w:pPr>
            <w:r>
              <w:rPr>
                <w:rFonts w:ascii="Times New Roman" w:hAnsi="Times New Roman" w:eastAsia="仿宋_GB2312"/>
                <w:sz w:val="24"/>
              </w:rPr>
              <w:t>800.00</w:t>
            </w:r>
          </w:p>
        </w:tc>
        <w:tc>
          <w:tcPr>
            <w:tcW w:w="1116" w:type="dxa"/>
          </w:tcPr>
          <w:p w14:paraId="4C1D4F93">
            <w:pPr>
              <w:rPr>
                <w:rFonts w:ascii="Times New Roman" w:hAnsi="Times New Roman" w:eastAsia="仿宋_GB2312"/>
                <w:sz w:val="24"/>
              </w:rPr>
            </w:pPr>
            <w:r>
              <w:rPr>
                <w:rFonts w:ascii="Times New Roman" w:hAnsi="Times New Roman" w:eastAsia="仿宋_GB2312"/>
                <w:sz w:val="24"/>
              </w:rPr>
              <w:t>10.00</w:t>
            </w:r>
          </w:p>
        </w:tc>
        <w:tc>
          <w:tcPr>
            <w:tcW w:w="1116" w:type="dxa"/>
          </w:tcPr>
          <w:p w14:paraId="5D10FD8E">
            <w:pPr>
              <w:rPr>
                <w:rFonts w:ascii="Times New Roman" w:hAnsi="Times New Roman" w:eastAsia="仿宋_GB2312"/>
                <w:sz w:val="24"/>
              </w:rPr>
            </w:pPr>
            <w:r>
              <w:rPr>
                <w:rFonts w:ascii="Times New Roman" w:hAnsi="Times New Roman" w:eastAsia="仿宋_GB2312"/>
                <w:sz w:val="24"/>
              </w:rPr>
              <w:t>810.00</w:t>
            </w:r>
          </w:p>
        </w:tc>
      </w:tr>
      <w:tr w14:paraId="57B65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56" w:type="dxa"/>
            <w:vMerge w:val="continue"/>
          </w:tcPr>
          <w:p w14:paraId="54B5EC60">
            <w:pPr>
              <w:rPr>
                <w:rFonts w:ascii="Times New Roman" w:hAnsi="Times New Roman" w:eastAsia="仿宋_GB2312"/>
                <w:sz w:val="24"/>
              </w:rPr>
            </w:pPr>
          </w:p>
        </w:tc>
        <w:tc>
          <w:tcPr>
            <w:tcW w:w="786" w:type="dxa"/>
            <w:vMerge w:val="continue"/>
          </w:tcPr>
          <w:p w14:paraId="1E7AA4E8">
            <w:pPr>
              <w:rPr>
                <w:rFonts w:ascii="Times New Roman" w:hAnsi="Times New Roman" w:eastAsia="仿宋_GB2312"/>
                <w:sz w:val="24"/>
              </w:rPr>
            </w:pPr>
          </w:p>
        </w:tc>
        <w:tc>
          <w:tcPr>
            <w:tcW w:w="1134" w:type="dxa"/>
            <w:vMerge w:val="continue"/>
          </w:tcPr>
          <w:p w14:paraId="383CDA37">
            <w:pPr>
              <w:rPr>
                <w:rFonts w:ascii="Times New Roman" w:hAnsi="Times New Roman" w:eastAsia="仿宋_GB2312"/>
                <w:sz w:val="24"/>
              </w:rPr>
            </w:pPr>
          </w:p>
        </w:tc>
        <w:tc>
          <w:tcPr>
            <w:tcW w:w="709" w:type="dxa"/>
            <w:vMerge w:val="continue"/>
          </w:tcPr>
          <w:p w14:paraId="7B5139B7">
            <w:pPr>
              <w:rPr>
                <w:rFonts w:ascii="Times New Roman" w:hAnsi="Times New Roman" w:eastAsia="仿宋_GB2312"/>
                <w:sz w:val="24"/>
              </w:rPr>
            </w:pPr>
          </w:p>
        </w:tc>
        <w:tc>
          <w:tcPr>
            <w:tcW w:w="968" w:type="dxa"/>
            <w:vMerge w:val="continue"/>
          </w:tcPr>
          <w:p w14:paraId="3CC82FB7">
            <w:pPr>
              <w:rPr>
                <w:rFonts w:ascii="Times New Roman" w:hAnsi="Times New Roman" w:eastAsia="仿宋_GB2312"/>
                <w:sz w:val="24"/>
              </w:rPr>
            </w:pPr>
          </w:p>
        </w:tc>
        <w:tc>
          <w:tcPr>
            <w:tcW w:w="1121" w:type="dxa"/>
            <w:tcBorders>
              <w:right w:val="single" w:color="auto" w:sz="4" w:space="0"/>
            </w:tcBorders>
          </w:tcPr>
          <w:p w14:paraId="4FCC3C4F">
            <w:pPr>
              <w:rPr>
                <w:rFonts w:ascii="Times New Roman" w:hAnsi="Times New Roman" w:eastAsia="仿宋_GB2312"/>
                <w:sz w:val="24"/>
              </w:rPr>
            </w:pPr>
            <w:r>
              <w:rPr>
                <w:rFonts w:ascii="Times New Roman" w:hAnsi="Times New Roman" w:eastAsia="仿宋_GB2312"/>
                <w:sz w:val="24"/>
              </w:rPr>
              <w:t>2018年</w:t>
            </w:r>
          </w:p>
        </w:tc>
        <w:tc>
          <w:tcPr>
            <w:tcW w:w="1116" w:type="dxa"/>
            <w:tcBorders>
              <w:left w:val="single" w:color="auto" w:sz="4" w:space="0"/>
            </w:tcBorders>
            <w:vAlign w:val="center"/>
          </w:tcPr>
          <w:p w14:paraId="6F043318">
            <w:pPr>
              <w:jc w:val="center"/>
              <w:rPr>
                <w:rFonts w:ascii="Times New Roman" w:hAnsi="Times New Roman" w:eastAsia="仿宋_GB2312"/>
                <w:sz w:val="24"/>
              </w:rPr>
            </w:pPr>
            <w:r>
              <w:rPr>
                <w:rFonts w:ascii="Times New Roman" w:hAnsi="Times New Roman" w:eastAsia="仿宋_GB2312"/>
                <w:sz w:val="24"/>
              </w:rPr>
              <w:t>/</w:t>
            </w:r>
          </w:p>
        </w:tc>
        <w:tc>
          <w:tcPr>
            <w:tcW w:w="1116" w:type="dxa"/>
            <w:vAlign w:val="center"/>
          </w:tcPr>
          <w:p w14:paraId="64AAC57E">
            <w:pPr>
              <w:jc w:val="center"/>
              <w:rPr>
                <w:rFonts w:ascii="Times New Roman" w:hAnsi="Times New Roman" w:eastAsia="仿宋_GB2312"/>
                <w:sz w:val="24"/>
              </w:rPr>
            </w:pPr>
            <w:r>
              <w:rPr>
                <w:rFonts w:ascii="Times New Roman" w:hAnsi="Times New Roman" w:eastAsia="仿宋_GB2312"/>
                <w:sz w:val="24"/>
              </w:rPr>
              <w:t>/</w:t>
            </w:r>
          </w:p>
        </w:tc>
        <w:tc>
          <w:tcPr>
            <w:tcW w:w="1116" w:type="dxa"/>
            <w:vAlign w:val="center"/>
          </w:tcPr>
          <w:p w14:paraId="17E25C7D">
            <w:pPr>
              <w:tabs>
                <w:tab w:val="left" w:pos="420"/>
              </w:tabs>
              <w:jc w:val="center"/>
              <w:rPr>
                <w:rFonts w:ascii="Times New Roman" w:hAnsi="Times New Roman" w:eastAsia="仿宋_GB2312"/>
                <w:sz w:val="24"/>
              </w:rPr>
            </w:pPr>
            <w:r>
              <w:rPr>
                <w:rFonts w:ascii="Times New Roman" w:hAnsi="Times New Roman" w:eastAsia="仿宋_GB2312"/>
                <w:sz w:val="24"/>
              </w:rPr>
              <w:t>/</w:t>
            </w:r>
          </w:p>
        </w:tc>
      </w:tr>
    </w:tbl>
    <w:p w14:paraId="7BC83DF2">
      <w:pPr>
        <w:spacing w:after="0" w:line="560" w:lineRule="exact"/>
        <w:ind w:firstLine="465"/>
        <w:rPr>
          <w:rFonts w:ascii="Times New Roman" w:hAnsi="Times New Roman" w:eastAsia="仿宋"/>
          <w:sz w:val="32"/>
          <w:szCs w:val="32"/>
        </w:rPr>
      </w:pPr>
      <w:r>
        <w:rPr>
          <w:rFonts w:ascii="Times New Roman" w:hAnsi="Times New Roman" w:eastAsia="仿宋"/>
          <w:bCs/>
          <w:sz w:val="32"/>
          <w:szCs w:val="32"/>
        </w:rPr>
        <w:t>排放单位新增设施主要包括新建、划转及收购的热源厂的锅炉以及原有热源厂新增的排放设施，新增设施及其排放量信息具体如下，</w:t>
      </w:r>
      <w:r>
        <w:rPr>
          <w:rFonts w:ascii="Times New Roman" w:hAnsi="Times New Roman" w:eastAsia="仿宋"/>
          <w:sz w:val="32"/>
          <w:szCs w:val="32"/>
        </w:rPr>
        <w:t>信息供新增设施配额发放参考。</w:t>
      </w:r>
    </w:p>
    <w:p w14:paraId="2F4DA09A">
      <w:pPr>
        <w:jc w:val="center"/>
        <w:rPr>
          <w:rFonts w:ascii="Times New Roman" w:hAnsi="Times New Roman" w:eastAsia="仿宋_GB2312"/>
          <w:sz w:val="24"/>
        </w:rPr>
      </w:pPr>
      <w:r>
        <w:rPr>
          <w:rFonts w:ascii="Times New Roman" w:hAnsi="Times New Roman" w:eastAsia="仿宋_GB2312"/>
          <w:sz w:val="24"/>
        </w:rPr>
        <w:t>表XX  新增设施信息表</w:t>
      </w:r>
    </w:p>
    <w:tbl>
      <w:tblPr>
        <w:tblStyle w:val="3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982"/>
        <w:gridCol w:w="4046"/>
        <w:gridCol w:w="1200"/>
        <w:gridCol w:w="1383"/>
        <w:gridCol w:w="878"/>
      </w:tblGrid>
      <w:tr w14:paraId="6759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tcPr>
          <w:p w14:paraId="194DDC88">
            <w:pPr>
              <w:jc w:val="center"/>
              <w:rPr>
                <w:rFonts w:ascii="Times New Roman" w:hAnsi="Times New Roman" w:eastAsia="仿宋"/>
                <w:bCs/>
                <w:sz w:val="24"/>
              </w:rPr>
            </w:pPr>
            <w:r>
              <w:rPr>
                <w:rFonts w:ascii="Times New Roman" w:hAnsi="Times New Roman" w:eastAsia="仿宋"/>
                <w:bCs/>
                <w:sz w:val="24"/>
              </w:rPr>
              <w:t>序号</w:t>
            </w:r>
          </w:p>
        </w:tc>
        <w:tc>
          <w:tcPr>
            <w:tcW w:w="542" w:type="pct"/>
          </w:tcPr>
          <w:p w14:paraId="00EB698A">
            <w:pPr>
              <w:jc w:val="center"/>
              <w:rPr>
                <w:rFonts w:ascii="Times New Roman" w:hAnsi="Times New Roman" w:eastAsia="仿宋"/>
                <w:bCs/>
                <w:sz w:val="24"/>
              </w:rPr>
            </w:pPr>
            <w:r>
              <w:rPr>
                <w:rFonts w:ascii="Times New Roman" w:hAnsi="Times New Roman" w:eastAsia="仿宋"/>
                <w:bCs/>
                <w:sz w:val="24"/>
              </w:rPr>
              <w:t>设施新增年份</w:t>
            </w:r>
          </w:p>
        </w:tc>
        <w:tc>
          <w:tcPr>
            <w:tcW w:w="2234" w:type="pct"/>
          </w:tcPr>
          <w:p w14:paraId="3E23BD0A">
            <w:pPr>
              <w:jc w:val="center"/>
              <w:rPr>
                <w:rFonts w:ascii="Times New Roman" w:hAnsi="Times New Roman" w:eastAsia="仿宋"/>
                <w:bCs/>
                <w:sz w:val="24"/>
              </w:rPr>
            </w:pPr>
            <w:r>
              <w:rPr>
                <w:rFonts w:ascii="Times New Roman" w:hAnsi="Times New Roman" w:eastAsia="仿宋"/>
                <w:bCs/>
                <w:sz w:val="24"/>
              </w:rPr>
              <w:t>新增设施类型</w:t>
            </w:r>
          </w:p>
        </w:tc>
        <w:tc>
          <w:tcPr>
            <w:tcW w:w="663" w:type="pct"/>
          </w:tcPr>
          <w:p w14:paraId="5147BA2E">
            <w:pPr>
              <w:ind w:left="-110" w:leftChars="-50" w:right="-110" w:rightChars="-50"/>
              <w:jc w:val="center"/>
              <w:rPr>
                <w:rFonts w:ascii="Times New Roman" w:hAnsi="Times New Roman" w:eastAsia="仿宋"/>
                <w:bCs/>
                <w:sz w:val="24"/>
              </w:rPr>
            </w:pPr>
            <w:r>
              <w:rPr>
                <w:rFonts w:ascii="Times New Roman" w:hAnsi="Times New Roman" w:eastAsia="仿宋"/>
                <w:bCs/>
                <w:sz w:val="24"/>
              </w:rPr>
              <w:t>是否替代既有设施，</w:t>
            </w:r>
            <w:r>
              <w:rPr>
                <w:rFonts w:ascii="Times New Roman" w:hAnsi="Times New Roman" w:eastAsia="仿宋_GB2312"/>
                <w:color w:val="000000"/>
                <w:sz w:val="24"/>
              </w:rPr>
              <w:t>被替代既有设施类型</w:t>
            </w:r>
          </w:p>
        </w:tc>
        <w:tc>
          <w:tcPr>
            <w:tcW w:w="764" w:type="pct"/>
          </w:tcPr>
          <w:p w14:paraId="71181FB1">
            <w:pPr>
              <w:jc w:val="center"/>
              <w:rPr>
                <w:rFonts w:ascii="Times New Roman" w:hAnsi="Times New Roman" w:eastAsia="仿宋"/>
                <w:bCs/>
                <w:sz w:val="24"/>
              </w:rPr>
            </w:pPr>
            <w:r>
              <w:rPr>
                <w:rFonts w:ascii="Times New Roman" w:hAnsi="Times New Roman" w:eastAsia="仿宋"/>
                <w:bCs/>
                <w:sz w:val="24"/>
              </w:rPr>
              <w:t>新增设施排放量（吨）</w:t>
            </w:r>
          </w:p>
        </w:tc>
        <w:tc>
          <w:tcPr>
            <w:tcW w:w="485" w:type="pct"/>
          </w:tcPr>
          <w:p w14:paraId="6E5DB7C7">
            <w:pPr>
              <w:ind w:left="-110" w:leftChars="-50" w:right="-110" w:rightChars="-50"/>
              <w:jc w:val="center"/>
              <w:rPr>
                <w:rFonts w:ascii="Times New Roman" w:hAnsi="Times New Roman" w:eastAsia="仿宋"/>
                <w:bCs/>
                <w:sz w:val="24"/>
              </w:rPr>
            </w:pPr>
            <w:r>
              <w:rPr>
                <w:rFonts w:hint="eastAsia" w:ascii="Times New Roman" w:hAnsi="Times New Roman" w:eastAsia="仿宋"/>
                <w:bCs/>
                <w:sz w:val="24"/>
              </w:rPr>
              <w:t>替代既有设施的新增排放量(吨)</w:t>
            </w:r>
          </w:p>
        </w:tc>
      </w:tr>
      <w:tr w14:paraId="63901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vAlign w:val="center"/>
          </w:tcPr>
          <w:p w14:paraId="27A628E4">
            <w:pPr>
              <w:jc w:val="center"/>
              <w:rPr>
                <w:rFonts w:ascii="Times New Roman" w:hAnsi="Times New Roman" w:eastAsia="仿宋"/>
                <w:bCs/>
                <w:sz w:val="24"/>
              </w:rPr>
            </w:pPr>
            <w:r>
              <w:rPr>
                <w:rFonts w:ascii="Times New Roman" w:hAnsi="Times New Roman" w:eastAsia="仿宋"/>
                <w:bCs/>
                <w:sz w:val="24"/>
              </w:rPr>
              <w:t>1</w:t>
            </w:r>
          </w:p>
        </w:tc>
        <w:tc>
          <w:tcPr>
            <w:tcW w:w="542" w:type="pct"/>
            <w:vAlign w:val="center"/>
          </w:tcPr>
          <w:p w14:paraId="115E4652">
            <w:pPr>
              <w:jc w:val="center"/>
              <w:rPr>
                <w:rFonts w:ascii="Times New Roman" w:hAnsi="Times New Roman" w:eastAsia="仿宋"/>
                <w:bCs/>
                <w:sz w:val="24"/>
              </w:rPr>
            </w:pPr>
            <w:r>
              <w:rPr>
                <w:rFonts w:ascii="Times New Roman" w:hAnsi="Times New Roman" w:eastAsia="仿宋"/>
                <w:bCs/>
                <w:sz w:val="24"/>
              </w:rPr>
              <w:t>2019</w:t>
            </w:r>
          </w:p>
        </w:tc>
        <w:tc>
          <w:tcPr>
            <w:tcW w:w="2234" w:type="pct"/>
            <w:vAlign w:val="center"/>
          </w:tcPr>
          <w:p w14:paraId="10237644">
            <w:pPr>
              <w:jc w:val="center"/>
              <w:rPr>
                <w:rFonts w:ascii="Times New Roman" w:hAnsi="Times New Roman" w:eastAsia="仿宋"/>
                <w:bCs/>
                <w:sz w:val="24"/>
              </w:rPr>
            </w:pPr>
            <w:r>
              <w:rPr>
                <w:rFonts w:ascii="Times New Roman" w:hAnsi="Times New Roman" w:eastAsia="仿宋"/>
                <w:bCs/>
                <w:sz w:val="24"/>
              </w:rPr>
              <w:t>燃气锅炉x</w:t>
            </w:r>
            <w:r>
              <w:rPr>
                <w:rFonts w:hint="eastAsia" w:ascii="Times New Roman" w:hAnsi="Times New Roman" w:eastAsia="仿宋"/>
                <w:bCs/>
                <w:sz w:val="24"/>
              </w:rPr>
              <w:t>x</w:t>
            </w:r>
            <w:r>
              <w:rPr>
                <w:rFonts w:ascii="Times New Roman" w:hAnsi="Times New Roman" w:eastAsia="仿宋"/>
                <w:bCs/>
                <w:sz w:val="24"/>
              </w:rPr>
              <w:t>台：</w:t>
            </w:r>
            <w:r>
              <w:rPr>
                <w:rFonts w:ascii="Times New Roman" w:hAnsi="Times New Roman" w:eastAsia="仿宋"/>
                <w:sz w:val="24"/>
              </w:rPr>
              <w:t>xxx、xxx、xxx</w:t>
            </w:r>
          </w:p>
        </w:tc>
        <w:tc>
          <w:tcPr>
            <w:tcW w:w="663" w:type="pct"/>
            <w:vAlign w:val="center"/>
          </w:tcPr>
          <w:p w14:paraId="60EE217E">
            <w:pPr>
              <w:jc w:val="center"/>
              <w:rPr>
                <w:rFonts w:ascii="Times New Roman" w:hAnsi="Times New Roman" w:eastAsia="仿宋"/>
                <w:bCs/>
                <w:sz w:val="24"/>
              </w:rPr>
            </w:pPr>
            <w:r>
              <w:rPr>
                <w:rFonts w:ascii="Times New Roman" w:hAnsi="Times New Roman" w:eastAsia="仿宋"/>
                <w:bCs/>
                <w:sz w:val="24"/>
              </w:rPr>
              <w:t>否</w:t>
            </w:r>
          </w:p>
        </w:tc>
        <w:tc>
          <w:tcPr>
            <w:tcW w:w="764" w:type="pct"/>
            <w:vAlign w:val="center"/>
          </w:tcPr>
          <w:p w14:paraId="42E7141A">
            <w:pPr>
              <w:jc w:val="center"/>
              <w:textAlignment w:val="center"/>
              <w:rPr>
                <w:rFonts w:ascii="Times New Roman" w:hAnsi="Times New Roman" w:eastAsia="仿宋"/>
                <w:bCs/>
                <w:sz w:val="24"/>
              </w:rPr>
            </w:pPr>
            <w:r>
              <w:rPr>
                <w:rFonts w:ascii="Times New Roman" w:hAnsi="Times New Roman" w:eastAsia="仿宋"/>
                <w:color w:val="000000"/>
                <w:sz w:val="24"/>
              </w:rPr>
              <w:t xml:space="preserve">58000.00 </w:t>
            </w:r>
          </w:p>
        </w:tc>
        <w:tc>
          <w:tcPr>
            <w:tcW w:w="485" w:type="pct"/>
            <w:vAlign w:val="center"/>
          </w:tcPr>
          <w:p w14:paraId="491030C8">
            <w:pPr>
              <w:jc w:val="center"/>
              <w:rPr>
                <w:rFonts w:ascii="Times New Roman" w:hAnsi="Times New Roman" w:eastAsia="仿宋"/>
                <w:bCs/>
                <w:sz w:val="24"/>
              </w:rPr>
            </w:pPr>
            <w:r>
              <w:rPr>
                <w:rFonts w:ascii="Times New Roman" w:hAnsi="Times New Roman" w:eastAsia="仿宋"/>
                <w:bCs/>
                <w:sz w:val="24"/>
              </w:rPr>
              <w:t>/</w:t>
            </w:r>
          </w:p>
        </w:tc>
      </w:tr>
      <w:tr w14:paraId="4773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vAlign w:val="center"/>
          </w:tcPr>
          <w:p w14:paraId="01EB37A1">
            <w:pPr>
              <w:jc w:val="center"/>
              <w:rPr>
                <w:rFonts w:ascii="Times New Roman" w:hAnsi="Times New Roman" w:eastAsia="仿宋"/>
                <w:bCs/>
                <w:sz w:val="24"/>
              </w:rPr>
            </w:pPr>
            <w:r>
              <w:rPr>
                <w:rFonts w:ascii="Times New Roman" w:hAnsi="Times New Roman" w:eastAsia="仿宋"/>
                <w:bCs/>
                <w:sz w:val="24"/>
              </w:rPr>
              <w:t>2</w:t>
            </w:r>
          </w:p>
        </w:tc>
        <w:tc>
          <w:tcPr>
            <w:tcW w:w="542" w:type="pct"/>
            <w:vAlign w:val="center"/>
          </w:tcPr>
          <w:p w14:paraId="52061247">
            <w:pPr>
              <w:jc w:val="center"/>
              <w:rPr>
                <w:rFonts w:ascii="Times New Roman" w:hAnsi="Times New Roman" w:eastAsia="仿宋"/>
                <w:bCs/>
                <w:sz w:val="24"/>
              </w:rPr>
            </w:pPr>
            <w:r>
              <w:rPr>
                <w:rFonts w:ascii="Times New Roman" w:hAnsi="Times New Roman" w:eastAsia="仿宋"/>
                <w:bCs/>
                <w:sz w:val="24"/>
              </w:rPr>
              <w:t>2019</w:t>
            </w:r>
          </w:p>
        </w:tc>
        <w:tc>
          <w:tcPr>
            <w:tcW w:w="2234" w:type="pct"/>
            <w:vAlign w:val="center"/>
          </w:tcPr>
          <w:p w14:paraId="2076C6C4">
            <w:pPr>
              <w:jc w:val="center"/>
              <w:rPr>
                <w:rFonts w:ascii="Times New Roman" w:hAnsi="Times New Roman" w:eastAsia="仿宋"/>
                <w:bCs/>
                <w:sz w:val="24"/>
              </w:rPr>
            </w:pPr>
            <w:r>
              <w:rPr>
                <w:rFonts w:ascii="Times New Roman" w:hAnsi="Times New Roman" w:eastAsia="仿宋"/>
                <w:bCs/>
                <w:sz w:val="24"/>
              </w:rPr>
              <w:t>燃煤锅炉</w:t>
            </w:r>
            <w:r>
              <w:rPr>
                <w:rFonts w:hint="eastAsia" w:ascii="Times New Roman" w:hAnsi="Times New Roman" w:eastAsia="仿宋"/>
                <w:bCs/>
                <w:sz w:val="24"/>
              </w:rPr>
              <w:t>x</w:t>
            </w:r>
            <w:r>
              <w:rPr>
                <w:rFonts w:ascii="Times New Roman" w:hAnsi="Times New Roman" w:eastAsia="仿宋"/>
                <w:bCs/>
                <w:sz w:val="24"/>
              </w:rPr>
              <w:t>x台：</w:t>
            </w:r>
            <w:r>
              <w:rPr>
                <w:rFonts w:ascii="Times New Roman" w:hAnsi="Times New Roman" w:eastAsia="仿宋"/>
                <w:sz w:val="24"/>
              </w:rPr>
              <w:t>xxx、xxx、xxx</w:t>
            </w:r>
          </w:p>
        </w:tc>
        <w:tc>
          <w:tcPr>
            <w:tcW w:w="663" w:type="pct"/>
            <w:vAlign w:val="center"/>
          </w:tcPr>
          <w:p w14:paraId="3D397C35">
            <w:pPr>
              <w:jc w:val="center"/>
              <w:rPr>
                <w:rFonts w:ascii="Times New Roman" w:hAnsi="Times New Roman" w:eastAsia="仿宋"/>
                <w:bCs/>
                <w:sz w:val="24"/>
              </w:rPr>
            </w:pPr>
            <w:r>
              <w:rPr>
                <w:rFonts w:ascii="Times New Roman" w:hAnsi="Times New Roman" w:eastAsia="仿宋"/>
                <w:bCs/>
                <w:sz w:val="24"/>
              </w:rPr>
              <w:t>否</w:t>
            </w:r>
          </w:p>
        </w:tc>
        <w:tc>
          <w:tcPr>
            <w:tcW w:w="764" w:type="pct"/>
            <w:vAlign w:val="center"/>
          </w:tcPr>
          <w:p w14:paraId="6AD04C48">
            <w:pPr>
              <w:jc w:val="center"/>
              <w:textAlignment w:val="center"/>
              <w:rPr>
                <w:rFonts w:ascii="Times New Roman" w:hAnsi="Times New Roman" w:eastAsia="仿宋"/>
                <w:bCs/>
                <w:sz w:val="24"/>
              </w:rPr>
            </w:pPr>
            <w:r>
              <w:rPr>
                <w:rFonts w:ascii="Times New Roman" w:hAnsi="Times New Roman" w:eastAsia="仿宋"/>
                <w:color w:val="000000"/>
                <w:sz w:val="24"/>
              </w:rPr>
              <w:t xml:space="preserve">4000.00 </w:t>
            </w:r>
          </w:p>
        </w:tc>
        <w:tc>
          <w:tcPr>
            <w:tcW w:w="485" w:type="pct"/>
            <w:vAlign w:val="center"/>
          </w:tcPr>
          <w:p w14:paraId="7BCC0327">
            <w:pPr>
              <w:jc w:val="center"/>
              <w:rPr>
                <w:rFonts w:ascii="Times New Roman" w:hAnsi="Times New Roman" w:eastAsia="仿宋"/>
                <w:bCs/>
                <w:sz w:val="24"/>
              </w:rPr>
            </w:pPr>
            <w:r>
              <w:rPr>
                <w:rFonts w:ascii="Times New Roman" w:hAnsi="Times New Roman" w:eastAsia="仿宋"/>
                <w:bCs/>
                <w:sz w:val="24"/>
              </w:rPr>
              <w:t>/</w:t>
            </w:r>
          </w:p>
        </w:tc>
      </w:tr>
      <w:tr w14:paraId="36DA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vAlign w:val="center"/>
          </w:tcPr>
          <w:p w14:paraId="1024E1B4">
            <w:pPr>
              <w:jc w:val="center"/>
              <w:rPr>
                <w:rFonts w:ascii="Times New Roman" w:hAnsi="Times New Roman" w:eastAsia="仿宋"/>
                <w:bCs/>
                <w:sz w:val="24"/>
              </w:rPr>
            </w:pPr>
            <w:r>
              <w:rPr>
                <w:rFonts w:ascii="Times New Roman" w:hAnsi="Times New Roman" w:eastAsia="仿宋"/>
                <w:bCs/>
                <w:sz w:val="24"/>
              </w:rPr>
              <w:t>3</w:t>
            </w:r>
          </w:p>
        </w:tc>
        <w:tc>
          <w:tcPr>
            <w:tcW w:w="542" w:type="pct"/>
            <w:vAlign w:val="center"/>
          </w:tcPr>
          <w:p w14:paraId="0830C3EA">
            <w:pPr>
              <w:jc w:val="center"/>
              <w:rPr>
                <w:rFonts w:ascii="Times New Roman" w:hAnsi="Times New Roman" w:eastAsia="仿宋"/>
                <w:bCs/>
                <w:sz w:val="24"/>
              </w:rPr>
            </w:pPr>
            <w:r>
              <w:rPr>
                <w:rFonts w:ascii="Times New Roman" w:hAnsi="Times New Roman" w:eastAsia="仿宋"/>
                <w:bCs/>
                <w:sz w:val="24"/>
              </w:rPr>
              <w:t>2019</w:t>
            </w:r>
          </w:p>
        </w:tc>
        <w:tc>
          <w:tcPr>
            <w:tcW w:w="2234" w:type="pct"/>
            <w:vAlign w:val="center"/>
          </w:tcPr>
          <w:p w14:paraId="29D1EF22">
            <w:pPr>
              <w:jc w:val="center"/>
              <w:rPr>
                <w:rFonts w:ascii="Times New Roman" w:hAnsi="Times New Roman" w:eastAsia="仿宋"/>
                <w:bCs/>
                <w:sz w:val="24"/>
              </w:rPr>
            </w:pPr>
            <w:r>
              <w:rPr>
                <w:rFonts w:ascii="Times New Roman" w:hAnsi="Times New Roman" w:eastAsia="仿宋"/>
                <w:bCs/>
                <w:sz w:val="24"/>
              </w:rPr>
              <w:t>燃油锅炉xx台：</w:t>
            </w:r>
            <w:r>
              <w:rPr>
                <w:rFonts w:ascii="Times New Roman" w:hAnsi="Times New Roman" w:eastAsia="仿宋"/>
                <w:sz w:val="24"/>
              </w:rPr>
              <w:t>xxx、xxx、xxx</w:t>
            </w:r>
          </w:p>
        </w:tc>
        <w:tc>
          <w:tcPr>
            <w:tcW w:w="663" w:type="pct"/>
            <w:vAlign w:val="center"/>
          </w:tcPr>
          <w:p w14:paraId="05B50DB1">
            <w:pPr>
              <w:jc w:val="center"/>
              <w:rPr>
                <w:rFonts w:ascii="Times New Roman" w:hAnsi="Times New Roman" w:eastAsia="仿宋"/>
                <w:bCs/>
                <w:sz w:val="24"/>
              </w:rPr>
            </w:pPr>
            <w:r>
              <w:rPr>
                <w:rFonts w:ascii="Times New Roman" w:hAnsi="Times New Roman" w:eastAsia="仿宋"/>
                <w:bCs/>
                <w:sz w:val="24"/>
              </w:rPr>
              <w:t>否</w:t>
            </w:r>
          </w:p>
        </w:tc>
        <w:tc>
          <w:tcPr>
            <w:tcW w:w="764" w:type="pct"/>
            <w:vAlign w:val="center"/>
          </w:tcPr>
          <w:p w14:paraId="6DD31006">
            <w:pPr>
              <w:jc w:val="center"/>
              <w:textAlignment w:val="center"/>
              <w:rPr>
                <w:rFonts w:ascii="Times New Roman" w:hAnsi="Times New Roman" w:eastAsia="仿宋"/>
                <w:bCs/>
                <w:sz w:val="24"/>
              </w:rPr>
            </w:pPr>
            <w:r>
              <w:rPr>
                <w:rFonts w:ascii="Times New Roman" w:hAnsi="Times New Roman" w:eastAsia="仿宋"/>
                <w:color w:val="000000"/>
                <w:sz w:val="24"/>
              </w:rPr>
              <w:t>2000.00</w:t>
            </w:r>
          </w:p>
        </w:tc>
        <w:tc>
          <w:tcPr>
            <w:tcW w:w="485" w:type="pct"/>
            <w:vAlign w:val="center"/>
          </w:tcPr>
          <w:p w14:paraId="1C81A497">
            <w:pPr>
              <w:jc w:val="center"/>
              <w:rPr>
                <w:rFonts w:ascii="Times New Roman" w:hAnsi="Times New Roman" w:eastAsia="仿宋"/>
                <w:bCs/>
                <w:sz w:val="24"/>
              </w:rPr>
            </w:pPr>
            <w:r>
              <w:rPr>
                <w:rFonts w:ascii="Times New Roman" w:hAnsi="Times New Roman" w:eastAsia="仿宋"/>
                <w:bCs/>
                <w:sz w:val="24"/>
              </w:rPr>
              <w:t>/</w:t>
            </w:r>
          </w:p>
        </w:tc>
      </w:tr>
      <w:tr w14:paraId="5414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vAlign w:val="center"/>
          </w:tcPr>
          <w:p w14:paraId="7F87947C">
            <w:pPr>
              <w:jc w:val="center"/>
              <w:rPr>
                <w:rFonts w:ascii="Times New Roman" w:hAnsi="Times New Roman" w:eastAsia="仿宋"/>
                <w:bCs/>
                <w:sz w:val="24"/>
              </w:rPr>
            </w:pPr>
            <w:r>
              <w:rPr>
                <w:rFonts w:ascii="Times New Roman" w:hAnsi="Times New Roman" w:eastAsia="仿宋"/>
                <w:bCs/>
                <w:sz w:val="24"/>
              </w:rPr>
              <w:t>4</w:t>
            </w:r>
          </w:p>
        </w:tc>
        <w:tc>
          <w:tcPr>
            <w:tcW w:w="542" w:type="pct"/>
            <w:vAlign w:val="center"/>
          </w:tcPr>
          <w:p w14:paraId="57F24617">
            <w:pPr>
              <w:jc w:val="center"/>
              <w:rPr>
                <w:rFonts w:ascii="Times New Roman" w:hAnsi="Times New Roman" w:eastAsia="仿宋"/>
                <w:bCs/>
                <w:sz w:val="24"/>
              </w:rPr>
            </w:pPr>
            <w:r>
              <w:rPr>
                <w:rFonts w:ascii="Times New Roman" w:hAnsi="Times New Roman" w:eastAsia="仿宋"/>
                <w:bCs/>
                <w:sz w:val="24"/>
              </w:rPr>
              <w:t>2019</w:t>
            </w:r>
          </w:p>
        </w:tc>
        <w:tc>
          <w:tcPr>
            <w:tcW w:w="2234" w:type="pct"/>
            <w:vAlign w:val="center"/>
          </w:tcPr>
          <w:p w14:paraId="7D45EB55">
            <w:pPr>
              <w:jc w:val="center"/>
              <w:rPr>
                <w:rFonts w:ascii="Times New Roman" w:hAnsi="Times New Roman" w:eastAsia="仿宋"/>
                <w:bCs/>
                <w:sz w:val="24"/>
              </w:rPr>
            </w:pPr>
            <w:r>
              <w:rPr>
                <w:rFonts w:ascii="Times New Roman" w:hAnsi="Times New Roman" w:eastAsia="仿宋"/>
                <w:bCs/>
                <w:sz w:val="24"/>
              </w:rPr>
              <w:t>电锅炉xx台：</w:t>
            </w:r>
            <w:r>
              <w:rPr>
                <w:rFonts w:ascii="Times New Roman" w:hAnsi="Times New Roman" w:eastAsia="仿宋"/>
                <w:sz w:val="24"/>
              </w:rPr>
              <w:t>xxx、xxx、xxx</w:t>
            </w:r>
          </w:p>
        </w:tc>
        <w:tc>
          <w:tcPr>
            <w:tcW w:w="663" w:type="pct"/>
            <w:vAlign w:val="center"/>
          </w:tcPr>
          <w:p w14:paraId="005B166A">
            <w:pPr>
              <w:jc w:val="center"/>
              <w:rPr>
                <w:rFonts w:ascii="Times New Roman" w:hAnsi="Times New Roman" w:eastAsia="仿宋"/>
                <w:bCs/>
                <w:sz w:val="24"/>
              </w:rPr>
            </w:pPr>
            <w:r>
              <w:rPr>
                <w:rFonts w:ascii="Times New Roman" w:hAnsi="Times New Roman" w:eastAsia="仿宋"/>
                <w:bCs/>
                <w:sz w:val="24"/>
              </w:rPr>
              <w:t>否</w:t>
            </w:r>
          </w:p>
        </w:tc>
        <w:tc>
          <w:tcPr>
            <w:tcW w:w="764" w:type="pct"/>
            <w:vAlign w:val="center"/>
          </w:tcPr>
          <w:p w14:paraId="4E02613B">
            <w:pPr>
              <w:jc w:val="center"/>
              <w:textAlignment w:val="center"/>
              <w:rPr>
                <w:rFonts w:ascii="Times New Roman" w:hAnsi="Times New Roman" w:eastAsia="仿宋"/>
                <w:bCs/>
                <w:sz w:val="24"/>
              </w:rPr>
            </w:pPr>
            <w:r>
              <w:rPr>
                <w:rFonts w:ascii="Times New Roman" w:hAnsi="Times New Roman" w:eastAsia="仿宋"/>
                <w:color w:val="000000"/>
                <w:sz w:val="24"/>
              </w:rPr>
              <w:t>600.00</w:t>
            </w:r>
          </w:p>
        </w:tc>
        <w:tc>
          <w:tcPr>
            <w:tcW w:w="485" w:type="pct"/>
            <w:vAlign w:val="center"/>
          </w:tcPr>
          <w:p w14:paraId="7CB80A86">
            <w:pPr>
              <w:jc w:val="center"/>
              <w:rPr>
                <w:rFonts w:ascii="Times New Roman" w:hAnsi="Times New Roman" w:eastAsia="仿宋"/>
                <w:bCs/>
                <w:sz w:val="24"/>
              </w:rPr>
            </w:pPr>
            <w:r>
              <w:rPr>
                <w:rFonts w:ascii="Times New Roman" w:hAnsi="Times New Roman" w:eastAsia="仿宋"/>
                <w:bCs/>
                <w:sz w:val="24"/>
              </w:rPr>
              <w:t>/</w:t>
            </w:r>
          </w:p>
        </w:tc>
      </w:tr>
      <w:tr w14:paraId="69DD0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vAlign w:val="center"/>
          </w:tcPr>
          <w:p w14:paraId="762FEB78">
            <w:pPr>
              <w:jc w:val="center"/>
              <w:rPr>
                <w:rFonts w:ascii="Times New Roman" w:hAnsi="Times New Roman" w:eastAsia="仿宋"/>
                <w:bCs/>
                <w:sz w:val="24"/>
              </w:rPr>
            </w:pPr>
            <w:r>
              <w:rPr>
                <w:rFonts w:hint="eastAsia" w:ascii="Times New Roman" w:hAnsi="Times New Roman" w:eastAsia="仿宋"/>
                <w:bCs/>
                <w:sz w:val="24"/>
              </w:rPr>
              <w:t>5</w:t>
            </w:r>
          </w:p>
        </w:tc>
        <w:tc>
          <w:tcPr>
            <w:tcW w:w="542" w:type="pct"/>
            <w:vAlign w:val="center"/>
          </w:tcPr>
          <w:p w14:paraId="095A44C4">
            <w:pPr>
              <w:jc w:val="center"/>
              <w:rPr>
                <w:rFonts w:ascii="Times New Roman" w:hAnsi="Times New Roman" w:eastAsia="仿宋"/>
                <w:bCs/>
                <w:sz w:val="24"/>
              </w:rPr>
            </w:pPr>
            <w:r>
              <w:rPr>
                <w:rFonts w:hint="eastAsia" w:ascii="Times New Roman" w:hAnsi="Times New Roman" w:eastAsia="仿宋"/>
                <w:bCs/>
                <w:sz w:val="24"/>
              </w:rPr>
              <w:t>2019</w:t>
            </w:r>
          </w:p>
        </w:tc>
        <w:tc>
          <w:tcPr>
            <w:tcW w:w="2234" w:type="pct"/>
            <w:vAlign w:val="center"/>
          </w:tcPr>
          <w:p w14:paraId="7624A82D">
            <w:pPr>
              <w:jc w:val="center"/>
              <w:rPr>
                <w:rFonts w:ascii="Times New Roman" w:hAnsi="Times New Roman" w:eastAsia="仿宋"/>
                <w:bCs/>
                <w:sz w:val="24"/>
              </w:rPr>
            </w:pPr>
            <w:r>
              <w:rPr>
                <w:rFonts w:hint="eastAsia" w:ascii="Times New Roman" w:hAnsi="Times New Roman" w:eastAsia="仿宋"/>
                <w:bCs/>
                <w:sz w:val="24"/>
              </w:rPr>
              <w:t>热力站：xx座</w:t>
            </w:r>
          </w:p>
        </w:tc>
        <w:tc>
          <w:tcPr>
            <w:tcW w:w="663" w:type="pct"/>
            <w:vAlign w:val="center"/>
          </w:tcPr>
          <w:p w14:paraId="7D1806DF">
            <w:pPr>
              <w:jc w:val="center"/>
              <w:rPr>
                <w:rFonts w:ascii="Times New Roman" w:hAnsi="Times New Roman" w:eastAsia="仿宋"/>
                <w:bCs/>
                <w:sz w:val="24"/>
              </w:rPr>
            </w:pPr>
            <w:r>
              <w:rPr>
                <w:rFonts w:hint="eastAsia" w:ascii="Times New Roman" w:hAnsi="Times New Roman" w:eastAsia="仿宋"/>
                <w:bCs/>
                <w:sz w:val="24"/>
              </w:rPr>
              <w:t>否</w:t>
            </w:r>
          </w:p>
        </w:tc>
        <w:tc>
          <w:tcPr>
            <w:tcW w:w="764" w:type="pct"/>
            <w:vAlign w:val="center"/>
          </w:tcPr>
          <w:p w14:paraId="3CD367B7">
            <w:pPr>
              <w:jc w:val="center"/>
              <w:textAlignment w:val="center"/>
              <w:rPr>
                <w:rFonts w:ascii="Times New Roman" w:hAnsi="Times New Roman" w:eastAsia="仿宋"/>
                <w:color w:val="000000"/>
                <w:sz w:val="24"/>
              </w:rPr>
            </w:pPr>
            <w:r>
              <w:rPr>
                <w:rFonts w:hint="eastAsia" w:ascii="Times New Roman" w:hAnsi="Times New Roman" w:eastAsia="仿宋"/>
                <w:color w:val="000000"/>
                <w:sz w:val="24"/>
              </w:rPr>
              <w:t>3000.00</w:t>
            </w:r>
          </w:p>
        </w:tc>
        <w:tc>
          <w:tcPr>
            <w:tcW w:w="485" w:type="pct"/>
            <w:vAlign w:val="center"/>
          </w:tcPr>
          <w:p w14:paraId="7BD7AC95">
            <w:pPr>
              <w:jc w:val="center"/>
              <w:rPr>
                <w:rFonts w:ascii="Times New Roman" w:hAnsi="Times New Roman" w:eastAsia="仿宋"/>
                <w:bCs/>
                <w:sz w:val="24"/>
              </w:rPr>
            </w:pPr>
          </w:p>
        </w:tc>
      </w:tr>
      <w:tr w14:paraId="7086E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vAlign w:val="center"/>
          </w:tcPr>
          <w:p w14:paraId="629806C2">
            <w:pPr>
              <w:jc w:val="center"/>
              <w:rPr>
                <w:rFonts w:ascii="Times New Roman" w:hAnsi="Times New Roman" w:eastAsia="仿宋"/>
                <w:bCs/>
                <w:sz w:val="24"/>
              </w:rPr>
            </w:pPr>
            <w:r>
              <w:rPr>
                <w:rFonts w:hint="eastAsia" w:ascii="Times New Roman" w:hAnsi="Times New Roman" w:eastAsia="仿宋"/>
                <w:bCs/>
                <w:sz w:val="24"/>
              </w:rPr>
              <w:t>6</w:t>
            </w:r>
          </w:p>
        </w:tc>
        <w:tc>
          <w:tcPr>
            <w:tcW w:w="542" w:type="pct"/>
            <w:vAlign w:val="center"/>
          </w:tcPr>
          <w:p w14:paraId="68A50EEE">
            <w:pPr>
              <w:jc w:val="center"/>
              <w:rPr>
                <w:rFonts w:ascii="Times New Roman" w:hAnsi="Times New Roman" w:eastAsia="仿宋"/>
                <w:bCs/>
                <w:sz w:val="24"/>
              </w:rPr>
            </w:pPr>
            <w:r>
              <w:rPr>
                <w:rFonts w:hint="eastAsia" w:ascii="Times New Roman" w:hAnsi="Times New Roman" w:eastAsia="仿宋"/>
                <w:bCs/>
                <w:sz w:val="24"/>
              </w:rPr>
              <w:t>2</w:t>
            </w:r>
            <w:r>
              <w:rPr>
                <w:rFonts w:ascii="Times New Roman" w:hAnsi="Times New Roman" w:eastAsia="仿宋"/>
                <w:bCs/>
                <w:sz w:val="24"/>
              </w:rPr>
              <w:t>020</w:t>
            </w:r>
          </w:p>
        </w:tc>
        <w:tc>
          <w:tcPr>
            <w:tcW w:w="2234" w:type="pct"/>
            <w:vAlign w:val="center"/>
          </w:tcPr>
          <w:p w14:paraId="6D73323B">
            <w:pPr>
              <w:jc w:val="center"/>
              <w:rPr>
                <w:rFonts w:ascii="Times New Roman" w:hAnsi="Times New Roman" w:eastAsia="仿宋"/>
                <w:bCs/>
                <w:sz w:val="24"/>
              </w:rPr>
            </w:pPr>
            <w:r>
              <w:rPr>
                <w:rFonts w:hint="eastAsia" w:ascii="Times New Roman" w:hAnsi="Times New Roman" w:eastAsia="仿宋"/>
                <w:bCs/>
                <w:sz w:val="24"/>
              </w:rPr>
              <w:t>热力站：xx座</w:t>
            </w:r>
          </w:p>
        </w:tc>
        <w:tc>
          <w:tcPr>
            <w:tcW w:w="663" w:type="pct"/>
            <w:vAlign w:val="center"/>
          </w:tcPr>
          <w:p w14:paraId="7D79B1EF">
            <w:pPr>
              <w:jc w:val="center"/>
              <w:rPr>
                <w:rFonts w:ascii="Times New Roman" w:hAnsi="Times New Roman" w:eastAsia="仿宋"/>
                <w:bCs/>
                <w:sz w:val="24"/>
              </w:rPr>
            </w:pPr>
            <w:r>
              <w:rPr>
                <w:rFonts w:hint="eastAsia" w:ascii="Times New Roman" w:hAnsi="Times New Roman" w:eastAsia="仿宋"/>
                <w:bCs/>
                <w:sz w:val="24"/>
              </w:rPr>
              <w:t>否</w:t>
            </w:r>
          </w:p>
        </w:tc>
        <w:tc>
          <w:tcPr>
            <w:tcW w:w="764" w:type="pct"/>
            <w:vAlign w:val="center"/>
          </w:tcPr>
          <w:p w14:paraId="3E95A828">
            <w:pPr>
              <w:jc w:val="center"/>
              <w:textAlignment w:val="center"/>
              <w:rPr>
                <w:rFonts w:ascii="Times New Roman" w:hAnsi="Times New Roman" w:eastAsia="仿宋"/>
                <w:color w:val="000000"/>
                <w:sz w:val="24"/>
              </w:rPr>
            </w:pPr>
            <w:r>
              <w:rPr>
                <w:rFonts w:hint="eastAsia" w:ascii="Times New Roman" w:hAnsi="Times New Roman" w:eastAsia="仿宋"/>
                <w:color w:val="000000"/>
                <w:sz w:val="24"/>
              </w:rPr>
              <w:t>3000.00</w:t>
            </w:r>
          </w:p>
        </w:tc>
        <w:tc>
          <w:tcPr>
            <w:tcW w:w="485" w:type="pct"/>
            <w:vAlign w:val="center"/>
          </w:tcPr>
          <w:p w14:paraId="11E08162">
            <w:pPr>
              <w:jc w:val="center"/>
              <w:rPr>
                <w:rFonts w:ascii="Times New Roman" w:hAnsi="Times New Roman" w:eastAsia="仿宋"/>
                <w:bCs/>
                <w:sz w:val="24"/>
              </w:rPr>
            </w:pPr>
            <w:r>
              <w:rPr>
                <w:rFonts w:ascii="Times New Roman" w:hAnsi="Times New Roman" w:eastAsia="仿宋"/>
                <w:bCs/>
                <w:sz w:val="24"/>
              </w:rPr>
              <w:t>/</w:t>
            </w:r>
          </w:p>
        </w:tc>
      </w:tr>
      <w:tr w14:paraId="532E8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tcPr>
          <w:p w14:paraId="100B926E">
            <w:pPr>
              <w:ind w:left="-110" w:leftChars="-50" w:right="-110" w:rightChars="-50"/>
              <w:jc w:val="center"/>
              <w:rPr>
                <w:rFonts w:ascii="Times New Roman" w:hAnsi="Times New Roman" w:eastAsia="仿宋"/>
                <w:bCs/>
                <w:sz w:val="24"/>
              </w:rPr>
            </w:pPr>
            <w:r>
              <w:rPr>
                <w:rFonts w:ascii="Times New Roman" w:hAnsi="Times New Roman" w:eastAsia="仿宋"/>
                <w:bCs/>
                <w:sz w:val="24"/>
              </w:rPr>
              <w:t>合计</w:t>
            </w:r>
          </w:p>
        </w:tc>
        <w:tc>
          <w:tcPr>
            <w:tcW w:w="542" w:type="pct"/>
          </w:tcPr>
          <w:p w14:paraId="439A44B5">
            <w:pPr>
              <w:jc w:val="center"/>
              <w:rPr>
                <w:rFonts w:ascii="Times New Roman" w:hAnsi="Times New Roman" w:eastAsia="仿宋"/>
                <w:bCs/>
                <w:sz w:val="24"/>
              </w:rPr>
            </w:pPr>
          </w:p>
        </w:tc>
        <w:tc>
          <w:tcPr>
            <w:tcW w:w="2234" w:type="pct"/>
          </w:tcPr>
          <w:p w14:paraId="02E4551D">
            <w:pPr>
              <w:jc w:val="center"/>
              <w:rPr>
                <w:rFonts w:ascii="Times New Roman" w:hAnsi="Times New Roman" w:eastAsia="仿宋"/>
                <w:bCs/>
                <w:sz w:val="24"/>
              </w:rPr>
            </w:pPr>
          </w:p>
        </w:tc>
        <w:tc>
          <w:tcPr>
            <w:tcW w:w="663" w:type="pct"/>
          </w:tcPr>
          <w:p w14:paraId="29AE7F51">
            <w:pPr>
              <w:jc w:val="center"/>
              <w:rPr>
                <w:rFonts w:ascii="Times New Roman" w:hAnsi="Times New Roman" w:eastAsia="仿宋"/>
                <w:bCs/>
                <w:sz w:val="24"/>
              </w:rPr>
            </w:pPr>
          </w:p>
        </w:tc>
        <w:tc>
          <w:tcPr>
            <w:tcW w:w="764" w:type="pct"/>
          </w:tcPr>
          <w:p w14:paraId="7F69E4D9">
            <w:pPr>
              <w:jc w:val="center"/>
              <w:textAlignment w:val="top"/>
              <w:rPr>
                <w:rFonts w:ascii="Times New Roman" w:hAnsi="Times New Roman" w:eastAsia="仿宋"/>
                <w:bCs/>
                <w:sz w:val="24"/>
              </w:rPr>
            </w:pPr>
            <w:r>
              <w:rPr>
                <w:rFonts w:ascii="Times New Roman" w:hAnsi="Times New Roman" w:eastAsia="仿宋"/>
                <w:color w:val="000000"/>
                <w:sz w:val="24"/>
              </w:rPr>
              <w:t xml:space="preserve">70600.00 </w:t>
            </w:r>
          </w:p>
        </w:tc>
        <w:tc>
          <w:tcPr>
            <w:tcW w:w="485" w:type="pct"/>
            <w:vAlign w:val="center"/>
          </w:tcPr>
          <w:p w14:paraId="6DE32C9F">
            <w:pPr>
              <w:jc w:val="center"/>
              <w:rPr>
                <w:rFonts w:ascii="Times New Roman" w:hAnsi="Times New Roman" w:eastAsia="仿宋"/>
                <w:bCs/>
                <w:sz w:val="24"/>
              </w:rPr>
            </w:pPr>
            <w:r>
              <w:rPr>
                <w:rFonts w:ascii="Times New Roman" w:hAnsi="Times New Roman" w:eastAsia="仿宋"/>
                <w:bCs/>
                <w:sz w:val="24"/>
              </w:rPr>
              <w:t>/</w:t>
            </w:r>
          </w:p>
        </w:tc>
      </w:tr>
    </w:tbl>
    <w:p w14:paraId="02B04290">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新增设施排放量为70600.00吨，是基准年份排放量的XX%，新增燃气锅炉为直供，</w:t>
      </w:r>
      <w:r>
        <w:rPr>
          <w:rFonts w:ascii="Times New Roman" w:hAnsi="Times New Roman" w:eastAsia="仿宋"/>
          <w:sz w:val="32"/>
          <w:szCs w:val="32"/>
        </w:rPr>
        <w:t>建筑物供热量为xxxxTJ；新增燃煤锅炉为直供，建筑供热量为xxxxTJ；燃油锅炉所供的建筑供热量为xxxxTJ</w:t>
      </w:r>
      <w:r>
        <w:rPr>
          <w:rFonts w:ascii="Times New Roman" w:hAnsi="Times New Roman" w:eastAsia="仿宋_GB2312"/>
          <w:sz w:val="32"/>
          <w:szCs w:val="32"/>
        </w:rPr>
        <w:t>；</w:t>
      </w:r>
      <w:r>
        <w:rPr>
          <w:rFonts w:ascii="Times New Roman" w:hAnsi="Times New Roman" w:eastAsia="仿宋"/>
          <w:sz w:val="32"/>
          <w:szCs w:val="32"/>
        </w:rPr>
        <w:t>电锅炉所供的建筑供热量为xxxxTJ；新增设施对应的热力站一次侧输入热量为xxxxTJ。</w:t>
      </w:r>
      <w:r>
        <w:rPr>
          <w:rFonts w:ascii="Times New Roman" w:hAnsi="Times New Roman" w:eastAsia="仿宋_GB2312"/>
          <w:sz w:val="32"/>
          <w:szCs w:val="32"/>
        </w:rPr>
        <w:t>此信息供新增设施配额发放参考。</w:t>
      </w:r>
    </w:p>
    <w:p w14:paraId="5E7276DB">
      <w:pPr>
        <w:spacing w:after="0" w:line="560" w:lineRule="exact"/>
        <w:ind w:firstLine="640" w:firstLineChars="200"/>
        <w:rPr>
          <w:rFonts w:ascii="Times New Roman" w:hAnsi="Times New Roman" w:eastAsia="仿宋"/>
          <w:sz w:val="32"/>
          <w:szCs w:val="32"/>
        </w:rPr>
      </w:pPr>
      <w:r>
        <w:rPr>
          <w:rFonts w:ascii="Times New Roman" w:hAnsi="Times New Roman" w:eastAsia="仿宋"/>
          <w:sz w:val="32"/>
          <w:szCs w:val="32"/>
        </w:rPr>
        <w:t>5. 核查过程未覆盖的问题描述</w:t>
      </w:r>
    </w:p>
    <w:p w14:paraId="1B6EAF39">
      <w:pPr>
        <w:spacing w:after="0" w:line="560" w:lineRule="exact"/>
        <w:ind w:firstLine="640" w:firstLineChars="200"/>
        <w:rPr>
          <w:rFonts w:ascii="Times New Roman" w:hAnsi="Times New Roman" w:eastAsia="仿宋"/>
          <w:sz w:val="32"/>
          <w:szCs w:val="32"/>
        </w:rPr>
      </w:pPr>
      <w:r>
        <w:rPr>
          <w:rFonts w:ascii="Times New Roman" w:hAnsi="Times New Roman" w:eastAsia="仿宋"/>
          <w:sz w:val="32"/>
          <w:szCs w:val="32"/>
        </w:rPr>
        <w:t>由于天然气表和电表分别为燃气公司及电力公司管控，因此未能核查这些仪表的检定信息。</w:t>
      </w:r>
    </w:p>
    <w:p w14:paraId="1A6EFB55">
      <w:pPr>
        <w:rPr>
          <w:rFonts w:ascii="Times New Roman" w:hAnsi="Times New Roman"/>
        </w:rPr>
      </w:pPr>
      <w:r>
        <w:rPr>
          <w:rFonts w:ascii="Times New Roman" w:hAnsi="Times New Roman"/>
        </w:rPr>
        <w:br w:type="page"/>
      </w:r>
    </w:p>
    <w:p w14:paraId="64B2D6DA">
      <w:pPr>
        <w:pStyle w:val="4"/>
        <w:spacing w:before="0" w:after="0" w:line="56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电力生产企业</w:t>
      </w:r>
    </w:p>
    <w:p w14:paraId="1D3D4B61">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核查结论</w:t>
      </w:r>
    </w:p>
    <w:p w14:paraId="14EE5A7B">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
          <w:sz w:val="32"/>
          <w:szCs w:val="32"/>
        </w:rPr>
        <w:t>xxxx公司（以下简称排放单位）委托xxx公司开展XXXX年</w:t>
      </w:r>
      <w:r>
        <w:rPr>
          <w:rFonts w:ascii="Times New Roman" w:hAnsi="Times New Roman" w:eastAsia="仿宋_GB2312"/>
          <w:sz w:val="32"/>
          <w:szCs w:val="32"/>
        </w:rPr>
        <w:t>二氧化碳排放的核查工作。核查范围包括排放单位所有在北京市辖区内的固定设施导致的二氧化碳直接排放和二氧化碳间接排放。</w:t>
      </w:r>
    </w:p>
    <w:p w14:paraId="5A9AC570">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通过文件评审、现场访问、核查报告编写及内部技术复核，核查组对排放单位XXXX年度二氧化碳排放报告形成如下核查结论：</w:t>
      </w:r>
    </w:p>
    <w:p w14:paraId="191E5D53">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 核算、报告与方法学的符合性</w:t>
      </w:r>
    </w:p>
    <w:p w14:paraId="448D91FE">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核查组确认所有不符合已全部关闭，排放单位的核算与报告均符合方法学</w:t>
      </w:r>
      <w:r>
        <w:rPr>
          <w:rFonts w:hint="eastAsia" w:ascii="Times New Roman" w:hAnsi="Times New Roman" w:eastAsia="仿宋_GB2312"/>
          <w:sz w:val="32"/>
          <w:szCs w:val="32"/>
        </w:rPr>
        <w:t>《二氧化碳排放核算和报告要求电力生产业》（DB11/T 1781-2020）</w:t>
      </w:r>
      <w:r>
        <w:rPr>
          <w:rFonts w:ascii="Times New Roman" w:hAnsi="Times New Roman" w:eastAsia="仿宋_GB2312"/>
          <w:sz w:val="32"/>
          <w:szCs w:val="32"/>
        </w:rPr>
        <w:t>的要求，核查组对本排放报告出具肯定的核查结论。</w:t>
      </w:r>
    </w:p>
    <w:p w14:paraId="3F61FAF1">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 本年度排放量及活动水平数据的声明</w:t>
      </w:r>
    </w:p>
    <w:p w14:paraId="2D2A25DA">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经核查的直接和间接排放量与最终排放报告中的数据一致。经核查的直接排放量为2799714.26吨，间接排放量为3888.38吨，总排放量为2803602.64吨。</w:t>
      </w:r>
    </w:p>
    <w:p w14:paraId="7271DDAC">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经核查的供电量、供热量与最终排放报告中数据一致。经核查的一期1#机组供电量为xxxMWh，供热量为xxxxTJ，供热比为xxx；二期2#机组供电量为xxxMWh，供热量为xxxxTJ，供热比为xxx；三期二拖一（</w:t>
      </w:r>
      <w:r>
        <w:rPr>
          <w:rFonts w:hint="eastAsia" w:ascii="Times New Roman" w:hAnsi="Times New Roman" w:eastAsia="仿宋_GB2312"/>
          <w:sz w:val="32"/>
          <w:szCs w:val="32"/>
        </w:rPr>
        <w:t>3</w:t>
      </w:r>
      <w:r>
        <w:rPr>
          <w:rFonts w:ascii="Times New Roman" w:hAnsi="Times New Roman" w:eastAsia="仿宋_GB2312"/>
          <w:sz w:val="32"/>
          <w:szCs w:val="32"/>
        </w:rPr>
        <w:t>#-</w:t>
      </w:r>
      <w:r>
        <w:rPr>
          <w:rFonts w:hint="eastAsia" w:ascii="Times New Roman" w:hAnsi="Times New Roman" w:eastAsia="仿宋_GB2312"/>
          <w:sz w:val="32"/>
          <w:szCs w:val="32"/>
        </w:rPr>
        <w:t>5</w:t>
      </w:r>
      <w:r>
        <w:rPr>
          <w:rFonts w:ascii="Times New Roman" w:hAnsi="Times New Roman" w:eastAsia="仿宋_GB2312"/>
          <w:sz w:val="32"/>
          <w:szCs w:val="32"/>
        </w:rPr>
        <w:t>#）机组供电量为xxxMWh，供热量为xxxxTJ，供热比为xxx</w:t>
      </w:r>
      <w:r>
        <w:rPr>
          <w:rFonts w:hint="eastAsia" w:ascii="Times New Roman" w:hAnsi="Times New Roman" w:eastAsia="仿宋_GB2312"/>
          <w:sz w:val="32"/>
          <w:szCs w:val="32"/>
        </w:rPr>
        <w:t>；</w:t>
      </w:r>
      <w:r>
        <w:rPr>
          <w:rFonts w:ascii="Times New Roman" w:hAnsi="Times New Roman" w:eastAsia="仿宋_GB2312"/>
          <w:sz w:val="32"/>
          <w:szCs w:val="32"/>
        </w:rPr>
        <w:t>燃气热水炉供热量为xxxxTJ。</w:t>
      </w:r>
    </w:p>
    <w:p w14:paraId="64672480">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 年度排放量及活动水平波动的原因说明</w:t>
      </w:r>
    </w:p>
    <w:p w14:paraId="62FBF443">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本年度排放量与上年度排放量相比增加242659.68吨/9.48%，其中直接排放相比上年度增加242159.68吨/9.47%，间接排放相比上一年度增加500.00吨/14.76%。由于电网调控原因，供电量大幅上升，相比上一年度上升40.00%，其中一期燃机供电量增加，二期燃机供电量下降，三期燃机在11月开始投入使用；同时，周边企业的热能消耗需求基本保持不变，供热量变化不大。因此主要是由于供电量上升导致碳排放量大幅增加。</w:t>
      </w:r>
    </w:p>
    <w:p w14:paraId="2C65C846">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本年度排放量相比历史基准年份排放量增加242659.68吨，上升比例为9.48%，受电网调控，供电量相比基准年增加40.00%，而供热量变化幅度不大，导致排放量上升。</w:t>
      </w:r>
    </w:p>
    <w:p w14:paraId="62B5ED92">
      <w:pPr>
        <w:jc w:val="center"/>
        <w:rPr>
          <w:rFonts w:ascii="Times New Roman" w:hAnsi="Times New Roman" w:eastAsia="仿宋_GB2312"/>
          <w:sz w:val="32"/>
          <w:szCs w:val="32"/>
        </w:rPr>
      </w:pPr>
      <w:r>
        <w:rPr>
          <w:rFonts w:ascii="Times New Roman" w:hAnsi="Times New Roman" w:eastAsia="仿宋_GB2312"/>
          <w:sz w:val="24"/>
        </w:rPr>
        <w:t>表XX  排放量汇总表</w:t>
      </w:r>
    </w:p>
    <w:tbl>
      <w:tblPr>
        <w:tblStyle w:val="35"/>
        <w:tblW w:w="7917" w:type="dxa"/>
        <w:tblInd w:w="108" w:type="dxa"/>
        <w:tblLayout w:type="fixed"/>
        <w:tblCellMar>
          <w:top w:w="0" w:type="dxa"/>
          <w:left w:w="108" w:type="dxa"/>
          <w:bottom w:w="0" w:type="dxa"/>
          <w:right w:w="108" w:type="dxa"/>
        </w:tblCellMar>
      </w:tblPr>
      <w:tblGrid>
        <w:gridCol w:w="1260"/>
        <w:gridCol w:w="2144"/>
        <w:gridCol w:w="2243"/>
        <w:gridCol w:w="2270"/>
      </w:tblGrid>
      <w:tr w14:paraId="2E5CC71C">
        <w:tblPrEx>
          <w:tblCellMar>
            <w:top w:w="0" w:type="dxa"/>
            <w:left w:w="108" w:type="dxa"/>
            <w:bottom w:w="0" w:type="dxa"/>
            <w:right w:w="108" w:type="dxa"/>
          </w:tblCellMar>
        </w:tblPrEx>
        <w:trPr>
          <w:trHeight w:val="1028" w:hRule="atLeast"/>
        </w:trPr>
        <w:tc>
          <w:tcPr>
            <w:tcW w:w="1260" w:type="dxa"/>
            <w:tcBorders>
              <w:top w:val="single" w:color="auto" w:sz="4" w:space="0"/>
              <w:left w:val="single" w:color="auto" w:sz="4" w:space="0"/>
              <w:bottom w:val="single" w:color="auto" w:sz="4" w:space="0"/>
              <w:right w:val="single" w:color="auto" w:sz="4" w:space="0"/>
            </w:tcBorders>
            <w:vAlign w:val="center"/>
          </w:tcPr>
          <w:p w14:paraId="37AC7085">
            <w:pPr>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年度</w:t>
            </w:r>
          </w:p>
        </w:tc>
        <w:tc>
          <w:tcPr>
            <w:tcW w:w="2144" w:type="dxa"/>
            <w:tcBorders>
              <w:top w:val="single" w:color="auto" w:sz="4" w:space="0"/>
              <w:left w:val="nil"/>
              <w:bottom w:val="single" w:color="auto" w:sz="4" w:space="0"/>
              <w:right w:val="single" w:color="auto" w:sz="4" w:space="0"/>
            </w:tcBorders>
            <w:vAlign w:val="center"/>
          </w:tcPr>
          <w:p w14:paraId="768C626E">
            <w:pPr>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直接排放量（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c>
          <w:tcPr>
            <w:tcW w:w="2243" w:type="dxa"/>
            <w:tcBorders>
              <w:top w:val="single" w:color="auto" w:sz="4" w:space="0"/>
              <w:left w:val="nil"/>
              <w:bottom w:val="single" w:color="auto" w:sz="4" w:space="0"/>
              <w:right w:val="single" w:color="auto" w:sz="4" w:space="0"/>
            </w:tcBorders>
            <w:vAlign w:val="center"/>
          </w:tcPr>
          <w:p w14:paraId="55F359B5">
            <w:pPr>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间接排放量（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c>
          <w:tcPr>
            <w:tcW w:w="2270" w:type="dxa"/>
            <w:tcBorders>
              <w:top w:val="single" w:color="auto" w:sz="4" w:space="0"/>
              <w:left w:val="nil"/>
              <w:bottom w:val="single" w:color="auto" w:sz="4" w:space="0"/>
              <w:right w:val="single" w:color="auto" w:sz="4" w:space="0"/>
            </w:tcBorders>
            <w:vAlign w:val="center"/>
          </w:tcPr>
          <w:p w14:paraId="5BD56C5F">
            <w:pPr>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排放总量（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r>
      <w:tr w14:paraId="11222E3A">
        <w:tblPrEx>
          <w:tblCellMar>
            <w:top w:w="0" w:type="dxa"/>
            <w:left w:w="108" w:type="dxa"/>
            <w:bottom w:w="0" w:type="dxa"/>
            <w:right w:w="108" w:type="dxa"/>
          </w:tblCellMar>
        </w:tblPrEx>
        <w:trPr>
          <w:trHeight w:val="547" w:hRule="atLeast"/>
        </w:trPr>
        <w:tc>
          <w:tcPr>
            <w:tcW w:w="1260" w:type="dxa"/>
            <w:tcBorders>
              <w:top w:val="nil"/>
              <w:left w:val="single" w:color="auto" w:sz="4" w:space="0"/>
              <w:bottom w:val="single" w:color="auto" w:sz="4" w:space="0"/>
              <w:right w:val="single" w:color="auto" w:sz="4" w:space="0"/>
            </w:tcBorders>
            <w:noWrap/>
            <w:vAlign w:val="center"/>
          </w:tcPr>
          <w:p w14:paraId="54BB5841">
            <w:pPr>
              <w:jc w:val="center"/>
              <w:rPr>
                <w:rFonts w:ascii="Times New Roman" w:hAnsi="Times New Roman" w:eastAsia="仿宋_GB2312"/>
                <w:color w:val="000000"/>
                <w:sz w:val="24"/>
              </w:rPr>
            </w:pPr>
            <w:r>
              <w:rPr>
                <w:rFonts w:ascii="Times New Roman" w:hAnsi="Times New Roman" w:eastAsia="仿宋_GB2312"/>
                <w:color w:val="000000"/>
                <w:sz w:val="24"/>
              </w:rPr>
              <w:t>2016</w:t>
            </w:r>
          </w:p>
        </w:tc>
        <w:tc>
          <w:tcPr>
            <w:tcW w:w="2144" w:type="dxa"/>
            <w:tcBorders>
              <w:top w:val="nil"/>
              <w:left w:val="nil"/>
              <w:bottom w:val="single" w:color="auto" w:sz="4" w:space="0"/>
              <w:right w:val="single" w:color="auto" w:sz="4" w:space="0"/>
            </w:tcBorders>
            <w:noWrap/>
            <w:vAlign w:val="center"/>
          </w:tcPr>
          <w:p w14:paraId="50D4107F">
            <w:pPr>
              <w:jc w:val="center"/>
              <w:textAlignment w:val="center"/>
              <w:rPr>
                <w:rFonts w:ascii="Times New Roman" w:hAnsi="Times New Roman"/>
                <w:color w:val="000000"/>
                <w:sz w:val="24"/>
              </w:rPr>
            </w:pPr>
            <w:r>
              <w:rPr>
                <w:rFonts w:ascii="Times New Roman" w:hAnsi="Times New Roman" w:eastAsia="仿宋_GB2312"/>
                <w:color w:val="000000"/>
                <w:sz w:val="24"/>
              </w:rPr>
              <w:t>1571714.26</w:t>
            </w:r>
          </w:p>
        </w:tc>
        <w:tc>
          <w:tcPr>
            <w:tcW w:w="2243" w:type="dxa"/>
            <w:tcBorders>
              <w:top w:val="nil"/>
              <w:left w:val="nil"/>
              <w:bottom w:val="single" w:color="auto" w:sz="4" w:space="0"/>
              <w:right w:val="single" w:color="auto" w:sz="4" w:space="0"/>
            </w:tcBorders>
            <w:noWrap/>
            <w:vAlign w:val="center"/>
          </w:tcPr>
          <w:p w14:paraId="2BD8327A">
            <w:pPr>
              <w:jc w:val="center"/>
              <w:textAlignment w:val="center"/>
              <w:rPr>
                <w:rFonts w:ascii="Times New Roman" w:hAnsi="Times New Roman"/>
                <w:color w:val="000000"/>
                <w:sz w:val="24"/>
              </w:rPr>
            </w:pPr>
            <w:r>
              <w:rPr>
                <w:rFonts w:ascii="Times New Roman" w:hAnsi="Times New Roman" w:eastAsia="仿宋_GB2312"/>
                <w:color w:val="000000"/>
                <w:sz w:val="24"/>
              </w:rPr>
              <w:t>2688.38</w:t>
            </w:r>
          </w:p>
        </w:tc>
        <w:tc>
          <w:tcPr>
            <w:tcW w:w="2270" w:type="dxa"/>
            <w:tcBorders>
              <w:top w:val="nil"/>
              <w:left w:val="nil"/>
              <w:bottom w:val="single" w:color="auto" w:sz="4" w:space="0"/>
              <w:right w:val="single" w:color="auto" w:sz="4" w:space="0"/>
            </w:tcBorders>
            <w:vAlign w:val="center"/>
          </w:tcPr>
          <w:p w14:paraId="27003B6B">
            <w:pPr>
              <w:jc w:val="center"/>
              <w:textAlignment w:val="center"/>
              <w:rPr>
                <w:rFonts w:ascii="Times New Roman" w:hAnsi="Times New Roman"/>
                <w:color w:val="000000"/>
                <w:sz w:val="24"/>
              </w:rPr>
            </w:pPr>
            <w:r>
              <w:rPr>
                <w:rFonts w:ascii="Times New Roman" w:hAnsi="Times New Roman" w:eastAsia="仿宋_GB2312"/>
                <w:color w:val="000000"/>
                <w:sz w:val="24"/>
              </w:rPr>
              <w:t>1574402.64</w:t>
            </w:r>
          </w:p>
        </w:tc>
      </w:tr>
      <w:tr w14:paraId="43B15D17">
        <w:tblPrEx>
          <w:tblCellMar>
            <w:top w:w="0" w:type="dxa"/>
            <w:left w:w="108" w:type="dxa"/>
            <w:bottom w:w="0" w:type="dxa"/>
            <w:right w:w="108" w:type="dxa"/>
          </w:tblCellMar>
        </w:tblPrEx>
        <w:trPr>
          <w:trHeight w:val="347" w:hRule="atLeast"/>
        </w:trPr>
        <w:tc>
          <w:tcPr>
            <w:tcW w:w="1260" w:type="dxa"/>
            <w:tcBorders>
              <w:top w:val="nil"/>
              <w:left w:val="single" w:color="auto" w:sz="4" w:space="0"/>
              <w:bottom w:val="single" w:color="auto" w:sz="4" w:space="0"/>
              <w:right w:val="single" w:color="auto" w:sz="4" w:space="0"/>
            </w:tcBorders>
            <w:noWrap/>
            <w:vAlign w:val="center"/>
          </w:tcPr>
          <w:p w14:paraId="0352D0EF">
            <w:pPr>
              <w:jc w:val="center"/>
              <w:rPr>
                <w:rFonts w:ascii="Times New Roman" w:hAnsi="Times New Roman" w:eastAsia="仿宋_GB2312"/>
                <w:color w:val="000000"/>
                <w:sz w:val="24"/>
              </w:rPr>
            </w:pPr>
            <w:r>
              <w:rPr>
                <w:rFonts w:ascii="Times New Roman" w:hAnsi="Times New Roman" w:eastAsia="仿宋_GB2312"/>
                <w:color w:val="000000"/>
                <w:sz w:val="24"/>
              </w:rPr>
              <w:t>2017</w:t>
            </w:r>
          </w:p>
        </w:tc>
        <w:tc>
          <w:tcPr>
            <w:tcW w:w="2144" w:type="dxa"/>
            <w:tcBorders>
              <w:top w:val="nil"/>
              <w:left w:val="nil"/>
              <w:bottom w:val="single" w:color="auto" w:sz="4" w:space="0"/>
              <w:right w:val="single" w:color="auto" w:sz="4" w:space="0"/>
            </w:tcBorders>
            <w:noWrap/>
            <w:vAlign w:val="center"/>
          </w:tcPr>
          <w:p w14:paraId="3EC123CD">
            <w:pPr>
              <w:jc w:val="center"/>
              <w:textAlignment w:val="center"/>
              <w:rPr>
                <w:rFonts w:ascii="Times New Roman" w:hAnsi="Times New Roman"/>
                <w:color w:val="000000"/>
                <w:sz w:val="24"/>
              </w:rPr>
            </w:pPr>
            <w:r>
              <w:rPr>
                <w:rFonts w:ascii="Times New Roman" w:hAnsi="Times New Roman" w:eastAsia="仿宋_GB2312"/>
                <w:color w:val="000000"/>
                <w:sz w:val="24"/>
              </w:rPr>
              <w:t>1619714.26</w:t>
            </w:r>
          </w:p>
        </w:tc>
        <w:tc>
          <w:tcPr>
            <w:tcW w:w="2243" w:type="dxa"/>
            <w:tcBorders>
              <w:top w:val="nil"/>
              <w:left w:val="nil"/>
              <w:bottom w:val="single" w:color="auto" w:sz="4" w:space="0"/>
              <w:right w:val="single" w:color="auto" w:sz="4" w:space="0"/>
            </w:tcBorders>
            <w:noWrap/>
            <w:vAlign w:val="center"/>
          </w:tcPr>
          <w:p w14:paraId="39ACB1BC">
            <w:pPr>
              <w:jc w:val="center"/>
              <w:textAlignment w:val="center"/>
              <w:rPr>
                <w:rFonts w:ascii="Times New Roman" w:hAnsi="Times New Roman"/>
                <w:color w:val="000000"/>
                <w:sz w:val="24"/>
              </w:rPr>
            </w:pPr>
            <w:r>
              <w:rPr>
                <w:rFonts w:ascii="Times New Roman" w:hAnsi="Times New Roman" w:eastAsia="仿宋_GB2312"/>
                <w:color w:val="000000"/>
                <w:sz w:val="24"/>
              </w:rPr>
              <w:t>2988.38</w:t>
            </w:r>
          </w:p>
        </w:tc>
        <w:tc>
          <w:tcPr>
            <w:tcW w:w="2270" w:type="dxa"/>
            <w:tcBorders>
              <w:top w:val="nil"/>
              <w:left w:val="nil"/>
              <w:bottom w:val="single" w:color="auto" w:sz="4" w:space="0"/>
              <w:right w:val="single" w:color="auto" w:sz="4" w:space="0"/>
            </w:tcBorders>
            <w:vAlign w:val="center"/>
          </w:tcPr>
          <w:p w14:paraId="4AAFBED9">
            <w:pPr>
              <w:jc w:val="center"/>
              <w:textAlignment w:val="center"/>
              <w:rPr>
                <w:rFonts w:ascii="Times New Roman" w:hAnsi="Times New Roman"/>
                <w:color w:val="000000"/>
                <w:sz w:val="24"/>
              </w:rPr>
            </w:pPr>
            <w:r>
              <w:rPr>
                <w:rFonts w:ascii="Times New Roman" w:hAnsi="Times New Roman" w:eastAsia="仿宋_GB2312"/>
                <w:color w:val="000000"/>
                <w:sz w:val="24"/>
              </w:rPr>
              <w:t>1622702.64</w:t>
            </w:r>
          </w:p>
        </w:tc>
      </w:tr>
      <w:tr w14:paraId="5F2DF1FE">
        <w:tblPrEx>
          <w:tblCellMar>
            <w:top w:w="0" w:type="dxa"/>
            <w:left w:w="108" w:type="dxa"/>
            <w:bottom w:w="0" w:type="dxa"/>
            <w:right w:w="108" w:type="dxa"/>
          </w:tblCellMar>
        </w:tblPrEx>
        <w:trPr>
          <w:trHeight w:val="347" w:hRule="atLeast"/>
        </w:trPr>
        <w:tc>
          <w:tcPr>
            <w:tcW w:w="1260" w:type="dxa"/>
            <w:tcBorders>
              <w:top w:val="nil"/>
              <w:left w:val="single" w:color="auto" w:sz="4" w:space="0"/>
              <w:bottom w:val="single" w:color="auto" w:sz="4" w:space="0"/>
              <w:right w:val="single" w:color="auto" w:sz="4" w:space="0"/>
            </w:tcBorders>
            <w:noWrap/>
            <w:vAlign w:val="center"/>
          </w:tcPr>
          <w:p w14:paraId="5A3AA36B">
            <w:pPr>
              <w:jc w:val="center"/>
              <w:rPr>
                <w:rFonts w:ascii="Times New Roman" w:hAnsi="Times New Roman" w:eastAsia="仿宋_GB2312"/>
                <w:color w:val="000000"/>
                <w:sz w:val="24"/>
              </w:rPr>
            </w:pPr>
            <w:r>
              <w:rPr>
                <w:rFonts w:ascii="Times New Roman" w:hAnsi="Times New Roman" w:eastAsia="仿宋_GB2312"/>
                <w:color w:val="000000"/>
                <w:sz w:val="24"/>
              </w:rPr>
              <w:t>2018</w:t>
            </w:r>
          </w:p>
        </w:tc>
        <w:tc>
          <w:tcPr>
            <w:tcW w:w="2144" w:type="dxa"/>
            <w:tcBorders>
              <w:top w:val="nil"/>
              <w:left w:val="nil"/>
              <w:bottom w:val="single" w:color="auto" w:sz="4" w:space="0"/>
              <w:right w:val="single" w:color="auto" w:sz="4" w:space="0"/>
            </w:tcBorders>
            <w:noWrap/>
            <w:vAlign w:val="center"/>
          </w:tcPr>
          <w:p w14:paraId="74B7FFBE">
            <w:pPr>
              <w:jc w:val="center"/>
              <w:textAlignment w:val="center"/>
              <w:rPr>
                <w:rFonts w:ascii="Times New Roman" w:hAnsi="Times New Roman"/>
                <w:color w:val="000000"/>
                <w:sz w:val="24"/>
              </w:rPr>
            </w:pPr>
            <w:r>
              <w:rPr>
                <w:rFonts w:ascii="Times New Roman" w:hAnsi="Times New Roman" w:eastAsia="仿宋_GB2312"/>
                <w:color w:val="000000"/>
                <w:sz w:val="24"/>
              </w:rPr>
              <w:t>2557554.58</w:t>
            </w:r>
          </w:p>
        </w:tc>
        <w:tc>
          <w:tcPr>
            <w:tcW w:w="2243" w:type="dxa"/>
            <w:tcBorders>
              <w:top w:val="nil"/>
              <w:left w:val="nil"/>
              <w:bottom w:val="single" w:color="auto" w:sz="4" w:space="0"/>
              <w:right w:val="single" w:color="auto" w:sz="4" w:space="0"/>
            </w:tcBorders>
            <w:noWrap/>
            <w:vAlign w:val="center"/>
          </w:tcPr>
          <w:p w14:paraId="270F6065">
            <w:pPr>
              <w:jc w:val="center"/>
              <w:textAlignment w:val="center"/>
              <w:rPr>
                <w:rFonts w:ascii="Times New Roman" w:hAnsi="Times New Roman"/>
                <w:color w:val="000000"/>
                <w:sz w:val="24"/>
              </w:rPr>
            </w:pPr>
            <w:r>
              <w:rPr>
                <w:rFonts w:ascii="Times New Roman" w:hAnsi="Times New Roman" w:eastAsia="仿宋_GB2312"/>
                <w:color w:val="000000"/>
                <w:sz w:val="24"/>
              </w:rPr>
              <w:t>3388.38</w:t>
            </w:r>
          </w:p>
        </w:tc>
        <w:tc>
          <w:tcPr>
            <w:tcW w:w="2270" w:type="dxa"/>
            <w:tcBorders>
              <w:top w:val="nil"/>
              <w:left w:val="nil"/>
              <w:bottom w:val="single" w:color="auto" w:sz="4" w:space="0"/>
              <w:right w:val="single" w:color="auto" w:sz="4" w:space="0"/>
            </w:tcBorders>
            <w:vAlign w:val="center"/>
          </w:tcPr>
          <w:p w14:paraId="67554364">
            <w:pPr>
              <w:jc w:val="center"/>
              <w:textAlignment w:val="center"/>
              <w:rPr>
                <w:rFonts w:ascii="Times New Roman" w:hAnsi="Times New Roman"/>
                <w:color w:val="000000"/>
                <w:sz w:val="24"/>
              </w:rPr>
            </w:pPr>
            <w:r>
              <w:rPr>
                <w:rFonts w:ascii="Times New Roman" w:hAnsi="Times New Roman" w:eastAsia="仿宋_GB2312"/>
                <w:color w:val="000000"/>
                <w:sz w:val="24"/>
              </w:rPr>
              <w:t>2560942.96</w:t>
            </w:r>
          </w:p>
        </w:tc>
      </w:tr>
      <w:tr w14:paraId="6AF85A07">
        <w:tblPrEx>
          <w:tblCellMar>
            <w:top w:w="0" w:type="dxa"/>
            <w:left w:w="108" w:type="dxa"/>
            <w:bottom w:w="0" w:type="dxa"/>
            <w:right w:w="108" w:type="dxa"/>
          </w:tblCellMar>
        </w:tblPrEx>
        <w:trPr>
          <w:trHeight w:val="347" w:hRule="atLeast"/>
        </w:trPr>
        <w:tc>
          <w:tcPr>
            <w:tcW w:w="1260" w:type="dxa"/>
            <w:tcBorders>
              <w:top w:val="single" w:color="auto" w:sz="4" w:space="0"/>
              <w:left w:val="single" w:color="auto" w:sz="4" w:space="0"/>
              <w:bottom w:val="single" w:color="auto" w:sz="4" w:space="0"/>
              <w:right w:val="single" w:color="auto" w:sz="4" w:space="0"/>
            </w:tcBorders>
            <w:noWrap/>
            <w:vAlign w:val="center"/>
          </w:tcPr>
          <w:p w14:paraId="54340526">
            <w:pPr>
              <w:jc w:val="center"/>
              <w:rPr>
                <w:rFonts w:ascii="Times New Roman" w:hAnsi="Times New Roman" w:eastAsia="仿宋_GB2312"/>
                <w:color w:val="000000"/>
                <w:sz w:val="24"/>
              </w:rPr>
            </w:pPr>
            <w:r>
              <w:rPr>
                <w:rFonts w:ascii="Times New Roman" w:hAnsi="Times New Roman" w:eastAsia="仿宋_GB2312"/>
                <w:color w:val="000000"/>
                <w:sz w:val="24"/>
              </w:rPr>
              <w:t>2019</w:t>
            </w:r>
          </w:p>
        </w:tc>
        <w:tc>
          <w:tcPr>
            <w:tcW w:w="2144" w:type="dxa"/>
            <w:tcBorders>
              <w:top w:val="single" w:color="auto" w:sz="4" w:space="0"/>
              <w:left w:val="nil"/>
              <w:bottom w:val="single" w:color="auto" w:sz="4" w:space="0"/>
              <w:right w:val="single" w:color="auto" w:sz="4" w:space="0"/>
            </w:tcBorders>
            <w:noWrap/>
            <w:vAlign w:val="center"/>
          </w:tcPr>
          <w:p w14:paraId="17B9EC1A">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2799714.26</w:t>
            </w:r>
          </w:p>
        </w:tc>
        <w:tc>
          <w:tcPr>
            <w:tcW w:w="2243" w:type="dxa"/>
            <w:tcBorders>
              <w:top w:val="single" w:color="auto" w:sz="4" w:space="0"/>
              <w:left w:val="nil"/>
              <w:bottom w:val="single" w:color="auto" w:sz="4" w:space="0"/>
              <w:right w:val="single" w:color="auto" w:sz="4" w:space="0"/>
            </w:tcBorders>
            <w:noWrap/>
            <w:vAlign w:val="center"/>
          </w:tcPr>
          <w:p w14:paraId="4D5A848D">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3888.38</w:t>
            </w:r>
          </w:p>
        </w:tc>
        <w:tc>
          <w:tcPr>
            <w:tcW w:w="2270" w:type="dxa"/>
            <w:tcBorders>
              <w:top w:val="single" w:color="auto" w:sz="4" w:space="0"/>
              <w:left w:val="nil"/>
              <w:bottom w:val="single" w:color="auto" w:sz="4" w:space="0"/>
              <w:right w:val="single" w:color="auto" w:sz="4" w:space="0"/>
            </w:tcBorders>
            <w:vAlign w:val="center"/>
          </w:tcPr>
          <w:p w14:paraId="64C76114">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2803602.64</w:t>
            </w:r>
          </w:p>
        </w:tc>
      </w:tr>
      <w:tr w14:paraId="66E0D516">
        <w:tblPrEx>
          <w:tblCellMar>
            <w:top w:w="0" w:type="dxa"/>
            <w:left w:w="108" w:type="dxa"/>
            <w:bottom w:w="0" w:type="dxa"/>
            <w:right w:w="108" w:type="dxa"/>
          </w:tblCellMar>
        </w:tblPrEx>
        <w:trPr>
          <w:trHeight w:val="347" w:hRule="atLeast"/>
        </w:trPr>
        <w:tc>
          <w:tcPr>
            <w:tcW w:w="1260" w:type="dxa"/>
            <w:tcBorders>
              <w:top w:val="single" w:color="auto" w:sz="4" w:space="0"/>
              <w:left w:val="single" w:color="auto" w:sz="4" w:space="0"/>
              <w:bottom w:val="single" w:color="auto" w:sz="4" w:space="0"/>
              <w:right w:val="single" w:color="auto" w:sz="4" w:space="0"/>
            </w:tcBorders>
            <w:noWrap/>
            <w:vAlign w:val="center"/>
          </w:tcPr>
          <w:p w14:paraId="2BA37C4C">
            <w:pPr>
              <w:jc w:val="center"/>
              <w:rPr>
                <w:rFonts w:ascii="Times New Roman" w:hAnsi="Times New Roman" w:eastAsia="仿宋_GB2312"/>
                <w:color w:val="000000"/>
                <w:sz w:val="24"/>
              </w:rPr>
            </w:pPr>
            <w:r>
              <w:rPr>
                <w:rFonts w:hint="eastAsia" w:ascii="Times New Roman" w:hAnsi="Times New Roman" w:eastAsia="仿宋_GB2312"/>
                <w:color w:val="000000"/>
                <w:sz w:val="24"/>
              </w:rPr>
              <w:t>2</w:t>
            </w:r>
            <w:r>
              <w:rPr>
                <w:rFonts w:ascii="Times New Roman" w:hAnsi="Times New Roman" w:eastAsia="仿宋_GB2312"/>
                <w:color w:val="000000"/>
                <w:sz w:val="24"/>
              </w:rPr>
              <w:t>020</w:t>
            </w:r>
          </w:p>
        </w:tc>
        <w:tc>
          <w:tcPr>
            <w:tcW w:w="2144" w:type="dxa"/>
            <w:tcBorders>
              <w:top w:val="single" w:color="auto" w:sz="4" w:space="0"/>
              <w:left w:val="nil"/>
              <w:bottom w:val="single" w:color="auto" w:sz="4" w:space="0"/>
              <w:right w:val="single" w:color="auto" w:sz="4" w:space="0"/>
            </w:tcBorders>
            <w:noWrap/>
            <w:vAlign w:val="center"/>
          </w:tcPr>
          <w:p w14:paraId="6D9CDAB0">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2799714.26</w:t>
            </w:r>
          </w:p>
        </w:tc>
        <w:tc>
          <w:tcPr>
            <w:tcW w:w="2243" w:type="dxa"/>
            <w:tcBorders>
              <w:top w:val="single" w:color="auto" w:sz="4" w:space="0"/>
              <w:left w:val="nil"/>
              <w:bottom w:val="single" w:color="auto" w:sz="4" w:space="0"/>
              <w:right w:val="single" w:color="auto" w:sz="4" w:space="0"/>
            </w:tcBorders>
            <w:noWrap/>
            <w:vAlign w:val="center"/>
          </w:tcPr>
          <w:p w14:paraId="4772933D">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3888.38</w:t>
            </w:r>
          </w:p>
        </w:tc>
        <w:tc>
          <w:tcPr>
            <w:tcW w:w="2270" w:type="dxa"/>
            <w:tcBorders>
              <w:top w:val="single" w:color="auto" w:sz="4" w:space="0"/>
              <w:left w:val="nil"/>
              <w:bottom w:val="single" w:color="auto" w:sz="4" w:space="0"/>
              <w:right w:val="single" w:color="auto" w:sz="4" w:space="0"/>
            </w:tcBorders>
            <w:vAlign w:val="center"/>
          </w:tcPr>
          <w:p w14:paraId="4A42356E">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2803602.64</w:t>
            </w:r>
          </w:p>
        </w:tc>
      </w:tr>
    </w:tbl>
    <w:p w14:paraId="14337572">
      <w:pPr>
        <w:ind w:firstLine="440" w:firstLineChars="200"/>
        <w:jc w:val="center"/>
        <w:rPr>
          <w:rFonts w:ascii="Times New Roman" w:hAnsi="Times New Roman"/>
        </w:rPr>
      </w:pPr>
      <w:r>
        <w:rPr>
          <w:lang w:val="en-US"/>
        </w:rPr>
        <w:drawing>
          <wp:inline distT="0" distB="0" distL="0" distR="0">
            <wp:extent cx="4568825" cy="2740025"/>
            <wp:effectExtent l="0" t="0" r="3175" b="3175"/>
            <wp:docPr id="8" name="图表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CBF387F">
      <w:pPr>
        <w:spacing w:after="0" w:line="560" w:lineRule="exact"/>
        <w:jc w:val="center"/>
        <w:rPr>
          <w:rFonts w:ascii="Times New Roman" w:hAnsi="Times New Roman" w:eastAsia="仿宋_GB2312"/>
          <w:sz w:val="24"/>
        </w:rPr>
      </w:pPr>
      <w:r>
        <w:rPr>
          <w:rFonts w:ascii="Times New Roman" w:hAnsi="Times New Roman" w:eastAsia="仿宋_GB2312"/>
          <w:sz w:val="24"/>
        </w:rPr>
        <w:t>图xx  排放量变化趋势图（增加</w:t>
      </w:r>
      <w:r>
        <w:rPr>
          <w:rFonts w:hint="eastAsia" w:ascii="Times New Roman" w:hAnsi="Times New Roman" w:eastAsia="仿宋_GB2312"/>
          <w:sz w:val="24"/>
        </w:rPr>
        <w:t>2</w:t>
      </w:r>
      <w:r>
        <w:rPr>
          <w:rFonts w:ascii="Times New Roman" w:hAnsi="Times New Roman" w:eastAsia="仿宋_GB2312"/>
          <w:sz w:val="24"/>
        </w:rPr>
        <w:t>020年度）</w:t>
      </w:r>
    </w:p>
    <w:p w14:paraId="3C95B938">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4.核算和报告边界及变化</w:t>
      </w:r>
      <w:r>
        <w:rPr>
          <w:rFonts w:hint="eastAsia" w:ascii="Times New Roman" w:hAnsi="Times New Roman" w:eastAsia="仿宋_GB2312"/>
          <w:sz w:val="32"/>
          <w:szCs w:val="32"/>
        </w:rPr>
        <w:t>（含设施变化）</w:t>
      </w:r>
      <w:r>
        <w:rPr>
          <w:rFonts w:ascii="Times New Roman" w:hAnsi="Times New Roman" w:eastAsia="仿宋_GB2312"/>
          <w:sz w:val="32"/>
          <w:szCs w:val="32"/>
        </w:rPr>
        <w:t>情况</w:t>
      </w:r>
    </w:p>
    <w:p w14:paraId="567D86FD">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4.1 本年度场所边界的变化</w:t>
      </w:r>
    </w:p>
    <w:p w14:paraId="0751A943">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排放单位核算和报告边界为位于xxx的生产厂区，</w:t>
      </w:r>
      <w:r>
        <w:rPr>
          <w:rFonts w:hint="eastAsia" w:ascii="Times New Roman" w:hAnsi="Times New Roman" w:eastAsia="仿宋_GB2312"/>
          <w:sz w:val="32"/>
          <w:szCs w:val="32"/>
        </w:rPr>
        <w:t>包含一期的xxMW1#燃气机组、二期xxMW2#燃气机组，三期二拖一3#-5#燃机机组，以及xxMW燃气热水炉。</w:t>
      </w:r>
      <w:r>
        <w:rPr>
          <w:rFonts w:ascii="Times New Roman" w:hAnsi="Times New Roman" w:eastAsia="仿宋_GB2312"/>
          <w:sz w:val="32"/>
          <w:szCs w:val="32"/>
        </w:rPr>
        <w:t>与上年度相比，场所边界无变化；与基准年相比，场所边界无变化。</w:t>
      </w:r>
    </w:p>
    <w:p w14:paraId="5BFCB027">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4.2 本年度排放设施的变化</w:t>
      </w:r>
    </w:p>
    <w:p w14:paraId="129BBD8C">
      <w:pPr>
        <w:spacing w:after="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排放单位不涉及既有设施配额调整。</w:t>
      </w:r>
    </w:p>
    <w:p w14:paraId="06EB33D9">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排放单位无既有设施退出。</w:t>
      </w:r>
    </w:p>
    <w:p w14:paraId="34931167">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排放单位新增设施主要包括燃气机组及热水锅炉，均未替代既有设施。新增设施及其排放量信息如下：</w:t>
      </w:r>
    </w:p>
    <w:p w14:paraId="7C556F3B">
      <w:pPr>
        <w:spacing w:after="0" w:line="560" w:lineRule="exact"/>
        <w:jc w:val="center"/>
        <w:rPr>
          <w:rFonts w:ascii="Times New Roman" w:hAnsi="Times New Roman" w:eastAsia="仿宋_GB2312"/>
          <w:sz w:val="24"/>
        </w:rPr>
      </w:pPr>
      <w:r>
        <w:rPr>
          <w:rFonts w:ascii="Times New Roman" w:hAnsi="Times New Roman" w:eastAsia="仿宋_GB2312"/>
          <w:sz w:val="24"/>
        </w:rPr>
        <w:t>表XX  新增设施信息表</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1293"/>
        <w:gridCol w:w="1773"/>
        <w:gridCol w:w="1663"/>
        <w:gridCol w:w="1663"/>
        <w:gridCol w:w="1663"/>
      </w:tblGrid>
      <w:tr w14:paraId="7355F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pct"/>
            <w:vAlign w:val="center"/>
          </w:tcPr>
          <w:p w14:paraId="4B58FC5E">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序号</w:t>
            </w:r>
          </w:p>
        </w:tc>
        <w:tc>
          <w:tcPr>
            <w:tcW w:w="714" w:type="pct"/>
            <w:vAlign w:val="center"/>
          </w:tcPr>
          <w:p w14:paraId="4F6D28B4">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设施新增年份</w:t>
            </w:r>
          </w:p>
        </w:tc>
        <w:tc>
          <w:tcPr>
            <w:tcW w:w="979" w:type="pct"/>
            <w:vAlign w:val="center"/>
          </w:tcPr>
          <w:p w14:paraId="54756212">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新增设施类型/名称</w:t>
            </w:r>
          </w:p>
        </w:tc>
        <w:tc>
          <w:tcPr>
            <w:tcW w:w="918" w:type="pct"/>
            <w:vAlign w:val="center"/>
          </w:tcPr>
          <w:p w14:paraId="1993B3B2">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是否替代既有设施，被替代既有设施类型</w:t>
            </w:r>
          </w:p>
        </w:tc>
        <w:tc>
          <w:tcPr>
            <w:tcW w:w="918" w:type="pct"/>
            <w:vAlign w:val="center"/>
          </w:tcPr>
          <w:p w14:paraId="629E72DA">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新增设施排放量（吨）</w:t>
            </w:r>
          </w:p>
        </w:tc>
        <w:tc>
          <w:tcPr>
            <w:tcW w:w="918" w:type="pct"/>
            <w:vAlign w:val="center"/>
          </w:tcPr>
          <w:p w14:paraId="38C1F30A">
            <w:pPr>
              <w:tabs>
                <w:tab w:val="left" w:pos="1701"/>
              </w:tabs>
              <w:jc w:val="center"/>
              <w:rPr>
                <w:rFonts w:ascii="Times New Roman" w:hAnsi="Times New Roman" w:eastAsia="仿宋_GB2312"/>
                <w:color w:val="000000"/>
                <w:sz w:val="24"/>
              </w:rPr>
            </w:pPr>
            <w:r>
              <w:rPr>
                <w:rFonts w:hint="eastAsia" w:ascii="Times New Roman" w:hAnsi="Times New Roman" w:eastAsia="仿宋_GB2312"/>
                <w:color w:val="000000"/>
                <w:sz w:val="24"/>
              </w:rPr>
              <w:t>替代既有设施的新增排放量(吨)</w:t>
            </w:r>
          </w:p>
        </w:tc>
      </w:tr>
      <w:tr w14:paraId="23BC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pct"/>
          </w:tcPr>
          <w:p w14:paraId="16B138AC">
            <w:pPr>
              <w:jc w:val="center"/>
              <w:rPr>
                <w:rFonts w:ascii="Times New Roman" w:hAnsi="Times New Roman" w:eastAsia="仿宋_GB2312"/>
                <w:sz w:val="24"/>
              </w:rPr>
            </w:pPr>
            <w:r>
              <w:rPr>
                <w:rFonts w:ascii="Times New Roman" w:hAnsi="Times New Roman" w:eastAsia="仿宋_GB2312"/>
                <w:color w:val="000000"/>
                <w:sz w:val="24"/>
              </w:rPr>
              <w:t>1</w:t>
            </w:r>
          </w:p>
        </w:tc>
        <w:tc>
          <w:tcPr>
            <w:tcW w:w="714" w:type="pct"/>
          </w:tcPr>
          <w:p w14:paraId="6DFA254E">
            <w:pPr>
              <w:jc w:val="center"/>
              <w:rPr>
                <w:rFonts w:ascii="Times New Roman" w:hAnsi="Times New Roman" w:eastAsia="仿宋_GB2312"/>
                <w:sz w:val="24"/>
              </w:rPr>
            </w:pPr>
            <w:r>
              <w:rPr>
                <w:rFonts w:ascii="Times New Roman" w:hAnsi="Times New Roman" w:eastAsia="仿宋_GB2312"/>
                <w:sz w:val="24"/>
              </w:rPr>
              <w:t>2019</w:t>
            </w:r>
          </w:p>
        </w:tc>
        <w:tc>
          <w:tcPr>
            <w:tcW w:w="979" w:type="pct"/>
          </w:tcPr>
          <w:p w14:paraId="10AD94C9">
            <w:pPr>
              <w:jc w:val="center"/>
              <w:rPr>
                <w:rFonts w:ascii="Times New Roman" w:hAnsi="Times New Roman" w:eastAsia="仿宋_GB2312"/>
                <w:sz w:val="24"/>
              </w:rPr>
            </w:pPr>
            <w:r>
              <w:rPr>
                <w:rFonts w:hint="eastAsia" w:ascii="Times New Roman" w:hAnsi="Times New Roman" w:eastAsia="仿宋_GB2312"/>
                <w:sz w:val="24"/>
              </w:rPr>
              <w:t>二拖一燃气机组（3#-5#）</w:t>
            </w:r>
          </w:p>
        </w:tc>
        <w:tc>
          <w:tcPr>
            <w:tcW w:w="918" w:type="pct"/>
          </w:tcPr>
          <w:p w14:paraId="76A02156">
            <w:pPr>
              <w:jc w:val="center"/>
              <w:rPr>
                <w:rFonts w:ascii="Times New Roman" w:hAnsi="Times New Roman" w:eastAsia="仿宋_GB2312"/>
                <w:sz w:val="24"/>
              </w:rPr>
            </w:pPr>
            <w:r>
              <w:rPr>
                <w:rFonts w:ascii="Times New Roman" w:hAnsi="Times New Roman" w:eastAsia="仿宋_GB2312"/>
                <w:sz w:val="24"/>
              </w:rPr>
              <w:t>否</w:t>
            </w:r>
          </w:p>
        </w:tc>
        <w:tc>
          <w:tcPr>
            <w:tcW w:w="918" w:type="pct"/>
          </w:tcPr>
          <w:p w14:paraId="534D85A7">
            <w:pPr>
              <w:jc w:val="center"/>
              <w:textAlignment w:val="top"/>
              <w:rPr>
                <w:rFonts w:ascii="Times New Roman" w:hAnsi="Times New Roman" w:eastAsia="仿宋_GB2312"/>
                <w:sz w:val="24"/>
              </w:rPr>
            </w:pPr>
            <w:r>
              <w:rPr>
                <w:rFonts w:ascii="Times New Roman" w:hAnsi="Times New Roman" w:eastAsia="仿宋_GB2312"/>
                <w:color w:val="000000"/>
                <w:sz w:val="24"/>
              </w:rPr>
              <w:t xml:space="preserve">118000.00 </w:t>
            </w:r>
          </w:p>
        </w:tc>
        <w:tc>
          <w:tcPr>
            <w:tcW w:w="918" w:type="pct"/>
          </w:tcPr>
          <w:p w14:paraId="3A0EC6E2">
            <w:pPr>
              <w:jc w:val="center"/>
              <w:rPr>
                <w:rFonts w:ascii="Times New Roman" w:hAnsi="Times New Roman" w:eastAsia="仿宋_GB2312"/>
                <w:sz w:val="24"/>
              </w:rPr>
            </w:pPr>
            <w:r>
              <w:rPr>
                <w:rFonts w:ascii="Times New Roman" w:hAnsi="Times New Roman" w:eastAsia="仿宋_GB2312"/>
                <w:sz w:val="24"/>
              </w:rPr>
              <w:t>/</w:t>
            </w:r>
          </w:p>
        </w:tc>
      </w:tr>
      <w:tr w14:paraId="02FB1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pct"/>
          </w:tcPr>
          <w:p w14:paraId="47D51716">
            <w:pPr>
              <w:jc w:val="center"/>
              <w:rPr>
                <w:rFonts w:ascii="Times New Roman" w:hAnsi="Times New Roman" w:eastAsia="仿宋_GB2312"/>
                <w:color w:val="000000"/>
                <w:sz w:val="24"/>
              </w:rPr>
            </w:pPr>
            <w:r>
              <w:rPr>
                <w:rFonts w:ascii="Times New Roman" w:hAnsi="Times New Roman" w:eastAsia="仿宋_GB2312"/>
                <w:color w:val="000000"/>
                <w:sz w:val="24"/>
              </w:rPr>
              <w:t>2</w:t>
            </w:r>
          </w:p>
        </w:tc>
        <w:tc>
          <w:tcPr>
            <w:tcW w:w="714" w:type="pct"/>
          </w:tcPr>
          <w:p w14:paraId="4156DCA4">
            <w:pPr>
              <w:jc w:val="center"/>
              <w:rPr>
                <w:rFonts w:ascii="Times New Roman" w:hAnsi="Times New Roman" w:eastAsia="仿宋_GB2312"/>
                <w:sz w:val="24"/>
              </w:rPr>
            </w:pPr>
            <w:r>
              <w:rPr>
                <w:rFonts w:ascii="Times New Roman" w:hAnsi="Times New Roman" w:eastAsia="仿宋_GB2312"/>
                <w:sz w:val="24"/>
              </w:rPr>
              <w:t>2019</w:t>
            </w:r>
          </w:p>
        </w:tc>
        <w:tc>
          <w:tcPr>
            <w:tcW w:w="979" w:type="pct"/>
          </w:tcPr>
          <w:p w14:paraId="3CF4D7FF">
            <w:pPr>
              <w:jc w:val="center"/>
              <w:rPr>
                <w:rFonts w:ascii="Times New Roman" w:hAnsi="Times New Roman" w:eastAsia="仿宋_GB2312"/>
                <w:sz w:val="24"/>
              </w:rPr>
            </w:pPr>
            <w:r>
              <w:rPr>
                <w:rFonts w:hint="eastAsia" w:ascii="Times New Roman" w:hAnsi="Times New Roman" w:eastAsia="仿宋_GB2312"/>
                <w:sz w:val="24"/>
              </w:rPr>
              <w:t>燃气热水锅炉</w:t>
            </w:r>
          </w:p>
        </w:tc>
        <w:tc>
          <w:tcPr>
            <w:tcW w:w="918" w:type="pct"/>
          </w:tcPr>
          <w:p w14:paraId="6F521A04">
            <w:pPr>
              <w:jc w:val="center"/>
              <w:rPr>
                <w:rFonts w:ascii="Times New Roman" w:hAnsi="Times New Roman" w:eastAsia="仿宋_GB2312"/>
                <w:sz w:val="24"/>
              </w:rPr>
            </w:pPr>
            <w:r>
              <w:rPr>
                <w:rFonts w:ascii="Times New Roman" w:hAnsi="Times New Roman" w:eastAsia="仿宋_GB2312"/>
                <w:sz w:val="24"/>
              </w:rPr>
              <w:t>否</w:t>
            </w:r>
          </w:p>
        </w:tc>
        <w:tc>
          <w:tcPr>
            <w:tcW w:w="918" w:type="pct"/>
          </w:tcPr>
          <w:p w14:paraId="573021C0">
            <w:pPr>
              <w:jc w:val="center"/>
              <w:textAlignment w:val="top"/>
              <w:rPr>
                <w:rFonts w:ascii="Times New Roman" w:hAnsi="Times New Roman" w:eastAsia="仿宋_GB2312"/>
                <w:sz w:val="24"/>
              </w:rPr>
            </w:pPr>
            <w:r>
              <w:rPr>
                <w:rFonts w:ascii="Times New Roman" w:hAnsi="Times New Roman" w:eastAsia="仿宋_GB2312"/>
                <w:color w:val="000000"/>
                <w:sz w:val="24"/>
              </w:rPr>
              <w:t xml:space="preserve">60000.00 </w:t>
            </w:r>
          </w:p>
        </w:tc>
        <w:tc>
          <w:tcPr>
            <w:tcW w:w="918" w:type="pct"/>
          </w:tcPr>
          <w:p w14:paraId="7D64A220">
            <w:pPr>
              <w:jc w:val="center"/>
              <w:rPr>
                <w:rFonts w:ascii="Times New Roman" w:hAnsi="Times New Roman" w:eastAsia="仿宋_GB2312"/>
                <w:sz w:val="24"/>
              </w:rPr>
            </w:pPr>
            <w:r>
              <w:rPr>
                <w:rFonts w:ascii="Times New Roman" w:hAnsi="Times New Roman" w:eastAsia="仿宋_GB2312"/>
                <w:sz w:val="24"/>
              </w:rPr>
              <w:t>/</w:t>
            </w:r>
          </w:p>
        </w:tc>
      </w:tr>
      <w:tr w14:paraId="73AE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pct"/>
          </w:tcPr>
          <w:p w14:paraId="3138CB43">
            <w:pPr>
              <w:jc w:val="center"/>
              <w:rPr>
                <w:rFonts w:ascii="Times New Roman" w:hAnsi="Times New Roman" w:eastAsia="仿宋_GB2312"/>
                <w:color w:val="000000"/>
                <w:sz w:val="24"/>
              </w:rPr>
            </w:pPr>
            <w:r>
              <w:rPr>
                <w:rFonts w:hint="eastAsia" w:ascii="Times New Roman" w:hAnsi="Times New Roman" w:eastAsia="仿宋_GB2312"/>
                <w:color w:val="000000"/>
                <w:sz w:val="24"/>
              </w:rPr>
              <w:t>3</w:t>
            </w:r>
          </w:p>
        </w:tc>
        <w:tc>
          <w:tcPr>
            <w:tcW w:w="714" w:type="pct"/>
          </w:tcPr>
          <w:p w14:paraId="64A4C9E8">
            <w:pPr>
              <w:jc w:val="center"/>
              <w:rPr>
                <w:rFonts w:ascii="Times New Roman" w:hAnsi="Times New Roman" w:eastAsia="仿宋_GB2312"/>
                <w:sz w:val="24"/>
              </w:rPr>
            </w:pPr>
            <w:r>
              <w:rPr>
                <w:rFonts w:hint="eastAsia" w:ascii="Times New Roman" w:hAnsi="Times New Roman" w:eastAsia="仿宋_GB2312"/>
                <w:sz w:val="24"/>
              </w:rPr>
              <w:t>2</w:t>
            </w:r>
            <w:r>
              <w:rPr>
                <w:rFonts w:ascii="Times New Roman" w:hAnsi="Times New Roman" w:eastAsia="仿宋_GB2312"/>
                <w:sz w:val="24"/>
              </w:rPr>
              <w:t>020</w:t>
            </w:r>
          </w:p>
        </w:tc>
        <w:tc>
          <w:tcPr>
            <w:tcW w:w="979" w:type="pct"/>
          </w:tcPr>
          <w:p w14:paraId="6C915399">
            <w:pPr>
              <w:jc w:val="center"/>
              <w:rPr>
                <w:rFonts w:ascii="Times New Roman" w:hAnsi="Times New Roman" w:eastAsia="仿宋_GB2312"/>
                <w:sz w:val="24"/>
              </w:rPr>
            </w:pPr>
            <w:r>
              <w:rPr>
                <w:rFonts w:hint="eastAsia" w:ascii="Times New Roman" w:hAnsi="Times New Roman" w:eastAsia="仿宋_GB2312"/>
                <w:sz w:val="24"/>
              </w:rPr>
              <w:t>燃气热水锅炉</w:t>
            </w:r>
          </w:p>
        </w:tc>
        <w:tc>
          <w:tcPr>
            <w:tcW w:w="918" w:type="pct"/>
          </w:tcPr>
          <w:p w14:paraId="33CCA40B">
            <w:pPr>
              <w:jc w:val="center"/>
              <w:rPr>
                <w:rFonts w:ascii="Times New Roman" w:hAnsi="Times New Roman" w:eastAsia="仿宋_GB2312"/>
                <w:sz w:val="24"/>
              </w:rPr>
            </w:pPr>
            <w:r>
              <w:rPr>
                <w:rFonts w:ascii="Times New Roman" w:hAnsi="Times New Roman" w:eastAsia="仿宋_GB2312"/>
                <w:sz w:val="24"/>
              </w:rPr>
              <w:t>否</w:t>
            </w:r>
          </w:p>
        </w:tc>
        <w:tc>
          <w:tcPr>
            <w:tcW w:w="918" w:type="pct"/>
          </w:tcPr>
          <w:p w14:paraId="7B8BCCDA">
            <w:pPr>
              <w:jc w:val="center"/>
              <w:textAlignment w:val="top"/>
              <w:rPr>
                <w:rFonts w:ascii="Times New Roman" w:hAnsi="Times New Roman" w:eastAsia="仿宋_GB2312"/>
                <w:color w:val="000000"/>
                <w:sz w:val="24"/>
              </w:rPr>
            </w:pPr>
            <w:r>
              <w:rPr>
                <w:rFonts w:hint="eastAsia" w:ascii="Times New Roman" w:hAnsi="Times New Roman" w:eastAsia="仿宋_GB2312"/>
                <w:color w:val="000000"/>
                <w:sz w:val="24"/>
              </w:rPr>
              <w:t>X</w:t>
            </w:r>
            <w:r>
              <w:rPr>
                <w:rFonts w:ascii="Times New Roman" w:hAnsi="Times New Roman" w:eastAsia="仿宋_GB2312"/>
                <w:color w:val="000000"/>
                <w:sz w:val="24"/>
              </w:rPr>
              <w:t>XXX</w:t>
            </w:r>
          </w:p>
        </w:tc>
        <w:tc>
          <w:tcPr>
            <w:tcW w:w="918" w:type="pct"/>
          </w:tcPr>
          <w:p w14:paraId="55A1D07E">
            <w:pPr>
              <w:jc w:val="center"/>
              <w:rPr>
                <w:rFonts w:ascii="Times New Roman" w:hAnsi="Times New Roman" w:eastAsia="仿宋_GB2312"/>
                <w:sz w:val="24"/>
              </w:rPr>
            </w:pPr>
          </w:p>
        </w:tc>
      </w:tr>
      <w:tr w14:paraId="52A10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pct"/>
          </w:tcPr>
          <w:p w14:paraId="540FCD73">
            <w:pPr>
              <w:jc w:val="center"/>
              <w:rPr>
                <w:rFonts w:ascii="Times New Roman" w:hAnsi="Times New Roman" w:eastAsia="仿宋_GB2312"/>
                <w:color w:val="000000"/>
                <w:sz w:val="24"/>
              </w:rPr>
            </w:pPr>
            <w:r>
              <w:rPr>
                <w:rFonts w:ascii="Times New Roman" w:hAnsi="Times New Roman" w:eastAsia="仿宋_GB2312"/>
                <w:color w:val="000000"/>
                <w:sz w:val="24"/>
              </w:rPr>
              <w:t>合计</w:t>
            </w:r>
          </w:p>
        </w:tc>
        <w:tc>
          <w:tcPr>
            <w:tcW w:w="714" w:type="pct"/>
          </w:tcPr>
          <w:p w14:paraId="194C46E7">
            <w:pPr>
              <w:jc w:val="center"/>
              <w:rPr>
                <w:rFonts w:ascii="Times New Roman" w:hAnsi="Times New Roman" w:eastAsia="仿宋_GB2312"/>
                <w:sz w:val="24"/>
              </w:rPr>
            </w:pPr>
          </w:p>
        </w:tc>
        <w:tc>
          <w:tcPr>
            <w:tcW w:w="979" w:type="pct"/>
          </w:tcPr>
          <w:p w14:paraId="6DE8AB0C">
            <w:pPr>
              <w:jc w:val="center"/>
              <w:rPr>
                <w:rFonts w:ascii="Times New Roman" w:hAnsi="Times New Roman" w:eastAsia="仿宋_GB2312"/>
                <w:sz w:val="24"/>
              </w:rPr>
            </w:pPr>
          </w:p>
        </w:tc>
        <w:tc>
          <w:tcPr>
            <w:tcW w:w="918" w:type="pct"/>
          </w:tcPr>
          <w:p w14:paraId="308509E8">
            <w:pPr>
              <w:jc w:val="center"/>
              <w:rPr>
                <w:rFonts w:ascii="Times New Roman" w:hAnsi="Times New Roman" w:eastAsia="仿宋_GB2312"/>
                <w:sz w:val="24"/>
              </w:rPr>
            </w:pPr>
          </w:p>
        </w:tc>
        <w:tc>
          <w:tcPr>
            <w:tcW w:w="918" w:type="pct"/>
            <w:vAlign w:val="center"/>
          </w:tcPr>
          <w:p w14:paraId="5B4FAEC6">
            <w:pPr>
              <w:jc w:val="center"/>
              <w:textAlignment w:val="center"/>
              <w:rPr>
                <w:rFonts w:ascii="Times New Roman" w:hAnsi="Times New Roman" w:eastAsia="仿宋_GB2312"/>
                <w:sz w:val="24"/>
              </w:rPr>
            </w:pPr>
            <w:r>
              <w:rPr>
                <w:rFonts w:ascii="Times New Roman" w:hAnsi="Times New Roman"/>
                <w:color w:val="000000"/>
                <w:sz w:val="24"/>
              </w:rPr>
              <w:t xml:space="preserve">XXXX </w:t>
            </w:r>
          </w:p>
        </w:tc>
        <w:tc>
          <w:tcPr>
            <w:tcW w:w="918" w:type="pct"/>
          </w:tcPr>
          <w:p w14:paraId="3EE03212">
            <w:pPr>
              <w:jc w:val="center"/>
              <w:rPr>
                <w:rFonts w:ascii="Times New Roman" w:hAnsi="Times New Roman" w:eastAsia="仿宋_GB2312"/>
                <w:sz w:val="24"/>
              </w:rPr>
            </w:pPr>
            <w:r>
              <w:rPr>
                <w:rFonts w:ascii="Times New Roman" w:hAnsi="Times New Roman" w:eastAsia="仿宋_GB2312"/>
                <w:sz w:val="24"/>
              </w:rPr>
              <w:t>/</w:t>
            </w:r>
          </w:p>
        </w:tc>
      </w:tr>
    </w:tbl>
    <w:p w14:paraId="36D88F33">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根据北京市配额核定方法，发电企业（热电联产）采用基准线法进行配额核定，无需核查新增设施的活动水平数据。</w:t>
      </w:r>
    </w:p>
    <w:p w14:paraId="266CE996">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5.核查过程未覆盖的问题描述</w:t>
      </w:r>
    </w:p>
    <w:p w14:paraId="785B019B">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由于柴油流量计未进行校验而无法核对。核查准则中所要求的其他内容已在本次核查中全面覆盖。</w:t>
      </w:r>
    </w:p>
    <w:p w14:paraId="5DF2FD9A">
      <w:pPr>
        <w:pStyle w:val="4"/>
        <w:spacing w:before="0" w:after="0" w:line="560" w:lineRule="exact"/>
        <w:rPr>
          <w:rFonts w:ascii="Times New Roman" w:hAnsi="Times New Roman" w:eastAsia="仿宋_GB2312"/>
          <w:szCs w:val="32"/>
        </w:rPr>
        <w:sectPr>
          <w:footerReference r:id="rId13" w:type="default"/>
          <w:footerReference r:id="rId14" w:type="even"/>
          <w:pgSz w:w="11906" w:h="16838"/>
          <w:pgMar w:top="2098" w:right="1474" w:bottom="1984" w:left="1587" w:header="851" w:footer="1587" w:gutter="0"/>
          <w:pgNumType w:fmt="decimal"/>
          <w:cols w:space="0" w:num="1"/>
          <w:rtlGutter w:val="0"/>
          <w:docGrid w:type="lines" w:linePitch="312" w:charSpace="0"/>
        </w:sectPr>
      </w:pPr>
    </w:p>
    <w:p w14:paraId="77FF8684">
      <w:pPr>
        <w:pStyle w:val="4"/>
        <w:rPr>
          <w:rFonts w:asciiTheme="majorEastAsia" w:hAnsiTheme="majorEastAsia" w:eastAsiaTheme="majorEastAsia"/>
          <w:sz w:val="32"/>
          <w:szCs w:val="32"/>
        </w:rPr>
      </w:pPr>
      <w:r>
        <w:rPr>
          <w:rFonts w:hint="eastAsia" w:asciiTheme="majorEastAsia" w:hAnsiTheme="majorEastAsia" w:eastAsiaTheme="majorEastAsia"/>
          <w:sz w:val="32"/>
          <w:szCs w:val="32"/>
        </w:rPr>
        <w:t>水泥制造企业</w:t>
      </w:r>
    </w:p>
    <w:p w14:paraId="7C3FB0A5">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
          <w:sz w:val="32"/>
          <w:szCs w:val="32"/>
        </w:rPr>
        <w:t>xxxx公司（以下简称排放单位）委托xxx公司开展XXXX年</w:t>
      </w:r>
      <w:r>
        <w:rPr>
          <w:rFonts w:ascii="Times New Roman" w:hAnsi="Times New Roman" w:eastAsia="仿宋_GB2312"/>
          <w:sz w:val="32"/>
          <w:szCs w:val="32"/>
        </w:rPr>
        <w:t>二氧化碳排放的核查工作。核查范围包括排放单位所有在北京市辖区内的固定设施导致的二氧化碳直接排放和二氧化碳间接排放。</w:t>
      </w:r>
    </w:p>
    <w:p w14:paraId="121CEB10">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通过文件评审、现场访问、核查报告编写及内部技术复核，核查组对排放单位XXXX年度二氧化碳排放报告形成如下核查结论：</w:t>
      </w:r>
    </w:p>
    <w:p w14:paraId="0230A03B">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 核算、报告与方法学的符合性</w:t>
      </w:r>
    </w:p>
    <w:p w14:paraId="0901C05A">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核查组确认所有不符合已全部关闭，排放单位的核算与报告均符合方法学</w:t>
      </w:r>
      <w:r>
        <w:rPr>
          <w:rFonts w:hint="eastAsia" w:ascii="Times New Roman" w:hAnsi="Times New Roman" w:eastAsia="仿宋_GB2312"/>
          <w:sz w:val="32"/>
          <w:szCs w:val="32"/>
        </w:rPr>
        <w:t>《二氧化碳排放核算和报告要求水泥制造业》（DB11/T 1782-2020）</w:t>
      </w:r>
      <w:r>
        <w:rPr>
          <w:rFonts w:ascii="Times New Roman" w:hAnsi="Times New Roman" w:eastAsia="仿宋_GB2312"/>
          <w:sz w:val="32"/>
          <w:szCs w:val="32"/>
        </w:rPr>
        <w:t>的要求，核查组对本排放报告出具肯定的核查结论。</w:t>
      </w:r>
    </w:p>
    <w:p w14:paraId="3FA4C5CB">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 本年度排放量及活动水平数据的声明</w:t>
      </w:r>
    </w:p>
    <w:p w14:paraId="4E28A0FF">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经核查的直接和间接排放量与最终排放报告中的数据一致。经核查的直接排放量为4500.00吨（其中化石燃料燃烧排放量为3200.00吨，工业生产过程排放量为500.00吨，废弃物处理排放量为800.00吨），间接排放量为13600.00吨，总排放量为18100.00吨。</w:t>
      </w:r>
    </w:p>
    <w:p w14:paraId="6D4A1502">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经核查的协同处理废弃物的种类、数量、废弃物预处置及协同处置部分耗电量与最终排放报告中数据一致。经核查的协同处理废弃物种类为xxx，处理量为xxxx吨。废弃物的预处置部分的耗电量为xxxMWh，废弃物的协同处置部分的耗电量为xxxMWh。</w:t>
      </w:r>
    </w:p>
    <w:p w14:paraId="7C69C813">
      <w:pPr>
        <w:spacing w:after="0" w:line="560" w:lineRule="exact"/>
        <w:ind w:firstLine="640" w:firstLineChars="200"/>
        <w:jc w:val="both"/>
        <w:rPr>
          <w:rFonts w:ascii="Times New Roman" w:hAnsi="Times New Roman" w:eastAsia="仿宋_GB2312"/>
          <w:b/>
          <w:bCs/>
          <w:sz w:val="32"/>
          <w:szCs w:val="32"/>
        </w:rPr>
      </w:pPr>
      <w:r>
        <w:rPr>
          <w:rFonts w:ascii="Times New Roman" w:hAnsi="Times New Roman" w:eastAsia="仿宋_GB2312"/>
          <w:sz w:val="32"/>
          <w:szCs w:val="32"/>
        </w:rPr>
        <w:t>3. 年度排放量及活动水平波动的原因说明</w:t>
      </w:r>
    </w:p>
    <w:p w14:paraId="6DE0F2E5">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年度排放量与上一年度排放量相比增加了1100.00吨/6.47%，其中直接排放量增加了1000.00吨/28.57%，间接排放量增加了100.00吨/0.74%。原因为xxxxxx。</w:t>
      </w:r>
    </w:p>
    <w:p w14:paraId="19D0C7D5">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本年度排放量与历史基准年份排放量相比增加了1100.00吨，增加比例为6.47%。原因为xxxxxx。</w:t>
      </w:r>
    </w:p>
    <w:p w14:paraId="7EE3C436">
      <w:pPr>
        <w:spacing w:after="0" w:line="560" w:lineRule="exact"/>
        <w:jc w:val="center"/>
        <w:rPr>
          <w:rFonts w:ascii="Times New Roman" w:hAnsi="Times New Roman" w:eastAsia="仿宋_GB2312"/>
          <w:sz w:val="32"/>
          <w:szCs w:val="32"/>
        </w:rPr>
      </w:pPr>
      <w:r>
        <w:rPr>
          <w:rFonts w:ascii="Times New Roman" w:hAnsi="Times New Roman" w:eastAsia="仿宋_GB2312"/>
          <w:sz w:val="24"/>
        </w:rPr>
        <w:t>表XX  排放量汇总表</w:t>
      </w:r>
    </w:p>
    <w:tbl>
      <w:tblPr>
        <w:tblStyle w:val="35"/>
        <w:tblW w:w="79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144"/>
        <w:gridCol w:w="2243"/>
        <w:gridCol w:w="2270"/>
      </w:tblGrid>
      <w:tr w14:paraId="119A0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260" w:type="dxa"/>
            <w:vAlign w:val="center"/>
          </w:tcPr>
          <w:p w14:paraId="12DC1F78">
            <w:pPr>
              <w:jc w:val="center"/>
              <w:rPr>
                <w:rFonts w:ascii="Times New Roman" w:hAnsi="Times New Roman" w:eastAsia="仿宋_GB2312"/>
                <w:color w:val="000000"/>
                <w:sz w:val="24"/>
              </w:rPr>
            </w:pPr>
            <w:r>
              <w:rPr>
                <w:rFonts w:ascii="Times New Roman" w:hAnsi="Times New Roman" w:eastAsia="仿宋_GB2312"/>
                <w:color w:val="000000"/>
                <w:sz w:val="24"/>
              </w:rPr>
              <w:t>年度</w:t>
            </w:r>
          </w:p>
        </w:tc>
        <w:tc>
          <w:tcPr>
            <w:tcW w:w="2144" w:type="dxa"/>
            <w:vAlign w:val="center"/>
          </w:tcPr>
          <w:p w14:paraId="12099815">
            <w:pPr>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直接排放量（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c>
          <w:tcPr>
            <w:tcW w:w="2243" w:type="dxa"/>
            <w:vAlign w:val="center"/>
          </w:tcPr>
          <w:p w14:paraId="1BE5B3E5">
            <w:pPr>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间接排放量（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c>
          <w:tcPr>
            <w:tcW w:w="2270" w:type="dxa"/>
            <w:vAlign w:val="center"/>
          </w:tcPr>
          <w:p w14:paraId="18C72F42">
            <w:pPr>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排放总量（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r>
      <w:tr w14:paraId="3EBE4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260" w:type="dxa"/>
            <w:noWrap/>
            <w:vAlign w:val="center"/>
          </w:tcPr>
          <w:p w14:paraId="148E5657">
            <w:pPr>
              <w:jc w:val="center"/>
              <w:rPr>
                <w:rFonts w:ascii="Times New Roman" w:hAnsi="Times New Roman" w:eastAsia="仿宋_GB2312"/>
                <w:color w:val="000000"/>
                <w:sz w:val="24"/>
              </w:rPr>
            </w:pPr>
            <w:r>
              <w:rPr>
                <w:rFonts w:ascii="Times New Roman" w:hAnsi="Times New Roman" w:eastAsia="仿宋_GB2312"/>
                <w:color w:val="000000"/>
                <w:sz w:val="24"/>
              </w:rPr>
              <w:t>2016</w:t>
            </w:r>
          </w:p>
        </w:tc>
        <w:tc>
          <w:tcPr>
            <w:tcW w:w="2144" w:type="dxa"/>
            <w:noWrap/>
            <w:vAlign w:val="center"/>
          </w:tcPr>
          <w:p w14:paraId="2E05A50D">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1000.00 </w:t>
            </w:r>
          </w:p>
        </w:tc>
        <w:tc>
          <w:tcPr>
            <w:tcW w:w="2243" w:type="dxa"/>
            <w:noWrap/>
            <w:vAlign w:val="center"/>
          </w:tcPr>
          <w:p w14:paraId="591131C4">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14000.00 </w:t>
            </w:r>
          </w:p>
        </w:tc>
        <w:tc>
          <w:tcPr>
            <w:tcW w:w="2270" w:type="dxa"/>
            <w:vAlign w:val="center"/>
          </w:tcPr>
          <w:p w14:paraId="5B3ABE40">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15000.00 </w:t>
            </w:r>
          </w:p>
        </w:tc>
      </w:tr>
      <w:tr w14:paraId="3E49B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noWrap/>
            <w:vAlign w:val="center"/>
          </w:tcPr>
          <w:p w14:paraId="259234E0">
            <w:pPr>
              <w:jc w:val="center"/>
              <w:rPr>
                <w:rFonts w:ascii="Times New Roman" w:hAnsi="Times New Roman" w:eastAsia="仿宋_GB2312"/>
                <w:color w:val="000000"/>
                <w:sz w:val="24"/>
              </w:rPr>
            </w:pPr>
            <w:r>
              <w:rPr>
                <w:rFonts w:ascii="Times New Roman" w:hAnsi="Times New Roman" w:eastAsia="仿宋_GB2312"/>
                <w:color w:val="000000"/>
                <w:sz w:val="24"/>
              </w:rPr>
              <w:t>2017</w:t>
            </w:r>
          </w:p>
        </w:tc>
        <w:tc>
          <w:tcPr>
            <w:tcW w:w="2144" w:type="dxa"/>
            <w:noWrap/>
            <w:vAlign w:val="center"/>
          </w:tcPr>
          <w:p w14:paraId="773A825C">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3000.00 </w:t>
            </w:r>
          </w:p>
        </w:tc>
        <w:tc>
          <w:tcPr>
            <w:tcW w:w="2243" w:type="dxa"/>
            <w:noWrap/>
            <w:vAlign w:val="center"/>
          </w:tcPr>
          <w:p w14:paraId="6A1943DE">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13000.00 </w:t>
            </w:r>
          </w:p>
        </w:tc>
        <w:tc>
          <w:tcPr>
            <w:tcW w:w="2270" w:type="dxa"/>
            <w:vAlign w:val="center"/>
          </w:tcPr>
          <w:p w14:paraId="001E6229">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16000.00 </w:t>
            </w:r>
          </w:p>
        </w:tc>
      </w:tr>
      <w:tr w14:paraId="07E97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noWrap/>
            <w:vAlign w:val="center"/>
          </w:tcPr>
          <w:p w14:paraId="107A92A6">
            <w:pPr>
              <w:jc w:val="center"/>
              <w:rPr>
                <w:rFonts w:ascii="Times New Roman" w:hAnsi="Times New Roman" w:eastAsia="仿宋_GB2312"/>
                <w:color w:val="000000"/>
                <w:sz w:val="24"/>
              </w:rPr>
            </w:pPr>
            <w:r>
              <w:rPr>
                <w:rFonts w:ascii="Times New Roman" w:hAnsi="Times New Roman" w:eastAsia="仿宋_GB2312"/>
                <w:color w:val="000000"/>
                <w:sz w:val="24"/>
              </w:rPr>
              <w:t>2018</w:t>
            </w:r>
          </w:p>
        </w:tc>
        <w:tc>
          <w:tcPr>
            <w:tcW w:w="2144" w:type="dxa"/>
            <w:noWrap/>
            <w:vAlign w:val="center"/>
          </w:tcPr>
          <w:p w14:paraId="64EDA2B9">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3500.00 </w:t>
            </w:r>
          </w:p>
        </w:tc>
        <w:tc>
          <w:tcPr>
            <w:tcW w:w="2243" w:type="dxa"/>
            <w:noWrap/>
            <w:vAlign w:val="center"/>
          </w:tcPr>
          <w:p w14:paraId="13AF228D">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13500.00 </w:t>
            </w:r>
          </w:p>
        </w:tc>
        <w:tc>
          <w:tcPr>
            <w:tcW w:w="2270" w:type="dxa"/>
            <w:vAlign w:val="center"/>
          </w:tcPr>
          <w:p w14:paraId="5856C44F">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17000.00 </w:t>
            </w:r>
          </w:p>
        </w:tc>
      </w:tr>
      <w:tr w14:paraId="3E28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noWrap/>
            <w:vAlign w:val="center"/>
          </w:tcPr>
          <w:p w14:paraId="2A98D17C">
            <w:pPr>
              <w:jc w:val="center"/>
              <w:rPr>
                <w:rFonts w:ascii="Times New Roman" w:hAnsi="Times New Roman" w:eastAsia="仿宋_GB2312"/>
                <w:color w:val="000000"/>
                <w:sz w:val="24"/>
              </w:rPr>
            </w:pPr>
            <w:r>
              <w:rPr>
                <w:rFonts w:ascii="Times New Roman" w:hAnsi="Times New Roman" w:eastAsia="仿宋_GB2312"/>
                <w:color w:val="000000"/>
                <w:sz w:val="24"/>
              </w:rPr>
              <w:t>2019</w:t>
            </w:r>
          </w:p>
        </w:tc>
        <w:tc>
          <w:tcPr>
            <w:tcW w:w="2144" w:type="dxa"/>
            <w:noWrap/>
            <w:vAlign w:val="center"/>
          </w:tcPr>
          <w:p w14:paraId="6C33FA58">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4500.00 </w:t>
            </w:r>
          </w:p>
        </w:tc>
        <w:tc>
          <w:tcPr>
            <w:tcW w:w="2243" w:type="dxa"/>
            <w:noWrap/>
            <w:vAlign w:val="center"/>
          </w:tcPr>
          <w:p w14:paraId="03899A56">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13600.00 </w:t>
            </w:r>
          </w:p>
        </w:tc>
        <w:tc>
          <w:tcPr>
            <w:tcW w:w="2270" w:type="dxa"/>
            <w:vAlign w:val="center"/>
          </w:tcPr>
          <w:p w14:paraId="431AAE4B">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18100.00 </w:t>
            </w:r>
          </w:p>
        </w:tc>
      </w:tr>
      <w:tr w14:paraId="75A93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noWrap/>
            <w:vAlign w:val="center"/>
          </w:tcPr>
          <w:p w14:paraId="4E7FA8CB">
            <w:pPr>
              <w:jc w:val="center"/>
              <w:rPr>
                <w:rFonts w:ascii="Times New Roman" w:hAnsi="Times New Roman" w:eastAsia="仿宋_GB2312"/>
                <w:color w:val="000000"/>
                <w:sz w:val="24"/>
              </w:rPr>
            </w:pPr>
            <w:r>
              <w:rPr>
                <w:rFonts w:hint="eastAsia" w:ascii="Times New Roman" w:hAnsi="Times New Roman" w:eastAsia="仿宋_GB2312"/>
                <w:color w:val="000000"/>
                <w:sz w:val="24"/>
              </w:rPr>
              <w:t>2</w:t>
            </w:r>
            <w:r>
              <w:rPr>
                <w:rFonts w:ascii="Times New Roman" w:hAnsi="Times New Roman" w:eastAsia="仿宋_GB2312"/>
                <w:color w:val="000000"/>
                <w:sz w:val="24"/>
              </w:rPr>
              <w:t>020</w:t>
            </w:r>
          </w:p>
        </w:tc>
        <w:tc>
          <w:tcPr>
            <w:tcW w:w="2144" w:type="dxa"/>
            <w:noWrap/>
            <w:vAlign w:val="center"/>
          </w:tcPr>
          <w:p w14:paraId="330D506E">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4500.00 </w:t>
            </w:r>
          </w:p>
        </w:tc>
        <w:tc>
          <w:tcPr>
            <w:tcW w:w="2243" w:type="dxa"/>
            <w:noWrap/>
            <w:vAlign w:val="center"/>
          </w:tcPr>
          <w:p w14:paraId="06B878E7">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13600.00 </w:t>
            </w:r>
          </w:p>
        </w:tc>
        <w:tc>
          <w:tcPr>
            <w:tcW w:w="2270" w:type="dxa"/>
            <w:vAlign w:val="center"/>
          </w:tcPr>
          <w:p w14:paraId="2FB609B8">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18100.00 </w:t>
            </w:r>
          </w:p>
        </w:tc>
      </w:tr>
    </w:tbl>
    <w:p w14:paraId="3C72B3C0">
      <w:pPr>
        <w:ind w:firstLine="640" w:firstLineChars="200"/>
        <w:rPr>
          <w:rFonts w:ascii="Times New Roman" w:hAnsi="Times New Roman" w:eastAsia="仿宋_GB2312"/>
          <w:sz w:val="32"/>
          <w:szCs w:val="32"/>
        </w:rPr>
      </w:pPr>
    </w:p>
    <w:p w14:paraId="4AA69E82">
      <w:pPr>
        <w:ind w:firstLine="440" w:firstLineChars="200"/>
        <w:rPr>
          <w:rFonts w:ascii="Times New Roman" w:hAnsi="Times New Roman" w:eastAsia="仿宋_GB2312"/>
          <w:sz w:val="32"/>
          <w:szCs w:val="32"/>
        </w:rPr>
      </w:pPr>
      <w:r>
        <w:rPr>
          <w:lang w:val="en-US"/>
        </w:rPr>
        <w:drawing>
          <wp:inline distT="0" distB="0" distL="0" distR="0">
            <wp:extent cx="4568825" cy="2740025"/>
            <wp:effectExtent l="0" t="0" r="3175" b="3175"/>
            <wp:docPr id="7" name="图表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A5AE3FC">
      <w:pPr>
        <w:spacing w:after="0" w:line="560" w:lineRule="exact"/>
        <w:jc w:val="center"/>
        <w:rPr>
          <w:rFonts w:ascii="Times New Roman" w:hAnsi="Times New Roman" w:eastAsia="仿宋_GB2312"/>
          <w:sz w:val="32"/>
          <w:szCs w:val="32"/>
        </w:rPr>
      </w:pPr>
      <w:r>
        <w:rPr>
          <w:rFonts w:ascii="Times New Roman" w:hAnsi="Times New Roman" w:eastAsia="仿宋_GB2312"/>
          <w:sz w:val="24"/>
        </w:rPr>
        <w:t>图XX  排放量变化趋势图（增加</w:t>
      </w:r>
      <w:r>
        <w:rPr>
          <w:rFonts w:hint="eastAsia" w:ascii="Times New Roman" w:hAnsi="Times New Roman" w:eastAsia="仿宋_GB2312"/>
          <w:sz w:val="24"/>
        </w:rPr>
        <w:t>2</w:t>
      </w:r>
      <w:r>
        <w:rPr>
          <w:rFonts w:ascii="Times New Roman" w:hAnsi="Times New Roman" w:eastAsia="仿宋_GB2312"/>
          <w:sz w:val="24"/>
        </w:rPr>
        <w:t>020年）</w:t>
      </w:r>
    </w:p>
    <w:p w14:paraId="7954EF6B">
      <w:pPr>
        <w:spacing w:after="0" w:line="560" w:lineRule="exact"/>
        <w:ind w:firstLine="640" w:firstLineChars="200"/>
        <w:jc w:val="both"/>
        <w:rPr>
          <w:rFonts w:ascii="Times New Roman" w:hAnsi="Times New Roman" w:eastAsia="仿宋_GB2312"/>
          <w:sz w:val="32"/>
          <w:szCs w:val="32"/>
        </w:rPr>
      </w:pPr>
    </w:p>
    <w:p w14:paraId="3C9626F2">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 核算和报告边界变化</w:t>
      </w:r>
      <w:r>
        <w:rPr>
          <w:rFonts w:hint="eastAsia" w:ascii="Times New Roman" w:hAnsi="Times New Roman" w:eastAsia="仿宋_GB2312"/>
          <w:sz w:val="32"/>
          <w:szCs w:val="32"/>
        </w:rPr>
        <w:t>（含设施变化）</w:t>
      </w:r>
      <w:r>
        <w:rPr>
          <w:rFonts w:ascii="Times New Roman" w:hAnsi="Times New Roman" w:eastAsia="仿宋_GB2312"/>
          <w:sz w:val="32"/>
          <w:szCs w:val="32"/>
        </w:rPr>
        <w:t>情况</w:t>
      </w:r>
    </w:p>
    <w:p w14:paraId="5ADDC885">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4.1 本年度场所边界的变化</w:t>
      </w:r>
    </w:p>
    <w:p w14:paraId="3BA91ACB">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排放单位核算和报告边界为位于xxx的生产厂区，有2条xxxx生产线，xx个废弃物预处理车间。与上一年度相比，场所边界无变化；与基准年相比，场所边界无变化。</w:t>
      </w:r>
    </w:p>
    <w:p w14:paraId="767D916C">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4.2 本年度排放设施的变化</w:t>
      </w:r>
    </w:p>
    <w:p w14:paraId="5D1764E7">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排放单位2018年xxxx设施（或服务范围）截至2018年底运行（或服务）时间不足12个月，符合既有设施排放配额调整的申请条件。此信息供既有设施调整配额参考。</w:t>
      </w:r>
    </w:p>
    <w:p w14:paraId="24D7FD72">
      <w:pPr>
        <w:spacing w:after="0" w:line="560" w:lineRule="exact"/>
        <w:ind w:firstLine="465"/>
        <w:jc w:val="both"/>
        <w:rPr>
          <w:rFonts w:ascii="Times New Roman" w:hAnsi="Times New Roman" w:eastAsia="仿宋_GB2312"/>
          <w:sz w:val="32"/>
          <w:szCs w:val="32"/>
        </w:rPr>
      </w:pPr>
      <w:r>
        <w:rPr>
          <w:rFonts w:ascii="Times New Roman" w:hAnsi="Times New Roman" w:eastAsia="仿宋_GB2312"/>
          <w:sz w:val="32"/>
          <w:szCs w:val="32"/>
        </w:rPr>
        <w:t>排放单位既有设施退出为xxx，未被新增设施替代。</w:t>
      </w:r>
    </w:p>
    <w:p w14:paraId="03BE89F2">
      <w:pPr>
        <w:jc w:val="center"/>
        <w:rPr>
          <w:rFonts w:ascii="Times New Roman" w:hAnsi="Times New Roman" w:eastAsia="仿宋_GB2312"/>
          <w:sz w:val="24"/>
        </w:rPr>
      </w:pPr>
    </w:p>
    <w:p w14:paraId="0B677C0E">
      <w:pPr>
        <w:jc w:val="center"/>
        <w:rPr>
          <w:rFonts w:ascii="Times New Roman" w:hAnsi="Times New Roman" w:eastAsia="仿宋_GB2312"/>
          <w:sz w:val="24"/>
        </w:rPr>
      </w:pPr>
    </w:p>
    <w:p w14:paraId="35708EA6">
      <w:pPr>
        <w:jc w:val="center"/>
        <w:rPr>
          <w:rFonts w:ascii="Times New Roman" w:hAnsi="Times New Roman" w:eastAsia="仿宋_GB2312"/>
          <w:sz w:val="24"/>
        </w:rPr>
      </w:pPr>
    </w:p>
    <w:p w14:paraId="3BD3F55F">
      <w:pPr>
        <w:jc w:val="center"/>
        <w:rPr>
          <w:rFonts w:ascii="Times New Roman" w:hAnsi="Times New Roman" w:eastAsia="仿宋_GB2312"/>
          <w:sz w:val="24"/>
        </w:rPr>
      </w:pPr>
      <w:r>
        <w:rPr>
          <w:rFonts w:ascii="Times New Roman" w:hAnsi="Times New Roman" w:eastAsia="仿宋_GB2312"/>
          <w:sz w:val="24"/>
        </w:rPr>
        <w:t>表XX  既有设施退出信息表</w:t>
      </w:r>
    </w:p>
    <w:tbl>
      <w:tblPr>
        <w:tblStyle w:val="3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763"/>
        <w:gridCol w:w="1103"/>
        <w:gridCol w:w="880"/>
        <w:gridCol w:w="723"/>
        <w:gridCol w:w="1075"/>
        <w:gridCol w:w="1174"/>
        <w:gridCol w:w="1174"/>
        <w:gridCol w:w="1174"/>
      </w:tblGrid>
      <w:tr w14:paraId="108E9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456" w:type="dxa"/>
            <w:vMerge w:val="restart"/>
            <w:vAlign w:val="center"/>
          </w:tcPr>
          <w:p w14:paraId="452231C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eastAsia="仿宋_GB2312"/>
                <w:sz w:val="24"/>
              </w:rPr>
            </w:pPr>
            <w:r>
              <w:rPr>
                <w:rFonts w:ascii="Times New Roman" w:hAnsi="Times New Roman" w:eastAsia="仿宋_GB2312"/>
                <w:sz w:val="24"/>
              </w:rPr>
              <w:t>序号</w:t>
            </w:r>
          </w:p>
        </w:tc>
        <w:tc>
          <w:tcPr>
            <w:tcW w:w="763" w:type="dxa"/>
            <w:vMerge w:val="restart"/>
            <w:vAlign w:val="center"/>
          </w:tcPr>
          <w:p w14:paraId="22EDA18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eastAsia="仿宋_GB2312"/>
                <w:sz w:val="24"/>
              </w:rPr>
            </w:pPr>
            <w:r>
              <w:rPr>
                <w:rFonts w:ascii="Times New Roman" w:hAnsi="Times New Roman" w:eastAsia="仿宋_GB2312"/>
                <w:sz w:val="24"/>
              </w:rPr>
              <w:t>既有设施名称</w:t>
            </w:r>
          </w:p>
        </w:tc>
        <w:tc>
          <w:tcPr>
            <w:tcW w:w="1103" w:type="dxa"/>
            <w:vMerge w:val="restart"/>
            <w:vAlign w:val="center"/>
          </w:tcPr>
          <w:p w14:paraId="52C1F261">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eastAsia="仿宋_GB2312"/>
                <w:sz w:val="24"/>
              </w:rPr>
            </w:pPr>
            <w:r>
              <w:rPr>
                <w:rFonts w:ascii="Times New Roman" w:hAnsi="Times New Roman" w:eastAsia="仿宋_GB2312"/>
                <w:sz w:val="24"/>
              </w:rPr>
              <w:t>既有设施对应其它生产信息（如适用）</w:t>
            </w:r>
          </w:p>
        </w:tc>
        <w:tc>
          <w:tcPr>
            <w:tcW w:w="880" w:type="dxa"/>
            <w:vMerge w:val="restart"/>
            <w:vAlign w:val="center"/>
          </w:tcPr>
          <w:p w14:paraId="046D647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eastAsia="仿宋_GB2312"/>
                <w:sz w:val="24"/>
              </w:rPr>
            </w:pPr>
            <w:r>
              <w:rPr>
                <w:rFonts w:ascii="Times New Roman" w:hAnsi="Times New Roman" w:eastAsia="仿宋_GB2312"/>
                <w:sz w:val="24"/>
              </w:rPr>
              <w:t>退出时间</w:t>
            </w:r>
          </w:p>
        </w:tc>
        <w:tc>
          <w:tcPr>
            <w:tcW w:w="723" w:type="dxa"/>
            <w:vMerge w:val="restart"/>
            <w:vAlign w:val="center"/>
          </w:tcPr>
          <w:p w14:paraId="5ABE9E2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eastAsia="仿宋_GB2312"/>
                <w:sz w:val="24"/>
              </w:rPr>
            </w:pPr>
            <w:r>
              <w:rPr>
                <w:rFonts w:ascii="Times New Roman" w:hAnsi="Times New Roman" w:eastAsia="仿宋_GB2312"/>
                <w:sz w:val="24"/>
              </w:rPr>
              <w:t>是否由新增设施替代</w:t>
            </w:r>
          </w:p>
        </w:tc>
        <w:tc>
          <w:tcPr>
            <w:tcW w:w="1075" w:type="dxa"/>
            <w:vMerge w:val="restart"/>
            <w:tcBorders>
              <w:right w:val="single" w:color="auto" w:sz="4" w:space="0"/>
            </w:tcBorders>
            <w:vAlign w:val="center"/>
          </w:tcPr>
          <w:p w14:paraId="3D91308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eastAsia="仿宋_GB2312"/>
                <w:sz w:val="24"/>
              </w:rPr>
            </w:pPr>
            <w:r>
              <w:rPr>
                <w:rFonts w:ascii="Times New Roman" w:hAnsi="Times New Roman" w:eastAsia="仿宋_GB2312"/>
                <w:sz w:val="24"/>
              </w:rPr>
              <w:t>年度</w:t>
            </w:r>
          </w:p>
        </w:tc>
        <w:tc>
          <w:tcPr>
            <w:tcW w:w="3522" w:type="dxa"/>
            <w:gridSpan w:val="3"/>
            <w:tcBorders>
              <w:left w:val="single" w:color="auto" w:sz="4" w:space="0"/>
            </w:tcBorders>
            <w:vAlign w:val="center"/>
          </w:tcPr>
          <w:p w14:paraId="098A75F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eastAsia="仿宋_GB2312"/>
                <w:sz w:val="24"/>
              </w:rPr>
            </w:pPr>
            <w:r>
              <w:rPr>
                <w:rFonts w:ascii="Times New Roman" w:hAnsi="Times New Roman" w:eastAsia="仿宋_GB2312"/>
                <w:sz w:val="24"/>
              </w:rPr>
              <w:t>历史年度排放量</w:t>
            </w:r>
          </w:p>
        </w:tc>
      </w:tr>
      <w:tr w14:paraId="1437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456" w:type="dxa"/>
            <w:vMerge w:val="continue"/>
            <w:vAlign w:val="center"/>
          </w:tcPr>
          <w:p w14:paraId="2C58547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sz w:val="24"/>
              </w:rPr>
            </w:pPr>
          </w:p>
        </w:tc>
        <w:tc>
          <w:tcPr>
            <w:tcW w:w="763" w:type="dxa"/>
            <w:vMerge w:val="continue"/>
            <w:vAlign w:val="center"/>
          </w:tcPr>
          <w:p w14:paraId="2B0C444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sz w:val="24"/>
              </w:rPr>
            </w:pPr>
          </w:p>
        </w:tc>
        <w:tc>
          <w:tcPr>
            <w:tcW w:w="1103" w:type="dxa"/>
            <w:vMerge w:val="continue"/>
            <w:vAlign w:val="center"/>
          </w:tcPr>
          <w:p w14:paraId="5A0EBA2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sz w:val="24"/>
              </w:rPr>
            </w:pPr>
          </w:p>
        </w:tc>
        <w:tc>
          <w:tcPr>
            <w:tcW w:w="880" w:type="dxa"/>
            <w:vMerge w:val="continue"/>
            <w:vAlign w:val="center"/>
          </w:tcPr>
          <w:p w14:paraId="1EEC000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sz w:val="24"/>
              </w:rPr>
            </w:pPr>
          </w:p>
        </w:tc>
        <w:tc>
          <w:tcPr>
            <w:tcW w:w="723" w:type="dxa"/>
            <w:vMerge w:val="continue"/>
            <w:vAlign w:val="center"/>
          </w:tcPr>
          <w:p w14:paraId="10B2C51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sz w:val="24"/>
              </w:rPr>
            </w:pPr>
          </w:p>
        </w:tc>
        <w:tc>
          <w:tcPr>
            <w:tcW w:w="1075" w:type="dxa"/>
            <w:vMerge w:val="continue"/>
            <w:tcBorders>
              <w:right w:val="single" w:color="auto" w:sz="4" w:space="0"/>
            </w:tcBorders>
            <w:vAlign w:val="center"/>
          </w:tcPr>
          <w:p w14:paraId="0887B7A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sz w:val="24"/>
              </w:rPr>
            </w:pPr>
          </w:p>
        </w:tc>
        <w:tc>
          <w:tcPr>
            <w:tcW w:w="1174" w:type="dxa"/>
            <w:tcBorders>
              <w:left w:val="single" w:color="auto" w:sz="4" w:space="0"/>
            </w:tcBorders>
            <w:vAlign w:val="center"/>
          </w:tcPr>
          <w:p w14:paraId="14958CF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sz w:val="24"/>
              </w:rPr>
            </w:pPr>
            <w:r>
              <w:rPr>
                <w:rFonts w:ascii="Times New Roman" w:hAnsi="Times New Roman" w:eastAsia="仿宋_GB2312"/>
                <w:sz w:val="24"/>
              </w:rPr>
              <w:t>直接排放量</w:t>
            </w:r>
          </w:p>
          <w:p w14:paraId="0889874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sz w:val="24"/>
              </w:rPr>
            </w:pPr>
            <w:r>
              <w:rPr>
                <w:rFonts w:ascii="Times New Roman" w:hAnsi="Times New Roman" w:eastAsia="仿宋_GB2312"/>
                <w:sz w:val="24"/>
              </w:rPr>
              <w:t>（tCO</w:t>
            </w:r>
            <w:r>
              <w:rPr>
                <w:rFonts w:ascii="Times New Roman" w:hAnsi="Times New Roman" w:eastAsia="仿宋_GB2312"/>
                <w:sz w:val="24"/>
                <w:vertAlign w:val="subscript"/>
              </w:rPr>
              <w:t>2</w:t>
            </w:r>
            <w:r>
              <w:rPr>
                <w:rFonts w:ascii="Times New Roman" w:hAnsi="Times New Roman" w:eastAsia="仿宋_GB2312"/>
                <w:sz w:val="24"/>
              </w:rPr>
              <w:t>）</w:t>
            </w:r>
          </w:p>
        </w:tc>
        <w:tc>
          <w:tcPr>
            <w:tcW w:w="1174" w:type="dxa"/>
            <w:vAlign w:val="center"/>
          </w:tcPr>
          <w:p w14:paraId="4EB2D28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sz w:val="24"/>
              </w:rPr>
            </w:pPr>
            <w:r>
              <w:rPr>
                <w:rFonts w:ascii="Times New Roman" w:hAnsi="Times New Roman" w:eastAsia="仿宋_GB2312"/>
                <w:sz w:val="24"/>
              </w:rPr>
              <w:t>间接排放量（tCO</w:t>
            </w:r>
            <w:r>
              <w:rPr>
                <w:rFonts w:ascii="Times New Roman" w:hAnsi="Times New Roman" w:eastAsia="仿宋_GB2312"/>
                <w:sz w:val="24"/>
                <w:vertAlign w:val="subscript"/>
              </w:rPr>
              <w:t>2</w:t>
            </w:r>
            <w:r>
              <w:rPr>
                <w:rFonts w:ascii="Times New Roman" w:hAnsi="Times New Roman" w:eastAsia="仿宋_GB2312"/>
                <w:sz w:val="24"/>
              </w:rPr>
              <w:t>）</w:t>
            </w:r>
          </w:p>
        </w:tc>
        <w:tc>
          <w:tcPr>
            <w:tcW w:w="1174" w:type="dxa"/>
            <w:vAlign w:val="center"/>
          </w:tcPr>
          <w:p w14:paraId="0826058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sz w:val="24"/>
              </w:rPr>
            </w:pPr>
            <w:r>
              <w:rPr>
                <w:rFonts w:ascii="Times New Roman" w:hAnsi="Times New Roman" w:eastAsia="仿宋_GB2312"/>
                <w:sz w:val="24"/>
              </w:rPr>
              <w:t>总排放量（tCO</w:t>
            </w:r>
            <w:r>
              <w:rPr>
                <w:rFonts w:ascii="Times New Roman" w:hAnsi="Times New Roman" w:eastAsia="仿宋_GB2312"/>
                <w:sz w:val="24"/>
                <w:vertAlign w:val="subscript"/>
              </w:rPr>
              <w:t>2</w:t>
            </w:r>
            <w:r>
              <w:rPr>
                <w:rFonts w:ascii="Times New Roman" w:hAnsi="Times New Roman" w:eastAsia="仿宋_GB2312"/>
                <w:sz w:val="24"/>
              </w:rPr>
              <w:t>）</w:t>
            </w:r>
          </w:p>
        </w:tc>
      </w:tr>
      <w:tr w14:paraId="1C7F0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456" w:type="dxa"/>
            <w:vMerge w:val="restart"/>
            <w:vAlign w:val="center"/>
          </w:tcPr>
          <w:p w14:paraId="4F4C8D0B">
            <w:pPr>
              <w:jc w:val="center"/>
              <w:rPr>
                <w:rFonts w:ascii="Times New Roman" w:hAnsi="Times New Roman" w:eastAsia="仿宋_GB2312"/>
                <w:sz w:val="24"/>
              </w:rPr>
            </w:pPr>
            <w:r>
              <w:rPr>
                <w:rFonts w:ascii="Times New Roman" w:hAnsi="Times New Roman" w:eastAsia="仿宋_GB2312"/>
                <w:sz w:val="24"/>
              </w:rPr>
              <w:t>1</w:t>
            </w:r>
          </w:p>
        </w:tc>
        <w:tc>
          <w:tcPr>
            <w:tcW w:w="763" w:type="dxa"/>
            <w:vMerge w:val="restart"/>
            <w:vAlign w:val="center"/>
          </w:tcPr>
          <w:p w14:paraId="0FDE0247">
            <w:pPr>
              <w:jc w:val="center"/>
              <w:rPr>
                <w:rFonts w:ascii="Times New Roman" w:hAnsi="Times New Roman" w:eastAsia="仿宋_GB2312"/>
                <w:sz w:val="24"/>
              </w:rPr>
            </w:pPr>
            <w:r>
              <w:rPr>
                <w:rFonts w:ascii="Times New Roman" w:hAnsi="Times New Roman" w:eastAsia="仿宋_GB2312"/>
                <w:sz w:val="24"/>
              </w:rPr>
              <w:t>xxx</w:t>
            </w:r>
          </w:p>
        </w:tc>
        <w:tc>
          <w:tcPr>
            <w:tcW w:w="1103" w:type="dxa"/>
            <w:vMerge w:val="restart"/>
            <w:vAlign w:val="center"/>
          </w:tcPr>
          <w:p w14:paraId="2F79115F">
            <w:pPr>
              <w:jc w:val="center"/>
              <w:rPr>
                <w:rFonts w:ascii="Times New Roman" w:hAnsi="Times New Roman" w:eastAsia="仿宋_GB2312"/>
                <w:sz w:val="24"/>
              </w:rPr>
            </w:pPr>
          </w:p>
        </w:tc>
        <w:tc>
          <w:tcPr>
            <w:tcW w:w="880" w:type="dxa"/>
            <w:vMerge w:val="restart"/>
            <w:vAlign w:val="center"/>
          </w:tcPr>
          <w:p w14:paraId="1E567EB2">
            <w:pPr>
              <w:jc w:val="center"/>
              <w:rPr>
                <w:rFonts w:ascii="Times New Roman" w:hAnsi="Times New Roman" w:eastAsia="仿宋_GB2312"/>
                <w:sz w:val="24"/>
              </w:rPr>
            </w:pPr>
            <w:r>
              <w:rPr>
                <w:rFonts w:ascii="Times New Roman" w:hAnsi="Times New Roman" w:eastAsia="仿宋_GB2312"/>
                <w:sz w:val="24"/>
              </w:rPr>
              <w:t>2018</w:t>
            </w:r>
          </w:p>
        </w:tc>
        <w:tc>
          <w:tcPr>
            <w:tcW w:w="723" w:type="dxa"/>
            <w:vMerge w:val="restart"/>
            <w:vAlign w:val="center"/>
          </w:tcPr>
          <w:p w14:paraId="058C1CD9">
            <w:pPr>
              <w:jc w:val="center"/>
              <w:rPr>
                <w:rFonts w:ascii="Times New Roman" w:hAnsi="Times New Roman" w:eastAsia="仿宋_GB2312"/>
                <w:sz w:val="24"/>
              </w:rPr>
            </w:pPr>
            <w:r>
              <w:rPr>
                <w:rFonts w:ascii="Times New Roman" w:hAnsi="Times New Roman" w:eastAsia="仿宋_GB2312"/>
                <w:sz w:val="24"/>
              </w:rPr>
              <w:t>否</w:t>
            </w:r>
          </w:p>
        </w:tc>
        <w:tc>
          <w:tcPr>
            <w:tcW w:w="1075" w:type="dxa"/>
            <w:tcBorders>
              <w:right w:val="single" w:color="auto" w:sz="4" w:space="0"/>
            </w:tcBorders>
          </w:tcPr>
          <w:p w14:paraId="224DBE96">
            <w:pPr>
              <w:rPr>
                <w:rFonts w:ascii="Times New Roman" w:hAnsi="Times New Roman" w:eastAsia="仿宋_GB2312"/>
                <w:sz w:val="24"/>
              </w:rPr>
            </w:pPr>
            <w:r>
              <w:rPr>
                <w:rFonts w:ascii="Times New Roman" w:hAnsi="Times New Roman" w:eastAsia="仿宋_GB2312"/>
                <w:sz w:val="24"/>
              </w:rPr>
              <w:t>2016年</w:t>
            </w:r>
          </w:p>
        </w:tc>
        <w:tc>
          <w:tcPr>
            <w:tcW w:w="1174" w:type="dxa"/>
            <w:tcBorders>
              <w:left w:val="single" w:color="auto" w:sz="4" w:space="0"/>
            </w:tcBorders>
            <w:vAlign w:val="center"/>
          </w:tcPr>
          <w:p w14:paraId="712FCB94">
            <w:pPr>
              <w:jc w:val="center"/>
              <w:rPr>
                <w:rFonts w:ascii="Times New Roman" w:hAnsi="Times New Roman" w:eastAsia="仿宋_GB2312"/>
                <w:sz w:val="24"/>
              </w:rPr>
            </w:pPr>
            <w:r>
              <w:rPr>
                <w:rFonts w:ascii="Times New Roman" w:hAnsi="Times New Roman" w:eastAsia="仿宋_GB2312"/>
                <w:sz w:val="24"/>
              </w:rPr>
              <w:t>200.00</w:t>
            </w:r>
          </w:p>
        </w:tc>
        <w:tc>
          <w:tcPr>
            <w:tcW w:w="1174" w:type="dxa"/>
            <w:vAlign w:val="center"/>
          </w:tcPr>
          <w:p w14:paraId="02365321">
            <w:pPr>
              <w:jc w:val="center"/>
              <w:rPr>
                <w:rFonts w:ascii="Times New Roman" w:hAnsi="Times New Roman" w:eastAsia="仿宋_GB2312"/>
                <w:sz w:val="24"/>
              </w:rPr>
            </w:pPr>
            <w:r>
              <w:rPr>
                <w:rFonts w:ascii="Times New Roman" w:hAnsi="Times New Roman" w:eastAsia="仿宋_GB2312"/>
                <w:sz w:val="24"/>
              </w:rPr>
              <w:t>60.00</w:t>
            </w:r>
          </w:p>
        </w:tc>
        <w:tc>
          <w:tcPr>
            <w:tcW w:w="1174" w:type="dxa"/>
            <w:vAlign w:val="center"/>
          </w:tcPr>
          <w:p w14:paraId="34D24D09">
            <w:pPr>
              <w:jc w:val="center"/>
              <w:rPr>
                <w:rFonts w:ascii="Times New Roman" w:hAnsi="Times New Roman" w:eastAsia="仿宋_GB2312"/>
                <w:sz w:val="24"/>
              </w:rPr>
            </w:pPr>
            <w:r>
              <w:rPr>
                <w:rFonts w:ascii="Times New Roman" w:hAnsi="Times New Roman" w:eastAsia="仿宋_GB2312"/>
                <w:sz w:val="24"/>
              </w:rPr>
              <w:t>260.00</w:t>
            </w:r>
          </w:p>
        </w:tc>
      </w:tr>
      <w:tr w14:paraId="7972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56" w:type="dxa"/>
            <w:vMerge w:val="continue"/>
          </w:tcPr>
          <w:p w14:paraId="0C83ACE9">
            <w:pPr>
              <w:rPr>
                <w:rFonts w:ascii="Times New Roman" w:hAnsi="Times New Roman" w:eastAsia="仿宋_GB2312"/>
                <w:sz w:val="24"/>
              </w:rPr>
            </w:pPr>
          </w:p>
        </w:tc>
        <w:tc>
          <w:tcPr>
            <w:tcW w:w="763" w:type="dxa"/>
            <w:vMerge w:val="continue"/>
          </w:tcPr>
          <w:p w14:paraId="071B8A79">
            <w:pPr>
              <w:rPr>
                <w:rFonts w:ascii="Times New Roman" w:hAnsi="Times New Roman" w:eastAsia="仿宋_GB2312"/>
                <w:sz w:val="24"/>
              </w:rPr>
            </w:pPr>
          </w:p>
        </w:tc>
        <w:tc>
          <w:tcPr>
            <w:tcW w:w="1103" w:type="dxa"/>
            <w:vMerge w:val="continue"/>
          </w:tcPr>
          <w:p w14:paraId="5C9BA5F8">
            <w:pPr>
              <w:rPr>
                <w:rFonts w:ascii="Times New Roman" w:hAnsi="Times New Roman" w:eastAsia="仿宋_GB2312"/>
                <w:sz w:val="24"/>
              </w:rPr>
            </w:pPr>
          </w:p>
        </w:tc>
        <w:tc>
          <w:tcPr>
            <w:tcW w:w="880" w:type="dxa"/>
            <w:vMerge w:val="continue"/>
          </w:tcPr>
          <w:p w14:paraId="6A7FA358">
            <w:pPr>
              <w:rPr>
                <w:rFonts w:ascii="Times New Roman" w:hAnsi="Times New Roman" w:eastAsia="仿宋_GB2312"/>
                <w:sz w:val="24"/>
              </w:rPr>
            </w:pPr>
          </w:p>
        </w:tc>
        <w:tc>
          <w:tcPr>
            <w:tcW w:w="723" w:type="dxa"/>
            <w:vMerge w:val="continue"/>
          </w:tcPr>
          <w:p w14:paraId="6978A4AC">
            <w:pPr>
              <w:rPr>
                <w:rFonts w:ascii="Times New Roman" w:hAnsi="Times New Roman" w:eastAsia="仿宋_GB2312"/>
                <w:sz w:val="24"/>
              </w:rPr>
            </w:pPr>
          </w:p>
        </w:tc>
        <w:tc>
          <w:tcPr>
            <w:tcW w:w="1075" w:type="dxa"/>
            <w:tcBorders>
              <w:right w:val="single" w:color="auto" w:sz="4" w:space="0"/>
            </w:tcBorders>
          </w:tcPr>
          <w:p w14:paraId="4D6462F7">
            <w:pPr>
              <w:rPr>
                <w:rFonts w:ascii="Times New Roman" w:hAnsi="Times New Roman" w:eastAsia="仿宋_GB2312"/>
                <w:sz w:val="24"/>
              </w:rPr>
            </w:pPr>
            <w:r>
              <w:rPr>
                <w:rFonts w:ascii="Times New Roman" w:hAnsi="Times New Roman" w:eastAsia="仿宋_GB2312"/>
                <w:sz w:val="24"/>
              </w:rPr>
              <w:t>2017年</w:t>
            </w:r>
          </w:p>
        </w:tc>
        <w:tc>
          <w:tcPr>
            <w:tcW w:w="1174" w:type="dxa"/>
            <w:tcBorders>
              <w:left w:val="single" w:color="auto" w:sz="4" w:space="0"/>
            </w:tcBorders>
            <w:vAlign w:val="center"/>
          </w:tcPr>
          <w:p w14:paraId="08195215">
            <w:pPr>
              <w:jc w:val="center"/>
              <w:rPr>
                <w:rFonts w:ascii="Times New Roman" w:hAnsi="Times New Roman" w:eastAsia="仿宋_GB2312"/>
                <w:sz w:val="24"/>
              </w:rPr>
            </w:pPr>
            <w:r>
              <w:rPr>
                <w:rFonts w:ascii="Times New Roman" w:hAnsi="Times New Roman" w:eastAsia="仿宋_GB2312"/>
                <w:sz w:val="24"/>
              </w:rPr>
              <w:t>180.00</w:t>
            </w:r>
          </w:p>
        </w:tc>
        <w:tc>
          <w:tcPr>
            <w:tcW w:w="1174" w:type="dxa"/>
            <w:vAlign w:val="center"/>
          </w:tcPr>
          <w:p w14:paraId="771486C0">
            <w:pPr>
              <w:jc w:val="center"/>
              <w:rPr>
                <w:rFonts w:ascii="Times New Roman" w:hAnsi="Times New Roman" w:eastAsia="仿宋_GB2312"/>
                <w:sz w:val="24"/>
              </w:rPr>
            </w:pPr>
            <w:r>
              <w:rPr>
                <w:rFonts w:ascii="Times New Roman" w:hAnsi="Times New Roman" w:eastAsia="仿宋_GB2312"/>
                <w:sz w:val="24"/>
              </w:rPr>
              <w:t>65.00</w:t>
            </w:r>
          </w:p>
        </w:tc>
        <w:tc>
          <w:tcPr>
            <w:tcW w:w="1174" w:type="dxa"/>
            <w:vAlign w:val="center"/>
          </w:tcPr>
          <w:p w14:paraId="3DBBC1C5">
            <w:pPr>
              <w:jc w:val="center"/>
              <w:rPr>
                <w:rFonts w:ascii="Times New Roman" w:hAnsi="Times New Roman" w:eastAsia="仿宋_GB2312"/>
                <w:sz w:val="24"/>
              </w:rPr>
            </w:pPr>
            <w:r>
              <w:rPr>
                <w:rFonts w:ascii="Times New Roman" w:hAnsi="Times New Roman" w:eastAsia="仿宋_GB2312"/>
                <w:sz w:val="24"/>
              </w:rPr>
              <w:t>245.00</w:t>
            </w:r>
          </w:p>
        </w:tc>
      </w:tr>
      <w:tr w14:paraId="61C97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56" w:type="dxa"/>
            <w:vMerge w:val="continue"/>
          </w:tcPr>
          <w:p w14:paraId="3748EFE1">
            <w:pPr>
              <w:rPr>
                <w:rFonts w:ascii="Times New Roman" w:hAnsi="Times New Roman" w:eastAsia="仿宋_GB2312"/>
                <w:sz w:val="24"/>
              </w:rPr>
            </w:pPr>
          </w:p>
        </w:tc>
        <w:tc>
          <w:tcPr>
            <w:tcW w:w="763" w:type="dxa"/>
            <w:vMerge w:val="continue"/>
          </w:tcPr>
          <w:p w14:paraId="7B95117F">
            <w:pPr>
              <w:rPr>
                <w:rFonts w:ascii="Times New Roman" w:hAnsi="Times New Roman" w:eastAsia="仿宋_GB2312"/>
                <w:sz w:val="24"/>
              </w:rPr>
            </w:pPr>
          </w:p>
        </w:tc>
        <w:tc>
          <w:tcPr>
            <w:tcW w:w="1103" w:type="dxa"/>
            <w:vMerge w:val="continue"/>
          </w:tcPr>
          <w:p w14:paraId="04A5C551">
            <w:pPr>
              <w:rPr>
                <w:rFonts w:ascii="Times New Roman" w:hAnsi="Times New Roman" w:eastAsia="仿宋_GB2312"/>
                <w:sz w:val="24"/>
              </w:rPr>
            </w:pPr>
          </w:p>
        </w:tc>
        <w:tc>
          <w:tcPr>
            <w:tcW w:w="880" w:type="dxa"/>
            <w:vMerge w:val="continue"/>
          </w:tcPr>
          <w:p w14:paraId="082E983F">
            <w:pPr>
              <w:rPr>
                <w:rFonts w:ascii="Times New Roman" w:hAnsi="Times New Roman" w:eastAsia="仿宋_GB2312"/>
                <w:sz w:val="24"/>
              </w:rPr>
            </w:pPr>
          </w:p>
        </w:tc>
        <w:tc>
          <w:tcPr>
            <w:tcW w:w="723" w:type="dxa"/>
            <w:vMerge w:val="continue"/>
          </w:tcPr>
          <w:p w14:paraId="1989FF45">
            <w:pPr>
              <w:rPr>
                <w:rFonts w:ascii="Times New Roman" w:hAnsi="Times New Roman" w:eastAsia="仿宋_GB2312"/>
                <w:sz w:val="24"/>
              </w:rPr>
            </w:pPr>
          </w:p>
        </w:tc>
        <w:tc>
          <w:tcPr>
            <w:tcW w:w="1075" w:type="dxa"/>
            <w:tcBorders>
              <w:right w:val="single" w:color="auto" w:sz="4" w:space="0"/>
            </w:tcBorders>
          </w:tcPr>
          <w:p w14:paraId="1746D0D7">
            <w:pPr>
              <w:rPr>
                <w:rFonts w:ascii="Times New Roman" w:hAnsi="Times New Roman" w:eastAsia="仿宋_GB2312"/>
                <w:sz w:val="24"/>
              </w:rPr>
            </w:pPr>
            <w:r>
              <w:rPr>
                <w:rFonts w:ascii="Times New Roman" w:hAnsi="Times New Roman" w:eastAsia="仿宋_GB2312"/>
                <w:sz w:val="24"/>
              </w:rPr>
              <w:t>2018年</w:t>
            </w:r>
          </w:p>
        </w:tc>
        <w:tc>
          <w:tcPr>
            <w:tcW w:w="1174" w:type="dxa"/>
            <w:tcBorders>
              <w:left w:val="single" w:color="auto" w:sz="4" w:space="0"/>
            </w:tcBorders>
            <w:vAlign w:val="center"/>
          </w:tcPr>
          <w:p w14:paraId="6A2BF7F5">
            <w:pPr>
              <w:jc w:val="center"/>
              <w:rPr>
                <w:rFonts w:ascii="Times New Roman" w:hAnsi="Times New Roman" w:eastAsia="仿宋_GB2312"/>
                <w:sz w:val="24"/>
              </w:rPr>
            </w:pPr>
            <w:r>
              <w:rPr>
                <w:rFonts w:ascii="Times New Roman" w:hAnsi="Times New Roman" w:eastAsia="仿宋_GB2312"/>
                <w:sz w:val="24"/>
              </w:rPr>
              <w:t>20.00</w:t>
            </w:r>
          </w:p>
        </w:tc>
        <w:tc>
          <w:tcPr>
            <w:tcW w:w="1174" w:type="dxa"/>
            <w:vAlign w:val="center"/>
          </w:tcPr>
          <w:p w14:paraId="073AD6A9">
            <w:pPr>
              <w:jc w:val="center"/>
              <w:rPr>
                <w:rFonts w:ascii="Times New Roman" w:hAnsi="Times New Roman" w:eastAsia="仿宋_GB2312"/>
                <w:sz w:val="24"/>
              </w:rPr>
            </w:pPr>
            <w:r>
              <w:rPr>
                <w:rFonts w:ascii="Times New Roman" w:hAnsi="Times New Roman" w:eastAsia="仿宋_GB2312"/>
                <w:sz w:val="24"/>
              </w:rPr>
              <w:t>5.00</w:t>
            </w:r>
          </w:p>
        </w:tc>
        <w:tc>
          <w:tcPr>
            <w:tcW w:w="1174" w:type="dxa"/>
            <w:vAlign w:val="center"/>
          </w:tcPr>
          <w:p w14:paraId="13BAC69E">
            <w:pPr>
              <w:jc w:val="center"/>
              <w:rPr>
                <w:rFonts w:ascii="Times New Roman" w:hAnsi="Times New Roman" w:eastAsia="仿宋_GB2312"/>
                <w:sz w:val="24"/>
              </w:rPr>
            </w:pPr>
            <w:r>
              <w:rPr>
                <w:rFonts w:ascii="Times New Roman" w:hAnsi="Times New Roman" w:eastAsia="仿宋_GB2312"/>
                <w:sz w:val="24"/>
              </w:rPr>
              <w:t>25.00</w:t>
            </w:r>
          </w:p>
        </w:tc>
      </w:tr>
    </w:tbl>
    <w:p w14:paraId="6BA189D1">
      <w:pPr>
        <w:spacing w:after="0" w:line="560" w:lineRule="exact"/>
        <w:ind w:firstLine="465"/>
        <w:rPr>
          <w:rFonts w:ascii="Times New Roman" w:hAnsi="Times New Roman" w:eastAsia="仿宋_GB2312"/>
          <w:sz w:val="32"/>
          <w:szCs w:val="32"/>
        </w:rPr>
      </w:pPr>
      <w:r>
        <w:rPr>
          <w:rFonts w:ascii="Times New Roman" w:hAnsi="Times New Roman" w:eastAsia="仿宋_GB2312"/>
          <w:sz w:val="32"/>
          <w:szCs w:val="32"/>
        </w:rPr>
        <w:t>排放单位新增设施主要为生产用电设备，其排放量信息见下表：</w:t>
      </w:r>
    </w:p>
    <w:p w14:paraId="0AD5C59F">
      <w:pPr>
        <w:spacing w:after="0" w:line="560" w:lineRule="exact"/>
        <w:jc w:val="center"/>
        <w:rPr>
          <w:rFonts w:ascii="Times New Roman" w:hAnsi="Times New Roman" w:eastAsia="仿宋_GB2312"/>
          <w:sz w:val="24"/>
        </w:rPr>
      </w:pPr>
      <w:r>
        <w:rPr>
          <w:rFonts w:ascii="Times New Roman" w:hAnsi="Times New Roman" w:eastAsia="仿宋_GB2312"/>
          <w:sz w:val="24"/>
        </w:rPr>
        <w:t>表XX  新增设施信息表</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1294"/>
        <w:gridCol w:w="2333"/>
        <w:gridCol w:w="1649"/>
        <w:gridCol w:w="1269"/>
        <w:gridCol w:w="1513"/>
      </w:tblGrid>
      <w:tr w14:paraId="25EE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exact"/>
        </w:trPr>
        <w:tc>
          <w:tcPr>
            <w:tcW w:w="551" w:type="pct"/>
            <w:vAlign w:val="center"/>
          </w:tcPr>
          <w:p w14:paraId="4538BFEB">
            <w:pPr>
              <w:keepNext w:val="0"/>
              <w:keepLines w:val="0"/>
              <w:pageBreakBefore w:val="0"/>
              <w:widowControl/>
              <w:tabs>
                <w:tab w:val="left" w:pos="1701"/>
              </w:tabs>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000000"/>
                <w:sz w:val="24"/>
              </w:rPr>
            </w:pPr>
            <w:r>
              <w:rPr>
                <w:rFonts w:ascii="Times New Roman" w:hAnsi="Times New Roman" w:eastAsia="仿宋_GB2312"/>
                <w:color w:val="000000"/>
                <w:sz w:val="24"/>
              </w:rPr>
              <w:t>序号</w:t>
            </w:r>
          </w:p>
        </w:tc>
        <w:tc>
          <w:tcPr>
            <w:tcW w:w="714" w:type="pct"/>
            <w:vAlign w:val="center"/>
          </w:tcPr>
          <w:p w14:paraId="2976ED2F">
            <w:pPr>
              <w:keepNext w:val="0"/>
              <w:keepLines w:val="0"/>
              <w:pageBreakBefore w:val="0"/>
              <w:widowControl/>
              <w:tabs>
                <w:tab w:val="left" w:pos="1701"/>
              </w:tabs>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000000"/>
                <w:sz w:val="24"/>
              </w:rPr>
            </w:pPr>
            <w:r>
              <w:rPr>
                <w:rFonts w:ascii="Times New Roman" w:hAnsi="Times New Roman" w:eastAsia="仿宋_GB2312"/>
                <w:color w:val="000000"/>
                <w:sz w:val="24"/>
              </w:rPr>
              <w:t>设施新增年份</w:t>
            </w:r>
          </w:p>
        </w:tc>
        <w:tc>
          <w:tcPr>
            <w:tcW w:w="1287" w:type="pct"/>
            <w:vAlign w:val="center"/>
          </w:tcPr>
          <w:p w14:paraId="76EE74CD">
            <w:pPr>
              <w:keepNext w:val="0"/>
              <w:keepLines w:val="0"/>
              <w:pageBreakBefore w:val="0"/>
              <w:widowControl/>
              <w:tabs>
                <w:tab w:val="left" w:pos="1701"/>
              </w:tabs>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000000"/>
                <w:sz w:val="24"/>
              </w:rPr>
            </w:pPr>
            <w:r>
              <w:rPr>
                <w:rFonts w:ascii="Times New Roman" w:hAnsi="Times New Roman" w:eastAsia="仿宋_GB2312"/>
                <w:color w:val="000000"/>
                <w:sz w:val="24"/>
              </w:rPr>
              <w:t>新增设施类型</w:t>
            </w:r>
          </w:p>
        </w:tc>
        <w:tc>
          <w:tcPr>
            <w:tcW w:w="910" w:type="pct"/>
            <w:vAlign w:val="center"/>
          </w:tcPr>
          <w:p w14:paraId="69DBDB67">
            <w:pPr>
              <w:keepNext w:val="0"/>
              <w:keepLines w:val="0"/>
              <w:pageBreakBefore w:val="0"/>
              <w:widowControl/>
              <w:tabs>
                <w:tab w:val="left" w:pos="1701"/>
              </w:tabs>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000000"/>
                <w:sz w:val="24"/>
              </w:rPr>
            </w:pPr>
            <w:r>
              <w:rPr>
                <w:rFonts w:ascii="Times New Roman" w:hAnsi="Times New Roman" w:eastAsia="仿宋_GB2312"/>
                <w:color w:val="000000"/>
                <w:sz w:val="24"/>
              </w:rPr>
              <w:t>是否替代既有设施，被替代既有设施类型</w:t>
            </w:r>
          </w:p>
        </w:tc>
        <w:tc>
          <w:tcPr>
            <w:tcW w:w="700" w:type="pct"/>
            <w:vAlign w:val="center"/>
          </w:tcPr>
          <w:p w14:paraId="59D824E3">
            <w:pPr>
              <w:keepNext w:val="0"/>
              <w:keepLines w:val="0"/>
              <w:pageBreakBefore w:val="0"/>
              <w:widowControl/>
              <w:tabs>
                <w:tab w:val="left" w:pos="1701"/>
              </w:tabs>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000000"/>
                <w:sz w:val="24"/>
              </w:rPr>
            </w:pPr>
            <w:r>
              <w:rPr>
                <w:rFonts w:ascii="Times New Roman" w:hAnsi="Times New Roman" w:eastAsia="仿宋_GB2312"/>
                <w:color w:val="000000"/>
                <w:sz w:val="24"/>
              </w:rPr>
              <w:t>新增设施排放量（吨）</w:t>
            </w:r>
          </w:p>
        </w:tc>
        <w:tc>
          <w:tcPr>
            <w:tcW w:w="835" w:type="pct"/>
            <w:vAlign w:val="center"/>
          </w:tcPr>
          <w:p w14:paraId="246854F8">
            <w:pPr>
              <w:keepNext w:val="0"/>
              <w:keepLines w:val="0"/>
              <w:pageBreakBefore w:val="0"/>
              <w:widowControl/>
              <w:tabs>
                <w:tab w:val="left" w:pos="1701"/>
              </w:tabs>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000000"/>
                <w:sz w:val="24"/>
              </w:rPr>
            </w:pPr>
            <w:r>
              <w:rPr>
                <w:rFonts w:hint="eastAsia" w:ascii="Times New Roman" w:hAnsi="Times New Roman" w:eastAsia="仿宋_GB2312"/>
                <w:color w:val="000000"/>
                <w:sz w:val="24"/>
              </w:rPr>
              <w:t>替代既有设施的新增排放量(吨)</w:t>
            </w:r>
          </w:p>
        </w:tc>
      </w:tr>
      <w:tr w14:paraId="325EC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vAlign w:val="center"/>
          </w:tcPr>
          <w:p w14:paraId="5727E426">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1</w:t>
            </w:r>
          </w:p>
        </w:tc>
        <w:tc>
          <w:tcPr>
            <w:tcW w:w="714" w:type="pct"/>
            <w:vAlign w:val="center"/>
          </w:tcPr>
          <w:p w14:paraId="001B8BE7">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2019</w:t>
            </w:r>
          </w:p>
        </w:tc>
        <w:tc>
          <w:tcPr>
            <w:tcW w:w="1287" w:type="pct"/>
            <w:vAlign w:val="center"/>
          </w:tcPr>
          <w:p w14:paraId="149149A6">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xxx</w:t>
            </w:r>
          </w:p>
        </w:tc>
        <w:tc>
          <w:tcPr>
            <w:tcW w:w="910" w:type="pct"/>
            <w:vAlign w:val="center"/>
          </w:tcPr>
          <w:p w14:paraId="76551310">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否</w:t>
            </w:r>
          </w:p>
        </w:tc>
        <w:tc>
          <w:tcPr>
            <w:tcW w:w="700" w:type="pct"/>
            <w:vAlign w:val="center"/>
          </w:tcPr>
          <w:p w14:paraId="195F7E5B">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300.00</w:t>
            </w:r>
          </w:p>
        </w:tc>
        <w:tc>
          <w:tcPr>
            <w:tcW w:w="835" w:type="pct"/>
            <w:vAlign w:val="center"/>
          </w:tcPr>
          <w:p w14:paraId="10441E78">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w:t>
            </w:r>
          </w:p>
        </w:tc>
      </w:tr>
      <w:tr w14:paraId="385A9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vAlign w:val="center"/>
          </w:tcPr>
          <w:p w14:paraId="402C8A5F">
            <w:pPr>
              <w:jc w:val="center"/>
              <w:rPr>
                <w:rFonts w:ascii="Times New Roman" w:hAnsi="Times New Roman" w:eastAsia="仿宋_GB2312"/>
                <w:sz w:val="24"/>
              </w:rPr>
            </w:pPr>
            <w:r>
              <w:rPr>
                <w:rFonts w:ascii="Times New Roman" w:hAnsi="Times New Roman" w:eastAsia="仿宋_GB2312"/>
                <w:color w:val="000000"/>
                <w:sz w:val="24"/>
              </w:rPr>
              <w:t>2</w:t>
            </w:r>
          </w:p>
        </w:tc>
        <w:tc>
          <w:tcPr>
            <w:tcW w:w="714" w:type="pct"/>
            <w:vAlign w:val="center"/>
          </w:tcPr>
          <w:p w14:paraId="7E64F955">
            <w:pPr>
              <w:jc w:val="center"/>
              <w:rPr>
                <w:rFonts w:ascii="Times New Roman" w:hAnsi="Times New Roman" w:eastAsia="仿宋_GB2312"/>
                <w:sz w:val="24"/>
              </w:rPr>
            </w:pPr>
            <w:r>
              <w:rPr>
                <w:rFonts w:ascii="Times New Roman" w:hAnsi="Times New Roman" w:eastAsia="仿宋_GB2312"/>
                <w:sz w:val="24"/>
              </w:rPr>
              <w:t>2019</w:t>
            </w:r>
          </w:p>
        </w:tc>
        <w:tc>
          <w:tcPr>
            <w:tcW w:w="1287" w:type="pct"/>
            <w:vAlign w:val="center"/>
          </w:tcPr>
          <w:p w14:paraId="79E85363">
            <w:pPr>
              <w:jc w:val="center"/>
              <w:rPr>
                <w:rFonts w:ascii="Times New Roman" w:hAnsi="Times New Roman" w:eastAsia="仿宋_GB2312"/>
                <w:sz w:val="24"/>
              </w:rPr>
            </w:pPr>
            <w:r>
              <w:rPr>
                <w:rFonts w:ascii="Times New Roman" w:hAnsi="Times New Roman" w:eastAsia="仿宋_GB2312"/>
                <w:sz w:val="24"/>
              </w:rPr>
              <w:t>xxx</w:t>
            </w:r>
          </w:p>
        </w:tc>
        <w:tc>
          <w:tcPr>
            <w:tcW w:w="910" w:type="pct"/>
            <w:vAlign w:val="center"/>
          </w:tcPr>
          <w:p w14:paraId="58687BAE">
            <w:pPr>
              <w:jc w:val="center"/>
              <w:rPr>
                <w:rFonts w:ascii="Times New Roman" w:hAnsi="Times New Roman" w:eastAsia="仿宋_GB2312"/>
                <w:sz w:val="24"/>
              </w:rPr>
            </w:pPr>
            <w:r>
              <w:rPr>
                <w:rFonts w:ascii="Times New Roman" w:hAnsi="Times New Roman" w:eastAsia="仿宋_GB2312"/>
                <w:sz w:val="24"/>
              </w:rPr>
              <w:t>否</w:t>
            </w:r>
          </w:p>
        </w:tc>
        <w:tc>
          <w:tcPr>
            <w:tcW w:w="700" w:type="pct"/>
            <w:vAlign w:val="center"/>
          </w:tcPr>
          <w:p w14:paraId="3D6A5CC3">
            <w:pPr>
              <w:jc w:val="center"/>
              <w:rPr>
                <w:rFonts w:ascii="Times New Roman" w:hAnsi="Times New Roman" w:eastAsia="仿宋_GB2312"/>
                <w:sz w:val="24"/>
              </w:rPr>
            </w:pPr>
            <w:r>
              <w:rPr>
                <w:rFonts w:ascii="Times New Roman" w:hAnsi="Times New Roman" w:eastAsia="仿宋_GB2312"/>
                <w:sz w:val="24"/>
              </w:rPr>
              <w:t>500.00</w:t>
            </w:r>
          </w:p>
        </w:tc>
        <w:tc>
          <w:tcPr>
            <w:tcW w:w="835" w:type="pct"/>
            <w:vAlign w:val="center"/>
          </w:tcPr>
          <w:p w14:paraId="45ACE213">
            <w:pPr>
              <w:jc w:val="center"/>
              <w:rPr>
                <w:rFonts w:ascii="Times New Roman" w:hAnsi="Times New Roman" w:eastAsia="仿宋_GB2312"/>
                <w:sz w:val="24"/>
              </w:rPr>
            </w:pPr>
            <w:r>
              <w:rPr>
                <w:rFonts w:ascii="Times New Roman" w:hAnsi="Times New Roman" w:eastAsia="仿宋_GB2312"/>
                <w:sz w:val="24"/>
              </w:rPr>
              <w:t>/</w:t>
            </w:r>
          </w:p>
        </w:tc>
      </w:tr>
      <w:tr w14:paraId="74504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vAlign w:val="center"/>
          </w:tcPr>
          <w:p w14:paraId="5D9D9A28">
            <w:pPr>
              <w:jc w:val="center"/>
              <w:rPr>
                <w:rFonts w:ascii="Times New Roman" w:hAnsi="Times New Roman" w:eastAsia="仿宋_GB2312"/>
                <w:color w:val="000000"/>
                <w:sz w:val="24"/>
              </w:rPr>
            </w:pPr>
            <w:r>
              <w:rPr>
                <w:rFonts w:hint="eastAsia" w:ascii="Times New Roman" w:hAnsi="Times New Roman" w:eastAsia="仿宋_GB2312"/>
                <w:color w:val="000000"/>
                <w:sz w:val="24"/>
              </w:rPr>
              <w:t>3</w:t>
            </w:r>
          </w:p>
        </w:tc>
        <w:tc>
          <w:tcPr>
            <w:tcW w:w="714" w:type="pct"/>
            <w:vAlign w:val="center"/>
          </w:tcPr>
          <w:p w14:paraId="0C23DB35">
            <w:pPr>
              <w:jc w:val="center"/>
              <w:rPr>
                <w:rFonts w:ascii="Times New Roman" w:hAnsi="Times New Roman" w:eastAsia="仿宋_GB2312"/>
                <w:sz w:val="24"/>
              </w:rPr>
            </w:pPr>
            <w:r>
              <w:rPr>
                <w:rFonts w:hint="eastAsia" w:ascii="Times New Roman" w:hAnsi="Times New Roman" w:eastAsia="仿宋_GB2312"/>
                <w:sz w:val="24"/>
              </w:rPr>
              <w:t>2</w:t>
            </w:r>
            <w:r>
              <w:rPr>
                <w:rFonts w:ascii="Times New Roman" w:hAnsi="Times New Roman" w:eastAsia="仿宋_GB2312"/>
                <w:sz w:val="24"/>
              </w:rPr>
              <w:t>020</w:t>
            </w:r>
          </w:p>
        </w:tc>
        <w:tc>
          <w:tcPr>
            <w:tcW w:w="1287" w:type="pct"/>
            <w:vAlign w:val="center"/>
          </w:tcPr>
          <w:p w14:paraId="78E3E951">
            <w:pPr>
              <w:jc w:val="center"/>
              <w:rPr>
                <w:rFonts w:ascii="Times New Roman" w:hAnsi="Times New Roman" w:eastAsia="仿宋_GB2312"/>
                <w:sz w:val="24"/>
              </w:rPr>
            </w:pPr>
            <w:r>
              <w:rPr>
                <w:rFonts w:hint="eastAsia" w:ascii="Times New Roman" w:hAnsi="Times New Roman" w:eastAsia="仿宋_GB2312"/>
                <w:sz w:val="24"/>
              </w:rPr>
              <w:t>X</w:t>
            </w:r>
            <w:r>
              <w:rPr>
                <w:rFonts w:ascii="Times New Roman" w:hAnsi="Times New Roman" w:eastAsia="仿宋_GB2312"/>
                <w:sz w:val="24"/>
              </w:rPr>
              <w:t>XX</w:t>
            </w:r>
          </w:p>
        </w:tc>
        <w:tc>
          <w:tcPr>
            <w:tcW w:w="910" w:type="pct"/>
            <w:vAlign w:val="center"/>
          </w:tcPr>
          <w:p w14:paraId="6B8711E0">
            <w:pPr>
              <w:jc w:val="center"/>
              <w:rPr>
                <w:rFonts w:ascii="Times New Roman" w:hAnsi="Times New Roman" w:eastAsia="仿宋_GB2312"/>
                <w:sz w:val="24"/>
              </w:rPr>
            </w:pPr>
            <w:r>
              <w:rPr>
                <w:rFonts w:ascii="Times New Roman" w:hAnsi="Times New Roman" w:eastAsia="仿宋_GB2312"/>
                <w:sz w:val="24"/>
              </w:rPr>
              <w:t>否</w:t>
            </w:r>
          </w:p>
        </w:tc>
        <w:tc>
          <w:tcPr>
            <w:tcW w:w="700" w:type="pct"/>
            <w:vAlign w:val="center"/>
          </w:tcPr>
          <w:p w14:paraId="5AFAD35B">
            <w:pPr>
              <w:jc w:val="center"/>
              <w:rPr>
                <w:rFonts w:ascii="Times New Roman" w:hAnsi="Times New Roman" w:eastAsia="仿宋_GB2312"/>
                <w:sz w:val="24"/>
              </w:rPr>
            </w:pPr>
            <w:r>
              <w:rPr>
                <w:rFonts w:hint="eastAsia" w:ascii="Times New Roman" w:hAnsi="Times New Roman" w:eastAsia="仿宋_GB2312"/>
                <w:sz w:val="24"/>
              </w:rPr>
              <w:t>X</w:t>
            </w:r>
            <w:r>
              <w:rPr>
                <w:rFonts w:ascii="Times New Roman" w:hAnsi="Times New Roman" w:eastAsia="仿宋_GB2312"/>
                <w:sz w:val="24"/>
              </w:rPr>
              <w:t>XX</w:t>
            </w:r>
          </w:p>
        </w:tc>
        <w:tc>
          <w:tcPr>
            <w:tcW w:w="835" w:type="pct"/>
            <w:vAlign w:val="center"/>
          </w:tcPr>
          <w:p w14:paraId="2BB34F29">
            <w:pPr>
              <w:jc w:val="center"/>
              <w:rPr>
                <w:rFonts w:ascii="Times New Roman" w:hAnsi="Times New Roman" w:eastAsia="仿宋_GB2312"/>
                <w:sz w:val="24"/>
              </w:rPr>
            </w:pPr>
          </w:p>
        </w:tc>
      </w:tr>
      <w:tr w14:paraId="35FE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tcPr>
          <w:p w14:paraId="4B03CBBB">
            <w:pPr>
              <w:jc w:val="center"/>
              <w:rPr>
                <w:rFonts w:ascii="Times New Roman" w:hAnsi="Times New Roman" w:eastAsia="仿宋_GB2312"/>
                <w:sz w:val="24"/>
              </w:rPr>
            </w:pPr>
            <w:r>
              <w:rPr>
                <w:rFonts w:ascii="Times New Roman" w:hAnsi="Times New Roman" w:eastAsia="仿宋_GB2312"/>
                <w:color w:val="000000"/>
                <w:sz w:val="24"/>
              </w:rPr>
              <w:t>合计</w:t>
            </w:r>
          </w:p>
        </w:tc>
        <w:tc>
          <w:tcPr>
            <w:tcW w:w="714" w:type="pct"/>
          </w:tcPr>
          <w:p w14:paraId="05CC8114">
            <w:pPr>
              <w:rPr>
                <w:rFonts w:ascii="Times New Roman" w:hAnsi="Times New Roman" w:eastAsia="仿宋_GB2312"/>
                <w:sz w:val="24"/>
              </w:rPr>
            </w:pPr>
          </w:p>
        </w:tc>
        <w:tc>
          <w:tcPr>
            <w:tcW w:w="1287" w:type="pct"/>
          </w:tcPr>
          <w:p w14:paraId="0DA390FC">
            <w:pPr>
              <w:rPr>
                <w:rFonts w:ascii="Times New Roman" w:hAnsi="Times New Roman" w:eastAsia="仿宋_GB2312"/>
                <w:sz w:val="24"/>
              </w:rPr>
            </w:pPr>
          </w:p>
        </w:tc>
        <w:tc>
          <w:tcPr>
            <w:tcW w:w="910" w:type="pct"/>
          </w:tcPr>
          <w:p w14:paraId="71760A3B">
            <w:pPr>
              <w:rPr>
                <w:rFonts w:ascii="Times New Roman" w:hAnsi="Times New Roman" w:eastAsia="仿宋_GB2312"/>
                <w:sz w:val="24"/>
              </w:rPr>
            </w:pPr>
          </w:p>
        </w:tc>
        <w:tc>
          <w:tcPr>
            <w:tcW w:w="700" w:type="pct"/>
            <w:vAlign w:val="center"/>
          </w:tcPr>
          <w:p w14:paraId="6898BD18">
            <w:pPr>
              <w:jc w:val="center"/>
              <w:rPr>
                <w:rFonts w:ascii="Times New Roman" w:hAnsi="Times New Roman" w:eastAsia="仿宋_GB2312"/>
                <w:sz w:val="24"/>
              </w:rPr>
            </w:pPr>
            <w:r>
              <w:rPr>
                <w:rFonts w:ascii="Times New Roman" w:hAnsi="Times New Roman" w:eastAsia="仿宋_GB2312"/>
                <w:sz w:val="24"/>
              </w:rPr>
              <w:t>XXX</w:t>
            </w:r>
          </w:p>
        </w:tc>
        <w:tc>
          <w:tcPr>
            <w:tcW w:w="835" w:type="pct"/>
          </w:tcPr>
          <w:p w14:paraId="54A48C9E">
            <w:pPr>
              <w:jc w:val="center"/>
              <w:rPr>
                <w:rFonts w:ascii="Times New Roman" w:hAnsi="Times New Roman" w:eastAsia="仿宋_GB2312"/>
                <w:sz w:val="24"/>
              </w:rPr>
            </w:pPr>
            <w:r>
              <w:rPr>
                <w:rFonts w:ascii="Times New Roman" w:hAnsi="Times New Roman" w:eastAsia="仿宋_GB2312"/>
                <w:sz w:val="24"/>
              </w:rPr>
              <w:t>/</w:t>
            </w:r>
          </w:p>
        </w:tc>
      </w:tr>
    </w:tbl>
    <w:p w14:paraId="4C12E0BD">
      <w:pPr>
        <w:spacing w:after="0" w:line="560" w:lineRule="exact"/>
        <w:ind w:firstLine="465"/>
        <w:jc w:val="both"/>
        <w:rPr>
          <w:rFonts w:ascii="Times New Roman" w:hAnsi="Times New Roman" w:eastAsia="仿宋_GB2312"/>
          <w:sz w:val="32"/>
          <w:szCs w:val="32"/>
        </w:rPr>
      </w:pPr>
      <w:r>
        <w:rPr>
          <w:rFonts w:ascii="Times New Roman" w:hAnsi="Times New Roman" w:eastAsia="仿宋_GB2312"/>
          <w:sz w:val="32"/>
          <w:szCs w:val="32"/>
        </w:rPr>
        <w:t>排放单位2020年新增设施的总排放量为XXX吨，是基准年排放量的XXX%</w:t>
      </w:r>
      <w:r>
        <w:rPr>
          <w:rStyle w:val="39"/>
          <w:rFonts w:eastAsia="仿宋_GB2312"/>
          <w:sz w:val="32"/>
          <w:szCs w:val="32"/>
        </w:rPr>
        <w:t>，新增设施主要用于废弃物协同处置，对应的xx废弃物处理量为xxx吨</w:t>
      </w:r>
      <w:r>
        <w:rPr>
          <w:rFonts w:ascii="Times New Roman" w:hAnsi="Times New Roman" w:eastAsia="仿宋_GB2312"/>
          <w:sz w:val="32"/>
          <w:szCs w:val="32"/>
        </w:rPr>
        <w:t>。此信息供新增设施发放配额参考。</w:t>
      </w:r>
    </w:p>
    <w:p w14:paraId="0F578633">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 核查过程未覆盖的问题描述</w:t>
      </w:r>
    </w:p>
    <w:p w14:paraId="3DAA5C08">
      <w:pPr>
        <w:spacing w:after="0" w:line="560" w:lineRule="exact"/>
        <w:ind w:firstLine="640" w:firstLineChars="200"/>
        <w:rPr>
          <w:rFonts w:ascii="Times New Roman" w:hAnsi="Times New Roman"/>
        </w:rPr>
      </w:pPr>
      <w:r>
        <w:rPr>
          <w:rFonts w:ascii="Times New Roman" w:hAnsi="Times New Roman" w:eastAsia="仿宋_GB2312"/>
          <w:sz w:val="32"/>
          <w:szCs w:val="32"/>
        </w:rPr>
        <w:t>由于天然气表和电表分别为燃气公司及电力公司管控，因此未能核查这些仪表的检定信息。</w:t>
      </w:r>
    </w:p>
    <w:p w14:paraId="174F5EC1">
      <w:pPr>
        <w:spacing w:after="0" w:line="560" w:lineRule="exact"/>
        <w:rPr>
          <w:rFonts w:ascii="Times New Roman" w:hAnsi="Times New Roman"/>
        </w:rPr>
        <w:sectPr>
          <w:pgSz w:w="11906" w:h="16838"/>
          <w:pgMar w:top="2098" w:right="1474" w:bottom="1984" w:left="1587" w:header="851" w:footer="1587" w:gutter="0"/>
          <w:pgNumType w:fmt="decimal"/>
          <w:cols w:space="0" w:num="1"/>
          <w:rtlGutter w:val="0"/>
          <w:docGrid w:type="lines" w:linePitch="312" w:charSpace="0"/>
        </w:sectPr>
      </w:pPr>
    </w:p>
    <w:p w14:paraId="085BBC22">
      <w:pPr>
        <w:pStyle w:val="4"/>
        <w:spacing w:before="0" w:after="0" w:line="56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石油化工生产企业</w:t>
      </w:r>
    </w:p>
    <w:p w14:paraId="672E69D9">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
          <w:sz w:val="32"/>
          <w:szCs w:val="32"/>
        </w:rPr>
        <w:t>xxxx公司（以下简称排放单位）委托xxx公司开展XXXX年</w:t>
      </w:r>
      <w:r>
        <w:rPr>
          <w:rFonts w:ascii="Times New Roman" w:hAnsi="Times New Roman" w:eastAsia="仿宋_GB2312"/>
          <w:sz w:val="32"/>
          <w:szCs w:val="32"/>
        </w:rPr>
        <w:t>二氧化碳排放的核查工作。核查范围包括排放单位所有在北京市行政辖区内固定设施导致的二氧化碳直接排放和二氧化碳间接排放。</w:t>
      </w:r>
    </w:p>
    <w:p w14:paraId="16909DFC">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通过文件评审、现场访问、核查报告编写及内部技术复核，核查组对排放单位XXXX年度二氧化碳排放报告形成如下核查结论：</w:t>
      </w:r>
    </w:p>
    <w:p w14:paraId="2E1C5813">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 核算、报告与方法学的符合性</w:t>
      </w:r>
    </w:p>
    <w:p w14:paraId="19B7B89D">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核查组确认所有不符合已全部关闭，排放单位的核算与报告均符合方法学</w:t>
      </w:r>
      <w:r>
        <w:rPr>
          <w:rFonts w:hint="eastAsia" w:ascii="Times New Roman" w:hAnsi="Times New Roman" w:eastAsia="仿宋_GB2312"/>
          <w:sz w:val="32"/>
          <w:szCs w:val="32"/>
        </w:rPr>
        <w:t>《二氧化碳排放核算和报告要求石油化工生产业》（DB11/T 1783-2020）</w:t>
      </w:r>
      <w:r>
        <w:rPr>
          <w:rFonts w:ascii="Times New Roman" w:hAnsi="Times New Roman" w:eastAsia="仿宋_GB2312"/>
          <w:sz w:val="32"/>
          <w:szCs w:val="32"/>
        </w:rPr>
        <w:t>的要求，核查组对本排放报告出具肯定的核查结论。</w:t>
      </w:r>
    </w:p>
    <w:p w14:paraId="54DAB810">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 本年度排放量及活动水平数据的声明</w:t>
      </w:r>
    </w:p>
    <w:p w14:paraId="1A62726A">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经核查的直接和间接排放量与最终排放报告中的数据一致。经核查的直接排放量为2000.00吨（化石燃料燃烧排放量为1500.00吨，工业生产过程排放量为500.00吨），间接排放量为12000.00吨，总排放量为14000.00吨。</w:t>
      </w:r>
    </w:p>
    <w:p w14:paraId="041ECE5D">
      <w:pPr>
        <w:spacing w:after="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经核查的产品产量、产值与最终排放报告中数据一致。经核查的</w:t>
      </w:r>
      <w:r>
        <w:rPr>
          <w:rFonts w:ascii="Times New Roman" w:hAnsi="Times New Roman" w:eastAsia="仿宋_GB2312"/>
          <w:sz w:val="32"/>
          <w:szCs w:val="32"/>
        </w:rPr>
        <w:t>xx</w:t>
      </w:r>
      <w:r>
        <w:rPr>
          <w:rFonts w:hint="eastAsia" w:ascii="Times New Roman" w:hAnsi="Times New Roman" w:eastAsia="仿宋_GB2312"/>
          <w:sz w:val="32"/>
          <w:szCs w:val="32"/>
        </w:rPr>
        <w:t>产品产量为</w:t>
      </w:r>
      <w:r>
        <w:rPr>
          <w:rFonts w:ascii="Times New Roman" w:hAnsi="Times New Roman" w:eastAsia="仿宋_GB2312"/>
          <w:sz w:val="32"/>
          <w:szCs w:val="32"/>
        </w:rPr>
        <w:t>xx</w:t>
      </w:r>
      <w:r>
        <w:rPr>
          <w:rFonts w:hint="eastAsia" w:ascii="Times New Roman" w:hAnsi="Times New Roman" w:eastAsia="仿宋_GB2312"/>
          <w:sz w:val="32"/>
          <w:szCs w:val="32"/>
        </w:rPr>
        <w:t>吨，产值为</w:t>
      </w:r>
      <w:r>
        <w:rPr>
          <w:rFonts w:ascii="Times New Roman" w:hAnsi="Times New Roman" w:eastAsia="仿宋_GB2312"/>
          <w:sz w:val="32"/>
          <w:szCs w:val="32"/>
        </w:rPr>
        <w:t>xxx</w:t>
      </w:r>
      <w:r>
        <w:rPr>
          <w:rFonts w:hint="eastAsia" w:ascii="Times New Roman" w:hAnsi="Times New Roman" w:eastAsia="仿宋_GB2312"/>
          <w:sz w:val="32"/>
          <w:szCs w:val="32"/>
        </w:rPr>
        <w:t>万元。</w:t>
      </w:r>
    </w:p>
    <w:p w14:paraId="50D67BD1">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 年度排放量及活动水平波动的原因说明</w:t>
      </w:r>
    </w:p>
    <w:p w14:paraId="514BDCA4">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本年度排放量与上年度排放量相比下降了3000.00吨/17.65%，其中，直接排放量下降了1500.00吨/42.86%，间接排放量下降了1500.00吨/11.11%。原因为xxxxxx。</w:t>
      </w:r>
    </w:p>
    <w:p w14:paraId="637AB9F8">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本年度排放量与历史基准年份排放量相比下降了3000.00吨，下降比例为17.65%。原因为xxxxxx。</w:t>
      </w:r>
    </w:p>
    <w:p w14:paraId="6C6E7451">
      <w:pPr>
        <w:spacing w:after="0" w:line="560" w:lineRule="exact"/>
        <w:jc w:val="center"/>
        <w:rPr>
          <w:rFonts w:ascii="Times New Roman" w:hAnsi="Times New Roman" w:eastAsia="仿宋_GB2312"/>
          <w:sz w:val="32"/>
          <w:szCs w:val="32"/>
        </w:rPr>
      </w:pPr>
      <w:r>
        <w:rPr>
          <w:rFonts w:ascii="Times New Roman" w:hAnsi="Times New Roman" w:eastAsia="仿宋_GB2312"/>
          <w:sz w:val="24"/>
        </w:rPr>
        <w:t>表XX  排放量汇总表</w:t>
      </w:r>
    </w:p>
    <w:tbl>
      <w:tblPr>
        <w:tblStyle w:val="35"/>
        <w:tblW w:w="79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144"/>
        <w:gridCol w:w="2243"/>
        <w:gridCol w:w="2270"/>
      </w:tblGrid>
      <w:tr w14:paraId="66439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260" w:type="dxa"/>
            <w:vAlign w:val="center"/>
          </w:tcPr>
          <w:p w14:paraId="47767EFA">
            <w:pPr>
              <w:jc w:val="center"/>
              <w:rPr>
                <w:rFonts w:ascii="Times New Roman" w:hAnsi="Times New Roman" w:eastAsia="仿宋_GB2312"/>
                <w:color w:val="000000"/>
                <w:sz w:val="24"/>
              </w:rPr>
            </w:pPr>
            <w:r>
              <w:rPr>
                <w:rFonts w:ascii="Times New Roman" w:hAnsi="Times New Roman" w:eastAsia="仿宋_GB2312"/>
                <w:color w:val="000000"/>
                <w:sz w:val="24"/>
              </w:rPr>
              <w:t>年度</w:t>
            </w:r>
          </w:p>
        </w:tc>
        <w:tc>
          <w:tcPr>
            <w:tcW w:w="2144" w:type="dxa"/>
            <w:vAlign w:val="center"/>
          </w:tcPr>
          <w:p w14:paraId="4C6AFFE1">
            <w:pPr>
              <w:jc w:val="center"/>
              <w:rPr>
                <w:rFonts w:ascii="Times New Roman" w:hAnsi="Times New Roman" w:eastAsia="仿宋_GB2312"/>
                <w:color w:val="000000"/>
                <w:sz w:val="24"/>
              </w:rPr>
            </w:pPr>
            <w:r>
              <w:rPr>
                <w:rFonts w:ascii="Times New Roman" w:hAnsi="Times New Roman" w:eastAsia="仿宋_GB2312"/>
                <w:color w:val="000000"/>
                <w:sz w:val="24"/>
              </w:rPr>
              <w:t>直接排放量（tCO2）</w:t>
            </w:r>
          </w:p>
        </w:tc>
        <w:tc>
          <w:tcPr>
            <w:tcW w:w="2243" w:type="dxa"/>
            <w:vAlign w:val="center"/>
          </w:tcPr>
          <w:p w14:paraId="64679069">
            <w:pPr>
              <w:jc w:val="center"/>
              <w:rPr>
                <w:rFonts w:ascii="Times New Roman" w:hAnsi="Times New Roman" w:eastAsia="仿宋_GB2312"/>
                <w:color w:val="000000"/>
                <w:sz w:val="24"/>
              </w:rPr>
            </w:pPr>
            <w:r>
              <w:rPr>
                <w:rFonts w:ascii="Times New Roman" w:hAnsi="Times New Roman" w:eastAsia="仿宋_GB2312"/>
                <w:color w:val="000000"/>
                <w:sz w:val="24"/>
              </w:rPr>
              <w:t>间接排放量（tCO2）</w:t>
            </w:r>
          </w:p>
        </w:tc>
        <w:tc>
          <w:tcPr>
            <w:tcW w:w="2270" w:type="dxa"/>
            <w:vAlign w:val="center"/>
          </w:tcPr>
          <w:p w14:paraId="5F8A16A4">
            <w:pPr>
              <w:jc w:val="center"/>
              <w:rPr>
                <w:rFonts w:ascii="Times New Roman" w:hAnsi="Times New Roman" w:eastAsia="仿宋_GB2312"/>
                <w:color w:val="000000"/>
                <w:sz w:val="24"/>
              </w:rPr>
            </w:pPr>
            <w:r>
              <w:rPr>
                <w:rFonts w:ascii="Times New Roman" w:hAnsi="Times New Roman" w:eastAsia="仿宋_GB2312"/>
                <w:color w:val="000000"/>
                <w:sz w:val="24"/>
              </w:rPr>
              <w:t>排放总量（tCO2）</w:t>
            </w:r>
          </w:p>
        </w:tc>
      </w:tr>
      <w:tr w14:paraId="78916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260" w:type="dxa"/>
            <w:noWrap/>
            <w:vAlign w:val="center"/>
          </w:tcPr>
          <w:p w14:paraId="0757E4F7">
            <w:pPr>
              <w:jc w:val="center"/>
              <w:rPr>
                <w:rFonts w:ascii="Times New Roman" w:hAnsi="Times New Roman" w:eastAsia="仿宋_GB2312"/>
                <w:color w:val="000000"/>
                <w:sz w:val="24"/>
              </w:rPr>
            </w:pPr>
            <w:r>
              <w:rPr>
                <w:rFonts w:ascii="Times New Roman" w:hAnsi="Times New Roman" w:eastAsia="仿宋_GB2312"/>
                <w:color w:val="000000"/>
                <w:sz w:val="24"/>
              </w:rPr>
              <w:t>2016</w:t>
            </w:r>
          </w:p>
        </w:tc>
        <w:tc>
          <w:tcPr>
            <w:tcW w:w="2144" w:type="dxa"/>
            <w:noWrap/>
            <w:vAlign w:val="center"/>
          </w:tcPr>
          <w:p w14:paraId="18B68323">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5000.00 </w:t>
            </w:r>
          </w:p>
        </w:tc>
        <w:tc>
          <w:tcPr>
            <w:tcW w:w="2243" w:type="dxa"/>
            <w:noWrap/>
            <w:vAlign w:val="center"/>
          </w:tcPr>
          <w:p w14:paraId="0BECF912">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14297.00 </w:t>
            </w:r>
          </w:p>
        </w:tc>
        <w:tc>
          <w:tcPr>
            <w:tcW w:w="2270" w:type="dxa"/>
            <w:vAlign w:val="center"/>
          </w:tcPr>
          <w:p w14:paraId="5EA2A2C5">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19297.00 </w:t>
            </w:r>
          </w:p>
        </w:tc>
      </w:tr>
      <w:tr w14:paraId="193EE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noWrap/>
            <w:vAlign w:val="center"/>
          </w:tcPr>
          <w:p w14:paraId="5C223D2F">
            <w:pPr>
              <w:jc w:val="center"/>
              <w:rPr>
                <w:rFonts w:ascii="Times New Roman" w:hAnsi="Times New Roman" w:eastAsia="仿宋_GB2312"/>
                <w:color w:val="000000"/>
                <w:sz w:val="24"/>
              </w:rPr>
            </w:pPr>
            <w:r>
              <w:rPr>
                <w:rFonts w:ascii="Times New Roman" w:hAnsi="Times New Roman" w:eastAsia="仿宋_GB2312"/>
                <w:color w:val="000000"/>
                <w:sz w:val="24"/>
              </w:rPr>
              <w:t>2017</w:t>
            </w:r>
          </w:p>
        </w:tc>
        <w:tc>
          <w:tcPr>
            <w:tcW w:w="2144" w:type="dxa"/>
            <w:noWrap/>
            <w:vAlign w:val="center"/>
          </w:tcPr>
          <w:p w14:paraId="16BFCD61">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3000.00 </w:t>
            </w:r>
          </w:p>
        </w:tc>
        <w:tc>
          <w:tcPr>
            <w:tcW w:w="2243" w:type="dxa"/>
            <w:noWrap/>
            <w:vAlign w:val="center"/>
          </w:tcPr>
          <w:p w14:paraId="335ED96B">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13643.00 </w:t>
            </w:r>
          </w:p>
        </w:tc>
        <w:tc>
          <w:tcPr>
            <w:tcW w:w="2270" w:type="dxa"/>
            <w:vAlign w:val="center"/>
          </w:tcPr>
          <w:p w14:paraId="223EFC0E">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16643.00 </w:t>
            </w:r>
          </w:p>
        </w:tc>
      </w:tr>
      <w:tr w14:paraId="1FF18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noWrap/>
            <w:vAlign w:val="center"/>
          </w:tcPr>
          <w:p w14:paraId="40907D3A">
            <w:pPr>
              <w:jc w:val="center"/>
              <w:rPr>
                <w:rFonts w:ascii="Times New Roman" w:hAnsi="Times New Roman" w:eastAsia="仿宋_GB2312"/>
                <w:color w:val="000000"/>
                <w:sz w:val="24"/>
              </w:rPr>
            </w:pPr>
            <w:r>
              <w:rPr>
                <w:rFonts w:ascii="Times New Roman" w:hAnsi="Times New Roman" w:eastAsia="仿宋_GB2312"/>
                <w:color w:val="000000"/>
                <w:sz w:val="24"/>
              </w:rPr>
              <w:t>2018</w:t>
            </w:r>
          </w:p>
        </w:tc>
        <w:tc>
          <w:tcPr>
            <w:tcW w:w="2144" w:type="dxa"/>
            <w:noWrap/>
            <w:vAlign w:val="center"/>
          </w:tcPr>
          <w:p w14:paraId="2C837AD7">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3500.00 </w:t>
            </w:r>
          </w:p>
        </w:tc>
        <w:tc>
          <w:tcPr>
            <w:tcW w:w="2243" w:type="dxa"/>
            <w:noWrap/>
            <w:vAlign w:val="center"/>
          </w:tcPr>
          <w:p w14:paraId="7E0BD385">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13500.00 </w:t>
            </w:r>
          </w:p>
        </w:tc>
        <w:tc>
          <w:tcPr>
            <w:tcW w:w="2270" w:type="dxa"/>
            <w:vAlign w:val="center"/>
          </w:tcPr>
          <w:p w14:paraId="685E2E4A">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17000.00 </w:t>
            </w:r>
          </w:p>
        </w:tc>
      </w:tr>
      <w:tr w14:paraId="456A4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noWrap/>
            <w:vAlign w:val="center"/>
          </w:tcPr>
          <w:p w14:paraId="0917B064">
            <w:pPr>
              <w:jc w:val="center"/>
              <w:rPr>
                <w:rFonts w:ascii="Times New Roman" w:hAnsi="Times New Roman" w:eastAsia="仿宋_GB2312"/>
                <w:color w:val="000000"/>
                <w:sz w:val="24"/>
              </w:rPr>
            </w:pPr>
            <w:r>
              <w:rPr>
                <w:rFonts w:ascii="Times New Roman" w:hAnsi="Times New Roman" w:eastAsia="仿宋_GB2312"/>
                <w:color w:val="000000"/>
                <w:sz w:val="24"/>
              </w:rPr>
              <w:t>2019</w:t>
            </w:r>
          </w:p>
        </w:tc>
        <w:tc>
          <w:tcPr>
            <w:tcW w:w="2144" w:type="dxa"/>
            <w:noWrap/>
            <w:vAlign w:val="center"/>
          </w:tcPr>
          <w:p w14:paraId="762D298D">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2000.00 </w:t>
            </w:r>
          </w:p>
        </w:tc>
        <w:tc>
          <w:tcPr>
            <w:tcW w:w="2243" w:type="dxa"/>
            <w:noWrap/>
            <w:vAlign w:val="center"/>
          </w:tcPr>
          <w:p w14:paraId="3D13CF70">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12000.00 </w:t>
            </w:r>
          </w:p>
        </w:tc>
        <w:tc>
          <w:tcPr>
            <w:tcW w:w="2270" w:type="dxa"/>
            <w:vAlign w:val="center"/>
          </w:tcPr>
          <w:p w14:paraId="4F1B4CF4">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14000.00 </w:t>
            </w:r>
          </w:p>
        </w:tc>
      </w:tr>
      <w:tr w14:paraId="1644E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noWrap/>
            <w:vAlign w:val="center"/>
          </w:tcPr>
          <w:p w14:paraId="576B491B">
            <w:pPr>
              <w:jc w:val="center"/>
              <w:rPr>
                <w:rFonts w:ascii="Times New Roman" w:hAnsi="Times New Roman" w:eastAsia="仿宋_GB2312"/>
                <w:color w:val="000000"/>
                <w:sz w:val="24"/>
              </w:rPr>
            </w:pPr>
            <w:r>
              <w:rPr>
                <w:rFonts w:hint="eastAsia" w:ascii="Times New Roman" w:hAnsi="Times New Roman" w:eastAsia="仿宋_GB2312"/>
                <w:color w:val="000000"/>
                <w:sz w:val="24"/>
              </w:rPr>
              <w:t>2</w:t>
            </w:r>
            <w:r>
              <w:rPr>
                <w:rFonts w:ascii="Times New Roman" w:hAnsi="Times New Roman" w:eastAsia="仿宋_GB2312"/>
                <w:color w:val="000000"/>
                <w:sz w:val="24"/>
              </w:rPr>
              <w:t>020</w:t>
            </w:r>
          </w:p>
        </w:tc>
        <w:tc>
          <w:tcPr>
            <w:tcW w:w="2144" w:type="dxa"/>
            <w:noWrap/>
            <w:vAlign w:val="center"/>
          </w:tcPr>
          <w:p w14:paraId="094599AE">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2000.00 </w:t>
            </w:r>
          </w:p>
        </w:tc>
        <w:tc>
          <w:tcPr>
            <w:tcW w:w="2243" w:type="dxa"/>
            <w:noWrap/>
            <w:vAlign w:val="center"/>
          </w:tcPr>
          <w:p w14:paraId="65C443FB">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12000.00 </w:t>
            </w:r>
          </w:p>
        </w:tc>
        <w:tc>
          <w:tcPr>
            <w:tcW w:w="2270" w:type="dxa"/>
            <w:vAlign w:val="center"/>
          </w:tcPr>
          <w:p w14:paraId="42580EEB">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14000.00 </w:t>
            </w:r>
          </w:p>
        </w:tc>
      </w:tr>
    </w:tbl>
    <w:p w14:paraId="7834869C">
      <w:pPr>
        <w:ind w:firstLine="440" w:firstLineChars="200"/>
        <w:rPr>
          <w:rFonts w:ascii="Times New Roman" w:hAnsi="Times New Roman"/>
        </w:rPr>
      </w:pPr>
      <w:r>
        <w:rPr>
          <w:lang w:val="en-US"/>
        </w:rPr>
        <w:drawing>
          <wp:inline distT="0" distB="0" distL="0" distR="0">
            <wp:extent cx="4568825" cy="2740025"/>
            <wp:effectExtent l="4445" t="4445" r="17780" b="17780"/>
            <wp:docPr id="6" name="图表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5257C0E">
      <w:pPr>
        <w:spacing w:after="0" w:line="560" w:lineRule="exact"/>
        <w:jc w:val="center"/>
        <w:rPr>
          <w:rFonts w:ascii="Times New Roman" w:hAnsi="Times New Roman"/>
        </w:rPr>
      </w:pPr>
      <w:r>
        <w:rPr>
          <w:rFonts w:ascii="Times New Roman" w:hAnsi="Times New Roman" w:eastAsia="仿宋_GB2312"/>
          <w:sz w:val="24"/>
        </w:rPr>
        <w:t>图XX  排放量变化趋势图（增加</w:t>
      </w:r>
      <w:r>
        <w:rPr>
          <w:rFonts w:hint="eastAsia" w:ascii="Times New Roman" w:hAnsi="Times New Roman" w:eastAsia="仿宋_GB2312"/>
          <w:sz w:val="24"/>
        </w:rPr>
        <w:t>2</w:t>
      </w:r>
      <w:r>
        <w:rPr>
          <w:rFonts w:ascii="Times New Roman" w:hAnsi="Times New Roman" w:eastAsia="仿宋_GB2312"/>
          <w:sz w:val="24"/>
        </w:rPr>
        <w:t>020年度）</w:t>
      </w:r>
    </w:p>
    <w:p w14:paraId="30559505">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 核算和报告边界变化</w:t>
      </w:r>
      <w:r>
        <w:rPr>
          <w:rFonts w:hint="eastAsia" w:ascii="Times New Roman" w:hAnsi="Times New Roman" w:eastAsia="仿宋_GB2312"/>
          <w:sz w:val="32"/>
          <w:szCs w:val="32"/>
        </w:rPr>
        <w:t>（含设施变化）</w:t>
      </w:r>
      <w:r>
        <w:rPr>
          <w:rFonts w:ascii="Times New Roman" w:hAnsi="Times New Roman" w:eastAsia="仿宋_GB2312"/>
          <w:sz w:val="32"/>
          <w:szCs w:val="32"/>
        </w:rPr>
        <w:t>情况</w:t>
      </w:r>
    </w:p>
    <w:p w14:paraId="4DCFE112">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4.1 本年度场所边界的变化</w:t>
      </w:r>
    </w:p>
    <w:p w14:paraId="1471A9CE">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排放单位核算和报告边界为位于xxx的生产厂区，有2条xxxx生产线。与上年度相比，场所边界无变化；与基准年相比，场所边界无变化。</w:t>
      </w:r>
    </w:p>
    <w:p w14:paraId="61C41583">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4.2 本年度排放设施的变化</w:t>
      </w:r>
    </w:p>
    <w:p w14:paraId="37C365A8">
      <w:pPr>
        <w:spacing w:after="0" w:line="560" w:lineRule="exact"/>
        <w:ind w:firstLine="640" w:firstLineChars="200"/>
        <w:rPr>
          <w:rFonts w:ascii="Times New Roman" w:hAnsi="Times New Roman" w:eastAsia="仿宋_GB2312"/>
          <w:b/>
          <w:bCs/>
          <w:sz w:val="32"/>
          <w:szCs w:val="32"/>
        </w:rPr>
      </w:pPr>
      <w:r>
        <w:rPr>
          <w:rFonts w:ascii="Times New Roman" w:hAnsi="Times New Roman" w:eastAsia="仿宋_GB2312"/>
          <w:sz w:val="32"/>
          <w:szCs w:val="32"/>
        </w:rPr>
        <w:t>排放单位不涉及既有设施排放配额调整。</w:t>
      </w:r>
    </w:p>
    <w:p w14:paraId="6F8FC5FD">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排放单位既有设施退出为xxx，未被新增设施替代。</w:t>
      </w:r>
    </w:p>
    <w:p w14:paraId="7DA0581D">
      <w:pPr>
        <w:spacing w:after="0" w:line="560" w:lineRule="exact"/>
        <w:jc w:val="center"/>
        <w:rPr>
          <w:rFonts w:ascii="Times New Roman" w:hAnsi="Times New Roman" w:eastAsia="仿宋_GB2312"/>
          <w:sz w:val="24"/>
        </w:rPr>
      </w:pPr>
      <w:r>
        <w:rPr>
          <w:rFonts w:ascii="Times New Roman" w:hAnsi="Times New Roman" w:eastAsia="仿宋_GB2312"/>
          <w:sz w:val="24"/>
        </w:rPr>
        <w:t>表XX  既有设施退出信息表</w:t>
      </w:r>
    </w:p>
    <w:tbl>
      <w:tblPr>
        <w:tblStyle w:val="3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63"/>
        <w:gridCol w:w="1086"/>
        <w:gridCol w:w="708"/>
        <w:gridCol w:w="912"/>
        <w:gridCol w:w="1075"/>
        <w:gridCol w:w="1174"/>
        <w:gridCol w:w="1174"/>
        <w:gridCol w:w="1174"/>
      </w:tblGrid>
      <w:tr w14:paraId="4D2FB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456" w:type="dxa"/>
            <w:vMerge w:val="restart"/>
            <w:vAlign w:val="center"/>
          </w:tcPr>
          <w:p w14:paraId="70B24F73">
            <w:pPr>
              <w:jc w:val="center"/>
              <w:rPr>
                <w:rFonts w:ascii="Times New Roman" w:hAnsi="Times New Roman" w:eastAsia="仿宋_GB2312"/>
                <w:sz w:val="24"/>
              </w:rPr>
            </w:pPr>
            <w:r>
              <w:rPr>
                <w:rFonts w:ascii="Times New Roman" w:hAnsi="Times New Roman" w:eastAsia="仿宋_GB2312"/>
                <w:sz w:val="24"/>
              </w:rPr>
              <w:t>序号</w:t>
            </w:r>
          </w:p>
        </w:tc>
        <w:tc>
          <w:tcPr>
            <w:tcW w:w="786" w:type="dxa"/>
            <w:vMerge w:val="restart"/>
            <w:vAlign w:val="center"/>
          </w:tcPr>
          <w:p w14:paraId="56D60953">
            <w:pPr>
              <w:jc w:val="center"/>
              <w:rPr>
                <w:rFonts w:ascii="Times New Roman" w:hAnsi="Times New Roman" w:eastAsia="仿宋_GB2312"/>
                <w:sz w:val="24"/>
              </w:rPr>
            </w:pPr>
            <w:r>
              <w:rPr>
                <w:rFonts w:ascii="Times New Roman" w:hAnsi="Times New Roman" w:eastAsia="仿宋_GB2312"/>
                <w:sz w:val="24"/>
              </w:rPr>
              <w:t>既有设施名称</w:t>
            </w:r>
          </w:p>
        </w:tc>
        <w:tc>
          <w:tcPr>
            <w:tcW w:w="1134" w:type="dxa"/>
            <w:vMerge w:val="restart"/>
            <w:vAlign w:val="center"/>
          </w:tcPr>
          <w:p w14:paraId="624F47BB">
            <w:pPr>
              <w:jc w:val="center"/>
              <w:rPr>
                <w:rFonts w:ascii="Times New Roman" w:hAnsi="Times New Roman" w:eastAsia="仿宋_GB2312"/>
                <w:sz w:val="24"/>
              </w:rPr>
            </w:pPr>
            <w:r>
              <w:rPr>
                <w:rFonts w:ascii="Times New Roman" w:hAnsi="Times New Roman" w:eastAsia="仿宋_GB2312"/>
                <w:sz w:val="24"/>
              </w:rPr>
              <w:t>既有设施对应其它生产信息（如适用）</w:t>
            </w:r>
          </w:p>
        </w:tc>
        <w:tc>
          <w:tcPr>
            <w:tcW w:w="709" w:type="dxa"/>
            <w:vMerge w:val="restart"/>
            <w:vAlign w:val="center"/>
          </w:tcPr>
          <w:p w14:paraId="62AC4925">
            <w:pPr>
              <w:jc w:val="center"/>
              <w:rPr>
                <w:rFonts w:ascii="Times New Roman" w:hAnsi="Times New Roman" w:eastAsia="仿宋_GB2312"/>
                <w:sz w:val="24"/>
              </w:rPr>
            </w:pPr>
            <w:r>
              <w:rPr>
                <w:rFonts w:ascii="Times New Roman" w:hAnsi="Times New Roman" w:eastAsia="仿宋_GB2312"/>
                <w:sz w:val="24"/>
              </w:rPr>
              <w:t>退出时间</w:t>
            </w:r>
          </w:p>
        </w:tc>
        <w:tc>
          <w:tcPr>
            <w:tcW w:w="968" w:type="dxa"/>
            <w:vMerge w:val="restart"/>
            <w:vAlign w:val="center"/>
          </w:tcPr>
          <w:p w14:paraId="43280393">
            <w:pPr>
              <w:jc w:val="center"/>
              <w:rPr>
                <w:rFonts w:ascii="Times New Roman" w:hAnsi="Times New Roman" w:eastAsia="仿宋_GB2312"/>
                <w:sz w:val="24"/>
              </w:rPr>
            </w:pPr>
            <w:r>
              <w:rPr>
                <w:rFonts w:ascii="Times New Roman" w:hAnsi="Times New Roman" w:eastAsia="仿宋_GB2312"/>
                <w:sz w:val="24"/>
              </w:rPr>
              <w:t>是否由新增设施替代</w:t>
            </w:r>
          </w:p>
        </w:tc>
        <w:tc>
          <w:tcPr>
            <w:tcW w:w="1121" w:type="dxa"/>
            <w:vMerge w:val="restart"/>
            <w:tcBorders>
              <w:right w:val="single" w:color="auto" w:sz="4" w:space="0"/>
            </w:tcBorders>
            <w:vAlign w:val="center"/>
          </w:tcPr>
          <w:p w14:paraId="6B400B13">
            <w:pPr>
              <w:jc w:val="center"/>
              <w:rPr>
                <w:rFonts w:ascii="Times New Roman" w:hAnsi="Times New Roman" w:eastAsia="仿宋_GB2312"/>
                <w:sz w:val="24"/>
              </w:rPr>
            </w:pPr>
            <w:r>
              <w:rPr>
                <w:rFonts w:ascii="Times New Roman" w:hAnsi="Times New Roman" w:eastAsia="仿宋_GB2312"/>
                <w:sz w:val="24"/>
              </w:rPr>
              <w:t>年度</w:t>
            </w:r>
          </w:p>
        </w:tc>
        <w:tc>
          <w:tcPr>
            <w:tcW w:w="3348" w:type="dxa"/>
            <w:gridSpan w:val="3"/>
            <w:tcBorders>
              <w:left w:val="single" w:color="auto" w:sz="4" w:space="0"/>
            </w:tcBorders>
            <w:vAlign w:val="center"/>
          </w:tcPr>
          <w:p w14:paraId="238925A5">
            <w:pPr>
              <w:jc w:val="center"/>
              <w:rPr>
                <w:rFonts w:ascii="Times New Roman" w:hAnsi="Times New Roman" w:eastAsia="仿宋_GB2312"/>
                <w:sz w:val="24"/>
              </w:rPr>
            </w:pPr>
            <w:r>
              <w:rPr>
                <w:rFonts w:ascii="Times New Roman" w:hAnsi="Times New Roman" w:eastAsia="仿宋_GB2312"/>
                <w:sz w:val="24"/>
              </w:rPr>
              <w:t>历史年度排放量</w:t>
            </w:r>
          </w:p>
        </w:tc>
      </w:tr>
      <w:tr w14:paraId="162BA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56" w:type="dxa"/>
            <w:vMerge w:val="continue"/>
            <w:vAlign w:val="center"/>
          </w:tcPr>
          <w:p w14:paraId="12C2D670">
            <w:pPr>
              <w:jc w:val="center"/>
              <w:rPr>
                <w:rFonts w:ascii="Times New Roman" w:hAnsi="Times New Roman" w:eastAsia="仿宋_GB2312"/>
                <w:sz w:val="24"/>
              </w:rPr>
            </w:pPr>
          </w:p>
        </w:tc>
        <w:tc>
          <w:tcPr>
            <w:tcW w:w="786" w:type="dxa"/>
            <w:vMerge w:val="continue"/>
            <w:vAlign w:val="center"/>
          </w:tcPr>
          <w:p w14:paraId="7991D782">
            <w:pPr>
              <w:jc w:val="center"/>
              <w:rPr>
                <w:rFonts w:ascii="Times New Roman" w:hAnsi="Times New Roman" w:eastAsia="仿宋_GB2312"/>
                <w:sz w:val="24"/>
              </w:rPr>
            </w:pPr>
          </w:p>
        </w:tc>
        <w:tc>
          <w:tcPr>
            <w:tcW w:w="1134" w:type="dxa"/>
            <w:vMerge w:val="continue"/>
            <w:vAlign w:val="center"/>
          </w:tcPr>
          <w:p w14:paraId="54D3A369">
            <w:pPr>
              <w:jc w:val="center"/>
              <w:rPr>
                <w:rFonts w:ascii="Times New Roman" w:hAnsi="Times New Roman" w:eastAsia="仿宋_GB2312"/>
                <w:sz w:val="24"/>
              </w:rPr>
            </w:pPr>
          </w:p>
        </w:tc>
        <w:tc>
          <w:tcPr>
            <w:tcW w:w="709" w:type="dxa"/>
            <w:vMerge w:val="continue"/>
            <w:vAlign w:val="center"/>
          </w:tcPr>
          <w:p w14:paraId="46E948EC">
            <w:pPr>
              <w:jc w:val="center"/>
              <w:rPr>
                <w:rFonts w:ascii="Times New Roman" w:hAnsi="Times New Roman" w:eastAsia="仿宋_GB2312"/>
                <w:sz w:val="24"/>
              </w:rPr>
            </w:pPr>
          </w:p>
        </w:tc>
        <w:tc>
          <w:tcPr>
            <w:tcW w:w="968" w:type="dxa"/>
            <w:vMerge w:val="continue"/>
            <w:vAlign w:val="center"/>
          </w:tcPr>
          <w:p w14:paraId="0427F3EB">
            <w:pPr>
              <w:jc w:val="center"/>
              <w:rPr>
                <w:rFonts w:ascii="Times New Roman" w:hAnsi="Times New Roman" w:eastAsia="仿宋_GB2312"/>
                <w:sz w:val="24"/>
              </w:rPr>
            </w:pPr>
          </w:p>
        </w:tc>
        <w:tc>
          <w:tcPr>
            <w:tcW w:w="1121" w:type="dxa"/>
            <w:vMerge w:val="continue"/>
            <w:tcBorders>
              <w:right w:val="single" w:color="auto" w:sz="4" w:space="0"/>
            </w:tcBorders>
            <w:vAlign w:val="center"/>
          </w:tcPr>
          <w:p w14:paraId="09D9F631">
            <w:pPr>
              <w:jc w:val="center"/>
              <w:rPr>
                <w:rFonts w:ascii="Times New Roman" w:hAnsi="Times New Roman" w:eastAsia="仿宋_GB2312"/>
                <w:sz w:val="24"/>
              </w:rPr>
            </w:pPr>
          </w:p>
        </w:tc>
        <w:tc>
          <w:tcPr>
            <w:tcW w:w="1116" w:type="dxa"/>
            <w:tcBorders>
              <w:left w:val="single" w:color="auto" w:sz="4" w:space="0"/>
            </w:tcBorders>
            <w:vAlign w:val="center"/>
          </w:tcPr>
          <w:p w14:paraId="7B0E61D0">
            <w:pPr>
              <w:jc w:val="center"/>
              <w:rPr>
                <w:rFonts w:ascii="Times New Roman" w:hAnsi="Times New Roman" w:eastAsia="仿宋_GB2312"/>
                <w:sz w:val="24"/>
              </w:rPr>
            </w:pPr>
            <w:r>
              <w:rPr>
                <w:rFonts w:ascii="Times New Roman" w:hAnsi="Times New Roman" w:eastAsia="仿宋_GB2312"/>
                <w:sz w:val="24"/>
              </w:rPr>
              <w:t>直接排放量</w:t>
            </w:r>
          </w:p>
          <w:p w14:paraId="773CF26B">
            <w:pPr>
              <w:jc w:val="center"/>
              <w:rPr>
                <w:rFonts w:ascii="Times New Roman" w:hAnsi="Times New Roman" w:eastAsia="仿宋_GB2312"/>
                <w:sz w:val="24"/>
              </w:rPr>
            </w:pPr>
            <w:r>
              <w:rPr>
                <w:rFonts w:ascii="Times New Roman" w:hAnsi="Times New Roman" w:eastAsia="仿宋_GB2312"/>
                <w:sz w:val="24"/>
              </w:rPr>
              <w:t>（tCO</w:t>
            </w:r>
            <w:r>
              <w:rPr>
                <w:rFonts w:ascii="Times New Roman" w:hAnsi="Times New Roman" w:eastAsia="仿宋_GB2312"/>
                <w:sz w:val="24"/>
                <w:vertAlign w:val="subscript"/>
              </w:rPr>
              <w:t>2</w:t>
            </w:r>
            <w:r>
              <w:rPr>
                <w:rFonts w:ascii="Times New Roman" w:hAnsi="Times New Roman" w:eastAsia="仿宋_GB2312"/>
                <w:sz w:val="24"/>
              </w:rPr>
              <w:t>）</w:t>
            </w:r>
          </w:p>
        </w:tc>
        <w:tc>
          <w:tcPr>
            <w:tcW w:w="1116" w:type="dxa"/>
            <w:vAlign w:val="center"/>
          </w:tcPr>
          <w:p w14:paraId="4366AE27">
            <w:pPr>
              <w:jc w:val="center"/>
              <w:rPr>
                <w:rFonts w:ascii="Times New Roman" w:hAnsi="Times New Roman" w:eastAsia="仿宋_GB2312"/>
                <w:sz w:val="24"/>
              </w:rPr>
            </w:pPr>
            <w:r>
              <w:rPr>
                <w:rFonts w:ascii="Times New Roman" w:hAnsi="Times New Roman" w:eastAsia="仿宋_GB2312"/>
                <w:sz w:val="24"/>
              </w:rPr>
              <w:t>间接排放量（tCO</w:t>
            </w:r>
            <w:r>
              <w:rPr>
                <w:rFonts w:ascii="Times New Roman" w:hAnsi="Times New Roman" w:eastAsia="仿宋_GB2312"/>
                <w:sz w:val="24"/>
                <w:vertAlign w:val="subscript"/>
              </w:rPr>
              <w:t>2</w:t>
            </w:r>
            <w:r>
              <w:rPr>
                <w:rFonts w:ascii="Times New Roman" w:hAnsi="Times New Roman" w:eastAsia="仿宋_GB2312"/>
                <w:sz w:val="24"/>
              </w:rPr>
              <w:t>）</w:t>
            </w:r>
          </w:p>
        </w:tc>
        <w:tc>
          <w:tcPr>
            <w:tcW w:w="1116" w:type="dxa"/>
            <w:vAlign w:val="center"/>
          </w:tcPr>
          <w:p w14:paraId="3D839DF0">
            <w:pPr>
              <w:jc w:val="center"/>
              <w:rPr>
                <w:rFonts w:ascii="Times New Roman" w:hAnsi="Times New Roman" w:eastAsia="仿宋_GB2312"/>
                <w:sz w:val="24"/>
              </w:rPr>
            </w:pPr>
            <w:r>
              <w:rPr>
                <w:rFonts w:ascii="Times New Roman" w:hAnsi="Times New Roman" w:eastAsia="仿宋_GB2312"/>
                <w:sz w:val="24"/>
              </w:rPr>
              <w:t>总排放量（tCO</w:t>
            </w:r>
            <w:r>
              <w:rPr>
                <w:rFonts w:ascii="Times New Roman" w:hAnsi="Times New Roman" w:eastAsia="仿宋_GB2312"/>
                <w:sz w:val="24"/>
                <w:vertAlign w:val="subscript"/>
              </w:rPr>
              <w:t>2</w:t>
            </w:r>
            <w:r>
              <w:rPr>
                <w:rFonts w:ascii="Times New Roman" w:hAnsi="Times New Roman" w:eastAsia="仿宋_GB2312"/>
                <w:sz w:val="24"/>
              </w:rPr>
              <w:t>）</w:t>
            </w:r>
          </w:p>
        </w:tc>
      </w:tr>
      <w:tr w14:paraId="58FF3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456" w:type="dxa"/>
            <w:vMerge w:val="restart"/>
            <w:vAlign w:val="center"/>
          </w:tcPr>
          <w:p w14:paraId="7C73FB93">
            <w:pPr>
              <w:jc w:val="center"/>
              <w:rPr>
                <w:rFonts w:ascii="Times New Roman" w:hAnsi="Times New Roman" w:eastAsia="仿宋_GB2312"/>
                <w:sz w:val="24"/>
              </w:rPr>
            </w:pPr>
            <w:r>
              <w:rPr>
                <w:rFonts w:ascii="Times New Roman" w:hAnsi="Times New Roman" w:eastAsia="仿宋_GB2312"/>
                <w:sz w:val="24"/>
              </w:rPr>
              <w:t>1</w:t>
            </w:r>
          </w:p>
        </w:tc>
        <w:tc>
          <w:tcPr>
            <w:tcW w:w="786" w:type="dxa"/>
            <w:vMerge w:val="restart"/>
            <w:vAlign w:val="center"/>
          </w:tcPr>
          <w:p w14:paraId="1E2F6B75">
            <w:pPr>
              <w:jc w:val="center"/>
              <w:rPr>
                <w:rFonts w:ascii="Times New Roman" w:hAnsi="Times New Roman" w:eastAsia="仿宋_GB2312"/>
                <w:sz w:val="24"/>
              </w:rPr>
            </w:pPr>
            <w:r>
              <w:rPr>
                <w:rFonts w:ascii="Times New Roman" w:hAnsi="Times New Roman" w:eastAsia="仿宋_GB2312"/>
                <w:sz w:val="24"/>
              </w:rPr>
              <w:t>xxx</w:t>
            </w:r>
          </w:p>
        </w:tc>
        <w:tc>
          <w:tcPr>
            <w:tcW w:w="1134" w:type="dxa"/>
            <w:vMerge w:val="restart"/>
            <w:vAlign w:val="center"/>
          </w:tcPr>
          <w:p w14:paraId="42629F9D">
            <w:pPr>
              <w:jc w:val="center"/>
              <w:rPr>
                <w:rFonts w:ascii="Times New Roman" w:hAnsi="Times New Roman" w:eastAsia="仿宋_GB2312"/>
                <w:sz w:val="24"/>
              </w:rPr>
            </w:pPr>
          </w:p>
        </w:tc>
        <w:tc>
          <w:tcPr>
            <w:tcW w:w="709" w:type="dxa"/>
            <w:vMerge w:val="restart"/>
            <w:vAlign w:val="center"/>
          </w:tcPr>
          <w:p w14:paraId="2AD003B3">
            <w:pPr>
              <w:jc w:val="center"/>
              <w:rPr>
                <w:rFonts w:ascii="Times New Roman" w:hAnsi="Times New Roman" w:eastAsia="仿宋_GB2312"/>
                <w:sz w:val="24"/>
              </w:rPr>
            </w:pPr>
            <w:r>
              <w:rPr>
                <w:rFonts w:ascii="Times New Roman" w:hAnsi="Times New Roman" w:eastAsia="仿宋_GB2312"/>
                <w:sz w:val="24"/>
              </w:rPr>
              <w:t>2018</w:t>
            </w:r>
          </w:p>
        </w:tc>
        <w:tc>
          <w:tcPr>
            <w:tcW w:w="968" w:type="dxa"/>
            <w:vMerge w:val="restart"/>
            <w:vAlign w:val="center"/>
          </w:tcPr>
          <w:p w14:paraId="3564565F">
            <w:pPr>
              <w:jc w:val="center"/>
              <w:rPr>
                <w:rFonts w:ascii="Times New Roman" w:hAnsi="Times New Roman" w:eastAsia="仿宋_GB2312"/>
                <w:sz w:val="24"/>
              </w:rPr>
            </w:pPr>
            <w:r>
              <w:rPr>
                <w:rFonts w:ascii="Times New Roman" w:hAnsi="Times New Roman" w:eastAsia="仿宋_GB2312"/>
                <w:sz w:val="24"/>
              </w:rPr>
              <w:t>否</w:t>
            </w:r>
          </w:p>
        </w:tc>
        <w:tc>
          <w:tcPr>
            <w:tcW w:w="1121" w:type="dxa"/>
            <w:tcBorders>
              <w:right w:val="single" w:color="auto" w:sz="4" w:space="0"/>
            </w:tcBorders>
          </w:tcPr>
          <w:p w14:paraId="16E4B6D6">
            <w:pPr>
              <w:rPr>
                <w:rFonts w:ascii="Times New Roman" w:hAnsi="Times New Roman" w:eastAsia="仿宋_GB2312"/>
                <w:sz w:val="24"/>
              </w:rPr>
            </w:pPr>
            <w:r>
              <w:rPr>
                <w:rFonts w:ascii="Times New Roman" w:hAnsi="Times New Roman" w:eastAsia="仿宋_GB2312"/>
                <w:sz w:val="24"/>
              </w:rPr>
              <w:t>2016年</w:t>
            </w:r>
          </w:p>
        </w:tc>
        <w:tc>
          <w:tcPr>
            <w:tcW w:w="1116" w:type="dxa"/>
            <w:tcBorders>
              <w:left w:val="single" w:color="auto" w:sz="4" w:space="0"/>
            </w:tcBorders>
          </w:tcPr>
          <w:p w14:paraId="0EF41862">
            <w:pPr>
              <w:rPr>
                <w:rFonts w:ascii="Times New Roman" w:hAnsi="Times New Roman" w:eastAsia="仿宋_GB2312"/>
                <w:sz w:val="24"/>
              </w:rPr>
            </w:pPr>
            <w:r>
              <w:rPr>
                <w:rFonts w:ascii="Times New Roman" w:hAnsi="Times New Roman" w:eastAsia="仿宋_GB2312"/>
                <w:sz w:val="24"/>
              </w:rPr>
              <w:t>100.00</w:t>
            </w:r>
          </w:p>
        </w:tc>
        <w:tc>
          <w:tcPr>
            <w:tcW w:w="1116" w:type="dxa"/>
          </w:tcPr>
          <w:p w14:paraId="67EDF742">
            <w:pPr>
              <w:rPr>
                <w:rFonts w:ascii="Times New Roman" w:hAnsi="Times New Roman" w:eastAsia="仿宋_GB2312"/>
                <w:sz w:val="24"/>
              </w:rPr>
            </w:pPr>
            <w:r>
              <w:rPr>
                <w:rFonts w:ascii="Times New Roman" w:hAnsi="Times New Roman" w:eastAsia="仿宋_GB2312"/>
                <w:sz w:val="24"/>
              </w:rPr>
              <w:t>20.00</w:t>
            </w:r>
          </w:p>
        </w:tc>
        <w:tc>
          <w:tcPr>
            <w:tcW w:w="1116" w:type="dxa"/>
          </w:tcPr>
          <w:p w14:paraId="67D290A2">
            <w:pPr>
              <w:rPr>
                <w:rFonts w:ascii="Times New Roman" w:hAnsi="Times New Roman" w:eastAsia="仿宋_GB2312"/>
                <w:sz w:val="24"/>
              </w:rPr>
            </w:pPr>
            <w:r>
              <w:rPr>
                <w:rFonts w:ascii="Times New Roman" w:hAnsi="Times New Roman" w:eastAsia="仿宋_GB2312"/>
                <w:sz w:val="24"/>
              </w:rPr>
              <w:t>120.00</w:t>
            </w:r>
          </w:p>
        </w:tc>
      </w:tr>
      <w:tr w14:paraId="27B9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56" w:type="dxa"/>
            <w:vMerge w:val="continue"/>
          </w:tcPr>
          <w:p w14:paraId="6B5461AF">
            <w:pPr>
              <w:rPr>
                <w:rFonts w:ascii="Times New Roman" w:hAnsi="Times New Roman" w:eastAsia="仿宋_GB2312"/>
                <w:sz w:val="24"/>
              </w:rPr>
            </w:pPr>
          </w:p>
        </w:tc>
        <w:tc>
          <w:tcPr>
            <w:tcW w:w="786" w:type="dxa"/>
            <w:vMerge w:val="continue"/>
          </w:tcPr>
          <w:p w14:paraId="659E2921">
            <w:pPr>
              <w:rPr>
                <w:rFonts w:ascii="Times New Roman" w:hAnsi="Times New Roman" w:eastAsia="仿宋_GB2312"/>
                <w:sz w:val="24"/>
              </w:rPr>
            </w:pPr>
          </w:p>
        </w:tc>
        <w:tc>
          <w:tcPr>
            <w:tcW w:w="1134" w:type="dxa"/>
            <w:vMerge w:val="continue"/>
          </w:tcPr>
          <w:p w14:paraId="5A92E885">
            <w:pPr>
              <w:rPr>
                <w:rFonts w:ascii="Times New Roman" w:hAnsi="Times New Roman" w:eastAsia="仿宋_GB2312"/>
                <w:sz w:val="24"/>
              </w:rPr>
            </w:pPr>
          </w:p>
        </w:tc>
        <w:tc>
          <w:tcPr>
            <w:tcW w:w="709" w:type="dxa"/>
            <w:vMerge w:val="continue"/>
          </w:tcPr>
          <w:p w14:paraId="78B4FA9D">
            <w:pPr>
              <w:rPr>
                <w:rFonts w:ascii="Times New Roman" w:hAnsi="Times New Roman" w:eastAsia="仿宋_GB2312"/>
                <w:sz w:val="24"/>
              </w:rPr>
            </w:pPr>
          </w:p>
        </w:tc>
        <w:tc>
          <w:tcPr>
            <w:tcW w:w="968" w:type="dxa"/>
            <w:vMerge w:val="continue"/>
          </w:tcPr>
          <w:p w14:paraId="7B248805">
            <w:pPr>
              <w:rPr>
                <w:rFonts w:ascii="Times New Roman" w:hAnsi="Times New Roman" w:eastAsia="仿宋_GB2312"/>
                <w:sz w:val="24"/>
              </w:rPr>
            </w:pPr>
          </w:p>
        </w:tc>
        <w:tc>
          <w:tcPr>
            <w:tcW w:w="1121" w:type="dxa"/>
            <w:tcBorders>
              <w:right w:val="single" w:color="auto" w:sz="4" w:space="0"/>
            </w:tcBorders>
          </w:tcPr>
          <w:p w14:paraId="2BE5B223">
            <w:pPr>
              <w:rPr>
                <w:rFonts w:ascii="Times New Roman" w:hAnsi="Times New Roman" w:eastAsia="仿宋_GB2312"/>
                <w:sz w:val="24"/>
              </w:rPr>
            </w:pPr>
            <w:r>
              <w:rPr>
                <w:rFonts w:ascii="Times New Roman" w:hAnsi="Times New Roman" w:eastAsia="仿宋_GB2312"/>
                <w:sz w:val="24"/>
              </w:rPr>
              <w:t>2017年</w:t>
            </w:r>
          </w:p>
        </w:tc>
        <w:tc>
          <w:tcPr>
            <w:tcW w:w="1116" w:type="dxa"/>
            <w:tcBorders>
              <w:left w:val="single" w:color="auto" w:sz="4" w:space="0"/>
            </w:tcBorders>
          </w:tcPr>
          <w:p w14:paraId="0155804F">
            <w:pPr>
              <w:rPr>
                <w:rFonts w:ascii="Times New Roman" w:hAnsi="Times New Roman" w:eastAsia="仿宋_GB2312"/>
                <w:sz w:val="24"/>
              </w:rPr>
            </w:pPr>
            <w:r>
              <w:rPr>
                <w:rFonts w:ascii="Times New Roman" w:hAnsi="Times New Roman" w:eastAsia="仿宋_GB2312"/>
                <w:sz w:val="24"/>
              </w:rPr>
              <w:t>120.00</w:t>
            </w:r>
          </w:p>
        </w:tc>
        <w:tc>
          <w:tcPr>
            <w:tcW w:w="1116" w:type="dxa"/>
          </w:tcPr>
          <w:p w14:paraId="0A4E2029">
            <w:pPr>
              <w:rPr>
                <w:rFonts w:ascii="Times New Roman" w:hAnsi="Times New Roman" w:eastAsia="仿宋_GB2312"/>
                <w:sz w:val="24"/>
              </w:rPr>
            </w:pPr>
            <w:r>
              <w:rPr>
                <w:rFonts w:ascii="Times New Roman" w:hAnsi="Times New Roman" w:eastAsia="仿宋_GB2312"/>
                <w:sz w:val="24"/>
              </w:rPr>
              <w:t>18.00</w:t>
            </w:r>
          </w:p>
        </w:tc>
        <w:tc>
          <w:tcPr>
            <w:tcW w:w="1116" w:type="dxa"/>
          </w:tcPr>
          <w:p w14:paraId="1440BB85">
            <w:pPr>
              <w:rPr>
                <w:rFonts w:ascii="Times New Roman" w:hAnsi="Times New Roman" w:eastAsia="仿宋_GB2312"/>
                <w:sz w:val="24"/>
              </w:rPr>
            </w:pPr>
            <w:r>
              <w:rPr>
                <w:rFonts w:ascii="Times New Roman" w:hAnsi="Times New Roman" w:eastAsia="仿宋_GB2312"/>
                <w:sz w:val="24"/>
              </w:rPr>
              <w:t>138.00</w:t>
            </w:r>
          </w:p>
        </w:tc>
      </w:tr>
      <w:tr w14:paraId="5132E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56" w:type="dxa"/>
            <w:vMerge w:val="continue"/>
          </w:tcPr>
          <w:p w14:paraId="77BDD70B">
            <w:pPr>
              <w:rPr>
                <w:rFonts w:ascii="Times New Roman" w:hAnsi="Times New Roman" w:eastAsia="仿宋_GB2312"/>
                <w:sz w:val="24"/>
              </w:rPr>
            </w:pPr>
          </w:p>
        </w:tc>
        <w:tc>
          <w:tcPr>
            <w:tcW w:w="786" w:type="dxa"/>
            <w:vMerge w:val="continue"/>
          </w:tcPr>
          <w:p w14:paraId="0911A7E0">
            <w:pPr>
              <w:rPr>
                <w:rFonts w:ascii="Times New Roman" w:hAnsi="Times New Roman" w:eastAsia="仿宋_GB2312"/>
                <w:sz w:val="24"/>
              </w:rPr>
            </w:pPr>
          </w:p>
        </w:tc>
        <w:tc>
          <w:tcPr>
            <w:tcW w:w="1134" w:type="dxa"/>
            <w:vMerge w:val="continue"/>
          </w:tcPr>
          <w:p w14:paraId="04915788">
            <w:pPr>
              <w:rPr>
                <w:rFonts w:ascii="Times New Roman" w:hAnsi="Times New Roman" w:eastAsia="仿宋_GB2312"/>
                <w:sz w:val="24"/>
              </w:rPr>
            </w:pPr>
          </w:p>
        </w:tc>
        <w:tc>
          <w:tcPr>
            <w:tcW w:w="709" w:type="dxa"/>
            <w:vMerge w:val="continue"/>
          </w:tcPr>
          <w:p w14:paraId="583FB0D6">
            <w:pPr>
              <w:rPr>
                <w:rFonts w:ascii="Times New Roman" w:hAnsi="Times New Roman" w:eastAsia="仿宋_GB2312"/>
                <w:sz w:val="24"/>
              </w:rPr>
            </w:pPr>
          </w:p>
        </w:tc>
        <w:tc>
          <w:tcPr>
            <w:tcW w:w="968" w:type="dxa"/>
            <w:vMerge w:val="continue"/>
          </w:tcPr>
          <w:p w14:paraId="36D084EC">
            <w:pPr>
              <w:rPr>
                <w:rFonts w:ascii="Times New Roman" w:hAnsi="Times New Roman" w:eastAsia="仿宋_GB2312"/>
                <w:sz w:val="24"/>
              </w:rPr>
            </w:pPr>
          </w:p>
        </w:tc>
        <w:tc>
          <w:tcPr>
            <w:tcW w:w="1121" w:type="dxa"/>
            <w:tcBorders>
              <w:right w:val="single" w:color="auto" w:sz="4" w:space="0"/>
            </w:tcBorders>
          </w:tcPr>
          <w:p w14:paraId="7A91EB90">
            <w:pPr>
              <w:rPr>
                <w:rFonts w:ascii="Times New Roman" w:hAnsi="Times New Roman" w:eastAsia="仿宋_GB2312"/>
                <w:sz w:val="24"/>
              </w:rPr>
            </w:pPr>
            <w:r>
              <w:rPr>
                <w:rFonts w:ascii="Times New Roman" w:hAnsi="Times New Roman" w:eastAsia="仿宋_GB2312"/>
                <w:sz w:val="24"/>
              </w:rPr>
              <w:t>2018年</w:t>
            </w:r>
          </w:p>
        </w:tc>
        <w:tc>
          <w:tcPr>
            <w:tcW w:w="1116" w:type="dxa"/>
            <w:tcBorders>
              <w:left w:val="single" w:color="auto" w:sz="4" w:space="0"/>
            </w:tcBorders>
          </w:tcPr>
          <w:p w14:paraId="23F5E39D">
            <w:pPr>
              <w:rPr>
                <w:rFonts w:ascii="Times New Roman" w:hAnsi="Times New Roman" w:eastAsia="仿宋_GB2312"/>
                <w:sz w:val="24"/>
              </w:rPr>
            </w:pPr>
            <w:r>
              <w:rPr>
                <w:rFonts w:ascii="Times New Roman" w:hAnsi="Times New Roman" w:eastAsia="仿宋_GB2312"/>
                <w:sz w:val="24"/>
              </w:rPr>
              <w:t>60.00</w:t>
            </w:r>
          </w:p>
        </w:tc>
        <w:tc>
          <w:tcPr>
            <w:tcW w:w="1116" w:type="dxa"/>
          </w:tcPr>
          <w:p w14:paraId="28D307D9">
            <w:pPr>
              <w:rPr>
                <w:rFonts w:ascii="Times New Roman" w:hAnsi="Times New Roman" w:eastAsia="仿宋_GB2312"/>
                <w:sz w:val="24"/>
              </w:rPr>
            </w:pPr>
            <w:r>
              <w:rPr>
                <w:rFonts w:ascii="Times New Roman" w:hAnsi="Times New Roman" w:eastAsia="仿宋_GB2312"/>
                <w:sz w:val="24"/>
              </w:rPr>
              <w:t>10.00</w:t>
            </w:r>
          </w:p>
        </w:tc>
        <w:tc>
          <w:tcPr>
            <w:tcW w:w="1116" w:type="dxa"/>
          </w:tcPr>
          <w:p w14:paraId="58BE3757">
            <w:pPr>
              <w:rPr>
                <w:rFonts w:ascii="Times New Roman" w:hAnsi="Times New Roman" w:eastAsia="仿宋_GB2312"/>
                <w:sz w:val="24"/>
              </w:rPr>
            </w:pPr>
            <w:r>
              <w:rPr>
                <w:rFonts w:ascii="Times New Roman" w:hAnsi="Times New Roman" w:eastAsia="仿宋_GB2312"/>
                <w:sz w:val="24"/>
              </w:rPr>
              <w:t>70.00</w:t>
            </w:r>
          </w:p>
        </w:tc>
      </w:tr>
    </w:tbl>
    <w:p w14:paraId="0425EE72">
      <w:pPr>
        <w:spacing w:after="0" w:line="560" w:lineRule="exact"/>
        <w:ind w:firstLine="640" w:firstLineChars="200"/>
        <w:rPr>
          <w:rFonts w:ascii="Times New Roman" w:hAnsi="Times New Roman" w:eastAsia="仿宋_GB2312"/>
          <w:sz w:val="32"/>
          <w:szCs w:val="32"/>
        </w:rPr>
      </w:pPr>
    </w:p>
    <w:p w14:paraId="05AB6A38">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排放单位新增设施主要为生产用电设备，其排放量信息见下表：</w:t>
      </w:r>
    </w:p>
    <w:p w14:paraId="781F0F36">
      <w:pPr>
        <w:spacing w:after="0" w:line="560" w:lineRule="exact"/>
        <w:jc w:val="center"/>
        <w:rPr>
          <w:rFonts w:ascii="Times New Roman" w:hAnsi="Times New Roman" w:eastAsia="仿宋_GB2312"/>
          <w:sz w:val="24"/>
        </w:rPr>
      </w:pPr>
    </w:p>
    <w:p w14:paraId="258FCDA0">
      <w:pPr>
        <w:spacing w:after="0" w:line="560" w:lineRule="exact"/>
        <w:jc w:val="center"/>
        <w:rPr>
          <w:rFonts w:ascii="Times New Roman" w:hAnsi="Times New Roman" w:eastAsia="仿宋_GB2312"/>
          <w:sz w:val="24"/>
        </w:rPr>
      </w:pPr>
    </w:p>
    <w:p w14:paraId="057E379D">
      <w:pPr>
        <w:spacing w:after="0" w:line="560" w:lineRule="exact"/>
        <w:jc w:val="center"/>
        <w:rPr>
          <w:rFonts w:ascii="Times New Roman" w:hAnsi="Times New Roman" w:eastAsia="仿宋_GB2312"/>
          <w:sz w:val="24"/>
        </w:rPr>
      </w:pPr>
    </w:p>
    <w:p w14:paraId="510F44EA">
      <w:pPr>
        <w:spacing w:after="0" w:line="560" w:lineRule="exact"/>
        <w:jc w:val="center"/>
        <w:rPr>
          <w:rFonts w:ascii="Times New Roman" w:hAnsi="Times New Roman" w:eastAsia="仿宋_GB2312"/>
          <w:sz w:val="24"/>
        </w:rPr>
      </w:pPr>
      <w:r>
        <w:rPr>
          <w:rFonts w:ascii="Times New Roman" w:hAnsi="Times New Roman" w:eastAsia="仿宋_GB2312"/>
          <w:sz w:val="24"/>
        </w:rPr>
        <w:t>表XX  新增设施信息表</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293"/>
        <w:gridCol w:w="2333"/>
        <w:gridCol w:w="1650"/>
        <w:gridCol w:w="1268"/>
        <w:gridCol w:w="1513"/>
      </w:tblGrid>
      <w:tr w14:paraId="76089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49B89850">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序号</w:t>
            </w:r>
          </w:p>
        </w:tc>
        <w:tc>
          <w:tcPr>
            <w:tcW w:w="714" w:type="pct"/>
            <w:vAlign w:val="center"/>
          </w:tcPr>
          <w:p w14:paraId="00E91014">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设施新增年份</w:t>
            </w:r>
          </w:p>
        </w:tc>
        <w:tc>
          <w:tcPr>
            <w:tcW w:w="1288" w:type="pct"/>
            <w:vAlign w:val="center"/>
          </w:tcPr>
          <w:p w14:paraId="61C11B03">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新增设施类型</w:t>
            </w:r>
          </w:p>
        </w:tc>
        <w:tc>
          <w:tcPr>
            <w:tcW w:w="911" w:type="pct"/>
            <w:vAlign w:val="center"/>
          </w:tcPr>
          <w:p w14:paraId="66641810">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是否替代既有设施，被替代既有设施类型</w:t>
            </w:r>
          </w:p>
        </w:tc>
        <w:tc>
          <w:tcPr>
            <w:tcW w:w="700" w:type="pct"/>
            <w:vAlign w:val="center"/>
          </w:tcPr>
          <w:p w14:paraId="6884B203">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新增设施排放量（吨）</w:t>
            </w:r>
          </w:p>
        </w:tc>
        <w:tc>
          <w:tcPr>
            <w:tcW w:w="835" w:type="pct"/>
            <w:vAlign w:val="center"/>
          </w:tcPr>
          <w:p w14:paraId="77F81E80">
            <w:pPr>
              <w:tabs>
                <w:tab w:val="left" w:pos="1701"/>
              </w:tabs>
              <w:jc w:val="center"/>
              <w:rPr>
                <w:rFonts w:ascii="Times New Roman" w:hAnsi="Times New Roman" w:eastAsia="仿宋_GB2312"/>
                <w:color w:val="000000"/>
                <w:sz w:val="24"/>
              </w:rPr>
            </w:pPr>
            <w:r>
              <w:rPr>
                <w:rFonts w:hint="eastAsia" w:ascii="Times New Roman" w:hAnsi="Times New Roman" w:eastAsia="仿宋_GB2312"/>
                <w:color w:val="000000"/>
                <w:sz w:val="24"/>
              </w:rPr>
              <w:t>替代既有设施的新增排放量(吨)</w:t>
            </w:r>
          </w:p>
        </w:tc>
      </w:tr>
      <w:tr w14:paraId="19C29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78BE6657">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1</w:t>
            </w:r>
          </w:p>
        </w:tc>
        <w:tc>
          <w:tcPr>
            <w:tcW w:w="714" w:type="pct"/>
            <w:vAlign w:val="center"/>
          </w:tcPr>
          <w:p w14:paraId="68670EFA">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2019</w:t>
            </w:r>
          </w:p>
        </w:tc>
        <w:tc>
          <w:tcPr>
            <w:tcW w:w="1288" w:type="pct"/>
            <w:vAlign w:val="center"/>
          </w:tcPr>
          <w:p w14:paraId="0E5EEFC2">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xxx设备</w:t>
            </w:r>
          </w:p>
        </w:tc>
        <w:tc>
          <w:tcPr>
            <w:tcW w:w="911" w:type="pct"/>
            <w:vAlign w:val="center"/>
          </w:tcPr>
          <w:p w14:paraId="22FC23B0">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否</w:t>
            </w:r>
          </w:p>
        </w:tc>
        <w:tc>
          <w:tcPr>
            <w:tcW w:w="700" w:type="pct"/>
            <w:vAlign w:val="center"/>
          </w:tcPr>
          <w:p w14:paraId="4A1BD71B">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200.00</w:t>
            </w:r>
          </w:p>
        </w:tc>
        <w:tc>
          <w:tcPr>
            <w:tcW w:w="835" w:type="pct"/>
            <w:vAlign w:val="center"/>
          </w:tcPr>
          <w:p w14:paraId="6A10A011">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w:t>
            </w:r>
          </w:p>
        </w:tc>
      </w:tr>
      <w:tr w14:paraId="0757E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74873B95">
            <w:pPr>
              <w:jc w:val="center"/>
              <w:rPr>
                <w:rFonts w:ascii="Times New Roman" w:hAnsi="Times New Roman" w:eastAsia="仿宋_GB2312"/>
                <w:sz w:val="24"/>
              </w:rPr>
            </w:pPr>
            <w:r>
              <w:rPr>
                <w:rFonts w:ascii="Times New Roman" w:hAnsi="Times New Roman" w:eastAsia="仿宋_GB2312"/>
                <w:color w:val="000000"/>
                <w:sz w:val="24"/>
              </w:rPr>
              <w:t>2</w:t>
            </w:r>
          </w:p>
        </w:tc>
        <w:tc>
          <w:tcPr>
            <w:tcW w:w="714" w:type="pct"/>
            <w:vAlign w:val="center"/>
          </w:tcPr>
          <w:p w14:paraId="6AB247D1">
            <w:pPr>
              <w:jc w:val="center"/>
              <w:rPr>
                <w:rFonts w:ascii="Times New Roman" w:hAnsi="Times New Roman" w:eastAsia="仿宋_GB2312"/>
                <w:sz w:val="24"/>
              </w:rPr>
            </w:pPr>
            <w:r>
              <w:rPr>
                <w:rFonts w:ascii="Times New Roman" w:hAnsi="Times New Roman" w:eastAsia="仿宋_GB2312"/>
                <w:sz w:val="24"/>
              </w:rPr>
              <w:t>2019</w:t>
            </w:r>
          </w:p>
        </w:tc>
        <w:tc>
          <w:tcPr>
            <w:tcW w:w="1288" w:type="pct"/>
            <w:vAlign w:val="center"/>
          </w:tcPr>
          <w:p w14:paraId="14B2AD5A">
            <w:pPr>
              <w:jc w:val="center"/>
              <w:rPr>
                <w:rFonts w:ascii="Times New Roman" w:hAnsi="Times New Roman" w:eastAsia="仿宋_GB2312"/>
                <w:sz w:val="24"/>
              </w:rPr>
            </w:pPr>
            <w:r>
              <w:rPr>
                <w:rFonts w:ascii="Times New Roman" w:hAnsi="Times New Roman" w:eastAsia="仿宋_GB2312"/>
                <w:color w:val="000000"/>
                <w:sz w:val="24"/>
              </w:rPr>
              <w:t>xxx设备</w:t>
            </w:r>
          </w:p>
        </w:tc>
        <w:tc>
          <w:tcPr>
            <w:tcW w:w="911" w:type="pct"/>
            <w:vAlign w:val="center"/>
          </w:tcPr>
          <w:p w14:paraId="41079FDF">
            <w:pPr>
              <w:jc w:val="center"/>
              <w:rPr>
                <w:rFonts w:ascii="Times New Roman" w:hAnsi="Times New Roman" w:eastAsia="仿宋_GB2312"/>
                <w:sz w:val="24"/>
              </w:rPr>
            </w:pPr>
            <w:r>
              <w:rPr>
                <w:rFonts w:ascii="Times New Roman" w:hAnsi="Times New Roman" w:eastAsia="仿宋_GB2312"/>
                <w:sz w:val="24"/>
              </w:rPr>
              <w:t>否</w:t>
            </w:r>
          </w:p>
        </w:tc>
        <w:tc>
          <w:tcPr>
            <w:tcW w:w="700" w:type="pct"/>
            <w:vAlign w:val="center"/>
          </w:tcPr>
          <w:p w14:paraId="4A553B1C">
            <w:pPr>
              <w:jc w:val="center"/>
              <w:rPr>
                <w:rFonts w:ascii="Times New Roman" w:hAnsi="Times New Roman" w:eastAsia="仿宋_GB2312"/>
                <w:sz w:val="24"/>
              </w:rPr>
            </w:pPr>
            <w:r>
              <w:rPr>
                <w:rFonts w:ascii="Times New Roman" w:hAnsi="Times New Roman" w:eastAsia="仿宋_GB2312"/>
                <w:sz w:val="24"/>
              </w:rPr>
              <w:t>800.00</w:t>
            </w:r>
          </w:p>
        </w:tc>
        <w:tc>
          <w:tcPr>
            <w:tcW w:w="835" w:type="pct"/>
            <w:vAlign w:val="center"/>
          </w:tcPr>
          <w:p w14:paraId="0F5CD8E5">
            <w:pPr>
              <w:jc w:val="center"/>
              <w:rPr>
                <w:rFonts w:ascii="Times New Roman" w:hAnsi="Times New Roman" w:eastAsia="仿宋_GB2312"/>
                <w:sz w:val="24"/>
              </w:rPr>
            </w:pPr>
            <w:r>
              <w:rPr>
                <w:rFonts w:ascii="Times New Roman" w:hAnsi="Times New Roman" w:eastAsia="仿宋_GB2312"/>
                <w:sz w:val="24"/>
              </w:rPr>
              <w:t>/</w:t>
            </w:r>
          </w:p>
        </w:tc>
      </w:tr>
      <w:tr w14:paraId="151E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67C0B254">
            <w:pPr>
              <w:jc w:val="center"/>
              <w:rPr>
                <w:rFonts w:ascii="Times New Roman" w:hAnsi="Times New Roman" w:eastAsia="仿宋_GB2312"/>
                <w:color w:val="000000"/>
                <w:sz w:val="24"/>
              </w:rPr>
            </w:pPr>
            <w:r>
              <w:rPr>
                <w:rFonts w:hint="eastAsia" w:ascii="Times New Roman" w:hAnsi="Times New Roman" w:eastAsia="仿宋_GB2312"/>
                <w:color w:val="000000"/>
                <w:sz w:val="24"/>
              </w:rPr>
              <w:t>3</w:t>
            </w:r>
          </w:p>
        </w:tc>
        <w:tc>
          <w:tcPr>
            <w:tcW w:w="714" w:type="pct"/>
            <w:vAlign w:val="center"/>
          </w:tcPr>
          <w:p w14:paraId="60C7D880">
            <w:pPr>
              <w:jc w:val="center"/>
              <w:rPr>
                <w:rFonts w:ascii="Times New Roman" w:hAnsi="Times New Roman" w:eastAsia="仿宋_GB2312"/>
                <w:sz w:val="24"/>
              </w:rPr>
            </w:pPr>
            <w:r>
              <w:rPr>
                <w:rFonts w:hint="eastAsia" w:ascii="Times New Roman" w:hAnsi="Times New Roman" w:eastAsia="仿宋_GB2312"/>
                <w:sz w:val="24"/>
              </w:rPr>
              <w:t>2</w:t>
            </w:r>
            <w:r>
              <w:rPr>
                <w:rFonts w:ascii="Times New Roman" w:hAnsi="Times New Roman" w:eastAsia="仿宋_GB2312"/>
                <w:sz w:val="24"/>
              </w:rPr>
              <w:t>020</w:t>
            </w:r>
          </w:p>
        </w:tc>
        <w:tc>
          <w:tcPr>
            <w:tcW w:w="1288" w:type="pct"/>
            <w:vAlign w:val="center"/>
          </w:tcPr>
          <w:p w14:paraId="5DFE4AE6">
            <w:pPr>
              <w:jc w:val="center"/>
              <w:rPr>
                <w:rFonts w:ascii="Times New Roman" w:hAnsi="Times New Roman" w:eastAsia="仿宋_GB2312"/>
                <w:color w:val="000000"/>
                <w:sz w:val="24"/>
              </w:rPr>
            </w:pPr>
            <w:r>
              <w:rPr>
                <w:rFonts w:ascii="Times New Roman" w:hAnsi="Times New Roman" w:eastAsia="仿宋_GB2312"/>
                <w:color w:val="000000"/>
                <w:sz w:val="24"/>
              </w:rPr>
              <w:t>xxx设备</w:t>
            </w:r>
          </w:p>
        </w:tc>
        <w:tc>
          <w:tcPr>
            <w:tcW w:w="911" w:type="pct"/>
            <w:vAlign w:val="center"/>
          </w:tcPr>
          <w:p w14:paraId="536E60AA">
            <w:pPr>
              <w:jc w:val="center"/>
              <w:rPr>
                <w:rFonts w:ascii="Times New Roman" w:hAnsi="Times New Roman" w:eastAsia="仿宋_GB2312"/>
                <w:sz w:val="24"/>
              </w:rPr>
            </w:pPr>
            <w:r>
              <w:rPr>
                <w:rFonts w:ascii="Times New Roman" w:hAnsi="Times New Roman" w:eastAsia="仿宋_GB2312"/>
                <w:sz w:val="24"/>
              </w:rPr>
              <w:t>否</w:t>
            </w:r>
          </w:p>
        </w:tc>
        <w:tc>
          <w:tcPr>
            <w:tcW w:w="700" w:type="pct"/>
            <w:vAlign w:val="center"/>
          </w:tcPr>
          <w:p w14:paraId="6DCD7DE1">
            <w:pPr>
              <w:jc w:val="center"/>
              <w:rPr>
                <w:rFonts w:ascii="Times New Roman" w:hAnsi="Times New Roman" w:eastAsia="仿宋_GB2312"/>
                <w:sz w:val="24"/>
              </w:rPr>
            </w:pPr>
            <w:r>
              <w:rPr>
                <w:rFonts w:ascii="Times New Roman" w:hAnsi="Times New Roman" w:eastAsia="仿宋_GB2312"/>
                <w:sz w:val="24"/>
              </w:rPr>
              <w:t>XXX</w:t>
            </w:r>
          </w:p>
        </w:tc>
        <w:tc>
          <w:tcPr>
            <w:tcW w:w="835" w:type="pct"/>
            <w:vAlign w:val="center"/>
          </w:tcPr>
          <w:p w14:paraId="20CE4A52">
            <w:pPr>
              <w:jc w:val="center"/>
              <w:rPr>
                <w:rFonts w:ascii="Times New Roman" w:hAnsi="Times New Roman" w:eastAsia="仿宋_GB2312"/>
                <w:sz w:val="24"/>
              </w:rPr>
            </w:pPr>
          </w:p>
        </w:tc>
      </w:tr>
      <w:tr w14:paraId="6FA81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tcPr>
          <w:p w14:paraId="3CFA60AD">
            <w:pPr>
              <w:jc w:val="center"/>
              <w:rPr>
                <w:rFonts w:ascii="Times New Roman" w:hAnsi="Times New Roman" w:eastAsia="仿宋_GB2312"/>
                <w:sz w:val="24"/>
              </w:rPr>
            </w:pPr>
            <w:r>
              <w:rPr>
                <w:rFonts w:ascii="Times New Roman" w:hAnsi="Times New Roman" w:eastAsia="仿宋_GB2312"/>
                <w:color w:val="000000"/>
                <w:sz w:val="24"/>
              </w:rPr>
              <w:t>合计</w:t>
            </w:r>
          </w:p>
        </w:tc>
        <w:tc>
          <w:tcPr>
            <w:tcW w:w="714" w:type="pct"/>
          </w:tcPr>
          <w:p w14:paraId="1FFF4051">
            <w:pPr>
              <w:rPr>
                <w:rFonts w:ascii="Times New Roman" w:hAnsi="Times New Roman" w:eastAsia="仿宋_GB2312"/>
                <w:sz w:val="24"/>
              </w:rPr>
            </w:pPr>
          </w:p>
        </w:tc>
        <w:tc>
          <w:tcPr>
            <w:tcW w:w="1288" w:type="pct"/>
          </w:tcPr>
          <w:p w14:paraId="7E17C52E">
            <w:pPr>
              <w:rPr>
                <w:rFonts w:ascii="Times New Roman" w:hAnsi="Times New Roman" w:eastAsia="仿宋_GB2312"/>
                <w:sz w:val="24"/>
              </w:rPr>
            </w:pPr>
          </w:p>
        </w:tc>
        <w:tc>
          <w:tcPr>
            <w:tcW w:w="911" w:type="pct"/>
          </w:tcPr>
          <w:p w14:paraId="7DFB5D0E">
            <w:pPr>
              <w:rPr>
                <w:rFonts w:ascii="Times New Roman" w:hAnsi="Times New Roman" w:eastAsia="仿宋_GB2312"/>
                <w:sz w:val="24"/>
              </w:rPr>
            </w:pPr>
          </w:p>
        </w:tc>
        <w:tc>
          <w:tcPr>
            <w:tcW w:w="700" w:type="pct"/>
            <w:vAlign w:val="center"/>
          </w:tcPr>
          <w:p w14:paraId="65292750">
            <w:pPr>
              <w:jc w:val="center"/>
              <w:rPr>
                <w:rFonts w:ascii="Times New Roman" w:hAnsi="Times New Roman" w:eastAsia="仿宋_GB2312"/>
                <w:sz w:val="24"/>
              </w:rPr>
            </w:pPr>
            <w:r>
              <w:rPr>
                <w:rFonts w:ascii="Times New Roman" w:hAnsi="Times New Roman" w:eastAsia="仿宋_GB2312"/>
                <w:sz w:val="24"/>
              </w:rPr>
              <w:t>XXX</w:t>
            </w:r>
          </w:p>
        </w:tc>
        <w:tc>
          <w:tcPr>
            <w:tcW w:w="835" w:type="pct"/>
          </w:tcPr>
          <w:p w14:paraId="09803C35">
            <w:pPr>
              <w:rPr>
                <w:rFonts w:ascii="Times New Roman" w:hAnsi="Times New Roman" w:eastAsia="仿宋_GB2312"/>
                <w:sz w:val="24"/>
              </w:rPr>
            </w:pPr>
          </w:p>
        </w:tc>
      </w:tr>
      <w:tr w14:paraId="3530C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14:paraId="42EF4FF1">
            <w:pPr>
              <w:rPr>
                <w:rFonts w:ascii="Times New Roman" w:hAnsi="Times New Roman" w:eastAsia="仿宋_GB2312"/>
                <w:sz w:val="24"/>
              </w:rPr>
            </w:pPr>
            <w:r>
              <w:rPr>
                <w:rFonts w:ascii="Times New Roman" w:hAnsi="Times New Roman" w:eastAsia="仿宋_GB2312"/>
                <w:sz w:val="24"/>
              </w:rPr>
              <w:t>备注：</w:t>
            </w:r>
          </w:p>
        </w:tc>
      </w:tr>
    </w:tbl>
    <w:p w14:paraId="1791708A">
      <w:pPr>
        <w:spacing w:after="0" w:line="560" w:lineRule="exact"/>
        <w:ind w:firstLine="465"/>
        <w:rPr>
          <w:rFonts w:ascii="Times New Roman" w:hAnsi="Times New Roman" w:eastAsia="仿宋_GB2312"/>
          <w:sz w:val="32"/>
          <w:szCs w:val="32"/>
        </w:rPr>
      </w:pPr>
      <w:r>
        <w:rPr>
          <w:rFonts w:ascii="Times New Roman" w:hAnsi="Times New Roman" w:eastAsia="仿宋_GB2312"/>
          <w:sz w:val="32"/>
          <w:szCs w:val="32"/>
        </w:rPr>
        <w:t>新增设施排放量为XXX吨，是基准年份排放量的XXX%，新增设施对应的产值为xxxx万元。此信息供新增设施发放配额参考。</w:t>
      </w:r>
    </w:p>
    <w:p w14:paraId="4978E835">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 核查过程未覆盖的问题描述</w:t>
      </w:r>
    </w:p>
    <w:p w14:paraId="7ACEEE02">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由于天然气表和电表分别为燃气公司及电力公司管控，因此未能核查这些仪表的检定信息。</w:t>
      </w:r>
    </w:p>
    <w:p w14:paraId="0C9AF9CC">
      <w:pPr>
        <w:spacing w:after="0" w:line="560" w:lineRule="exact"/>
        <w:ind w:firstLine="640" w:firstLineChars="200"/>
        <w:rPr>
          <w:rFonts w:ascii="Times New Roman" w:hAnsi="Times New Roman" w:eastAsia="仿宋_GB2312"/>
          <w:sz w:val="32"/>
          <w:szCs w:val="32"/>
        </w:rPr>
        <w:sectPr>
          <w:pgSz w:w="11906" w:h="16838"/>
          <w:pgMar w:top="2098" w:right="1474" w:bottom="1984" w:left="1587" w:header="851" w:footer="1587" w:gutter="0"/>
          <w:pgNumType w:fmt="decimal"/>
          <w:cols w:space="0" w:num="1"/>
          <w:rtlGutter w:val="0"/>
          <w:docGrid w:type="lines" w:linePitch="312" w:charSpace="0"/>
        </w:sectPr>
      </w:pPr>
    </w:p>
    <w:p w14:paraId="3FC845A7">
      <w:pPr>
        <w:pStyle w:val="4"/>
        <w:spacing w:before="0" w:after="0" w:line="56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道路运输业企业</w:t>
      </w:r>
    </w:p>
    <w:p w14:paraId="0494A0C3">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
          <w:sz w:val="32"/>
          <w:szCs w:val="32"/>
        </w:rPr>
        <w:t>xxxx公司（以下简称排放单位）委托xxx公司开展XXXX年</w:t>
      </w:r>
      <w:r>
        <w:rPr>
          <w:rFonts w:ascii="Times New Roman" w:hAnsi="Times New Roman" w:eastAsia="仿宋_GB2312"/>
          <w:sz w:val="32"/>
          <w:szCs w:val="32"/>
        </w:rPr>
        <w:t>度二氧化碳排放的核查工作。核查范围包括排放单位所有在北京市辖区内的运营系统以及直接为营运车辆服务的辅助系统导致的二氧化碳直接排放和二氧化碳间接排放。</w:t>
      </w:r>
    </w:p>
    <w:p w14:paraId="6583B165">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通过文件评审、现场访问、核查报告编写及内部技术复核，核查组对排放单位XXXX年度二氧化碳排放报告形成如下核查结论：</w:t>
      </w:r>
    </w:p>
    <w:p w14:paraId="026E86AD">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 核算、报告与方法学的符合性</w:t>
      </w:r>
    </w:p>
    <w:p w14:paraId="1B34E4B9">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核查组确认所有不符合已全部关闭，排放单位的核算与报告均符合方法学</w:t>
      </w:r>
      <w:r>
        <w:rPr>
          <w:rFonts w:hint="eastAsia" w:ascii="Times New Roman" w:hAnsi="Times New Roman" w:eastAsia="仿宋_GB2312"/>
          <w:sz w:val="32"/>
          <w:szCs w:val="32"/>
        </w:rPr>
        <w:t>《二氧化碳排放核算和报告要求道路运输业》（DB11/T 1786-2020）</w:t>
      </w:r>
      <w:r>
        <w:rPr>
          <w:rFonts w:ascii="Times New Roman" w:hAnsi="Times New Roman" w:eastAsia="仿宋_GB2312"/>
          <w:sz w:val="32"/>
          <w:szCs w:val="32"/>
        </w:rPr>
        <w:t>的要求，核查组对本排放报告出具肯定的核查结论。</w:t>
      </w:r>
    </w:p>
    <w:p w14:paraId="220788FB">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 本年度排放量及活动水平数据的声明</w:t>
      </w:r>
    </w:p>
    <w:p w14:paraId="18427D97">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经核查排放量与最终排放报告中的一致。经核查的排放量如下：</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2014"/>
        <w:gridCol w:w="1773"/>
        <w:gridCol w:w="1863"/>
        <w:gridCol w:w="1794"/>
      </w:tblGrid>
      <w:tr w14:paraId="55B7C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pct"/>
            <w:vAlign w:val="center"/>
          </w:tcPr>
          <w:p w14:paraId="19D8D1CC">
            <w:pPr>
              <w:jc w:val="center"/>
              <w:rPr>
                <w:rFonts w:ascii="Times New Roman" w:hAnsi="Times New Roman" w:eastAsia="仿宋_GB2312"/>
                <w:sz w:val="21"/>
                <w:szCs w:val="21"/>
              </w:rPr>
            </w:pPr>
            <w:r>
              <w:rPr>
                <w:rFonts w:hint="eastAsia" w:ascii="Times New Roman" w:hAnsi="Times New Roman" w:eastAsia="仿宋_GB2312"/>
                <w:sz w:val="21"/>
                <w:szCs w:val="21"/>
              </w:rPr>
              <w:t>排放设施</w:t>
            </w:r>
          </w:p>
        </w:tc>
        <w:tc>
          <w:tcPr>
            <w:tcW w:w="1111" w:type="pct"/>
            <w:vAlign w:val="center"/>
          </w:tcPr>
          <w:p w14:paraId="2CF5F1E1">
            <w:pPr>
              <w:jc w:val="center"/>
              <w:rPr>
                <w:rFonts w:ascii="Times New Roman" w:hAnsi="Times New Roman" w:eastAsia="仿宋_GB2312"/>
                <w:sz w:val="21"/>
                <w:szCs w:val="21"/>
              </w:rPr>
            </w:pPr>
            <w:r>
              <w:rPr>
                <w:rFonts w:hint="eastAsia" w:ascii="Times New Roman" w:hAnsi="Times New Roman" w:eastAsia="仿宋_GB2312"/>
                <w:sz w:val="21"/>
                <w:szCs w:val="21"/>
              </w:rPr>
              <w:t>化石燃料燃烧排放量</w:t>
            </w:r>
          </w:p>
          <w:p w14:paraId="2EA1433D">
            <w:pPr>
              <w:jc w:val="center"/>
              <w:rPr>
                <w:rFonts w:ascii="Times New Roman" w:hAnsi="Times New Roman" w:eastAsia="仿宋_GB2312"/>
                <w:sz w:val="21"/>
                <w:szCs w:val="21"/>
              </w:rPr>
            </w:pPr>
            <w:r>
              <w:rPr>
                <w:rFonts w:hint="eastAsia" w:ascii="Times New Roman" w:hAnsi="Times New Roman" w:eastAsia="仿宋_GB2312"/>
                <w:sz w:val="21"/>
                <w:szCs w:val="21"/>
              </w:rPr>
              <w:t>（</w:t>
            </w:r>
            <w:r>
              <w:rPr>
                <w:rFonts w:ascii="Times New Roman" w:hAnsi="Times New Roman" w:eastAsia="仿宋_GB2312"/>
                <w:sz w:val="21"/>
                <w:szCs w:val="21"/>
              </w:rPr>
              <w:t>tCO</w:t>
            </w:r>
            <w:r>
              <w:rPr>
                <w:rFonts w:ascii="Times New Roman" w:hAnsi="Times New Roman" w:eastAsia="仿宋_GB2312"/>
                <w:sz w:val="21"/>
                <w:szCs w:val="21"/>
                <w:vertAlign w:val="subscript"/>
              </w:rPr>
              <w:t>2</w:t>
            </w:r>
            <w:r>
              <w:rPr>
                <w:rFonts w:hint="eastAsia" w:ascii="Times New Roman" w:hAnsi="Times New Roman" w:eastAsia="仿宋_GB2312"/>
                <w:sz w:val="21"/>
                <w:szCs w:val="21"/>
              </w:rPr>
              <w:t>）</w:t>
            </w:r>
          </w:p>
        </w:tc>
        <w:tc>
          <w:tcPr>
            <w:tcW w:w="978" w:type="pct"/>
            <w:vAlign w:val="center"/>
          </w:tcPr>
          <w:p w14:paraId="6C95E0BC">
            <w:pPr>
              <w:jc w:val="center"/>
              <w:rPr>
                <w:rFonts w:ascii="Times New Roman" w:hAnsi="Times New Roman" w:eastAsia="仿宋_GB2312"/>
                <w:sz w:val="21"/>
                <w:szCs w:val="21"/>
              </w:rPr>
            </w:pPr>
            <w:r>
              <w:rPr>
                <w:rFonts w:hint="eastAsia" w:ascii="Times New Roman" w:hAnsi="Times New Roman" w:eastAsia="仿宋_GB2312"/>
                <w:sz w:val="21"/>
                <w:szCs w:val="21"/>
              </w:rPr>
              <w:t>过程排放量</w:t>
            </w:r>
          </w:p>
          <w:p w14:paraId="763CD8DA">
            <w:pPr>
              <w:jc w:val="center"/>
              <w:rPr>
                <w:rFonts w:ascii="Times New Roman" w:hAnsi="Times New Roman" w:eastAsia="仿宋_GB2312"/>
                <w:sz w:val="21"/>
                <w:szCs w:val="21"/>
              </w:rPr>
            </w:pPr>
            <w:r>
              <w:rPr>
                <w:rFonts w:hint="eastAsia" w:ascii="Times New Roman" w:hAnsi="Times New Roman" w:eastAsia="仿宋_GB2312"/>
                <w:sz w:val="21"/>
                <w:szCs w:val="21"/>
              </w:rPr>
              <w:t>（</w:t>
            </w:r>
            <w:r>
              <w:rPr>
                <w:rFonts w:ascii="Times New Roman" w:hAnsi="Times New Roman" w:eastAsia="仿宋_GB2312"/>
                <w:sz w:val="21"/>
                <w:szCs w:val="21"/>
              </w:rPr>
              <w:t>tCO</w:t>
            </w:r>
            <w:r>
              <w:rPr>
                <w:rFonts w:ascii="Times New Roman" w:hAnsi="Times New Roman" w:eastAsia="仿宋_GB2312"/>
                <w:sz w:val="21"/>
                <w:szCs w:val="21"/>
                <w:vertAlign w:val="subscript"/>
              </w:rPr>
              <w:t>2</w:t>
            </w:r>
            <w:r>
              <w:rPr>
                <w:rFonts w:hint="eastAsia" w:ascii="Times New Roman" w:hAnsi="Times New Roman" w:eastAsia="仿宋_GB2312"/>
                <w:sz w:val="21"/>
                <w:szCs w:val="21"/>
              </w:rPr>
              <w:t>）</w:t>
            </w:r>
          </w:p>
        </w:tc>
        <w:tc>
          <w:tcPr>
            <w:tcW w:w="1028" w:type="pct"/>
            <w:vAlign w:val="center"/>
          </w:tcPr>
          <w:p w14:paraId="58D63EBD">
            <w:pPr>
              <w:jc w:val="center"/>
              <w:rPr>
                <w:rFonts w:ascii="Times New Roman" w:hAnsi="Times New Roman" w:eastAsia="仿宋_GB2312"/>
                <w:sz w:val="21"/>
                <w:szCs w:val="21"/>
              </w:rPr>
            </w:pPr>
            <w:r>
              <w:rPr>
                <w:rFonts w:hint="eastAsia" w:ascii="Times New Roman" w:hAnsi="Times New Roman" w:eastAsia="仿宋_GB2312"/>
                <w:sz w:val="21"/>
                <w:szCs w:val="21"/>
              </w:rPr>
              <w:t>间接排放量</w:t>
            </w:r>
          </w:p>
          <w:p w14:paraId="0DB828EB">
            <w:pPr>
              <w:jc w:val="center"/>
              <w:rPr>
                <w:rFonts w:ascii="Times New Roman" w:hAnsi="Times New Roman" w:eastAsia="仿宋_GB2312"/>
                <w:sz w:val="21"/>
                <w:szCs w:val="21"/>
              </w:rPr>
            </w:pPr>
            <w:r>
              <w:rPr>
                <w:rFonts w:hint="eastAsia" w:ascii="Times New Roman" w:hAnsi="Times New Roman" w:eastAsia="仿宋_GB2312"/>
                <w:sz w:val="21"/>
                <w:szCs w:val="21"/>
              </w:rPr>
              <w:t>（</w:t>
            </w:r>
            <w:r>
              <w:rPr>
                <w:rFonts w:ascii="Times New Roman" w:hAnsi="Times New Roman" w:eastAsia="仿宋_GB2312"/>
                <w:sz w:val="21"/>
                <w:szCs w:val="21"/>
              </w:rPr>
              <w:t>tCO</w:t>
            </w:r>
            <w:r>
              <w:rPr>
                <w:rFonts w:ascii="Times New Roman" w:hAnsi="Times New Roman" w:eastAsia="仿宋_GB2312"/>
                <w:sz w:val="21"/>
                <w:szCs w:val="21"/>
                <w:vertAlign w:val="subscript"/>
              </w:rPr>
              <w:t>2</w:t>
            </w:r>
            <w:r>
              <w:rPr>
                <w:rFonts w:hint="eastAsia" w:ascii="Times New Roman" w:hAnsi="Times New Roman" w:eastAsia="仿宋_GB2312"/>
                <w:sz w:val="21"/>
                <w:szCs w:val="21"/>
              </w:rPr>
              <w:t>）</w:t>
            </w:r>
          </w:p>
        </w:tc>
        <w:tc>
          <w:tcPr>
            <w:tcW w:w="990" w:type="pct"/>
            <w:vAlign w:val="center"/>
          </w:tcPr>
          <w:p w14:paraId="3DDE5DC6">
            <w:pPr>
              <w:jc w:val="center"/>
              <w:rPr>
                <w:rFonts w:ascii="Times New Roman" w:hAnsi="Times New Roman" w:eastAsia="仿宋_GB2312"/>
                <w:sz w:val="21"/>
                <w:szCs w:val="21"/>
              </w:rPr>
            </w:pPr>
            <w:r>
              <w:rPr>
                <w:rFonts w:hint="eastAsia" w:ascii="Times New Roman" w:hAnsi="Times New Roman" w:eastAsia="仿宋_GB2312"/>
                <w:sz w:val="21"/>
                <w:szCs w:val="21"/>
              </w:rPr>
              <w:t>总排放量</w:t>
            </w:r>
          </w:p>
          <w:p w14:paraId="1F77B737">
            <w:pPr>
              <w:jc w:val="center"/>
              <w:rPr>
                <w:rFonts w:ascii="Times New Roman" w:hAnsi="Times New Roman" w:eastAsia="仿宋_GB2312"/>
                <w:sz w:val="21"/>
                <w:szCs w:val="21"/>
              </w:rPr>
            </w:pPr>
            <w:r>
              <w:rPr>
                <w:rFonts w:hint="eastAsia" w:ascii="Times New Roman" w:hAnsi="Times New Roman" w:eastAsia="仿宋_GB2312"/>
                <w:sz w:val="21"/>
                <w:szCs w:val="21"/>
              </w:rPr>
              <w:t>（</w:t>
            </w:r>
            <w:r>
              <w:rPr>
                <w:rFonts w:ascii="Times New Roman" w:hAnsi="Times New Roman" w:eastAsia="仿宋_GB2312"/>
                <w:sz w:val="21"/>
                <w:szCs w:val="21"/>
              </w:rPr>
              <w:t>tCO</w:t>
            </w:r>
            <w:r>
              <w:rPr>
                <w:rFonts w:ascii="Times New Roman" w:hAnsi="Times New Roman" w:eastAsia="仿宋_GB2312"/>
                <w:sz w:val="21"/>
                <w:szCs w:val="21"/>
                <w:vertAlign w:val="subscript"/>
              </w:rPr>
              <w:t>2</w:t>
            </w:r>
            <w:r>
              <w:rPr>
                <w:rFonts w:hint="eastAsia" w:ascii="Times New Roman" w:hAnsi="Times New Roman" w:eastAsia="仿宋_GB2312"/>
                <w:sz w:val="21"/>
                <w:szCs w:val="21"/>
              </w:rPr>
              <w:t>）</w:t>
            </w:r>
          </w:p>
        </w:tc>
      </w:tr>
      <w:tr w14:paraId="36EDD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pct"/>
            <w:vAlign w:val="center"/>
          </w:tcPr>
          <w:p w14:paraId="7CB35D7F">
            <w:pPr>
              <w:jc w:val="center"/>
              <w:rPr>
                <w:rFonts w:ascii="Times New Roman" w:hAnsi="Times New Roman" w:eastAsia="仿宋_GB2312"/>
                <w:sz w:val="24"/>
              </w:rPr>
            </w:pPr>
            <w:r>
              <w:rPr>
                <w:rFonts w:ascii="Times New Roman" w:hAnsi="Times New Roman" w:eastAsia="仿宋_GB2312"/>
                <w:sz w:val="24"/>
              </w:rPr>
              <w:t>移动设施</w:t>
            </w:r>
          </w:p>
        </w:tc>
        <w:tc>
          <w:tcPr>
            <w:tcW w:w="1894" w:type="dxa"/>
            <w:vAlign w:val="center"/>
          </w:tcPr>
          <w:p w14:paraId="7703CC13">
            <w:pPr>
              <w:jc w:val="center"/>
              <w:textAlignment w:val="center"/>
              <w:rPr>
                <w:rFonts w:ascii="Times New Roman" w:hAnsi="Times New Roman" w:eastAsia="仿宋_GB2312"/>
                <w:sz w:val="24"/>
              </w:rPr>
            </w:pPr>
            <w:r>
              <w:rPr>
                <w:rFonts w:ascii="Times New Roman" w:hAnsi="Times New Roman"/>
                <w:color w:val="000000"/>
                <w:sz w:val="24"/>
              </w:rPr>
              <w:t xml:space="preserve">34000.00 </w:t>
            </w:r>
          </w:p>
        </w:tc>
        <w:tc>
          <w:tcPr>
            <w:tcW w:w="1667" w:type="dxa"/>
            <w:vAlign w:val="center"/>
          </w:tcPr>
          <w:p w14:paraId="596C3AC6">
            <w:pPr>
              <w:jc w:val="center"/>
              <w:textAlignment w:val="center"/>
              <w:rPr>
                <w:rFonts w:ascii="Times New Roman" w:hAnsi="Times New Roman" w:eastAsia="仿宋_GB2312"/>
                <w:sz w:val="24"/>
              </w:rPr>
            </w:pPr>
            <w:r>
              <w:rPr>
                <w:rFonts w:ascii="Times New Roman" w:hAnsi="Times New Roman"/>
                <w:color w:val="000000"/>
                <w:sz w:val="24"/>
              </w:rPr>
              <w:t xml:space="preserve">20.00 </w:t>
            </w:r>
          </w:p>
        </w:tc>
        <w:tc>
          <w:tcPr>
            <w:tcW w:w="1753" w:type="dxa"/>
            <w:vAlign w:val="center"/>
          </w:tcPr>
          <w:p w14:paraId="3A06095C">
            <w:pPr>
              <w:jc w:val="center"/>
              <w:textAlignment w:val="center"/>
              <w:rPr>
                <w:rFonts w:ascii="Times New Roman" w:hAnsi="Times New Roman" w:eastAsia="仿宋_GB2312"/>
                <w:sz w:val="24"/>
              </w:rPr>
            </w:pPr>
            <w:r>
              <w:rPr>
                <w:rFonts w:ascii="Times New Roman" w:hAnsi="Times New Roman"/>
                <w:color w:val="000000"/>
                <w:sz w:val="24"/>
              </w:rPr>
              <w:t xml:space="preserve">1000.00 </w:t>
            </w:r>
          </w:p>
        </w:tc>
        <w:tc>
          <w:tcPr>
            <w:tcW w:w="1688" w:type="dxa"/>
            <w:vAlign w:val="center"/>
          </w:tcPr>
          <w:p w14:paraId="44C48C0B">
            <w:pPr>
              <w:jc w:val="center"/>
              <w:textAlignment w:val="center"/>
              <w:rPr>
                <w:rFonts w:ascii="Times New Roman" w:hAnsi="Times New Roman" w:eastAsia="仿宋_GB2312"/>
                <w:sz w:val="24"/>
              </w:rPr>
            </w:pPr>
            <w:r>
              <w:rPr>
                <w:rFonts w:ascii="Times New Roman" w:hAnsi="Times New Roman"/>
                <w:color w:val="000000"/>
                <w:sz w:val="24"/>
              </w:rPr>
              <w:t xml:space="preserve">35020.00 </w:t>
            </w:r>
          </w:p>
        </w:tc>
      </w:tr>
      <w:tr w14:paraId="2F4A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pct"/>
            <w:vAlign w:val="center"/>
          </w:tcPr>
          <w:p w14:paraId="734C2DD8">
            <w:pPr>
              <w:jc w:val="center"/>
              <w:rPr>
                <w:rFonts w:ascii="Times New Roman" w:hAnsi="Times New Roman" w:eastAsia="仿宋_GB2312"/>
                <w:sz w:val="24"/>
              </w:rPr>
            </w:pPr>
            <w:r>
              <w:rPr>
                <w:rFonts w:ascii="Times New Roman" w:hAnsi="Times New Roman" w:eastAsia="仿宋_GB2312"/>
                <w:sz w:val="24"/>
              </w:rPr>
              <w:t>固定设施</w:t>
            </w:r>
          </w:p>
        </w:tc>
        <w:tc>
          <w:tcPr>
            <w:tcW w:w="1894" w:type="dxa"/>
            <w:vAlign w:val="center"/>
          </w:tcPr>
          <w:p w14:paraId="6C59783D">
            <w:pPr>
              <w:jc w:val="center"/>
              <w:textAlignment w:val="center"/>
              <w:rPr>
                <w:rFonts w:ascii="Times New Roman" w:hAnsi="Times New Roman" w:eastAsia="仿宋_GB2312"/>
                <w:sz w:val="24"/>
              </w:rPr>
            </w:pPr>
            <w:r>
              <w:rPr>
                <w:rFonts w:ascii="Times New Roman" w:hAnsi="Times New Roman"/>
                <w:color w:val="000000"/>
                <w:sz w:val="24"/>
              </w:rPr>
              <w:t xml:space="preserve">0.00 </w:t>
            </w:r>
          </w:p>
        </w:tc>
        <w:tc>
          <w:tcPr>
            <w:tcW w:w="1667" w:type="dxa"/>
            <w:vAlign w:val="center"/>
          </w:tcPr>
          <w:p w14:paraId="4544207A">
            <w:pPr>
              <w:jc w:val="center"/>
              <w:textAlignment w:val="center"/>
              <w:rPr>
                <w:rFonts w:ascii="Times New Roman" w:hAnsi="Times New Roman" w:eastAsia="仿宋_GB2312"/>
                <w:sz w:val="24"/>
              </w:rPr>
            </w:pPr>
            <w:r>
              <w:rPr>
                <w:rFonts w:ascii="Times New Roman" w:hAnsi="Times New Roman"/>
                <w:color w:val="000000"/>
                <w:sz w:val="24"/>
              </w:rPr>
              <w:t xml:space="preserve">0.00 </w:t>
            </w:r>
          </w:p>
        </w:tc>
        <w:tc>
          <w:tcPr>
            <w:tcW w:w="1753" w:type="dxa"/>
            <w:vAlign w:val="center"/>
          </w:tcPr>
          <w:p w14:paraId="24D3B02F">
            <w:pPr>
              <w:jc w:val="center"/>
              <w:textAlignment w:val="center"/>
              <w:rPr>
                <w:rFonts w:ascii="Times New Roman" w:hAnsi="Times New Roman" w:eastAsia="仿宋_GB2312"/>
                <w:sz w:val="24"/>
              </w:rPr>
            </w:pPr>
            <w:r>
              <w:rPr>
                <w:rFonts w:ascii="Times New Roman" w:hAnsi="Times New Roman"/>
                <w:color w:val="000000"/>
                <w:sz w:val="24"/>
              </w:rPr>
              <w:t xml:space="preserve">300.00 </w:t>
            </w:r>
          </w:p>
        </w:tc>
        <w:tc>
          <w:tcPr>
            <w:tcW w:w="1688" w:type="dxa"/>
            <w:vAlign w:val="center"/>
          </w:tcPr>
          <w:p w14:paraId="10A6F9E6">
            <w:pPr>
              <w:jc w:val="center"/>
              <w:textAlignment w:val="center"/>
              <w:rPr>
                <w:rFonts w:ascii="Times New Roman" w:hAnsi="Times New Roman" w:eastAsia="仿宋_GB2312"/>
                <w:sz w:val="24"/>
              </w:rPr>
            </w:pPr>
            <w:r>
              <w:rPr>
                <w:rFonts w:ascii="Times New Roman" w:hAnsi="Times New Roman"/>
                <w:color w:val="000000"/>
                <w:sz w:val="24"/>
              </w:rPr>
              <w:t xml:space="preserve">322.20 </w:t>
            </w:r>
          </w:p>
        </w:tc>
      </w:tr>
      <w:tr w14:paraId="2B3C7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pct"/>
            <w:vAlign w:val="center"/>
          </w:tcPr>
          <w:p w14:paraId="260B73FB">
            <w:pPr>
              <w:jc w:val="center"/>
              <w:rPr>
                <w:rFonts w:ascii="Times New Roman" w:hAnsi="Times New Roman" w:eastAsia="仿宋_GB2312"/>
                <w:sz w:val="24"/>
              </w:rPr>
            </w:pPr>
            <w:r>
              <w:rPr>
                <w:rFonts w:ascii="Times New Roman" w:hAnsi="Times New Roman" w:eastAsia="仿宋_GB2312"/>
                <w:sz w:val="24"/>
              </w:rPr>
              <w:t>合计</w:t>
            </w:r>
          </w:p>
        </w:tc>
        <w:tc>
          <w:tcPr>
            <w:tcW w:w="1894" w:type="dxa"/>
            <w:vAlign w:val="center"/>
          </w:tcPr>
          <w:p w14:paraId="48341438">
            <w:pPr>
              <w:jc w:val="center"/>
              <w:textAlignment w:val="center"/>
              <w:rPr>
                <w:rFonts w:ascii="Times New Roman" w:hAnsi="Times New Roman" w:eastAsia="仿宋_GB2312"/>
                <w:sz w:val="24"/>
              </w:rPr>
            </w:pPr>
            <w:r>
              <w:rPr>
                <w:rFonts w:ascii="Times New Roman" w:hAnsi="Times New Roman"/>
                <w:color w:val="000000"/>
                <w:sz w:val="24"/>
              </w:rPr>
              <w:t xml:space="preserve">34000.00 </w:t>
            </w:r>
          </w:p>
        </w:tc>
        <w:tc>
          <w:tcPr>
            <w:tcW w:w="1667" w:type="dxa"/>
            <w:vAlign w:val="center"/>
          </w:tcPr>
          <w:p w14:paraId="690B60D3">
            <w:pPr>
              <w:jc w:val="center"/>
              <w:textAlignment w:val="center"/>
              <w:rPr>
                <w:rFonts w:ascii="Times New Roman" w:hAnsi="Times New Roman" w:eastAsia="仿宋_GB2312"/>
                <w:sz w:val="24"/>
              </w:rPr>
            </w:pPr>
            <w:r>
              <w:rPr>
                <w:rFonts w:ascii="Times New Roman" w:hAnsi="Times New Roman"/>
                <w:color w:val="000000"/>
                <w:sz w:val="24"/>
              </w:rPr>
              <w:t xml:space="preserve">20.00 </w:t>
            </w:r>
          </w:p>
        </w:tc>
        <w:tc>
          <w:tcPr>
            <w:tcW w:w="1753" w:type="dxa"/>
            <w:vAlign w:val="center"/>
          </w:tcPr>
          <w:p w14:paraId="41CCFEC3">
            <w:pPr>
              <w:jc w:val="center"/>
              <w:textAlignment w:val="center"/>
              <w:rPr>
                <w:rFonts w:ascii="Times New Roman" w:hAnsi="Times New Roman" w:eastAsia="仿宋_GB2312"/>
                <w:sz w:val="24"/>
              </w:rPr>
            </w:pPr>
            <w:r>
              <w:rPr>
                <w:rFonts w:ascii="Times New Roman" w:hAnsi="Times New Roman"/>
                <w:color w:val="000000"/>
                <w:sz w:val="24"/>
              </w:rPr>
              <w:t xml:space="preserve">1300.00 </w:t>
            </w:r>
          </w:p>
        </w:tc>
        <w:tc>
          <w:tcPr>
            <w:tcW w:w="1688" w:type="dxa"/>
          </w:tcPr>
          <w:p w14:paraId="233C88B8">
            <w:pPr>
              <w:jc w:val="center"/>
              <w:textAlignment w:val="top"/>
              <w:rPr>
                <w:rFonts w:ascii="Times New Roman" w:hAnsi="Times New Roman" w:eastAsia="仿宋_GB2312"/>
                <w:sz w:val="24"/>
              </w:rPr>
            </w:pPr>
            <w:r>
              <w:rPr>
                <w:rFonts w:ascii="Times New Roman" w:hAnsi="Times New Roman"/>
                <w:color w:val="000000"/>
                <w:sz w:val="24"/>
              </w:rPr>
              <w:t xml:space="preserve">35320.00 </w:t>
            </w:r>
          </w:p>
        </w:tc>
      </w:tr>
    </w:tbl>
    <w:p w14:paraId="459379E8">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排放单位固定设施建筑面积和移动设施的运输总里程与最终排放报告中一致。经核查的固定设施建筑面积为xxxx平方米，移动设施运输总里程为xxxx万公里。</w:t>
      </w:r>
    </w:p>
    <w:p w14:paraId="01EB4514">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3.排放量排放量及活动水平的原因说明</w:t>
      </w:r>
    </w:p>
    <w:p w14:paraId="46EF6654">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排放单位本年度排放量相比上年度排放量增加了4008.00吨/12.80%，其中</w:t>
      </w:r>
      <w:r>
        <w:rPr>
          <w:rFonts w:hint="eastAsia" w:ascii="Times New Roman" w:hAnsi="Times New Roman" w:eastAsia="仿宋_GB2312"/>
          <w:sz w:val="32"/>
          <w:szCs w:val="32"/>
        </w:rPr>
        <w:t>化石燃料燃烧</w:t>
      </w:r>
      <w:r>
        <w:rPr>
          <w:rFonts w:ascii="Times New Roman" w:hAnsi="Times New Roman" w:eastAsia="仿宋_GB2312"/>
          <w:sz w:val="32"/>
          <w:szCs w:val="32"/>
        </w:rPr>
        <w:t>排放量增加了3800.00吨/12.58%，过程排放量增加了8.00吨/66.67%</w:t>
      </w:r>
      <w:r>
        <w:rPr>
          <w:rFonts w:hint="eastAsia" w:ascii="Times New Roman" w:hAnsi="Times New Roman" w:eastAsia="仿宋_GB2312"/>
          <w:sz w:val="32"/>
          <w:szCs w:val="32"/>
        </w:rPr>
        <w:t>，</w:t>
      </w:r>
      <w:r>
        <w:rPr>
          <w:rFonts w:ascii="Times New Roman" w:hAnsi="Times New Roman" w:eastAsia="仿宋_GB2312"/>
          <w:sz w:val="32"/>
          <w:szCs w:val="32"/>
        </w:rPr>
        <w:t>间接排放量增加了200.00吨/18.18%。主要原因是排放单位客运里程数增加10.44%，增加了运营车辆的数量，导致排放量上升明显。</w:t>
      </w:r>
    </w:p>
    <w:p w14:paraId="593556CA">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本年度排放量相比历史基准年份排放量相比增加4008.00吨，增加比例为12.80%，原因为客运里程数增加了xxx万公里。</w:t>
      </w:r>
    </w:p>
    <w:p w14:paraId="3411D585">
      <w:pPr>
        <w:spacing w:after="0" w:line="560" w:lineRule="exact"/>
        <w:jc w:val="center"/>
        <w:rPr>
          <w:rFonts w:ascii="Times New Roman" w:hAnsi="Times New Roman" w:eastAsia="仿宋_GB2312"/>
          <w:sz w:val="32"/>
          <w:szCs w:val="32"/>
        </w:rPr>
      </w:pPr>
      <w:r>
        <w:rPr>
          <w:rFonts w:ascii="Times New Roman" w:hAnsi="Times New Roman" w:eastAsia="仿宋_GB2312"/>
          <w:sz w:val="24"/>
        </w:rPr>
        <w:t>表XX  排放量汇总表</w:t>
      </w:r>
    </w:p>
    <w:tbl>
      <w:tblPr>
        <w:tblStyle w:val="35"/>
        <w:tblW w:w="4997" w:type="pct"/>
        <w:tblInd w:w="0" w:type="dxa"/>
        <w:tblLayout w:type="autofit"/>
        <w:tblCellMar>
          <w:top w:w="0" w:type="dxa"/>
          <w:left w:w="108" w:type="dxa"/>
          <w:bottom w:w="0" w:type="dxa"/>
          <w:right w:w="108" w:type="dxa"/>
        </w:tblCellMar>
      </w:tblPr>
      <w:tblGrid>
        <w:gridCol w:w="1322"/>
        <w:gridCol w:w="1677"/>
        <w:gridCol w:w="1913"/>
        <w:gridCol w:w="2072"/>
        <w:gridCol w:w="2072"/>
      </w:tblGrid>
      <w:tr w14:paraId="4374D627">
        <w:tblPrEx>
          <w:tblCellMar>
            <w:top w:w="0" w:type="dxa"/>
            <w:left w:w="108" w:type="dxa"/>
            <w:bottom w:w="0" w:type="dxa"/>
            <w:right w:w="108" w:type="dxa"/>
          </w:tblCellMar>
        </w:tblPrEx>
        <w:trPr>
          <w:trHeight w:val="730" w:hRule="atLeast"/>
        </w:trPr>
        <w:tc>
          <w:tcPr>
            <w:tcW w:w="730" w:type="pct"/>
            <w:tcBorders>
              <w:top w:val="single" w:color="auto" w:sz="4" w:space="0"/>
              <w:left w:val="single" w:color="auto" w:sz="4" w:space="0"/>
              <w:bottom w:val="single" w:color="auto" w:sz="4" w:space="0"/>
              <w:right w:val="single" w:color="auto" w:sz="4" w:space="0"/>
            </w:tcBorders>
            <w:vAlign w:val="center"/>
          </w:tcPr>
          <w:p w14:paraId="31E53D8A">
            <w:pPr>
              <w:jc w:val="center"/>
              <w:rPr>
                <w:rFonts w:ascii="Times New Roman" w:hAnsi="Times New Roman" w:eastAsia="仿宋_GB2312"/>
                <w:color w:val="000000"/>
                <w:sz w:val="24"/>
              </w:rPr>
            </w:pPr>
            <w:r>
              <w:rPr>
                <w:rFonts w:ascii="Times New Roman" w:hAnsi="Times New Roman" w:eastAsia="仿宋_GB2312"/>
                <w:color w:val="000000"/>
                <w:sz w:val="24"/>
              </w:rPr>
              <w:t>年度</w:t>
            </w:r>
          </w:p>
        </w:tc>
        <w:tc>
          <w:tcPr>
            <w:tcW w:w="926" w:type="pct"/>
            <w:tcBorders>
              <w:top w:val="single" w:color="auto" w:sz="4" w:space="0"/>
              <w:left w:val="nil"/>
              <w:bottom w:val="single" w:color="auto" w:sz="4" w:space="0"/>
              <w:right w:val="single" w:color="auto" w:sz="4" w:space="0"/>
            </w:tcBorders>
            <w:vAlign w:val="center"/>
          </w:tcPr>
          <w:p w14:paraId="572A8D38">
            <w:pPr>
              <w:jc w:val="center"/>
              <w:rPr>
                <w:rFonts w:ascii="Times New Roman" w:hAnsi="Times New Roman" w:eastAsia="仿宋_GB2312"/>
                <w:color w:val="000000"/>
                <w:sz w:val="24"/>
              </w:rPr>
            </w:pPr>
            <w:r>
              <w:rPr>
                <w:rFonts w:ascii="Times New Roman" w:hAnsi="Times New Roman" w:eastAsia="仿宋_GB2312"/>
                <w:color w:val="000000"/>
                <w:sz w:val="24"/>
              </w:rPr>
              <w:t>化石燃料燃烧排放量（tCO</w:t>
            </w:r>
            <w:r>
              <w:rPr>
                <w:rFonts w:ascii="Times New Roman" w:hAnsi="Times New Roman" w:eastAsia="仿宋_GB2312"/>
                <w:color w:val="000000"/>
                <w:sz w:val="24"/>
                <w:vertAlign w:val="subscript"/>
              </w:rPr>
              <w:t>2</w:t>
            </w:r>
            <w:r>
              <w:rPr>
                <w:rFonts w:ascii="Times New Roman" w:hAnsi="Times New Roman" w:eastAsia="仿宋_GB2312"/>
                <w:color w:val="000000"/>
                <w:sz w:val="24"/>
              </w:rPr>
              <w:t>）</w:t>
            </w:r>
          </w:p>
        </w:tc>
        <w:tc>
          <w:tcPr>
            <w:tcW w:w="1056" w:type="pct"/>
            <w:tcBorders>
              <w:top w:val="single" w:color="auto" w:sz="4" w:space="0"/>
              <w:left w:val="nil"/>
              <w:bottom w:val="single" w:color="auto" w:sz="4" w:space="0"/>
              <w:right w:val="single" w:color="auto" w:sz="4" w:space="0"/>
            </w:tcBorders>
            <w:vAlign w:val="center"/>
          </w:tcPr>
          <w:p w14:paraId="55EDBC8E">
            <w:pPr>
              <w:jc w:val="center"/>
              <w:rPr>
                <w:rFonts w:ascii="Times New Roman" w:hAnsi="Times New Roman" w:eastAsia="仿宋_GB2312"/>
                <w:color w:val="000000"/>
                <w:sz w:val="24"/>
              </w:rPr>
            </w:pPr>
            <w:r>
              <w:rPr>
                <w:rFonts w:ascii="Times New Roman" w:hAnsi="Times New Roman" w:eastAsia="仿宋_GB2312"/>
                <w:color w:val="000000"/>
                <w:sz w:val="24"/>
              </w:rPr>
              <w:t>过程排放量（tCO</w:t>
            </w:r>
            <w:r>
              <w:rPr>
                <w:rFonts w:ascii="Times New Roman" w:hAnsi="Times New Roman" w:eastAsia="仿宋_GB2312"/>
                <w:color w:val="000000"/>
                <w:sz w:val="24"/>
                <w:vertAlign w:val="subscript"/>
              </w:rPr>
              <w:t>2</w:t>
            </w:r>
            <w:r>
              <w:rPr>
                <w:rFonts w:ascii="Times New Roman" w:hAnsi="Times New Roman" w:eastAsia="仿宋_GB2312"/>
                <w:color w:val="000000"/>
                <w:sz w:val="24"/>
              </w:rPr>
              <w:t>）</w:t>
            </w:r>
          </w:p>
        </w:tc>
        <w:tc>
          <w:tcPr>
            <w:tcW w:w="1144" w:type="pct"/>
            <w:tcBorders>
              <w:top w:val="single" w:color="auto" w:sz="4" w:space="0"/>
              <w:left w:val="nil"/>
              <w:bottom w:val="single" w:color="auto" w:sz="4" w:space="0"/>
              <w:right w:val="single" w:color="auto" w:sz="4" w:space="0"/>
            </w:tcBorders>
            <w:vAlign w:val="center"/>
          </w:tcPr>
          <w:p w14:paraId="3F2B3880">
            <w:pPr>
              <w:jc w:val="center"/>
              <w:rPr>
                <w:rFonts w:ascii="Times New Roman" w:hAnsi="Times New Roman" w:eastAsia="仿宋_GB2312"/>
                <w:color w:val="000000"/>
                <w:sz w:val="24"/>
              </w:rPr>
            </w:pPr>
            <w:r>
              <w:rPr>
                <w:rFonts w:ascii="Times New Roman" w:hAnsi="Times New Roman" w:eastAsia="仿宋_GB2312"/>
                <w:color w:val="000000"/>
                <w:sz w:val="24"/>
              </w:rPr>
              <w:t>间接排放量（tCO</w:t>
            </w:r>
            <w:r>
              <w:rPr>
                <w:rFonts w:ascii="Times New Roman" w:hAnsi="Times New Roman" w:eastAsia="仿宋_GB2312"/>
                <w:color w:val="000000"/>
                <w:sz w:val="24"/>
                <w:vertAlign w:val="subscript"/>
              </w:rPr>
              <w:t>2</w:t>
            </w:r>
            <w:r>
              <w:rPr>
                <w:rFonts w:ascii="Times New Roman" w:hAnsi="Times New Roman" w:eastAsia="仿宋_GB2312"/>
                <w:color w:val="000000"/>
                <w:sz w:val="24"/>
              </w:rPr>
              <w:t>）</w:t>
            </w:r>
          </w:p>
        </w:tc>
        <w:tc>
          <w:tcPr>
            <w:tcW w:w="1144" w:type="pct"/>
            <w:tcBorders>
              <w:top w:val="single" w:color="auto" w:sz="4" w:space="0"/>
              <w:left w:val="nil"/>
              <w:bottom w:val="single" w:color="auto" w:sz="4" w:space="0"/>
              <w:right w:val="single" w:color="auto" w:sz="4" w:space="0"/>
            </w:tcBorders>
            <w:vAlign w:val="center"/>
          </w:tcPr>
          <w:p w14:paraId="49221E03">
            <w:pPr>
              <w:jc w:val="center"/>
              <w:rPr>
                <w:rFonts w:ascii="Times New Roman" w:hAnsi="Times New Roman" w:eastAsia="仿宋_GB2312"/>
                <w:color w:val="000000"/>
                <w:sz w:val="24"/>
              </w:rPr>
            </w:pPr>
            <w:r>
              <w:rPr>
                <w:rFonts w:ascii="Times New Roman" w:hAnsi="Times New Roman" w:eastAsia="仿宋_GB2312"/>
                <w:color w:val="000000"/>
                <w:sz w:val="24"/>
              </w:rPr>
              <w:t>排放总量（tCO2）</w:t>
            </w:r>
          </w:p>
        </w:tc>
      </w:tr>
      <w:tr w14:paraId="47EC8ADE">
        <w:tblPrEx>
          <w:tblCellMar>
            <w:top w:w="0" w:type="dxa"/>
            <w:left w:w="108" w:type="dxa"/>
            <w:bottom w:w="0" w:type="dxa"/>
            <w:right w:w="108" w:type="dxa"/>
          </w:tblCellMar>
        </w:tblPrEx>
        <w:trPr>
          <w:trHeight w:val="381" w:hRule="atLeast"/>
        </w:trPr>
        <w:tc>
          <w:tcPr>
            <w:tcW w:w="730" w:type="pct"/>
            <w:tcBorders>
              <w:top w:val="single" w:color="auto" w:sz="4" w:space="0"/>
              <w:left w:val="single" w:color="auto" w:sz="4" w:space="0"/>
              <w:bottom w:val="single" w:color="auto" w:sz="4" w:space="0"/>
              <w:right w:val="single" w:color="auto" w:sz="4" w:space="0"/>
            </w:tcBorders>
            <w:noWrap/>
            <w:vAlign w:val="center"/>
          </w:tcPr>
          <w:p w14:paraId="4BC1466A">
            <w:pPr>
              <w:jc w:val="center"/>
              <w:rPr>
                <w:rFonts w:ascii="Times New Roman" w:hAnsi="Times New Roman" w:eastAsia="仿宋_GB2312"/>
                <w:color w:val="000000"/>
                <w:sz w:val="24"/>
              </w:rPr>
            </w:pPr>
            <w:r>
              <w:rPr>
                <w:rFonts w:ascii="Times New Roman" w:hAnsi="Times New Roman" w:eastAsia="仿宋_GB2312"/>
                <w:color w:val="000000"/>
                <w:sz w:val="24"/>
              </w:rPr>
              <w:t>2016</w:t>
            </w:r>
          </w:p>
        </w:tc>
        <w:tc>
          <w:tcPr>
            <w:tcW w:w="926" w:type="pct"/>
            <w:tcBorders>
              <w:top w:val="nil"/>
              <w:left w:val="nil"/>
              <w:bottom w:val="single" w:color="auto" w:sz="4" w:space="0"/>
              <w:right w:val="single" w:color="auto" w:sz="4" w:space="0"/>
            </w:tcBorders>
            <w:noWrap/>
            <w:vAlign w:val="center"/>
          </w:tcPr>
          <w:p w14:paraId="45A49406">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29000.00 </w:t>
            </w:r>
          </w:p>
        </w:tc>
        <w:tc>
          <w:tcPr>
            <w:tcW w:w="1056" w:type="pct"/>
            <w:tcBorders>
              <w:top w:val="nil"/>
              <w:left w:val="nil"/>
              <w:bottom w:val="single" w:color="auto" w:sz="4" w:space="0"/>
              <w:right w:val="single" w:color="auto" w:sz="4" w:space="0"/>
            </w:tcBorders>
            <w:noWrap/>
            <w:vAlign w:val="center"/>
          </w:tcPr>
          <w:p w14:paraId="5029734F">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4.00 </w:t>
            </w:r>
          </w:p>
        </w:tc>
        <w:tc>
          <w:tcPr>
            <w:tcW w:w="1144" w:type="pct"/>
            <w:tcBorders>
              <w:top w:val="nil"/>
              <w:left w:val="nil"/>
              <w:bottom w:val="single" w:color="auto" w:sz="4" w:space="0"/>
              <w:right w:val="single" w:color="auto" w:sz="4" w:space="0"/>
            </w:tcBorders>
            <w:vAlign w:val="center"/>
          </w:tcPr>
          <w:p w14:paraId="76E54749">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900</w:t>
            </w:r>
          </w:p>
        </w:tc>
        <w:tc>
          <w:tcPr>
            <w:tcW w:w="1144" w:type="pct"/>
            <w:tcBorders>
              <w:top w:val="nil"/>
              <w:left w:val="nil"/>
              <w:bottom w:val="single" w:color="auto" w:sz="4" w:space="0"/>
              <w:right w:val="single" w:color="auto" w:sz="4" w:space="0"/>
            </w:tcBorders>
            <w:vAlign w:val="center"/>
          </w:tcPr>
          <w:p w14:paraId="1A32AC7A">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29904.00 </w:t>
            </w:r>
          </w:p>
        </w:tc>
      </w:tr>
      <w:tr w14:paraId="1ED407BE">
        <w:tblPrEx>
          <w:tblCellMar>
            <w:top w:w="0" w:type="dxa"/>
            <w:left w:w="108" w:type="dxa"/>
            <w:bottom w:w="0" w:type="dxa"/>
            <w:right w:w="108" w:type="dxa"/>
          </w:tblCellMar>
        </w:tblPrEx>
        <w:trPr>
          <w:trHeight w:val="347" w:hRule="atLeast"/>
        </w:trPr>
        <w:tc>
          <w:tcPr>
            <w:tcW w:w="730" w:type="pct"/>
            <w:tcBorders>
              <w:top w:val="single" w:color="auto" w:sz="4" w:space="0"/>
              <w:left w:val="single" w:color="auto" w:sz="4" w:space="0"/>
              <w:bottom w:val="single" w:color="auto" w:sz="4" w:space="0"/>
              <w:right w:val="single" w:color="auto" w:sz="4" w:space="0"/>
            </w:tcBorders>
            <w:noWrap/>
            <w:vAlign w:val="center"/>
          </w:tcPr>
          <w:p w14:paraId="3F1B258D">
            <w:pPr>
              <w:jc w:val="center"/>
              <w:rPr>
                <w:rFonts w:ascii="Times New Roman" w:hAnsi="Times New Roman" w:eastAsia="仿宋_GB2312"/>
                <w:color w:val="000000"/>
                <w:sz w:val="24"/>
              </w:rPr>
            </w:pPr>
            <w:r>
              <w:rPr>
                <w:rFonts w:ascii="Times New Roman" w:hAnsi="Times New Roman" w:eastAsia="仿宋_GB2312"/>
                <w:color w:val="000000"/>
                <w:sz w:val="24"/>
              </w:rPr>
              <w:t>2017</w:t>
            </w:r>
          </w:p>
        </w:tc>
        <w:tc>
          <w:tcPr>
            <w:tcW w:w="926" w:type="pct"/>
            <w:tcBorders>
              <w:top w:val="nil"/>
              <w:left w:val="nil"/>
              <w:bottom w:val="single" w:color="auto" w:sz="4" w:space="0"/>
              <w:right w:val="single" w:color="auto" w:sz="4" w:space="0"/>
            </w:tcBorders>
            <w:noWrap/>
            <w:vAlign w:val="center"/>
          </w:tcPr>
          <w:p w14:paraId="5B070F42">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29800.00 </w:t>
            </w:r>
          </w:p>
        </w:tc>
        <w:tc>
          <w:tcPr>
            <w:tcW w:w="1056" w:type="pct"/>
            <w:tcBorders>
              <w:top w:val="nil"/>
              <w:left w:val="nil"/>
              <w:bottom w:val="single" w:color="auto" w:sz="4" w:space="0"/>
              <w:right w:val="single" w:color="auto" w:sz="4" w:space="0"/>
            </w:tcBorders>
            <w:noWrap/>
            <w:vAlign w:val="center"/>
          </w:tcPr>
          <w:p w14:paraId="26EF38FE">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5.00 </w:t>
            </w:r>
          </w:p>
        </w:tc>
        <w:tc>
          <w:tcPr>
            <w:tcW w:w="1144" w:type="pct"/>
            <w:tcBorders>
              <w:top w:val="nil"/>
              <w:left w:val="nil"/>
              <w:bottom w:val="single" w:color="auto" w:sz="4" w:space="0"/>
              <w:right w:val="single" w:color="auto" w:sz="4" w:space="0"/>
            </w:tcBorders>
            <w:vAlign w:val="center"/>
          </w:tcPr>
          <w:p w14:paraId="2135FA17">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1000</w:t>
            </w:r>
          </w:p>
        </w:tc>
        <w:tc>
          <w:tcPr>
            <w:tcW w:w="1144" w:type="pct"/>
            <w:tcBorders>
              <w:top w:val="nil"/>
              <w:left w:val="nil"/>
              <w:bottom w:val="single" w:color="auto" w:sz="4" w:space="0"/>
              <w:right w:val="single" w:color="auto" w:sz="4" w:space="0"/>
            </w:tcBorders>
            <w:vAlign w:val="center"/>
          </w:tcPr>
          <w:p w14:paraId="57B7804B">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30805.00 </w:t>
            </w:r>
          </w:p>
        </w:tc>
      </w:tr>
      <w:tr w14:paraId="462BB8DF">
        <w:tblPrEx>
          <w:tblCellMar>
            <w:top w:w="0" w:type="dxa"/>
            <w:left w:w="108" w:type="dxa"/>
            <w:bottom w:w="0" w:type="dxa"/>
            <w:right w:w="108" w:type="dxa"/>
          </w:tblCellMar>
        </w:tblPrEx>
        <w:trPr>
          <w:trHeight w:val="347" w:hRule="atLeast"/>
        </w:trPr>
        <w:tc>
          <w:tcPr>
            <w:tcW w:w="730" w:type="pct"/>
            <w:tcBorders>
              <w:top w:val="single" w:color="auto" w:sz="4" w:space="0"/>
              <w:left w:val="single" w:color="auto" w:sz="4" w:space="0"/>
              <w:bottom w:val="single" w:color="auto" w:sz="4" w:space="0"/>
              <w:right w:val="single" w:color="auto" w:sz="4" w:space="0"/>
            </w:tcBorders>
            <w:noWrap/>
            <w:vAlign w:val="center"/>
          </w:tcPr>
          <w:p w14:paraId="7042B38A">
            <w:pPr>
              <w:jc w:val="center"/>
              <w:rPr>
                <w:rFonts w:ascii="Times New Roman" w:hAnsi="Times New Roman" w:eastAsia="仿宋_GB2312"/>
                <w:color w:val="000000"/>
                <w:sz w:val="24"/>
              </w:rPr>
            </w:pPr>
            <w:r>
              <w:rPr>
                <w:rFonts w:ascii="Times New Roman" w:hAnsi="Times New Roman" w:eastAsia="仿宋_GB2312"/>
                <w:color w:val="000000"/>
                <w:sz w:val="24"/>
              </w:rPr>
              <w:t>2018</w:t>
            </w:r>
          </w:p>
        </w:tc>
        <w:tc>
          <w:tcPr>
            <w:tcW w:w="926" w:type="pct"/>
            <w:tcBorders>
              <w:top w:val="nil"/>
              <w:left w:val="nil"/>
              <w:bottom w:val="single" w:color="auto" w:sz="4" w:space="0"/>
              <w:right w:val="single" w:color="auto" w:sz="4" w:space="0"/>
            </w:tcBorders>
            <w:noWrap/>
            <w:vAlign w:val="center"/>
          </w:tcPr>
          <w:p w14:paraId="66E72559">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30200.00 </w:t>
            </w:r>
          </w:p>
        </w:tc>
        <w:tc>
          <w:tcPr>
            <w:tcW w:w="1056" w:type="pct"/>
            <w:tcBorders>
              <w:top w:val="nil"/>
              <w:left w:val="nil"/>
              <w:bottom w:val="single" w:color="auto" w:sz="4" w:space="0"/>
              <w:right w:val="single" w:color="auto" w:sz="4" w:space="0"/>
            </w:tcBorders>
            <w:noWrap/>
            <w:vAlign w:val="center"/>
          </w:tcPr>
          <w:p w14:paraId="6277F72C">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12.00 </w:t>
            </w:r>
          </w:p>
        </w:tc>
        <w:tc>
          <w:tcPr>
            <w:tcW w:w="1144" w:type="pct"/>
            <w:tcBorders>
              <w:top w:val="nil"/>
              <w:left w:val="nil"/>
              <w:bottom w:val="single" w:color="auto" w:sz="4" w:space="0"/>
              <w:right w:val="single" w:color="auto" w:sz="4" w:space="0"/>
            </w:tcBorders>
            <w:vAlign w:val="center"/>
          </w:tcPr>
          <w:p w14:paraId="7D834DEC">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1100</w:t>
            </w:r>
          </w:p>
        </w:tc>
        <w:tc>
          <w:tcPr>
            <w:tcW w:w="1144" w:type="pct"/>
            <w:tcBorders>
              <w:top w:val="nil"/>
              <w:left w:val="nil"/>
              <w:bottom w:val="single" w:color="auto" w:sz="4" w:space="0"/>
              <w:right w:val="single" w:color="auto" w:sz="4" w:space="0"/>
            </w:tcBorders>
            <w:vAlign w:val="center"/>
          </w:tcPr>
          <w:p w14:paraId="628E9AD2">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31312.00 </w:t>
            </w:r>
          </w:p>
        </w:tc>
      </w:tr>
      <w:tr w14:paraId="09BBD305">
        <w:tblPrEx>
          <w:tblCellMar>
            <w:top w:w="0" w:type="dxa"/>
            <w:left w:w="108" w:type="dxa"/>
            <w:bottom w:w="0" w:type="dxa"/>
            <w:right w:w="108" w:type="dxa"/>
          </w:tblCellMar>
        </w:tblPrEx>
        <w:trPr>
          <w:trHeight w:val="347" w:hRule="atLeast"/>
        </w:trPr>
        <w:tc>
          <w:tcPr>
            <w:tcW w:w="730" w:type="pct"/>
            <w:tcBorders>
              <w:top w:val="single" w:color="auto" w:sz="4" w:space="0"/>
              <w:left w:val="single" w:color="auto" w:sz="4" w:space="0"/>
              <w:bottom w:val="single" w:color="auto" w:sz="4" w:space="0"/>
              <w:right w:val="single" w:color="auto" w:sz="4" w:space="0"/>
            </w:tcBorders>
            <w:noWrap/>
            <w:vAlign w:val="center"/>
          </w:tcPr>
          <w:p w14:paraId="74B52BCE">
            <w:pPr>
              <w:jc w:val="center"/>
              <w:rPr>
                <w:rFonts w:ascii="Times New Roman" w:hAnsi="Times New Roman" w:eastAsia="仿宋_GB2312"/>
                <w:color w:val="000000"/>
                <w:sz w:val="24"/>
              </w:rPr>
            </w:pPr>
            <w:r>
              <w:rPr>
                <w:rFonts w:ascii="Times New Roman" w:hAnsi="Times New Roman" w:eastAsia="仿宋_GB2312"/>
                <w:color w:val="000000"/>
                <w:sz w:val="24"/>
              </w:rPr>
              <w:t>2019</w:t>
            </w:r>
          </w:p>
        </w:tc>
        <w:tc>
          <w:tcPr>
            <w:tcW w:w="926" w:type="pct"/>
            <w:tcBorders>
              <w:top w:val="single" w:color="auto" w:sz="4" w:space="0"/>
              <w:left w:val="single" w:color="auto" w:sz="4" w:space="0"/>
              <w:bottom w:val="single" w:color="auto" w:sz="4" w:space="0"/>
              <w:right w:val="single" w:color="auto" w:sz="4" w:space="0"/>
            </w:tcBorders>
            <w:noWrap/>
            <w:vAlign w:val="center"/>
          </w:tcPr>
          <w:p w14:paraId="61324B6D">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34000.00 </w:t>
            </w:r>
          </w:p>
        </w:tc>
        <w:tc>
          <w:tcPr>
            <w:tcW w:w="1056" w:type="pct"/>
            <w:tcBorders>
              <w:top w:val="single" w:color="auto" w:sz="4" w:space="0"/>
              <w:left w:val="single" w:color="auto" w:sz="4" w:space="0"/>
              <w:bottom w:val="single" w:color="auto" w:sz="4" w:space="0"/>
              <w:right w:val="single" w:color="auto" w:sz="4" w:space="0"/>
            </w:tcBorders>
            <w:noWrap/>
            <w:vAlign w:val="center"/>
          </w:tcPr>
          <w:p w14:paraId="3A6B944D">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20.00 </w:t>
            </w:r>
          </w:p>
        </w:tc>
        <w:tc>
          <w:tcPr>
            <w:tcW w:w="1144" w:type="pct"/>
            <w:tcBorders>
              <w:top w:val="single" w:color="auto" w:sz="4" w:space="0"/>
              <w:left w:val="single" w:color="auto" w:sz="4" w:space="0"/>
              <w:bottom w:val="single" w:color="auto" w:sz="4" w:space="0"/>
              <w:right w:val="single" w:color="auto" w:sz="4" w:space="0"/>
            </w:tcBorders>
            <w:vAlign w:val="center"/>
          </w:tcPr>
          <w:p w14:paraId="582A56C5">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1300</w:t>
            </w:r>
          </w:p>
        </w:tc>
        <w:tc>
          <w:tcPr>
            <w:tcW w:w="1144" w:type="pct"/>
            <w:tcBorders>
              <w:top w:val="single" w:color="auto" w:sz="4" w:space="0"/>
              <w:left w:val="single" w:color="auto" w:sz="4" w:space="0"/>
              <w:bottom w:val="single" w:color="auto" w:sz="4" w:space="0"/>
              <w:right w:val="single" w:color="auto" w:sz="4" w:space="0"/>
            </w:tcBorders>
            <w:vAlign w:val="center"/>
          </w:tcPr>
          <w:p w14:paraId="0809ACA8">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35320.00 </w:t>
            </w:r>
          </w:p>
        </w:tc>
      </w:tr>
      <w:tr w14:paraId="5CB9666B">
        <w:tblPrEx>
          <w:tblCellMar>
            <w:top w:w="0" w:type="dxa"/>
            <w:left w:w="108" w:type="dxa"/>
            <w:bottom w:w="0" w:type="dxa"/>
            <w:right w:w="108" w:type="dxa"/>
          </w:tblCellMar>
        </w:tblPrEx>
        <w:trPr>
          <w:trHeight w:val="347" w:hRule="atLeast"/>
        </w:trPr>
        <w:tc>
          <w:tcPr>
            <w:tcW w:w="730" w:type="pct"/>
            <w:tcBorders>
              <w:top w:val="single" w:color="auto" w:sz="4" w:space="0"/>
              <w:left w:val="single" w:color="auto" w:sz="4" w:space="0"/>
              <w:bottom w:val="single" w:color="auto" w:sz="4" w:space="0"/>
              <w:right w:val="single" w:color="auto" w:sz="4" w:space="0"/>
            </w:tcBorders>
            <w:noWrap/>
            <w:vAlign w:val="center"/>
          </w:tcPr>
          <w:p w14:paraId="362B3ACA">
            <w:pPr>
              <w:jc w:val="center"/>
              <w:rPr>
                <w:rFonts w:ascii="Times New Roman" w:hAnsi="Times New Roman" w:eastAsia="仿宋_GB2312"/>
                <w:color w:val="000000"/>
                <w:sz w:val="24"/>
              </w:rPr>
            </w:pPr>
            <w:r>
              <w:rPr>
                <w:rFonts w:hint="eastAsia" w:ascii="Times New Roman" w:hAnsi="Times New Roman" w:eastAsia="仿宋_GB2312"/>
                <w:color w:val="000000"/>
                <w:sz w:val="24"/>
              </w:rPr>
              <w:t>2</w:t>
            </w:r>
            <w:r>
              <w:rPr>
                <w:rFonts w:ascii="Times New Roman" w:hAnsi="Times New Roman" w:eastAsia="仿宋_GB2312"/>
                <w:color w:val="000000"/>
                <w:sz w:val="24"/>
              </w:rPr>
              <w:t>020</w:t>
            </w:r>
          </w:p>
        </w:tc>
        <w:tc>
          <w:tcPr>
            <w:tcW w:w="926" w:type="pct"/>
            <w:tcBorders>
              <w:top w:val="single" w:color="auto" w:sz="4" w:space="0"/>
              <w:left w:val="single" w:color="auto" w:sz="4" w:space="0"/>
              <w:bottom w:val="single" w:color="auto" w:sz="4" w:space="0"/>
              <w:right w:val="single" w:color="auto" w:sz="4" w:space="0"/>
            </w:tcBorders>
            <w:noWrap/>
            <w:vAlign w:val="center"/>
          </w:tcPr>
          <w:p w14:paraId="3CE0EC68">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34000.00 </w:t>
            </w:r>
          </w:p>
        </w:tc>
        <w:tc>
          <w:tcPr>
            <w:tcW w:w="1056" w:type="pct"/>
            <w:tcBorders>
              <w:top w:val="single" w:color="auto" w:sz="4" w:space="0"/>
              <w:left w:val="single" w:color="auto" w:sz="4" w:space="0"/>
              <w:bottom w:val="single" w:color="auto" w:sz="4" w:space="0"/>
              <w:right w:val="single" w:color="auto" w:sz="4" w:space="0"/>
            </w:tcBorders>
            <w:noWrap/>
            <w:vAlign w:val="center"/>
          </w:tcPr>
          <w:p w14:paraId="69174608">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20.00 </w:t>
            </w:r>
          </w:p>
        </w:tc>
        <w:tc>
          <w:tcPr>
            <w:tcW w:w="1144" w:type="pct"/>
            <w:tcBorders>
              <w:top w:val="single" w:color="auto" w:sz="4" w:space="0"/>
              <w:left w:val="single" w:color="auto" w:sz="4" w:space="0"/>
              <w:bottom w:val="single" w:color="auto" w:sz="4" w:space="0"/>
              <w:right w:val="single" w:color="auto" w:sz="4" w:space="0"/>
            </w:tcBorders>
            <w:vAlign w:val="center"/>
          </w:tcPr>
          <w:p w14:paraId="7626A832">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1300</w:t>
            </w:r>
          </w:p>
        </w:tc>
        <w:tc>
          <w:tcPr>
            <w:tcW w:w="1144" w:type="pct"/>
            <w:tcBorders>
              <w:top w:val="single" w:color="auto" w:sz="4" w:space="0"/>
              <w:left w:val="single" w:color="auto" w:sz="4" w:space="0"/>
              <w:bottom w:val="single" w:color="auto" w:sz="4" w:space="0"/>
              <w:right w:val="single" w:color="auto" w:sz="4" w:space="0"/>
            </w:tcBorders>
            <w:vAlign w:val="center"/>
          </w:tcPr>
          <w:p w14:paraId="421BC068">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35320.00 </w:t>
            </w:r>
          </w:p>
        </w:tc>
      </w:tr>
    </w:tbl>
    <w:p w14:paraId="638B0AC7">
      <w:pPr>
        <w:rPr>
          <w:rFonts w:ascii="Times New Roman" w:hAnsi="Times New Roman"/>
        </w:rPr>
      </w:pPr>
      <w:r>
        <w:rPr>
          <w:lang w:val="en-US"/>
        </w:rPr>
        <w:drawing>
          <wp:inline distT="0" distB="0" distL="0" distR="0">
            <wp:extent cx="5282565" cy="2540000"/>
            <wp:effectExtent l="0" t="0" r="13335" b="12700"/>
            <wp:docPr id="5" name="图表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62920BC">
      <w:pPr>
        <w:spacing w:after="0" w:line="560" w:lineRule="exact"/>
        <w:jc w:val="center"/>
        <w:rPr>
          <w:rFonts w:ascii="Times New Roman" w:hAnsi="Times New Roman"/>
        </w:rPr>
      </w:pPr>
      <w:r>
        <w:rPr>
          <w:rFonts w:ascii="Times New Roman" w:hAnsi="Times New Roman" w:eastAsia="仿宋_GB2312"/>
          <w:sz w:val="24"/>
        </w:rPr>
        <w:t>图XX  排放量变化趋势图（增加</w:t>
      </w:r>
      <w:r>
        <w:rPr>
          <w:rFonts w:hint="eastAsia" w:ascii="Times New Roman" w:hAnsi="Times New Roman" w:eastAsia="仿宋_GB2312"/>
          <w:sz w:val="24"/>
        </w:rPr>
        <w:t>2</w:t>
      </w:r>
      <w:r>
        <w:rPr>
          <w:rFonts w:ascii="Times New Roman" w:hAnsi="Times New Roman" w:eastAsia="仿宋_GB2312"/>
          <w:sz w:val="24"/>
        </w:rPr>
        <w:t>020年）</w:t>
      </w:r>
    </w:p>
    <w:p w14:paraId="0F6F873D">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 核算和报告边界变化</w:t>
      </w:r>
      <w:r>
        <w:rPr>
          <w:rFonts w:hint="eastAsia" w:ascii="Times New Roman" w:hAnsi="Times New Roman" w:eastAsia="仿宋_GB2312"/>
          <w:sz w:val="32"/>
          <w:szCs w:val="32"/>
        </w:rPr>
        <w:t>（含设施变化）</w:t>
      </w:r>
      <w:r>
        <w:rPr>
          <w:rFonts w:ascii="Times New Roman" w:hAnsi="Times New Roman" w:eastAsia="仿宋_GB2312"/>
          <w:sz w:val="32"/>
          <w:szCs w:val="32"/>
        </w:rPr>
        <w:t>情况</w:t>
      </w:r>
    </w:p>
    <w:p w14:paraId="3C0C5BF1">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4.1 本年度场所边界的变化</w:t>
      </w:r>
    </w:p>
    <w:p w14:paraId="6E453AB9">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排放单位核算和报告边界为北京市辖区内的服务范围，包括xx个公交场站，</w:t>
      </w:r>
      <w:r>
        <w:rPr>
          <w:rFonts w:hint="eastAsia" w:ascii="Times New Roman" w:hAnsi="Times New Roman" w:eastAsia="仿宋_GB2312"/>
          <w:sz w:val="32"/>
          <w:szCs w:val="32"/>
        </w:rPr>
        <w:t>汽油车xx辆，柴油车xx辆，电动车xx辆，LNG混合动力车xx辆，CNG混合动力车xx辆，</w:t>
      </w:r>
      <w:r>
        <w:rPr>
          <w:rFonts w:ascii="Times New Roman" w:hAnsi="Times New Roman" w:eastAsia="仿宋_GB2312"/>
          <w:sz w:val="32"/>
          <w:szCs w:val="32"/>
        </w:rPr>
        <w:t>xxx条运输线路。与上一年度相比，场所边界无变化；与基准年相比，场所边界无变化。</w:t>
      </w:r>
    </w:p>
    <w:p w14:paraId="2ED26B86">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4.2 本年度排放设施的变化</w:t>
      </w:r>
    </w:p>
    <w:p w14:paraId="493D9E0D">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排放单位固定设施不涉及既有配额调整。</w:t>
      </w:r>
    </w:p>
    <w:p w14:paraId="2EA86365">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排放单位无既有设施退出。</w:t>
      </w:r>
    </w:p>
    <w:p w14:paraId="6A520D99">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根据交通企业配额调整办法，新增移动设施不需要申请配额调整，因此未对移动设施的排放量及对应的活动水平数据进行核查。排放单位新增设施详见下表：</w:t>
      </w:r>
    </w:p>
    <w:p w14:paraId="32A68FB4">
      <w:pPr>
        <w:spacing w:after="0" w:line="560" w:lineRule="exact"/>
        <w:ind w:firstLine="640" w:firstLineChars="200"/>
        <w:jc w:val="both"/>
        <w:rPr>
          <w:rFonts w:ascii="Times New Roman" w:hAnsi="Times New Roman" w:eastAsia="仿宋_GB2312"/>
          <w:sz w:val="32"/>
          <w:szCs w:val="32"/>
        </w:rPr>
      </w:pPr>
    </w:p>
    <w:p w14:paraId="6B5C383C">
      <w:pPr>
        <w:spacing w:after="0" w:line="560" w:lineRule="exact"/>
        <w:ind w:firstLine="640" w:firstLineChars="200"/>
        <w:jc w:val="both"/>
        <w:rPr>
          <w:rFonts w:ascii="Times New Roman" w:hAnsi="Times New Roman" w:eastAsia="仿宋_GB2312"/>
          <w:sz w:val="32"/>
          <w:szCs w:val="32"/>
        </w:rPr>
      </w:pPr>
    </w:p>
    <w:p w14:paraId="0E93D787">
      <w:pPr>
        <w:spacing w:after="0" w:line="560" w:lineRule="exact"/>
        <w:ind w:firstLine="640" w:firstLineChars="200"/>
        <w:jc w:val="both"/>
        <w:rPr>
          <w:rFonts w:ascii="Times New Roman" w:hAnsi="Times New Roman" w:eastAsia="仿宋_GB2312"/>
          <w:sz w:val="32"/>
          <w:szCs w:val="32"/>
        </w:rPr>
      </w:pPr>
    </w:p>
    <w:p w14:paraId="01414E1E">
      <w:pPr>
        <w:spacing w:after="0" w:line="560" w:lineRule="exact"/>
        <w:jc w:val="center"/>
        <w:rPr>
          <w:rFonts w:ascii="Times New Roman" w:hAnsi="Times New Roman" w:eastAsia="仿宋_GB2312"/>
          <w:sz w:val="24"/>
        </w:rPr>
      </w:pPr>
      <w:r>
        <w:rPr>
          <w:rFonts w:ascii="Times New Roman" w:hAnsi="Times New Roman" w:eastAsia="仿宋_GB2312"/>
          <w:sz w:val="24"/>
        </w:rPr>
        <w:t>表XX  新增设施信息表</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848"/>
        <w:gridCol w:w="2219"/>
        <w:gridCol w:w="1661"/>
        <w:gridCol w:w="1661"/>
        <w:gridCol w:w="1663"/>
      </w:tblGrid>
      <w:tr w14:paraId="3366B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vAlign w:val="center"/>
          </w:tcPr>
          <w:p w14:paraId="4C8BA759">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序号</w:t>
            </w:r>
          </w:p>
        </w:tc>
        <w:tc>
          <w:tcPr>
            <w:tcW w:w="468" w:type="pct"/>
            <w:vAlign w:val="center"/>
          </w:tcPr>
          <w:p w14:paraId="6C0A70CD">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设施新增年份</w:t>
            </w:r>
          </w:p>
        </w:tc>
        <w:tc>
          <w:tcPr>
            <w:tcW w:w="1225" w:type="pct"/>
            <w:vAlign w:val="center"/>
          </w:tcPr>
          <w:p w14:paraId="4A52295A">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新增设施类型</w:t>
            </w:r>
          </w:p>
        </w:tc>
        <w:tc>
          <w:tcPr>
            <w:tcW w:w="917" w:type="pct"/>
            <w:vAlign w:val="center"/>
          </w:tcPr>
          <w:p w14:paraId="2C0BF111">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是否替代既有设施，被替代既有设施类型</w:t>
            </w:r>
          </w:p>
        </w:tc>
        <w:tc>
          <w:tcPr>
            <w:tcW w:w="917" w:type="pct"/>
            <w:vAlign w:val="center"/>
          </w:tcPr>
          <w:p w14:paraId="0271B49D">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新增设施排放量（吨）</w:t>
            </w:r>
          </w:p>
        </w:tc>
        <w:tc>
          <w:tcPr>
            <w:tcW w:w="918" w:type="pct"/>
            <w:vAlign w:val="center"/>
          </w:tcPr>
          <w:p w14:paraId="473669AC">
            <w:pPr>
              <w:tabs>
                <w:tab w:val="left" w:pos="1701"/>
              </w:tabs>
              <w:jc w:val="center"/>
              <w:rPr>
                <w:rFonts w:ascii="Times New Roman" w:hAnsi="Times New Roman" w:eastAsia="仿宋_GB2312"/>
                <w:color w:val="000000"/>
                <w:sz w:val="24"/>
              </w:rPr>
            </w:pPr>
            <w:r>
              <w:rPr>
                <w:rFonts w:hint="eastAsia" w:ascii="Times New Roman" w:hAnsi="Times New Roman" w:eastAsia="仿宋_GB2312"/>
                <w:color w:val="000000"/>
                <w:sz w:val="24"/>
              </w:rPr>
              <w:t>替代既有设施的新增排放量(吨)</w:t>
            </w:r>
          </w:p>
        </w:tc>
      </w:tr>
      <w:tr w14:paraId="69125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vAlign w:val="center"/>
          </w:tcPr>
          <w:p w14:paraId="233F3EFE">
            <w:pPr>
              <w:jc w:val="center"/>
              <w:rPr>
                <w:rFonts w:ascii="Times New Roman" w:hAnsi="Times New Roman" w:eastAsia="仿宋_GB2312"/>
                <w:sz w:val="24"/>
              </w:rPr>
            </w:pPr>
            <w:r>
              <w:rPr>
                <w:rFonts w:ascii="Times New Roman" w:hAnsi="Times New Roman" w:eastAsia="仿宋_GB2312"/>
                <w:color w:val="000000"/>
                <w:sz w:val="24"/>
              </w:rPr>
              <w:t>1</w:t>
            </w:r>
          </w:p>
        </w:tc>
        <w:tc>
          <w:tcPr>
            <w:tcW w:w="468" w:type="pct"/>
            <w:vAlign w:val="center"/>
          </w:tcPr>
          <w:p w14:paraId="7F1A3B49">
            <w:pPr>
              <w:jc w:val="center"/>
              <w:rPr>
                <w:rFonts w:ascii="Times New Roman" w:hAnsi="Times New Roman" w:eastAsia="仿宋_GB2312"/>
                <w:sz w:val="24"/>
              </w:rPr>
            </w:pPr>
            <w:r>
              <w:rPr>
                <w:rFonts w:ascii="Times New Roman" w:hAnsi="Times New Roman" w:eastAsia="仿宋_GB2312"/>
                <w:sz w:val="24"/>
              </w:rPr>
              <w:t>2019</w:t>
            </w:r>
          </w:p>
        </w:tc>
        <w:tc>
          <w:tcPr>
            <w:tcW w:w="1225" w:type="pct"/>
            <w:vAlign w:val="center"/>
          </w:tcPr>
          <w:p w14:paraId="2437ADBA">
            <w:pPr>
              <w:jc w:val="center"/>
              <w:rPr>
                <w:rFonts w:ascii="Times New Roman" w:hAnsi="Times New Roman" w:eastAsia="仿宋_GB2312"/>
                <w:sz w:val="24"/>
              </w:rPr>
            </w:pPr>
            <w:r>
              <w:rPr>
                <w:rFonts w:ascii="Times New Roman" w:hAnsi="Times New Roman" w:eastAsia="仿宋_GB2312"/>
                <w:sz w:val="24"/>
              </w:rPr>
              <w:t>移动设施：新增xx台LNG（xx）和CNG（xx）混合动力公交车</w:t>
            </w:r>
          </w:p>
        </w:tc>
        <w:tc>
          <w:tcPr>
            <w:tcW w:w="917" w:type="pct"/>
            <w:vAlign w:val="center"/>
          </w:tcPr>
          <w:p w14:paraId="45CC0A05">
            <w:pPr>
              <w:jc w:val="center"/>
              <w:rPr>
                <w:rFonts w:ascii="Times New Roman" w:hAnsi="Times New Roman" w:eastAsia="仿宋_GB2312"/>
                <w:sz w:val="24"/>
              </w:rPr>
            </w:pPr>
            <w:r>
              <w:rPr>
                <w:rFonts w:ascii="Times New Roman" w:hAnsi="Times New Roman" w:eastAsia="仿宋_GB2312"/>
                <w:sz w:val="24"/>
              </w:rPr>
              <w:t>否</w:t>
            </w:r>
          </w:p>
        </w:tc>
        <w:tc>
          <w:tcPr>
            <w:tcW w:w="917" w:type="pct"/>
            <w:vAlign w:val="center"/>
          </w:tcPr>
          <w:p w14:paraId="4565E45C">
            <w:pPr>
              <w:jc w:val="center"/>
              <w:rPr>
                <w:rFonts w:ascii="Times New Roman" w:hAnsi="Times New Roman" w:eastAsia="仿宋_GB2312"/>
                <w:sz w:val="24"/>
              </w:rPr>
            </w:pPr>
            <w:r>
              <w:rPr>
                <w:rFonts w:ascii="Times New Roman" w:hAnsi="Times New Roman" w:eastAsia="仿宋_GB2312"/>
                <w:sz w:val="24"/>
              </w:rPr>
              <w:t>/</w:t>
            </w:r>
          </w:p>
        </w:tc>
        <w:tc>
          <w:tcPr>
            <w:tcW w:w="918" w:type="pct"/>
            <w:vAlign w:val="center"/>
          </w:tcPr>
          <w:p w14:paraId="02666B59">
            <w:pPr>
              <w:jc w:val="center"/>
              <w:rPr>
                <w:rFonts w:ascii="Times New Roman" w:hAnsi="Times New Roman" w:eastAsia="仿宋_GB2312"/>
                <w:sz w:val="24"/>
              </w:rPr>
            </w:pPr>
            <w:r>
              <w:rPr>
                <w:rFonts w:ascii="Times New Roman" w:hAnsi="Times New Roman" w:eastAsia="仿宋_GB2312"/>
                <w:sz w:val="24"/>
              </w:rPr>
              <w:t>/</w:t>
            </w:r>
          </w:p>
        </w:tc>
      </w:tr>
      <w:tr w14:paraId="40FC9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vAlign w:val="center"/>
          </w:tcPr>
          <w:p w14:paraId="7A5FEC9A">
            <w:pPr>
              <w:jc w:val="center"/>
              <w:rPr>
                <w:rFonts w:ascii="Times New Roman" w:hAnsi="Times New Roman" w:eastAsia="仿宋_GB2312"/>
                <w:color w:val="000000"/>
                <w:sz w:val="24"/>
              </w:rPr>
            </w:pPr>
            <w:r>
              <w:rPr>
                <w:rFonts w:ascii="Times New Roman" w:hAnsi="Times New Roman" w:eastAsia="仿宋_GB2312"/>
                <w:color w:val="000000"/>
                <w:sz w:val="24"/>
              </w:rPr>
              <w:t>2</w:t>
            </w:r>
          </w:p>
        </w:tc>
        <w:tc>
          <w:tcPr>
            <w:tcW w:w="468" w:type="pct"/>
            <w:vAlign w:val="center"/>
          </w:tcPr>
          <w:p w14:paraId="68725616">
            <w:pPr>
              <w:jc w:val="center"/>
              <w:rPr>
                <w:rFonts w:ascii="Times New Roman" w:hAnsi="Times New Roman" w:eastAsia="仿宋_GB2312"/>
                <w:sz w:val="24"/>
              </w:rPr>
            </w:pPr>
            <w:r>
              <w:rPr>
                <w:rFonts w:ascii="Times New Roman" w:hAnsi="Times New Roman" w:eastAsia="仿宋_GB2312"/>
                <w:sz w:val="24"/>
              </w:rPr>
              <w:t>2019</w:t>
            </w:r>
          </w:p>
        </w:tc>
        <w:tc>
          <w:tcPr>
            <w:tcW w:w="1225" w:type="pct"/>
            <w:vAlign w:val="center"/>
          </w:tcPr>
          <w:p w14:paraId="1A06B676">
            <w:pPr>
              <w:jc w:val="center"/>
              <w:rPr>
                <w:rFonts w:ascii="Times New Roman" w:hAnsi="Times New Roman" w:eastAsia="仿宋_GB2312"/>
                <w:sz w:val="24"/>
              </w:rPr>
            </w:pPr>
            <w:r>
              <w:rPr>
                <w:rFonts w:ascii="Times New Roman" w:hAnsi="Times New Roman" w:eastAsia="仿宋_GB2312"/>
                <w:sz w:val="24"/>
              </w:rPr>
              <w:t>移动设施：新增xx台LNG（xx）和CNG（xx）混合动力公交车，电动车xx台。</w:t>
            </w:r>
          </w:p>
        </w:tc>
        <w:tc>
          <w:tcPr>
            <w:tcW w:w="917" w:type="pct"/>
            <w:vAlign w:val="center"/>
          </w:tcPr>
          <w:p w14:paraId="5CBE8077">
            <w:pPr>
              <w:jc w:val="center"/>
              <w:rPr>
                <w:rFonts w:ascii="Times New Roman" w:hAnsi="Times New Roman" w:eastAsia="仿宋_GB2312"/>
                <w:sz w:val="24"/>
              </w:rPr>
            </w:pPr>
            <w:r>
              <w:rPr>
                <w:rFonts w:ascii="Times New Roman" w:hAnsi="Times New Roman" w:eastAsia="仿宋_GB2312"/>
                <w:sz w:val="24"/>
              </w:rPr>
              <w:t>否</w:t>
            </w:r>
          </w:p>
        </w:tc>
        <w:tc>
          <w:tcPr>
            <w:tcW w:w="917" w:type="pct"/>
            <w:vAlign w:val="center"/>
          </w:tcPr>
          <w:p w14:paraId="111C4B41">
            <w:pPr>
              <w:jc w:val="center"/>
              <w:rPr>
                <w:rFonts w:ascii="Times New Roman" w:hAnsi="Times New Roman" w:eastAsia="仿宋_GB2312"/>
                <w:sz w:val="24"/>
              </w:rPr>
            </w:pPr>
            <w:r>
              <w:rPr>
                <w:rFonts w:ascii="Times New Roman" w:hAnsi="Times New Roman" w:eastAsia="仿宋_GB2312"/>
                <w:sz w:val="24"/>
              </w:rPr>
              <w:t>/</w:t>
            </w:r>
          </w:p>
        </w:tc>
        <w:tc>
          <w:tcPr>
            <w:tcW w:w="918" w:type="pct"/>
            <w:vAlign w:val="center"/>
          </w:tcPr>
          <w:p w14:paraId="09F00E19">
            <w:pPr>
              <w:jc w:val="center"/>
              <w:rPr>
                <w:rFonts w:ascii="Times New Roman" w:hAnsi="Times New Roman" w:eastAsia="仿宋_GB2312"/>
                <w:sz w:val="24"/>
              </w:rPr>
            </w:pPr>
            <w:r>
              <w:rPr>
                <w:rFonts w:ascii="Times New Roman" w:hAnsi="Times New Roman" w:eastAsia="仿宋_GB2312"/>
                <w:sz w:val="24"/>
              </w:rPr>
              <w:t>/</w:t>
            </w:r>
          </w:p>
        </w:tc>
      </w:tr>
      <w:tr w14:paraId="221F9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vAlign w:val="center"/>
          </w:tcPr>
          <w:p w14:paraId="56264E18">
            <w:pPr>
              <w:jc w:val="center"/>
              <w:rPr>
                <w:rFonts w:ascii="Times New Roman" w:hAnsi="Times New Roman" w:eastAsia="仿宋_GB2312"/>
                <w:color w:val="000000"/>
                <w:sz w:val="24"/>
              </w:rPr>
            </w:pPr>
            <w:r>
              <w:rPr>
                <w:rFonts w:ascii="Times New Roman" w:hAnsi="Times New Roman" w:eastAsia="仿宋_GB2312"/>
                <w:color w:val="000000"/>
                <w:sz w:val="24"/>
              </w:rPr>
              <w:t>3</w:t>
            </w:r>
          </w:p>
        </w:tc>
        <w:tc>
          <w:tcPr>
            <w:tcW w:w="468" w:type="pct"/>
            <w:vAlign w:val="center"/>
          </w:tcPr>
          <w:p w14:paraId="3CB09D74">
            <w:pPr>
              <w:jc w:val="center"/>
              <w:rPr>
                <w:rFonts w:ascii="Times New Roman" w:hAnsi="Times New Roman" w:eastAsia="仿宋_GB2312"/>
                <w:sz w:val="24"/>
              </w:rPr>
            </w:pPr>
            <w:r>
              <w:rPr>
                <w:rFonts w:ascii="Times New Roman" w:hAnsi="Times New Roman" w:eastAsia="仿宋_GB2312"/>
                <w:sz w:val="24"/>
              </w:rPr>
              <w:t>2019</w:t>
            </w:r>
          </w:p>
        </w:tc>
        <w:tc>
          <w:tcPr>
            <w:tcW w:w="1225" w:type="pct"/>
            <w:vAlign w:val="center"/>
          </w:tcPr>
          <w:p w14:paraId="10AB34AB">
            <w:pPr>
              <w:jc w:val="center"/>
              <w:rPr>
                <w:rFonts w:ascii="Times New Roman" w:hAnsi="Times New Roman" w:eastAsia="仿宋_GB2312"/>
                <w:sz w:val="24"/>
              </w:rPr>
            </w:pPr>
            <w:r>
              <w:rPr>
                <w:rFonts w:ascii="Times New Roman" w:hAnsi="Times New Roman" w:eastAsia="仿宋_GB2312"/>
                <w:sz w:val="24"/>
              </w:rPr>
              <w:t>移动设施：xx辆客车</w:t>
            </w:r>
          </w:p>
        </w:tc>
        <w:tc>
          <w:tcPr>
            <w:tcW w:w="917" w:type="pct"/>
            <w:vAlign w:val="center"/>
          </w:tcPr>
          <w:p w14:paraId="675F3154">
            <w:pPr>
              <w:jc w:val="center"/>
              <w:rPr>
                <w:rFonts w:ascii="Times New Roman" w:hAnsi="Times New Roman" w:eastAsia="仿宋_GB2312"/>
                <w:sz w:val="24"/>
              </w:rPr>
            </w:pPr>
            <w:r>
              <w:rPr>
                <w:rFonts w:ascii="Times New Roman" w:hAnsi="Times New Roman" w:eastAsia="仿宋_GB2312"/>
                <w:sz w:val="24"/>
              </w:rPr>
              <w:t>否</w:t>
            </w:r>
          </w:p>
        </w:tc>
        <w:tc>
          <w:tcPr>
            <w:tcW w:w="917" w:type="pct"/>
            <w:vAlign w:val="center"/>
          </w:tcPr>
          <w:p w14:paraId="63249048">
            <w:pPr>
              <w:jc w:val="center"/>
              <w:rPr>
                <w:rFonts w:ascii="Times New Roman" w:hAnsi="Times New Roman" w:eastAsia="仿宋_GB2312"/>
                <w:sz w:val="24"/>
              </w:rPr>
            </w:pPr>
            <w:r>
              <w:rPr>
                <w:rFonts w:ascii="Times New Roman" w:hAnsi="Times New Roman" w:eastAsia="仿宋_GB2312"/>
                <w:sz w:val="24"/>
              </w:rPr>
              <w:t>/</w:t>
            </w:r>
          </w:p>
        </w:tc>
        <w:tc>
          <w:tcPr>
            <w:tcW w:w="918" w:type="pct"/>
            <w:vAlign w:val="center"/>
          </w:tcPr>
          <w:p w14:paraId="2BB6711D">
            <w:pPr>
              <w:jc w:val="center"/>
              <w:rPr>
                <w:rFonts w:ascii="Times New Roman" w:hAnsi="Times New Roman" w:eastAsia="仿宋_GB2312"/>
                <w:sz w:val="24"/>
              </w:rPr>
            </w:pPr>
            <w:r>
              <w:rPr>
                <w:rFonts w:ascii="Times New Roman" w:hAnsi="Times New Roman" w:eastAsia="仿宋_GB2312"/>
                <w:sz w:val="24"/>
              </w:rPr>
              <w:t>/</w:t>
            </w:r>
          </w:p>
        </w:tc>
      </w:tr>
      <w:tr w14:paraId="55B4E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vAlign w:val="center"/>
          </w:tcPr>
          <w:p w14:paraId="67110A02">
            <w:pPr>
              <w:jc w:val="center"/>
              <w:rPr>
                <w:rFonts w:ascii="Times New Roman" w:hAnsi="Times New Roman" w:eastAsia="仿宋_GB2312"/>
                <w:color w:val="000000"/>
                <w:sz w:val="24"/>
              </w:rPr>
            </w:pPr>
            <w:r>
              <w:rPr>
                <w:rFonts w:ascii="Times New Roman" w:hAnsi="Times New Roman" w:eastAsia="仿宋_GB2312"/>
                <w:color w:val="000000"/>
                <w:sz w:val="24"/>
              </w:rPr>
              <w:t>4</w:t>
            </w:r>
          </w:p>
        </w:tc>
        <w:tc>
          <w:tcPr>
            <w:tcW w:w="468" w:type="pct"/>
            <w:vAlign w:val="center"/>
          </w:tcPr>
          <w:p w14:paraId="2DD6F88C">
            <w:pPr>
              <w:jc w:val="center"/>
              <w:rPr>
                <w:rFonts w:ascii="Times New Roman" w:hAnsi="Times New Roman" w:eastAsia="仿宋_GB2312"/>
                <w:sz w:val="24"/>
              </w:rPr>
            </w:pPr>
            <w:r>
              <w:rPr>
                <w:rFonts w:ascii="Times New Roman" w:hAnsi="Times New Roman" w:eastAsia="仿宋_GB2312"/>
                <w:sz w:val="24"/>
              </w:rPr>
              <w:t>2020</w:t>
            </w:r>
          </w:p>
        </w:tc>
        <w:tc>
          <w:tcPr>
            <w:tcW w:w="1225" w:type="pct"/>
            <w:vAlign w:val="center"/>
          </w:tcPr>
          <w:p w14:paraId="05C8EE4E">
            <w:pPr>
              <w:jc w:val="center"/>
              <w:rPr>
                <w:rFonts w:ascii="Times New Roman" w:hAnsi="Times New Roman" w:eastAsia="仿宋_GB2312"/>
                <w:sz w:val="24"/>
              </w:rPr>
            </w:pPr>
            <w:r>
              <w:rPr>
                <w:rFonts w:ascii="Times New Roman" w:hAnsi="Times New Roman" w:eastAsia="仿宋_GB2312"/>
                <w:sz w:val="24"/>
              </w:rPr>
              <w:t>xx辆柴油/电混合动力客车</w:t>
            </w:r>
          </w:p>
        </w:tc>
        <w:tc>
          <w:tcPr>
            <w:tcW w:w="917" w:type="pct"/>
            <w:vAlign w:val="center"/>
          </w:tcPr>
          <w:p w14:paraId="2F963161">
            <w:pPr>
              <w:jc w:val="center"/>
              <w:rPr>
                <w:rFonts w:ascii="Times New Roman" w:hAnsi="Times New Roman" w:eastAsia="仿宋_GB2312"/>
                <w:sz w:val="24"/>
              </w:rPr>
            </w:pPr>
            <w:r>
              <w:rPr>
                <w:rFonts w:ascii="Times New Roman" w:hAnsi="Times New Roman" w:eastAsia="仿宋_GB2312"/>
                <w:sz w:val="24"/>
              </w:rPr>
              <w:t>否</w:t>
            </w:r>
          </w:p>
        </w:tc>
        <w:tc>
          <w:tcPr>
            <w:tcW w:w="917" w:type="pct"/>
            <w:vAlign w:val="center"/>
          </w:tcPr>
          <w:p w14:paraId="15F7D0BE">
            <w:pPr>
              <w:jc w:val="center"/>
              <w:rPr>
                <w:rFonts w:ascii="Times New Roman" w:hAnsi="Times New Roman" w:eastAsia="仿宋_GB2312"/>
                <w:sz w:val="24"/>
              </w:rPr>
            </w:pPr>
            <w:r>
              <w:rPr>
                <w:rFonts w:ascii="Times New Roman" w:hAnsi="Times New Roman" w:eastAsia="仿宋_GB2312"/>
                <w:sz w:val="24"/>
              </w:rPr>
              <w:t>/</w:t>
            </w:r>
          </w:p>
        </w:tc>
        <w:tc>
          <w:tcPr>
            <w:tcW w:w="918" w:type="pct"/>
            <w:vAlign w:val="center"/>
          </w:tcPr>
          <w:p w14:paraId="469F4871">
            <w:pPr>
              <w:jc w:val="center"/>
              <w:rPr>
                <w:rFonts w:ascii="Times New Roman" w:hAnsi="Times New Roman" w:eastAsia="仿宋_GB2312"/>
                <w:sz w:val="24"/>
              </w:rPr>
            </w:pPr>
            <w:r>
              <w:rPr>
                <w:rFonts w:ascii="Times New Roman" w:hAnsi="Times New Roman" w:eastAsia="仿宋_GB2312"/>
                <w:sz w:val="24"/>
              </w:rPr>
              <w:t>/</w:t>
            </w:r>
          </w:p>
        </w:tc>
      </w:tr>
      <w:tr w14:paraId="43FA9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vAlign w:val="center"/>
          </w:tcPr>
          <w:p w14:paraId="502B390B">
            <w:pPr>
              <w:jc w:val="center"/>
              <w:rPr>
                <w:rFonts w:ascii="Times New Roman" w:hAnsi="Times New Roman" w:eastAsia="仿宋_GB2312"/>
                <w:color w:val="000000"/>
                <w:sz w:val="24"/>
              </w:rPr>
            </w:pPr>
          </w:p>
        </w:tc>
        <w:tc>
          <w:tcPr>
            <w:tcW w:w="468" w:type="pct"/>
            <w:vAlign w:val="center"/>
          </w:tcPr>
          <w:p w14:paraId="20EE6AC4">
            <w:pPr>
              <w:jc w:val="center"/>
              <w:rPr>
                <w:rFonts w:ascii="Times New Roman" w:hAnsi="Times New Roman" w:eastAsia="仿宋_GB2312"/>
                <w:sz w:val="24"/>
              </w:rPr>
            </w:pPr>
          </w:p>
        </w:tc>
        <w:tc>
          <w:tcPr>
            <w:tcW w:w="1225" w:type="pct"/>
            <w:vAlign w:val="center"/>
          </w:tcPr>
          <w:p w14:paraId="3D92491D">
            <w:pPr>
              <w:jc w:val="center"/>
              <w:rPr>
                <w:rFonts w:ascii="Times New Roman" w:hAnsi="Times New Roman" w:eastAsia="仿宋_GB2312"/>
                <w:sz w:val="24"/>
              </w:rPr>
            </w:pPr>
          </w:p>
        </w:tc>
        <w:tc>
          <w:tcPr>
            <w:tcW w:w="917" w:type="pct"/>
            <w:vAlign w:val="center"/>
          </w:tcPr>
          <w:p w14:paraId="66900C95">
            <w:pPr>
              <w:jc w:val="center"/>
              <w:rPr>
                <w:rFonts w:ascii="Times New Roman" w:hAnsi="Times New Roman" w:eastAsia="仿宋_GB2312"/>
                <w:sz w:val="24"/>
              </w:rPr>
            </w:pPr>
          </w:p>
        </w:tc>
        <w:tc>
          <w:tcPr>
            <w:tcW w:w="917" w:type="pct"/>
            <w:vAlign w:val="center"/>
          </w:tcPr>
          <w:p w14:paraId="5725D2C1">
            <w:pPr>
              <w:jc w:val="center"/>
              <w:rPr>
                <w:rFonts w:ascii="Times New Roman" w:hAnsi="Times New Roman" w:eastAsia="仿宋_GB2312"/>
                <w:sz w:val="24"/>
              </w:rPr>
            </w:pPr>
          </w:p>
        </w:tc>
        <w:tc>
          <w:tcPr>
            <w:tcW w:w="918" w:type="pct"/>
            <w:vAlign w:val="center"/>
          </w:tcPr>
          <w:p w14:paraId="24A2BC1B">
            <w:pPr>
              <w:jc w:val="center"/>
              <w:rPr>
                <w:rFonts w:ascii="Times New Roman" w:hAnsi="Times New Roman" w:eastAsia="仿宋_GB2312"/>
                <w:sz w:val="24"/>
              </w:rPr>
            </w:pPr>
          </w:p>
        </w:tc>
      </w:tr>
    </w:tbl>
    <w:p w14:paraId="197223AF">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5.核查过程未覆盖的问题描述</w:t>
      </w:r>
    </w:p>
    <w:p w14:paraId="52758E7A">
      <w:pPr>
        <w:spacing w:after="0" w:line="560" w:lineRule="exact"/>
        <w:ind w:firstLine="465"/>
        <w:jc w:val="both"/>
        <w:rPr>
          <w:rFonts w:ascii="Times New Roman" w:hAnsi="Times New Roman" w:eastAsia="仿宋_GB2312"/>
          <w:sz w:val="32"/>
          <w:szCs w:val="32"/>
        </w:rPr>
      </w:pPr>
      <w:r>
        <w:rPr>
          <w:rFonts w:ascii="Times New Roman" w:hAnsi="Times New Roman" w:eastAsia="仿宋_GB2312"/>
          <w:sz w:val="32"/>
          <w:szCs w:val="32"/>
        </w:rPr>
        <w:t>由于排放单位食堂液化石油气消耗量较低，排放单位液化石油气消耗量依据消耗罐数进行估计，因此未能核查液化石油气计量设备信息。</w:t>
      </w:r>
    </w:p>
    <w:p w14:paraId="18F98EEC">
      <w:pPr>
        <w:spacing w:after="0" w:line="560" w:lineRule="exact"/>
        <w:ind w:firstLine="465"/>
        <w:rPr>
          <w:rFonts w:ascii="Times New Roman" w:hAnsi="Times New Roman" w:eastAsia="仿宋_GB2312"/>
          <w:sz w:val="32"/>
          <w:szCs w:val="32"/>
        </w:rPr>
      </w:pPr>
      <w:r>
        <w:rPr>
          <w:rFonts w:ascii="Times New Roman" w:hAnsi="Times New Roman" w:eastAsia="仿宋_GB2312"/>
          <w:sz w:val="32"/>
          <w:szCs w:val="32"/>
        </w:rPr>
        <w:t>由于电表为电力公司管控，因此未能核查电表的检定信息。</w:t>
      </w:r>
    </w:p>
    <w:p w14:paraId="5AACDA90">
      <w:pPr>
        <w:ind w:firstLine="465"/>
        <w:rPr>
          <w:rFonts w:ascii="Times New Roman" w:hAnsi="Times New Roman" w:eastAsia="仿宋"/>
          <w:sz w:val="24"/>
        </w:rPr>
      </w:pPr>
    </w:p>
    <w:p w14:paraId="26796BF3">
      <w:pPr>
        <w:pStyle w:val="4"/>
        <w:rPr>
          <w:rFonts w:ascii="Times New Roman" w:hAnsi="Times New Roman"/>
        </w:rPr>
        <w:sectPr>
          <w:pgSz w:w="11906" w:h="16838"/>
          <w:pgMar w:top="2098" w:right="1474" w:bottom="1984" w:left="1587" w:header="851" w:footer="1587" w:gutter="0"/>
          <w:pgNumType w:fmt="decimal"/>
          <w:cols w:space="0" w:num="1"/>
          <w:rtlGutter w:val="0"/>
          <w:docGrid w:type="lines" w:linePitch="312" w:charSpace="0"/>
        </w:sectPr>
      </w:pPr>
    </w:p>
    <w:p w14:paraId="0CAD4ADE">
      <w:pPr>
        <w:pStyle w:val="4"/>
        <w:spacing w:before="0" w:after="0" w:line="56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其他服务业企业（单位）</w:t>
      </w:r>
      <w:r>
        <w:rPr>
          <w:rFonts w:asciiTheme="majorEastAsia" w:hAnsiTheme="majorEastAsia" w:eastAsiaTheme="majorEastAsia"/>
          <w:sz w:val="32"/>
          <w:szCs w:val="32"/>
        </w:rPr>
        <w:t>-</w:t>
      </w:r>
      <w:r>
        <w:rPr>
          <w:rFonts w:hint="eastAsia" w:asciiTheme="majorEastAsia" w:hAnsiTheme="majorEastAsia" w:eastAsiaTheme="majorEastAsia"/>
          <w:sz w:val="32"/>
          <w:szCs w:val="32"/>
        </w:rPr>
        <w:t>通信</w:t>
      </w:r>
    </w:p>
    <w:p w14:paraId="09AEFA76">
      <w:pPr>
        <w:spacing w:after="0" w:line="560" w:lineRule="exact"/>
        <w:rPr>
          <w:rFonts w:eastAsia="仿宋_GB2312"/>
          <w:sz w:val="32"/>
          <w:szCs w:val="32"/>
        </w:rPr>
      </w:pPr>
      <w:r>
        <w:rPr>
          <w:rFonts w:eastAsia="仿宋_GB2312"/>
          <w:sz w:val="32"/>
          <w:szCs w:val="32"/>
        </w:rPr>
        <w:t>核查结论</w:t>
      </w:r>
    </w:p>
    <w:p w14:paraId="545374FE">
      <w:pPr>
        <w:spacing w:after="0" w:line="560" w:lineRule="exact"/>
        <w:ind w:firstLine="640" w:firstLineChars="200"/>
        <w:jc w:val="both"/>
        <w:rPr>
          <w:rFonts w:eastAsia="仿宋_GB2312"/>
          <w:sz w:val="32"/>
          <w:szCs w:val="32"/>
        </w:rPr>
      </w:pPr>
      <w:r>
        <w:rPr>
          <w:rFonts w:eastAsia="仿宋"/>
          <w:sz w:val="32"/>
          <w:szCs w:val="32"/>
        </w:rPr>
        <w:t>xxxx公司（以下简称排放单位）委托xxx公司开展</w:t>
      </w:r>
      <w:r>
        <w:rPr>
          <w:rFonts w:hint="eastAsia" w:eastAsia="仿宋"/>
          <w:sz w:val="32"/>
          <w:szCs w:val="32"/>
        </w:rPr>
        <w:t>XXXX年</w:t>
      </w:r>
      <w:r>
        <w:rPr>
          <w:rFonts w:eastAsia="仿宋_GB2312"/>
          <w:sz w:val="32"/>
          <w:szCs w:val="32"/>
        </w:rPr>
        <w:t>二氧化碳排放的核查工作。核查范围包括排放单位所有在北京市辖区内的固定设施导致的二氧化碳直接排放和二氧化碳间接排放。</w:t>
      </w:r>
    </w:p>
    <w:p w14:paraId="5BFD6A13">
      <w:pPr>
        <w:spacing w:after="0" w:line="560" w:lineRule="exact"/>
        <w:ind w:firstLine="640" w:firstLineChars="200"/>
        <w:jc w:val="both"/>
        <w:rPr>
          <w:rFonts w:eastAsia="仿宋_GB2312"/>
          <w:sz w:val="32"/>
          <w:szCs w:val="32"/>
        </w:rPr>
      </w:pPr>
      <w:r>
        <w:rPr>
          <w:rFonts w:eastAsia="仿宋_GB2312"/>
          <w:sz w:val="32"/>
          <w:szCs w:val="32"/>
        </w:rPr>
        <w:t>通过文件评审、现场访问、核查报告编写及内部技术复核，核查组对排放单位</w:t>
      </w:r>
      <w:r>
        <w:rPr>
          <w:rFonts w:hint="eastAsia" w:eastAsia="仿宋_GB2312"/>
          <w:sz w:val="32"/>
          <w:szCs w:val="32"/>
        </w:rPr>
        <w:t>XXXX年</w:t>
      </w:r>
      <w:r>
        <w:rPr>
          <w:rFonts w:eastAsia="仿宋_GB2312"/>
          <w:sz w:val="32"/>
          <w:szCs w:val="32"/>
        </w:rPr>
        <w:t>度二氧化碳排放报告形成如下核查结论：</w:t>
      </w:r>
    </w:p>
    <w:p w14:paraId="40EA4726">
      <w:pPr>
        <w:spacing w:after="0" w:line="560" w:lineRule="exact"/>
        <w:ind w:firstLine="640" w:firstLineChars="200"/>
        <w:jc w:val="both"/>
        <w:rPr>
          <w:rFonts w:eastAsia="仿宋_GB2312"/>
          <w:sz w:val="32"/>
          <w:szCs w:val="32"/>
        </w:rPr>
      </w:pPr>
      <w:r>
        <w:rPr>
          <w:rFonts w:eastAsia="仿宋_GB2312"/>
          <w:sz w:val="32"/>
          <w:szCs w:val="32"/>
        </w:rPr>
        <w:t>1. 核算、报告与方法学的符合性</w:t>
      </w:r>
    </w:p>
    <w:p w14:paraId="795A900F">
      <w:pPr>
        <w:spacing w:after="0" w:line="560" w:lineRule="exact"/>
        <w:ind w:firstLine="640" w:firstLineChars="200"/>
        <w:jc w:val="both"/>
        <w:rPr>
          <w:rFonts w:eastAsia="仿宋_GB2312"/>
          <w:sz w:val="32"/>
          <w:szCs w:val="32"/>
        </w:rPr>
      </w:pPr>
      <w:r>
        <w:rPr>
          <w:rFonts w:eastAsia="仿宋_GB2312"/>
          <w:sz w:val="32"/>
          <w:szCs w:val="32"/>
        </w:rPr>
        <w:t>核查组确认所有不符合已全部关闭，排放单位的核算与报告均符合方法学</w:t>
      </w:r>
      <w:r>
        <w:rPr>
          <w:rFonts w:hint="eastAsia" w:eastAsia="仿宋_GB2312"/>
          <w:sz w:val="32"/>
          <w:szCs w:val="32"/>
        </w:rPr>
        <w:t>《二氧化碳排放核算和报告要求服务业》（DB11/T 1785-2020）</w:t>
      </w:r>
      <w:r>
        <w:rPr>
          <w:rFonts w:eastAsia="仿宋_GB2312"/>
          <w:sz w:val="32"/>
          <w:szCs w:val="32"/>
        </w:rPr>
        <w:t>的要求，核查组对本排放报告出具肯定的核查结论。</w:t>
      </w:r>
    </w:p>
    <w:p w14:paraId="43BF3820">
      <w:pPr>
        <w:spacing w:after="0" w:line="560" w:lineRule="exact"/>
        <w:ind w:firstLine="640" w:firstLineChars="200"/>
        <w:jc w:val="both"/>
        <w:rPr>
          <w:rFonts w:eastAsia="仿宋_GB2312"/>
          <w:sz w:val="32"/>
          <w:szCs w:val="32"/>
        </w:rPr>
      </w:pPr>
      <w:r>
        <w:rPr>
          <w:rFonts w:hint="eastAsia" w:eastAsia="仿宋_GB2312"/>
          <w:sz w:val="32"/>
          <w:szCs w:val="32"/>
        </w:rPr>
        <w:t>2</w:t>
      </w:r>
      <w:r>
        <w:rPr>
          <w:rFonts w:eastAsia="仿宋_GB2312"/>
          <w:sz w:val="32"/>
          <w:szCs w:val="32"/>
        </w:rPr>
        <w:t>. 本年度排放量及活动水平数据的声明</w:t>
      </w:r>
    </w:p>
    <w:p w14:paraId="25C2FF7C">
      <w:pPr>
        <w:spacing w:after="0" w:line="560" w:lineRule="exact"/>
        <w:ind w:firstLine="640" w:firstLineChars="200"/>
        <w:jc w:val="both"/>
        <w:rPr>
          <w:rFonts w:eastAsia="仿宋_GB2312"/>
          <w:sz w:val="32"/>
          <w:szCs w:val="32"/>
        </w:rPr>
      </w:pPr>
      <w:r>
        <w:rPr>
          <w:rFonts w:eastAsia="仿宋_GB2312"/>
          <w:sz w:val="32"/>
          <w:szCs w:val="32"/>
        </w:rPr>
        <w:t>经核查的直接和间接排放量与最终排放报告中数据一致。经核查的直接排放量为10616.72吨，间接排放量为1192094.66吨，总排放量为1202711.39吨。</w:t>
      </w:r>
    </w:p>
    <w:p w14:paraId="4820AD9D">
      <w:pPr>
        <w:spacing w:after="0" w:line="560" w:lineRule="exact"/>
        <w:ind w:firstLine="640" w:firstLineChars="200"/>
        <w:jc w:val="both"/>
        <w:rPr>
          <w:rFonts w:eastAsia="仿宋_GB2312"/>
          <w:sz w:val="32"/>
          <w:szCs w:val="32"/>
        </w:rPr>
      </w:pPr>
      <w:r>
        <w:rPr>
          <w:rFonts w:eastAsia="仿宋_GB2312"/>
          <w:sz w:val="32"/>
          <w:szCs w:val="32"/>
        </w:rPr>
        <w:t>经核查的电信业务总量与最终排放报告中数据一致。经核查的电信业务总量为xxxxx万元</w:t>
      </w:r>
      <w:r>
        <w:rPr>
          <w:rFonts w:hint="eastAsia" w:eastAsia="仿宋_GB2312"/>
          <w:sz w:val="32"/>
          <w:szCs w:val="32"/>
        </w:rPr>
        <w:t>，其中移动业务总量为xx万元（移动语音业务总量xx万元、移动数据与互联网业务总量xx万元、移动增值及其他业务总量xx万元），固网业务总量xx万元。排放单位含xx个大型数据中心，数据中心总用电量为xxMWh，IT设备用电量为xxMWh。</w:t>
      </w:r>
    </w:p>
    <w:p w14:paraId="175C90F6">
      <w:pPr>
        <w:spacing w:after="0" w:line="560" w:lineRule="exact"/>
        <w:ind w:firstLine="640" w:firstLineChars="200"/>
        <w:jc w:val="both"/>
        <w:rPr>
          <w:rFonts w:eastAsia="仿宋_GB2312"/>
          <w:sz w:val="32"/>
          <w:szCs w:val="32"/>
        </w:rPr>
      </w:pPr>
      <w:r>
        <w:rPr>
          <w:rFonts w:hint="eastAsia" w:eastAsia="仿宋_GB2312"/>
          <w:sz w:val="32"/>
          <w:szCs w:val="32"/>
        </w:rPr>
        <w:t>3</w:t>
      </w:r>
      <w:r>
        <w:rPr>
          <w:rFonts w:eastAsia="仿宋_GB2312"/>
          <w:sz w:val="32"/>
          <w:szCs w:val="32"/>
        </w:rPr>
        <w:t>. 年度排放量及活动水平波动的原因说明</w:t>
      </w:r>
    </w:p>
    <w:p w14:paraId="2B51FA46">
      <w:pPr>
        <w:spacing w:after="0" w:line="560" w:lineRule="exact"/>
        <w:ind w:firstLine="640" w:firstLineChars="200"/>
        <w:jc w:val="both"/>
        <w:rPr>
          <w:rFonts w:eastAsia="仿宋_GB2312"/>
          <w:sz w:val="32"/>
          <w:szCs w:val="32"/>
        </w:rPr>
      </w:pPr>
      <w:r>
        <w:rPr>
          <w:rFonts w:eastAsia="仿宋_GB2312"/>
          <w:sz w:val="32"/>
          <w:szCs w:val="32"/>
        </w:rPr>
        <w:t>本年度排放量与上一年度排放量相比增加28021.34吨/2.3</w:t>
      </w:r>
      <w:r>
        <w:rPr>
          <w:rFonts w:hint="eastAsia" w:eastAsia="仿宋_GB2312"/>
          <w:sz w:val="32"/>
          <w:szCs w:val="32"/>
        </w:rPr>
        <w:t>9</w:t>
      </w:r>
      <w:r>
        <w:rPr>
          <w:rFonts w:eastAsia="仿宋_GB2312"/>
          <w:sz w:val="32"/>
          <w:szCs w:val="32"/>
        </w:rPr>
        <w:t>%，其中直接排放相比上一年度减少335.</w:t>
      </w:r>
      <w:r>
        <w:rPr>
          <w:rFonts w:hint="eastAsia" w:eastAsia="仿宋_GB2312"/>
          <w:sz w:val="32"/>
          <w:szCs w:val="32"/>
        </w:rPr>
        <w:t>70</w:t>
      </w:r>
      <w:r>
        <w:rPr>
          <w:rFonts w:eastAsia="仿宋_GB2312"/>
          <w:sz w:val="32"/>
          <w:szCs w:val="32"/>
        </w:rPr>
        <w:t>吨/3.07%，间接排放相比上一年度增加28357.0</w:t>
      </w:r>
      <w:r>
        <w:rPr>
          <w:rFonts w:hint="eastAsia" w:eastAsia="仿宋_GB2312"/>
          <w:sz w:val="32"/>
          <w:szCs w:val="32"/>
        </w:rPr>
        <w:t>2</w:t>
      </w:r>
      <w:r>
        <w:rPr>
          <w:rFonts w:eastAsia="仿宋_GB2312"/>
          <w:sz w:val="32"/>
          <w:szCs w:val="32"/>
        </w:rPr>
        <w:t>吨/2.44%，</w:t>
      </w:r>
      <w:r>
        <w:rPr>
          <w:rFonts w:hint="eastAsia" w:eastAsia="仿宋_GB2312"/>
          <w:sz w:val="32"/>
          <w:szCs w:val="32"/>
        </w:rPr>
        <w:t>由于4G的普及、大王卡等业务营销，导致移动数据与互联网业务总量上涨，所需要的设施增加，导致排放量上升。</w:t>
      </w:r>
    </w:p>
    <w:p w14:paraId="0361CA2C">
      <w:pPr>
        <w:spacing w:after="0" w:line="560" w:lineRule="exact"/>
        <w:ind w:firstLine="640" w:firstLineChars="200"/>
        <w:jc w:val="both"/>
        <w:rPr>
          <w:rFonts w:eastAsia="仿宋_GB2312"/>
          <w:sz w:val="32"/>
          <w:szCs w:val="32"/>
        </w:rPr>
      </w:pPr>
      <w:r>
        <w:rPr>
          <w:rFonts w:eastAsia="仿宋_GB2312"/>
          <w:sz w:val="32"/>
          <w:szCs w:val="32"/>
        </w:rPr>
        <w:t>本年度排放量与历史基准年度相比，增加了28021.34吨，增加比例为</w:t>
      </w:r>
      <w:r>
        <w:rPr>
          <w:rFonts w:hint="eastAsia" w:eastAsia="仿宋_GB2312"/>
          <w:sz w:val="32"/>
          <w:szCs w:val="32"/>
        </w:rPr>
        <w:t>2.39</w:t>
      </w:r>
      <w:r>
        <w:rPr>
          <w:rFonts w:eastAsia="仿宋_GB2312"/>
          <w:sz w:val="32"/>
          <w:szCs w:val="32"/>
        </w:rPr>
        <w:t>%</w:t>
      </w:r>
      <w:r>
        <w:rPr>
          <w:rFonts w:hint="eastAsia" w:eastAsia="仿宋_GB2312"/>
          <w:sz w:val="32"/>
          <w:szCs w:val="32"/>
        </w:rPr>
        <w:t>，用电设施增加导致排放量增加</w:t>
      </w:r>
      <w:r>
        <w:rPr>
          <w:rFonts w:eastAsia="仿宋_GB2312"/>
          <w:sz w:val="32"/>
          <w:szCs w:val="32"/>
        </w:rPr>
        <w:t>。</w:t>
      </w:r>
    </w:p>
    <w:p w14:paraId="7468220B">
      <w:pPr>
        <w:spacing w:after="0" w:line="560" w:lineRule="exact"/>
        <w:jc w:val="center"/>
        <w:rPr>
          <w:rFonts w:eastAsia="仿宋_GB2312"/>
          <w:sz w:val="32"/>
          <w:szCs w:val="32"/>
        </w:rPr>
      </w:pPr>
      <w:r>
        <w:rPr>
          <w:rFonts w:eastAsia="仿宋_GB2312"/>
          <w:sz w:val="24"/>
        </w:rPr>
        <w:t>表XX  排放量汇总表</w:t>
      </w:r>
    </w:p>
    <w:tbl>
      <w:tblPr>
        <w:tblStyle w:val="35"/>
        <w:tblW w:w="5000" w:type="pct"/>
        <w:tblInd w:w="0" w:type="dxa"/>
        <w:tblLayout w:type="autofit"/>
        <w:tblCellMar>
          <w:top w:w="0" w:type="dxa"/>
          <w:left w:w="108" w:type="dxa"/>
          <w:bottom w:w="0" w:type="dxa"/>
          <w:right w:w="108" w:type="dxa"/>
        </w:tblCellMar>
      </w:tblPr>
      <w:tblGrid>
        <w:gridCol w:w="1433"/>
        <w:gridCol w:w="2462"/>
        <w:gridCol w:w="2480"/>
        <w:gridCol w:w="2686"/>
      </w:tblGrid>
      <w:tr w14:paraId="398D9079">
        <w:tblPrEx>
          <w:tblCellMar>
            <w:top w:w="0" w:type="dxa"/>
            <w:left w:w="108" w:type="dxa"/>
            <w:bottom w:w="0" w:type="dxa"/>
            <w:right w:w="108" w:type="dxa"/>
          </w:tblCellMar>
        </w:tblPrEx>
        <w:trPr>
          <w:trHeight w:val="585" w:hRule="atLeast"/>
        </w:trPr>
        <w:tc>
          <w:tcPr>
            <w:tcW w:w="791" w:type="pct"/>
            <w:tcBorders>
              <w:top w:val="single" w:color="auto" w:sz="4" w:space="0"/>
              <w:left w:val="single" w:color="auto" w:sz="4" w:space="0"/>
              <w:bottom w:val="single" w:color="auto" w:sz="4" w:space="0"/>
              <w:right w:val="single" w:color="auto" w:sz="4" w:space="0"/>
            </w:tcBorders>
            <w:vAlign w:val="center"/>
          </w:tcPr>
          <w:p w14:paraId="2EE4D9BA">
            <w:pPr>
              <w:keepNext w:val="0"/>
              <w:keepLines w:val="0"/>
              <w:pageBreakBefore w:val="0"/>
              <w:widowControl/>
              <w:kinsoku/>
              <w:wordWrap/>
              <w:overflowPunct/>
              <w:topLinePunct w:val="0"/>
              <w:autoSpaceDE/>
              <w:autoSpaceDN/>
              <w:bidi w:val="0"/>
              <w:adjustRightInd/>
              <w:snapToGrid/>
              <w:spacing w:after="0"/>
              <w:jc w:val="center"/>
              <w:textAlignment w:val="auto"/>
              <w:rPr>
                <w:rFonts w:eastAsia="仿宋_GB2312"/>
                <w:color w:val="000000"/>
                <w:sz w:val="24"/>
              </w:rPr>
            </w:pPr>
            <w:r>
              <w:rPr>
                <w:rFonts w:eastAsia="仿宋_GB2312"/>
                <w:color w:val="000000"/>
                <w:sz w:val="24"/>
              </w:rPr>
              <w:t>年度</w:t>
            </w:r>
          </w:p>
        </w:tc>
        <w:tc>
          <w:tcPr>
            <w:tcW w:w="1358" w:type="pct"/>
            <w:tcBorders>
              <w:top w:val="single" w:color="auto" w:sz="4" w:space="0"/>
              <w:left w:val="nil"/>
              <w:bottom w:val="single" w:color="auto" w:sz="4" w:space="0"/>
              <w:right w:val="single" w:color="auto" w:sz="4" w:space="0"/>
            </w:tcBorders>
            <w:vAlign w:val="center"/>
          </w:tcPr>
          <w:p w14:paraId="74A26FD0">
            <w:pPr>
              <w:keepNext w:val="0"/>
              <w:keepLines w:val="0"/>
              <w:pageBreakBefore w:val="0"/>
              <w:widowControl/>
              <w:kinsoku/>
              <w:wordWrap/>
              <w:overflowPunct/>
              <w:topLinePunct w:val="0"/>
              <w:autoSpaceDE/>
              <w:autoSpaceDN/>
              <w:bidi w:val="0"/>
              <w:adjustRightInd/>
              <w:snapToGrid/>
              <w:spacing w:after="0"/>
              <w:jc w:val="center"/>
              <w:textAlignment w:val="auto"/>
              <w:rPr>
                <w:rFonts w:eastAsia="仿宋_GB2312"/>
                <w:color w:val="000000"/>
                <w:sz w:val="24"/>
              </w:rPr>
            </w:pPr>
            <w:r>
              <w:rPr>
                <w:rFonts w:eastAsia="仿宋_GB2312"/>
                <w:color w:val="000000"/>
                <w:sz w:val="24"/>
              </w:rPr>
              <w:t>直接排放量（tCO2）</w:t>
            </w:r>
          </w:p>
        </w:tc>
        <w:tc>
          <w:tcPr>
            <w:tcW w:w="1368" w:type="pct"/>
            <w:tcBorders>
              <w:top w:val="single" w:color="auto" w:sz="4" w:space="0"/>
              <w:left w:val="nil"/>
              <w:bottom w:val="single" w:color="auto" w:sz="4" w:space="0"/>
              <w:right w:val="single" w:color="auto" w:sz="4" w:space="0"/>
            </w:tcBorders>
            <w:vAlign w:val="center"/>
          </w:tcPr>
          <w:p w14:paraId="113F6B3C">
            <w:pPr>
              <w:keepNext w:val="0"/>
              <w:keepLines w:val="0"/>
              <w:pageBreakBefore w:val="0"/>
              <w:widowControl/>
              <w:kinsoku/>
              <w:wordWrap/>
              <w:overflowPunct/>
              <w:topLinePunct w:val="0"/>
              <w:autoSpaceDE/>
              <w:autoSpaceDN/>
              <w:bidi w:val="0"/>
              <w:adjustRightInd/>
              <w:snapToGrid/>
              <w:spacing w:after="0"/>
              <w:jc w:val="center"/>
              <w:textAlignment w:val="auto"/>
              <w:rPr>
                <w:rFonts w:eastAsia="仿宋_GB2312"/>
                <w:color w:val="000000"/>
                <w:sz w:val="24"/>
              </w:rPr>
            </w:pPr>
            <w:r>
              <w:rPr>
                <w:rFonts w:eastAsia="仿宋_GB2312"/>
                <w:color w:val="000000"/>
                <w:sz w:val="24"/>
              </w:rPr>
              <w:t>间接排放量（tCO2）</w:t>
            </w:r>
          </w:p>
        </w:tc>
        <w:tc>
          <w:tcPr>
            <w:tcW w:w="1482" w:type="pct"/>
            <w:tcBorders>
              <w:top w:val="single" w:color="auto" w:sz="4" w:space="0"/>
              <w:left w:val="nil"/>
              <w:bottom w:val="single" w:color="auto" w:sz="4" w:space="0"/>
              <w:right w:val="single" w:color="auto" w:sz="4" w:space="0"/>
            </w:tcBorders>
            <w:vAlign w:val="center"/>
          </w:tcPr>
          <w:p w14:paraId="0C6D7484">
            <w:pPr>
              <w:keepNext w:val="0"/>
              <w:keepLines w:val="0"/>
              <w:pageBreakBefore w:val="0"/>
              <w:widowControl/>
              <w:kinsoku/>
              <w:wordWrap/>
              <w:overflowPunct/>
              <w:topLinePunct w:val="0"/>
              <w:autoSpaceDE/>
              <w:autoSpaceDN/>
              <w:bidi w:val="0"/>
              <w:adjustRightInd/>
              <w:snapToGrid/>
              <w:spacing w:after="0"/>
              <w:jc w:val="center"/>
              <w:textAlignment w:val="auto"/>
              <w:rPr>
                <w:rFonts w:eastAsia="仿宋_GB2312"/>
                <w:color w:val="000000"/>
                <w:sz w:val="24"/>
              </w:rPr>
            </w:pPr>
            <w:r>
              <w:rPr>
                <w:rFonts w:eastAsia="仿宋_GB2312"/>
                <w:color w:val="000000"/>
                <w:sz w:val="24"/>
              </w:rPr>
              <w:t>排放总量（tCO2）</w:t>
            </w:r>
          </w:p>
        </w:tc>
      </w:tr>
      <w:tr w14:paraId="11CED424">
        <w:tblPrEx>
          <w:tblCellMar>
            <w:top w:w="0" w:type="dxa"/>
            <w:left w:w="108" w:type="dxa"/>
            <w:bottom w:w="0" w:type="dxa"/>
            <w:right w:w="108" w:type="dxa"/>
          </w:tblCellMar>
        </w:tblPrEx>
        <w:trPr>
          <w:trHeight w:val="403" w:hRule="atLeast"/>
        </w:trPr>
        <w:tc>
          <w:tcPr>
            <w:tcW w:w="791" w:type="pct"/>
            <w:tcBorders>
              <w:top w:val="nil"/>
              <w:left w:val="single" w:color="auto" w:sz="4" w:space="0"/>
              <w:bottom w:val="single" w:color="auto" w:sz="4" w:space="0"/>
              <w:right w:val="single" w:color="auto" w:sz="4" w:space="0"/>
            </w:tcBorders>
            <w:noWrap/>
            <w:vAlign w:val="center"/>
          </w:tcPr>
          <w:p w14:paraId="0CBFC7FF">
            <w:pPr>
              <w:keepNext w:val="0"/>
              <w:keepLines w:val="0"/>
              <w:pageBreakBefore w:val="0"/>
              <w:widowControl/>
              <w:kinsoku/>
              <w:wordWrap/>
              <w:overflowPunct/>
              <w:topLinePunct w:val="0"/>
              <w:autoSpaceDE/>
              <w:autoSpaceDN/>
              <w:bidi w:val="0"/>
              <w:adjustRightInd/>
              <w:snapToGrid/>
              <w:spacing w:after="80"/>
              <w:jc w:val="center"/>
              <w:textAlignment w:val="auto"/>
              <w:rPr>
                <w:rFonts w:eastAsia="仿宋_GB2312"/>
                <w:color w:val="000000"/>
                <w:sz w:val="24"/>
              </w:rPr>
            </w:pPr>
            <w:r>
              <w:rPr>
                <w:rFonts w:eastAsia="仿宋_GB2312"/>
                <w:color w:val="000000"/>
                <w:sz w:val="24"/>
              </w:rPr>
              <w:t>2016</w:t>
            </w:r>
          </w:p>
        </w:tc>
        <w:tc>
          <w:tcPr>
            <w:tcW w:w="1358" w:type="pct"/>
            <w:tcBorders>
              <w:top w:val="nil"/>
              <w:left w:val="nil"/>
              <w:bottom w:val="single" w:color="auto" w:sz="4" w:space="0"/>
              <w:right w:val="single" w:color="auto" w:sz="4" w:space="0"/>
            </w:tcBorders>
            <w:noWrap/>
            <w:vAlign w:val="center"/>
          </w:tcPr>
          <w:p w14:paraId="130E4E89">
            <w:pPr>
              <w:keepNext w:val="0"/>
              <w:keepLines w:val="0"/>
              <w:pageBreakBefore w:val="0"/>
              <w:widowControl/>
              <w:kinsoku/>
              <w:wordWrap/>
              <w:overflowPunct/>
              <w:topLinePunct w:val="0"/>
              <w:autoSpaceDE/>
              <w:autoSpaceDN/>
              <w:bidi w:val="0"/>
              <w:adjustRightInd/>
              <w:snapToGrid/>
              <w:spacing w:after="80"/>
              <w:jc w:val="center"/>
              <w:textAlignment w:val="auto"/>
              <w:rPr>
                <w:rFonts w:ascii="Times New Roman" w:hAnsi="Times New Roman"/>
              </w:rPr>
            </w:pPr>
            <w:r>
              <w:rPr>
                <w:rFonts w:ascii="Times New Roman" w:hAnsi="Times New Roman"/>
              </w:rPr>
              <w:t>8100.00</w:t>
            </w:r>
          </w:p>
        </w:tc>
        <w:tc>
          <w:tcPr>
            <w:tcW w:w="1368" w:type="pct"/>
            <w:tcBorders>
              <w:top w:val="nil"/>
              <w:left w:val="nil"/>
              <w:bottom w:val="single" w:color="auto" w:sz="4" w:space="0"/>
              <w:right w:val="single" w:color="auto" w:sz="4" w:space="0"/>
            </w:tcBorders>
            <w:noWrap/>
            <w:vAlign w:val="center"/>
          </w:tcPr>
          <w:p w14:paraId="17A05A6A">
            <w:pPr>
              <w:keepNext w:val="0"/>
              <w:keepLines w:val="0"/>
              <w:pageBreakBefore w:val="0"/>
              <w:widowControl/>
              <w:kinsoku/>
              <w:wordWrap/>
              <w:overflowPunct/>
              <w:topLinePunct w:val="0"/>
              <w:autoSpaceDE/>
              <w:autoSpaceDN/>
              <w:bidi w:val="0"/>
              <w:adjustRightInd/>
              <w:snapToGrid/>
              <w:spacing w:after="80"/>
              <w:jc w:val="center"/>
              <w:textAlignment w:val="auto"/>
              <w:rPr>
                <w:rFonts w:ascii="Times New Roman" w:hAnsi="Times New Roman"/>
              </w:rPr>
            </w:pPr>
            <w:r>
              <w:rPr>
                <w:rFonts w:ascii="Times New Roman" w:hAnsi="Times New Roman"/>
              </w:rPr>
              <w:t>1145500.00</w:t>
            </w:r>
          </w:p>
        </w:tc>
        <w:tc>
          <w:tcPr>
            <w:tcW w:w="1482" w:type="pct"/>
            <w:tcBorders>
              <w:top w:val="nil"/>
              <w:left w:val="nil"/>
              <w:bottom w:val="single" w:color="auto" w:sz="4" w:space="0"/>
              <w:right w:val="single" w:color="auto" w:sz="4" w:space="0"/>
            </w:tcBorders>
            <w:vAlign w:val="center"/>
          </w:tcPr>
          <w:p w14:paraId="355BC537">
            <w:pPr>
              <w:keepNext w:val="0"/>
              <w:keepLines w:val="0"/>
              <w:pageBreakBefore w:val="0"/>
              <w:widowControl/>
              <w:kinsoku/>
              <w:wordWrap/>
              <w:overflowPunct/>
              <w:topLinePunct w:val="0"/>
              <w:autoSpaceDE/>
              <w:autoSpaceDN/>
              <w:bidi w:val="0"/>
              <w:adjustRightInd/>
              <w:snapToGrid/>
              <w:spacing w:after="80"/>
              <w:jc w:val="center"/>
              <w:textAlignment w:val="auto"/>
              <w:rPr>
                <w:rFonts w:ascii="Times New Roman" w:hAnsi="Times New Roman"/>
              </w:rPr>
            </w:pPr>
            <w:r>
              <w:rPr>
                <w:rFonts w:ascii="Times New Roman" w:hAnsi="Times New Roman"/>
              </w:rPr>
              <w:t>1153600.00</w:t>
            </w:r>
          </w:p>
        </w:tc>
      </w:tr>
      <w:tr w14:paraId="5C209F70">
        <w:tblPrEx>
          <w:tblCellMar>
            <w:top w:w="0" w:type="dxa"/>
            <w:left w:w="108" w:type="dxa"/>
            <w:bottom w:w="0" w:type="dxa"/>
            <w:right w:w="108" w:type="dxa"/>
          </w:tblCellMar>
        </w:tblPrEx>
        <w:trPr>
          <w:trHeight w:val="347" w:hRule="atLeast"/>
        </w:trPr>
        <w:tc>
          <w:tcPr>
            <w:tcW w:w="791" w:type="pct"/>
            <w:tcBorders>
              <w:top w:val="nil"/>
              <w:left w:val="single" w:color="auto" w:sz="4" w:space="0"/>
              <w:bottom w:val="single" w:color="auto" w:sz="4" w:space="0"/>
              <w:right w:val="single" w:color="auto" w:sz="4" w:space="0"/>
            </w:tcBorders>
            <w:noWrap/>
            <w:vAlign w:val="center"/>
          </w:tcPr>
          <w:p w14:paraId="69D203E5">
            <w:pPr>
              <w:keepNext w:val="0"/>
              <w:keepLines w:val="0"/>
              <w:pageBreakBefore w:val="0"/>
              <w:widowControl/>
              <w:kinsoku/>
              <w:wordWrap/>
              <w:overflowPunct/>
              <w:topLinePunct w:val="0"/>
              <w:autoSpaceDE/>
              <w:autoSpaceDN/>
              <w:bidi w:val="0"/>
              <w:adjustRightInd/>
              <w:snapToGrid/>
              <w:spacing w:after="80"/>
              <w:jc w:val="center"/>
              <w:textAlignment w:val="auto"/>
              <w:rPr>
                <w:rFonts w:eastAsia="仿宋_GB2312"/>
                <w:color w:val="000000"/>
                <w:sz w:val="24"/>
              </w:rPr>
            </w:pPr>
            <w:r>
              <w:rPr>
                <w:rFonts w:eastAsia="仿宋_GB2312"/>
                <w:color w:val="000000"/>
                <w:sz w:val="24"/>
              </w:rPr>
              <w:t>2017</w:t>
            </w:r>
          </w:p>
        </w:tc>
        <w:tc>
          <w:tcPr>
            <w:tcW w:w="1358" w:type="pct"/>
            <w:tcBorders>
              <w:top w:val="nil"/>
              <w:left w:val="nil"/>
              <w:bottom w:val="single" w:color="auto" w:sz="4" w:space="0"/>
              <w:right w:val="single" w:color="auto" w:sz="4" w:space="0"/>
            </w:tcBorders>
            <w:noWrap/>
            <w:vAlign w:val="center"/>
          </w:tcPr>
          <w:p w14:paraId="41E97C73">
            <w:pPr>
              <w:keepNext w:val="0"/>
              <w:keepLines w:val="0"/>
              <w:pageBreakBefore w:val="0"/>
              <w:widowControl/>
              <w:kinsoku/>
              <w:wordWrap/>
              <w:overflowPunct/>
              <w:topLinePunct w:val="0"/>
              <w:autoSpaceDE/>
              <w:autoSpaceDN/>
              <w:bidi w:val="0"/>
              <w:adjustRightInd/>
              <w:snapToGrid/>
              <w:spacing w:after="80"/>
              <w:jc w:val="center"/>
              <w:textAlignment w:val="auto"/>
              <w:rPr>
                <w:rFonts w:ascii="Times New Roman" w:hAnsi="Times New Roman"/>
              </w:rPr>
            </w:pPr>
            <w:r>
              <w:rPr>
                <w:rFonts w:ascii="Times New Roman" w:hAnsi="Times New Roman"/>
              </w:rPr>
              <w:t>10125.00</w:t>
            </w:r>
          </w:p>
        </w:tc>
        <w:tc>
          <w:tcPr>
            <w:tcW w:w="1368" w:type="pct"/>
            <w:tcBorders>
              <w:top w:val="nil"/>
              <w:left w:val="nil"/>
              <w:bottom w:val="single" w:color="auto" w:sz="4" w:space="0"/>
              <w:right w:val="single" w:color="auto" w:sz="4" w:space="0"/>
            </w:tcBorders>
            <w:noWrap/>
            <w:vAlign w:val="center"/>
          </w:tcPr>
          <w:p w14:paraId="57306458">
            <w:pPr>
              <w:keepNext w:val="0"/>
              <w:keepLines w:val="0"/>
              <w:pageBreakBefore w:val="0"/>
              <w:widowControl/>
              <w:kinsoku/>
              <w:wordWrap/>
              <w:overflowPunct/>
              <w:topLinePunct w:val="0"/>
              <w:autoSpaceDE/>
              <w:autoSpaceDN/>
              <w:bidi w:val="0"/>
              <w:adjustRightInd/>
              <w:snapToGrid/>
              <w:spacing w:after="80"/>
              <w:jc w:val="center"/>
              <w:textAlignment w:val="auto"/>
              <w:rPr>
                <w:rFonts w:ascii="Times New Roman" w:hAnsi="Times New Roman"/>
              </w:rPr>
            </w:pPr>
            <w:r>
              <w:rPr>
                <w:rFonts w:ascii="Times New Roman" w:hAnsi="Times New Roman"/>
              </w:rPr>
              <w:t>1152750.00</w:t>
            </w:r>
          </w:p>
        </w:tc>
        <w:tc>
          <w:tcPr>
            <w:tcW w:w="1482" w:type="pct"/>
            <w:tcBorders>
              <w:top w:val="nil"/>
              <w:left w:val="nil"/>
              <w:bottom w:val="single" w:color="auto" w:sz="4" w:space="0"/>
              <w:right w:val="single" w:color="auto" w:sz="4" w:space="0"/>
            </w:tcBorders>
            <w:vAlign w:val="center"/>
          </w:tcPr>
          <w:p w14:paraId="730F5EC3">
            <w:pPr>
              <w:keepNext w:val="0"/>
              <w:keepLines w:val="0"/>
              <w:pageBreakBefore w:val="0"/>
              <w:widowControl/>
              <w:kinsoku/>
              <w:wordWrap/>
              <w:overflowPunct/>
              <w:topLinePunct w:val="0"/>
              <w:autoSpaceDE/>
              <w:autoSpaceDN/>
              <w:bidi w:val="0"/>
              <w:adjustRightInd/>
              <w:snapToGrid/>
              <w:spacing w:after="80"/>
              <w:jc w:val="center"/>
              <w:textAlignment w:val="auto"/>
              <w:rPr>
                <w:rFonts w:ascii="Times New Roman" w:hAnsi="Times New Roman"/>
              </w:rPr>
            </w:pPr>
            <w:r>
              <w:rPr>
                <w:rFonts w:ascii="Times New Roman" w:hAnsi="Times New Roman"/>
              </w:rPr>
              <w:t>1162875.00</w:t>
            </w:r>
          </w:p>
        </w:tc>
      </w:tr>
      <w:tr w14:paraId="2343AD0B">
        <w:tblPrEx>
          <w:tblCellMar>
            <w:top w:w="0" w:type="dxa"/>
            <w:left w:w="108" w:type="dxa"/>
            <w:bottom w:w="0" w:type="dxa"/>
            <w:right w:w="108" w:type="dxa"/>
          </w:tblCellMar>
        </w:tblPrEx>
        <w:trPr>
          <w:trHeight w:val="347" w:hRule="atLeast"/>
        </w:trPr>
        <w:tc>
          <w:tcPr>
            <w:tcW w:w="791" w:type="pct"/>
            <w:tcBorders>
              <w:top w:val="nil"/>
              <w:left w:val="single" w:color="auto" w:sz="4" w:space="0"/>
              <w:bottom w:val="single" w:color="auto" w:sz="4" w:space="0"/>
              <w:right w:val="single" w:color="auto" w:sz="4" w:space="0"/>
            </w:tcBorders>
            <w:noWrap/>
            <w:vAlign w:val="center"/>
          </w:tcPr>
          <w:p w14:paraId="5F947AB8">
            <w:pPr>
              <w:keepNext w:val="0"/>
              <w:keepLines w:val="0"/>
              <w:pageBreakBefore w:val="0"/>
              <w:widowControl/>
              <w:kinsoku/>
              <w:wordWrap/>
              <w:overflowPunct/>
              <w:topLinePunct w:val="0"/>
              <w:autoSpaceDE/>
              <w:autoSpaceDN/>
              <w:bidi w:val="0"/>
              <w:adjustRightInd/>
              <w:snapToGrid/>
              <w:spacing w:after="80"/>
              <w:jc w:val="center"/>
              <w:textAlignment w:val="auto"/>
              <w:rPr>
                <w:rFonts w:eastAsia="仿宋_GB2312"/>
                <w:color w:val="000000"/>
                <w:sz w:val="24"/>
              </w:rPr>
            </w:pPr>
            <w:r>
              <w:rPr>
                <w:rFonts w:eastAsia="仿宋_GB2312"/>
                <w:color w:val="000000"/>
                <w:sz w:val="24"/>
              </w:rPr>
              <w:t>2018</w:t>
            </w:r>
          </w:p>
        </w:tc>
        <w:tc>
          <w:tcPr>
            <w:tcW w:w="1358" w:type="pct"/>
            <w:tcBorders>
              <w:top w:val="nil"/>
              <w:left w:val="nil"/>
              <w:bottom w:val="single" w:color="auto" w:sz="4" w:space="0"/>
              <w:right w:val="single" w:color="auto" w:sz="4" w:space="0"/>
            </w:tcBorders>
            <w:noWrap/>
            <w:vAlign w:val="center"/>
          </w:tcPr>
          <w:p w14:paraId="49B67E5F">
            <w:pPr>
              <w:keepNext w:val="0"/>
              <w:keepLines w:val="0"/>
              <w:pageBreakBefore w:val="0"/>
              <w:widowControl/>
              <w:kinsoku/>
              <w:wordWrap/>
              <w:overflowPunct/>
              <w:topLinePunct w:val="0"/>
              <w:autoSpaceDE/>
              <w:autoSpaceDN/>
              <w:bidi w:val="0"/>
              <w:adjustRightInd/>
              <w:snapToGrid/>
              <w:spacing w:after="80"/>
              <w:jc w:val="center"/>
              <w:textAlignment w:val="auto"/>
              <w:rPr>
                <w:rFonts w:ascii="Times New Roman" w:hAnsi="Times New Roman"/>
              </w:rPr>
            </w:pPr>
            <w:r>
              <w:rPr>
                <w:rFonts w:ascii="Times New Roman" w:hAnsi="Times New Roman"/>
              </w:rPr>
              <w:t>10952.42</w:t>
            </w:r>
          </w:p>
        </w:tc>
        <w:tc>
          <w:tcPr>
            <w:tcW w:w="1368" w:type="pct"/>
            <w:tcBorders>
              <w:top w:val="nil"/>
              <w:left w:val="nil"/>
              <w:bottom w:val="single" w:color="auto" w:sz="4" w:space="0"/>
              <w:right w:val="single" w:color="auto" w:sz="4" w:space="0"/>
            </w:tcBorders>
            <w:noWrap/>
            <w:vAlign w:val="center"/>
          </w:tcPr>
          <w:p w14:paraId="4F7AC3AC">
            <w:pPr>
              <w:keepNext w:val="0"/>
              <w:keepLines w:val="0"/>
              <w:pageBreakBefore w:val="0"/>
              <w:widowControl/>
              <w:kinsoku/>
              <w:wordWrap/>
              <w:overflowPunct/>
              <w:topLinePunct w:val="0"/>
              <w:autoSpaceDE/>
              <w:autoSpaceDN/>
              <w:bidi w:val="0"/>
              <w:adjustRightInd/>
              <w:snapToGrid/>
              <w:spacing w:after="80"/>
              <w:jc w:val="center"/>
              <w:textAlignment w:val="auto"/>
              <w:rPr>
                <w:rFonts w:ascii="Times New Roman" w:hAnsi="Times New Roman"/>
              </w:rPr>
            </w:pPr>
            <w:r>
              <w:rPr>
                <w:rFonts w:ascii="Times New Roman" w:hAnsi="Times New Roman"/>
              </w:rPr>
              <w:t>1163737.64</w:t>
            </w:r>
          </w:p>
        </w:tc>
        <w:tc>
          <w:tcPr>
            <w:tcW w:w="1482" w:type="pct"/>
            <w:tcBorders>
              <w:top w:val="nil"/>
              <w:left w:val="nil"/>
              <w:bottom w:val="single" w:color="auto" w:sz="4" w:space="0"/>
              <w:right w:val="single" w:color="auto" w:sz="4" w:space="0"/>
            </w:tcBorders>
            <w:vAlign w:val="center"/>
          </w:tcPr>
          <w:p w14:paraId="52F11EA9">
            <w:pPr>
              <w:keepNext w:val="0"/>
              <w:keepLines w:val="0"/>
              <w:pageBreakBefore w:val="0"/>
              <w:widowControl/>
              <w:kinsoku/>
              <w:wordWrap/>
              <w:overflowPunct/>
              <w:topLinePunct w:val="0"/>
              <w:autoSpaceDE/>
              <w:autoSpaceDN/>
              <w:bidi w:val="0"/>
              <w:adjustRightInd/>
              <w:snapToGrid/>
              <w:spacing w:after="80"/>
              <w:jc w:val="center"/>
              <w:textAlignment w:val="auto"/>
              <w:rPr>
                <w:rFonts w:ascii="Times New Roman" w:hAnsi="Times New Roman"/>
              </w:rPr>
            </w:pPr>
            <w:r>
              <w:rPr>
                <w:rFonts w:ascii="Times New Roman" w:hAnsi="Times New Roman"/>
              </w:rPr>
              <w:t>1174690.05</w:t>
            </w:r>
          </w:p>
        </w:tc>
      </w:tr>
      <w:tr w14:paraId="18D2BEAD">
        <w:tblPrEx>
          <w:tblCellMar>
            <w:top w:w="0" w:type="dxa"/>
            <w:left w:w="108" w:type="dxa"/>
            <w:bottom w:w="0" w:type="dxa"/>
            <w:right w:w="108" w:type="dxa"/>
          </w:tblCellMar>
        </w:tblPrEx>
        <w:trPr>
          <w:trHeight w:val="347" w:hRule="atLeast"/>
        </w:trPr>
        <w:tc>
          <w:tcPr>
            <w:tcW w:w="791" w:type="pct"/>
            <w:tcBorders>
              <w:top w:val="single" w:color="auto" w:sz="4" w:space="0"/>
              <w:left w:val="single" w:color="auto" w:sz="4" w:space="0"/>
              <w:bottom w:val="single" w:color="auto" w:sz="4" w:space="0"/>
              <w:right w:val="single" w:color="auto" w:sz="4" w:space="0"/>
            </w:tcBorders>
            <w:noWrap/>
            <w:vAlign w:val="center"/>
          </w:tcPr>
          <w:p w14:paraId="0A9ECCEA">
            <w:pPr>
              <w:keepNext w:val="0"/>
              <w:keepLines w:val="0"/>
              <w:pageBreakBefore w:val="0"/>
              <w:widowControl/>
              <w:kinsoku/>
              <w:wordWrap/>
              <w:overflowPunct/>
              <w:topLinePunct w:val="0"/>
              <w:autoSpaceDE/>
              <w:autoSpaceDN/>
              <w:bidi w:val="0"/>
              <w:adjustRightInd/>
              <w:snapToGrid/>
              <w:spacing w:after="80"/>
              <w:jc w:val="center"/>
              <w:textAlignment w:val="auto"/>
              <w:rPr>
                <w:rFonts w:eastAsia="仿宋_GB2312"/>
                <w:color w:val="000000"/>
                <w:sz w:val="24"/>
              </w:rPr>
            </w:pPr>
            <w:bookmarkStart w:id="23" w:name="_Hlk34842921"/>
            <w:r>
              <w:rPr>
                <w:rFonts w:eastAsia="仿宋_GB2312"/>
                <w:color w:val="000000"/>
                <w:sz w:val="24"/>
              </w:rPr>
              <w:t>2019</w:t>
            </w:r>
          </w:p>
        </w:tc>
        <w:tc>
          <w:tcPr>
            <w:tcW w:w="1358" w:type="pct"/>
            <w:tcBorders>
              <w:top w:val="single" w:color="auto" w:sz="4" w:space="0"/>
              <w:left w:val="nil"/>
              <w:bottom w:val="single" w:color="auto" w:sz="4" w:space="0"/>
              <w:right w:val="single" w:color="auto" w:sz="4" w:space="0"/>
            </w:tcBorders>
            <w:noWrap/>
            <w:vAlign w:val="center"/>
          </w:tcPr>
          <w:p w14:paraId="4D30F055">
            <w:pPr>
              <w:keepNext w:val="0"/>
              <w:keepLines w:val="0"/>
              <w:pageBreakBefore w:val="0"/>
              <w:widowControl/>
              <w:kinsoku/>
              <w:wordWrap/>
              <w:overflowPunct/>
              <w:topLinePunct w:val="0"/>
              <w:autoSpaceDE/>
              <w:autoSpaceDN/>
              <w:bidi w:val="0"/>
              <w:adjustRightInd/>
              <w:snapToGrid/>
              <w:spacing w:after="80"/>
              <w:jc w:val="center"/>
              <w:textAlignment w:val="auto"/>
              <w:rPr>
                <w:rFonts w:ascii="Times New Roman" w:hAnsi="Times New Roman"/>
              </w:rPr>
            </w:pPr>
            <w:r>
              <w:rPr>
                <w:rFonts w:ascii="Times New Roman" w:hAnsi="Times New Roman"/>
              </w:rPr>
              <w:t>10616.72</w:t>
            </w:r>
          </w:p>
        </w:tc>
        <w:tc>
          <w:tcPr>
            <w:tcW w:w="1368" w:type="pct"/>
            <w:tcBorders>
              <w:top w:val="single" w:color="auto" w:sz="4" w:space="0"/>
              <w:left w:val="nil"/>
              <w:bottom w:val="single" w:color="auto" w:sz="4" w:space="0"/>
              <w:right w:val="single" w:color="auto" w:sz="4" w:space="0"/>
            </w:tcBorders>
            <w:noWrap/>
            <w:vAlign w:val="center"/>
          </w:tcPr>
          <w:p w14:paraId="63A659FF">
            <w:pPr>
              <w:keepNext w:val="0"/>
              <w:keepLines w:val="0"/>
              <w:pageBreakBefore w:val="0"/>
              <w:widowControl/>
              <w:kinsoku/>
              <w:wordWrap/>
              <w:overflowPunct/>
              <w:topLinePunct w:val="0"/>
              <w:autoSpaceDE/>
              <w:autoSpaceDN/>
              <w:bidi w:val="0"/>
              <w:adjustRightInd/>
              <w:snapToGrid/>
              <w:spacing w:after="80"/>
              <w:jc w:val="center"/>
              <w:textAlignment w:val="auto"/>
              <w:rPr>
                <w:rFonts w:ascii="Times New Roman" w:hAnsi="Times New Roman"/>
              </w:rPr>
            </w:pPr>
            <w:r>
              <w:rPr>
                <w:rFonts w:ascii="Times New Roman" w:hAnsi="Times New Roman"/>
              </w:rPr>
              <w:t>1192094.66</w:t>
            </w:r>
          </w:p>
        </w:tc>
        <w:tc>
          <w:tcPr>
            <w:tcW w:w="1482" w:type="pct"/>
            <w:tcBorders>
              <w:top w:val="single" w:color="auto" w:sz="4" w:space="0"/>
              <w:left w:val="nil"/>
              <w:bottom w:val="single" w:color="auto" w:sz="4" w:space="0"/>
              <w:right w:val="single" w:color="auto" w:sz="4" w:space="0"/>
            </w:tcBorders>
            <w:vAlign w:val="center"/>
          </w:tcPr>
          <w:p w14:paraId="7B81C69B">
            <w:pPr>
              <w:keepNext w:val="0"/>
              <w:keepLines w:val="0"/>
              <w:pageBreakBefore w:val="0"/>
              <w:widowControl/>
              <w:kinsoku/>
              <w:wordWrap/>
              <w:overflowPunct/>
              <w:topLinePunct w:val="0"/>
              <w:autoSpaceDE/>
              <w:autoSpaceDN/>
              <w:bidi w:val="0"/>
              <w:adjustRightInd/>
              <w:snapToGrid/>
              <w:spacing w:after="80"/>
              <w:jc w:val="center"/>
              <w:textAlignment w:val="auto"/>
              <w:rPr>
                <w:rFonts w:ascii="Times New Roman" w:hAnsi="Times New Roman"/>
              </w:rPr>
            </w:pPr>
            <w:r>
              <w:rPr>
                <w:rFonts w:ascii="Times New Roman" w:hAnsi="Times New Roman"/>
              </w:rPr>
              <w:t>1202711.39</w:t>
            </w:r>
          </w:p>
        </w:tc>
      </w:tr>
      <w:tr w14:paraId="5C458C5C">
        <w:tblPrEx>
          <w:tblCellMar>
            <w:top w:w="0" w:type="dxa"/>
            <w:left w:w="108" w:type="dxa"/>
            <w:bottom w:w="0" w:type="dxa"/>
            <w:right w:w="108" w:type="dxa"/>
          </w:tblCellMar>
        </w:tblPrEx>
        <w:trPr>
          <w:trHeight w:val="347" w:hRule="atLeast"/>
        </w:trPr>
        <w:tc>
          <w:tcPr>
            <w:tcW w:w="791" w:type="pct"/>
            <w:tcBorders>
              <w:top w:val="single" w:color="auto" w:sz="4" w:space="0"/>
              <w:left w:val="single" w:color="auto" w:sz="4" w:space="0"/>
              <w:bottom w:val="single" w:color="auto" w:sz="4" w:space="0"/>
              <w:right w:val="single" w:color="auto" w:sz="4" w:space="0"/>
            </w:tcBorders>
            <w:noWrap/>
            <w:vAlign w:val="center"/>
          </w:tcPr>
          <w:p w14:paraId="7D2290F8">
            <w:pPr>
              <w:keepNext w:val="0"/>
              <w:keepLines w:val="0"/>
              <w:pageBreakBefore w:val="0"/>
              <w:widowControl/>
              <w:kinsoku/>
              <w:wordWrap/>
              <w:overflowPunct/>
              <w:topLinePunct w:val="0"/>
              <w:autoSpaceDE/>
              <w:autoSpaceDN/>
              <w:bidi w:val="0"/>
              <w:adjustRightInd/>
              <w:snapToGrid/>
              <w:spacing w:after="80"/>
              <w:jc w:val="center"/>
              <w:textAlignment w:val="auto"/>
              <w:rPr>
                <w:rFonts w:eastAsia="仿宋_GB2312"/>
                <w:color w:val="000000"/>
                <w:sz w:val="24"/>
              </w:rPr>
            </w:pPr>
            <w:r>
              <w:rPr>
                <w:rFonts w:hint="eastAsia" w:eastAsia="仿宋_GB2312"/>
                <w:color w:val="000000"/>
                <w:sz w:val="24"/>
              </w:rPr>
              <w:t>2</w:t>
            </w:r>
            <w:r>
              <w:rPr>
                <w:rFonts w:eastAsia="仿宋_GB2312"/>
                <w:color w:val="000000"/>
                <w:sz w:val="24"/>
              </w:rPr>
              <w:t>020</w:t>
            </w:r>
          </w:p>
        </w:tc>
        <w:tc>
          <w:tcPr>
            <w:tcW w:w="1358" w:type="pct"/>
            <w:tcBorders>
              <w:top w:val="single" w:color="auto" w:sz="4" w:space="0"/>
              <w:left w:val="nil"/>
              <w:bottom w:val="single" w:color="auto" w:sz="4" w:space="0"/>
              <w:right w:val="single" w:color="auto" w:sz="4" w:space="0"/>
            </w:tcBorders>
            <w:noWrap/>
            <w:vAlign w:val="center"/>
          </w:tcPr>
          <w:p w14:paraId="75A795EF">
            <w:pPr>
              <w:keepNext w:val="0"/>
              <w:keepLines w:val="0"/>
              <w:pageBreakBefore w:val="0"/>
              <w:widowControl/>
              <w:kinsoku/>
              <w:wordWrap/>
              <w:overflowPunct/>
              <w:topLinePunct w:val="0"/>
              <w:autoSpaceDE/>
              <w:autoSpaceDN/>
              <w:bidi w:val="0"/>
              <w:adjustRightInd/>
              <w:snapToGrid/>
              <w:spacing w:after="80"/>
              <w:jc w:val="center"/>
              <w:textAlignment w:val="auto"/>
              <w:rPr>
                <w:rFonts w:ascii="Times New Roman" w:hAnsi="Times New Roman"/>
              </w:rPr>
            </w:pPr>
            <w:r>
              <w:rPr>
                <w:rFonts w:ascii="Times New Roman" w:hAnsi="Times New Roman"/>
              </w:rPr>
              <w:t>10616.72</w:t>
            </w:r>
          </w:p>
        </w:tc>
        <w:tc>
          <w:tcPr>
            <w:tcW w:w="1368" w:type="pct"/>
            <w:tcBorders>
              <w:top w:val="single" w:color="auto" w:sz="4" w:space="0"/>
              <w:left w:val="nil"/>
              <w:bottom w:val="single" w:color="auto" w:sz="4" w:space="0"/>
              <w:right w:val="single" w:color="auto" w:sz="4" w:space="0"/>
            </w:tcBorders>
            <w:noWrap/>
            <w:vAlign w:val="center"/>
          </w:tcPr>
          <w:p w14:paraId="43BE1E3F">
            <w:pPr>
              <w:keepNext w:val="0"/>
              <w:keepLines w:val="0"/>
              <w:pageBreakBefore w:val="0"/>
              <w:widowControl/>
              <w:kinsoku/>
              <w:wordWrap/>
              <w:overflowPunct/>
              <w:topLinePunct w:val="0"/>
              <w:autoSpaceDE/>
              <w:autoSpaceDN/>
              <w:bidi w:val="0"/>
              <w:adjustRightInd/>
              <w:snapToGrid/>
              <w:spacing w:after="80"/>
              <w:jc w:val="center"/>
              <w:textAlignment w:val="auto"/>
              <w:rPr>
                <w:rFonts w:ascii="Times New Roman" w:hAnsi="Times New Roman"/>
              </w:rPr>
            </w:pPr>
            <w:r>
              <w:rPr>
                <w:rFonts w:ascii="Times New Roman" w:hAnsi="Times New Roman"/>
              </w:rPr>
              <w:t>1192094.66</w:t>
            </w:r>
          </w:p>
        </w:tc>
        <w:tc>
          <w:tcPr>
            <w:tcW w:w="1482" w:type="pct"/>
            <w:tcBorders>
              <w:top w:val="single" w:color="auto" w:sz="4" w:space="0"/>
              <w:left w:val="nil"/>
              <w:bottom w:val="single" w:color="auto" w:sz="4" w:space="0"/>
              <w:right w:val="single" w:color="auto" w:sz="4" w:space="0"/>
            </w:tcBorders>
            <w:vAlign w:val="center"/>
          </w:tcPr>
          <w:p w14:paraId="4A41EBCA">
            <w:pPr>
              <w:keepNext w:val="0"/>
              <w:keepLines w:val="0"/>
              <w:pageBreakBefore w:val="0"/>
              <w:widowControl/>
              <w:kinsoku/>
              <w:wordWrap/>
              <w:overflowPunct/>
              <w:topLinePunct w:val="0"/>
              <w:autoSpaceDE/>
              <w:autoSpaceDN/>
              <w:bidi w:val="0"/>
              <w:adjustRightInd/>
              <w:snapToGrid/>
              <w:spacing w:after="80"/>
              <w:jc w:val="center"/>
              <w:textAlignment w:val="auto"/>
              <w:rPr>
                <w:rFonts w:ascii="Times New Roman" w:hAnsi="Times New Roman"/>
              </w:rPr>
            </w:pPr>
            <w:r>
              <w:rPr>
                <w:rFonts w:ascii="Times New Roman" w:hAnsi="Times New Roman"/>
              </w:rPr>
              <w:t>1202711.39</w:t>
            </w:r>
          </w:p>
        </w:tc>
      </w:tr>
      <w:bookmarkEnd w:id="23"/>
    </w:tbl>
    <w:p w14:paraId="6DA0A6D8">
      <w:pPr>
        <w:ind w:firstLine="440" w:firstLineChars="200"/>
      </w:pPr>
    </w:p>
    <w:p w14:paraId="190E4B19">
      <w:pPr>
        <w:jc w:val="center"/>
      </w:pPr>
      <w:r>
        <w:rPr>
          <w:lang w:val="en-US"/>
        </w:rPr>
        <w:drawing>
          <wp:inline distT="0" distB="0" distL="0" distR="0">
            <wp:extent cx="4568825" cy="2740025"/>
            <wp:effectExtent l="0" t="0" r="3175" b="3175"/>
            <wp:docPr id="4" name="图表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4A57439">
      <w:pPr>
        <w:spacing w:after="0" w:line="560" w:lineRule="exact"/>
        <w:jc w:val="center"/>
        <w:rPr>
          <w:rFonts w:eastAsia="仿宋_GB2312"/>
          <w:sz w:val="32"/>
          <w:szCs w:val="32"/>
        </w:rPr>
      </w:pPr>
      <w:r>
        <w:rPr>
          <w:rFonts w:hint="eastAsia" w:eastAsia="仿宋_GB2312"/>
          <w:sz w:val="24"/>
        </w:rPr>
        <w:t>图</w:t>
      </w:r>
      <w:r>
        <w:rPr>
          <w:rFonts w:eastAsia="仿宋_GB2312"/>
          <w:sz w:val="24"/>
        </w:rPr>
        <w:t>XX  排放量</w:t>
      </w:r>
      <w:r>
        <w:rPr>
          <w:rFonts w:hint="eastAsia" w:eastAsia="仿宋_GB2312"/>
          <w:sz w:val="24"/>
        </w:rPr>
        <w:t>变化趋势图（增加2</w:t>
      </w:r>
      <w:r>
        <w:rPr>
          <w:rFonts w:eastAsia="仿宋_GB2312"/>
          <w:sz w:val="24"/>
        </w:rPr>
        <w:t>020年）</w:t>
      </w:r>
    </w:p>
    <w:p w14:paraId="136419F3">
      <w:pPr>
        <w:spacing w:after="0" w:line="560" w:lineRule="exact"/>
        <w:ind w:firstLine="640" w:firstLineChars="200"/>
        <w:rPr>
          <w:rFonts w:eastAsia="仿宋_GB2312"/>
          <w:sz w:val="32"/>
          <w:szCs w:val="32"/>
        </w:rPr>
      </w:pPr>
      <w:r>
        <w:rPr>
          <w:rFonts w:hint="eastAsia" w:eastAsia="仿宋_GB2312"/>
          <w:sz w:val="32"/>
          <w:szCs w:val="32"/>
        </w:rPr>
        <w:t>4. 核算和报告边界变化</w:t>
      </w:r>
      <w:r>
        <w:rPr>
          <w:rFonts w:hint="eastAsia" w:ascii="Times New Roman" w:hAnsi="Times New Roman" w:eastAsia="仿宋_GB2312"/>
          <w:sz w:val="32"/>
          <w:szCs w:val="32"/>
        </w:rPr>
        <w:t>（含设施变化）</w:t>
      </w:r>
      <w:r>
        <w:rPr>
          <w:rFonts w:hint="eastAsia" w:eastAsia="仿宋_GB2312"/>
          <w:sz w:val="32"/>
          <w:szCs w:val="32"/>
        </w:rPr>
        <w:t>情况</w:t>
      </w:r>
    </w:p>
    <w:p w14:paraId="019B9681">
      <w:pPr>
        <w:spacing w:after="0" w:line="560" w:lineRule="exact"/>
        <w:ind w:firstLine="640" w:firstLineChars="200"/>
        <w:rPr>
          <w:rFonts w:eastAsia="仿宋_GB2312"/>
          <w:sz w:val="32"/>
          <w:szCs w:val="32"/>
        </w:rPr>
      </w:pPr>
      <w:r>
        <w:rPr>
          <w:rFonts w:hint="eastAsia" w:eastAsia="仿宋_GB2312"/>
          <w:sz w:val="32"/>
          <w:szCs w:val="32"/>
        </w:rPr>
        <w:t>4.1 本年度场所边界的变化</w:t>
      </w:r>
    </w:p>
    <w:p w14:paraId="1F6793B4">
      <w:pPr>
        <w:spacing w:after="0" w:line="560" w:lineRule="exact"/>
        <w:ind w:firstLine="640" w:firstLineChars="200"/>
        <w:jc w:val="both"/>
        <w:rPr>
          <w:rFonts w:eastAsia="仿宋_GB2312"/>
          <w:sz w:val="32"/>
          <w:szCs w:val="32"/>
        </w:rPr>
      </w:pPr>
      <w:r>
        <w:rPr>
          <w:rFonts w:hint="eastAsia" w:eastAsia="仿宋_GB2312"/>
          <w:sz w:val="32"/>
          <w:szCs w:val="32"/>
        </w:rPr>
        <w:t>排放单位核算和报告边界为北京市辖区内的两个行政办公楼（xxx、x</w:t>
      </w:r>
      <w:r>
        <w:rPr>
          <w:rFonts w:eastAsia="仿宋_GB2312"/>
          <w:sz w:val="32"/>
          <w:szCs w:val="32"/>
        </w:rPr>
        <w:t>xx</w:t>
      </w:r>
      <w:r>
        <w:rPr>
          <w:rFonts w:hint="eastAsia" w:eastAsia="仿宋_GB2312"/>
          <w:sz w:val="32"/>
          <w:szCs w:val="32"/>
        </w:rPr>
        <w:t>）、xx个通信局所场所（办公楼、机房、基站、营业厅）以及xx个独立的营业厅、xx个基站、xx个大型数据中心。与上一年度相比，增加了2台燃气锅炉，xx个基站；与基准年相比，增加了2台燃气锅炉，xx个基站。</w:t>
      </w:r>
    </w:p>
    <w:p w14:paraId="261D2B02">
      <w:pPr>
        <w:spacing w:after="0" w:line="560" w:lineRule="exact"/>
        <w:ind w:firstLine="640" w:firstLineChars="200"/>
        <w:rPr>
          <w:rFonts w:eastAsia="仿宋_GB2312"/>
          <w:sz w:val="32"/>
          <w:szCs w:val="32"/>
        </w:rPr>
      </w:pPr>
      <w:r>
        <w:rPr>
          <w:rFonts w:hint="eastAsia" w:eastAsia="仿宋_GB2312"/>
          <w:sz w:val="32"/>
          <w:szCs w:val="32"/>
        </w:rPr>
        <w:t>4.2</w:t>
      </w:r>
      <w:r>
        <w:rPr>
          <w:rFonts w:eastAsia="仿宋_GB2312"/>
          <w:sz w:val="32"/>
          <w:szCs w:val="32"/>
        </w:rPr>
        <w:t>本年度排放设施的变化</w:t>
      </w:r>
    </w:p>
    <w:p w14:paraId="7AE7F594">
      <w:pPr>
        <w:spacing w:after="0" w:line="560" w:lineRule="exact"/>
        <w:ind w:firstLine="465"/>
        <w:rPr>
          <w:rFonts w:eastAsia="仿宋_GB2312"/>
          <w:sz w:val="32"/>
          <w:szCs w:val="32"/>
        </w:rPr>
      </w:pPr>
      <w:r>
        <w:rPr>
          <w:rFonts w:eastAsia="仿宋_GB2312"/>
          <w:sz w:val="32"/>
          <w:szCs w:val="32"/>
        </w:rPr>
        <w:t>排放单位不涉及既有配额调整。</w:t>
      </w:r>
    </w:p>
    <w:p w14:paraId="55855204">
      <w:pPr>
        <w:spacing w:after="0" w:line="560" w:lineRule="exact"/>
        <w:ind w:firstLine="465"/>
        <w:jc w:val="both"/>
        <w:rPr>
          <w:rFonts w:eastAsia="仿宋_GB2312"/>
          <w:sz w:val="32"/>
          <w:szCs w:val="32"/>
        </w:rPr>
      </w:pPr>
      <w:r>
        <w:rPr>
          <w:rFonts w:eastAsia="仿宋_GB2312"/>
          <w:sz w:val="32"/>
          <w:szCs w:val="32"/>
        </w:rPr>
        <w:t>排放单位</w:t>
      </w:r>
      <w:r>
        <w:rPr>
          <w:rFonts w:hint="eastAsia" w:eastAsia="仿宋_GB2312"/>
          <w:sz w:val="32"/>
          <w:szCs w:val="32"/>
        </w:rPr>
        <w:t>XXXX年</w:t>
      </w:r>
      <w:r>
        <w:rPr>
          <w:rFonts w:eastAsia="仿宋_GB2312"/>
          <w:sz w:val="32"/>
          <w:szCs w:val="32"/>
        </w:rPr>
        <w:t>期间新增2台燃气锅炉，目前燃气锅炉为xx台。排放单位未对化石燃料设施替代进行统计，新增排放申请也未对化石燃料进行申请。新增设施主要包括通信网络设施及其配套空调、电源、监控等直接用于通信网络运营的设施。其中，直接用于通信网络运行的设施包括提供移动通信服务的室外站(2G/3G/4G) 、室内站(2G/3G/4G) 、室外站5G 和室内站5G；提供数据通信服务的IDC（数据中心）；提供传输、宽带、信息化、互联网等多种通信服务的各种固定网络设施等。上述设施均为新建设施，分布在市区及郊区的各类机房及基站内，不对原有设施替代。新增设施及其排放情况如下表所示：</w:t>
      </w:r>
    </w:p>
    <w:p w14:paraId="530E7093">
      <w:pPr>
        <w:spacing w:after="0" w:line="560" w:lineRule="exact"/>
        <w:jc w:val="center"/>
        <w:rPr>
          <w:rFonts w:eastAsia="仿宋_GB2312"/>
          <w:sz w:val="32"/>
          <w:szCs w:val="32"/>
        </w:rPr>
      </w:pPr>
      <w:r>
        <w:rPr>
          <w:rFonts w:eastAsia="仿宋_GB2312"/>
          <w:sz w:val="24"/>
        </w:rPr>
        <w:t xml:space="preserve">表XX  </w:t>
      </w:r>
      <w:r>
        <w:rPr>
          <w:rFonts w:hint="eastAsia" w:eastAsia="仿宋_GB2312"/>
          <w:sz w:val="24"/>
        </w:rPr>
        <w:t>新增设施信息</w:t>
      </w:r>
      <w:r>
        <w:rPr>
          <w:rFonts w:eastAsia="仿宋_GB2312"/>
          <w:sz w:val="24"/>
        </w:rPr>
        <w:t>表</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1002"/>
        <w:gridCol w:w="1190"/>
        <w:gridCol w:w="2701"/>
        <w:gridCol w:w="1292"/>
        <w:gridCol w:w="1306"/>
        <w:gridCol w:w="1051"/>
      </w:tblGrid>
      <w:tr w14:paraId="0B179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blHeader/>
        </w:trPr>
        <w:tc>
          <w:tcPr>
            <w:tcW w:w="285" w:type="pct"/>
            <w:vAlign w:val="center"/>
          </w:tcPr>
          <w:p w14:paraId="2E95ABB4">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color w:val="000000"/>
                <w:sz w:val="24"/>
              </w:rPr>
            </w:pPr>
            <w:r>
              <w:rPr>
                <w:rFonts w:eastAsia="仿宋_GB2312"/>
                <w:color w:val="000000"/>
                <w:sz w:val="24"/>
              </w:rPr>
              <w:t>序号</w:t>
            </w:r>
          </w:p>
        </w:tc>
        <w:tc>
          <w:tcPr>
            <w:tcW w:w="553" w:type="pct"/>
            <w:vAlign w:val="center"/>
          </w:tcPr>
          <w:p w14:paraId="646399FB">
            <w:pPr>
              <w:keepNext w:val="0"/>
              <w:keepLines w:val="0"/>
              <w:pageBreakBefore w:val="0"/>
              <w:widowControl/>
              <w:tabs>
                <w:tab w:val="left" w:pos="1701"/>
              </w:tabs>
              <w:kinsoku/>
              <w:wordWrap/>
              <w:overflowPunct/>
              <w:topLinePunct w:val="0"/>
              <w:autoSpaceDE/>
              <w:autoSpaceDN/>
              <w:bidi w:val="0"/>
              <w:adjustRightInd/>
              <w:snapToGrid/>
              <w:spacing w:after="0"/>
              <w:ind w:left="-110" w:leftChars="-50" w:right="-110" w:rightChars="-50"/>
              <w:textAlignment w:val="auto"/>
              <w:rPr>
                <w:rFonts w:eastAsia="仿宋_GB2312"/>
                <w:color w:val="000000"/>
                <w:sz w:val="24"/>
              </w:rPr>
            </w:pPr>
            <w:r>
              <w:rPr>
                <w:rFonts w:hint="eastAsia" w:eastAsia="仿宋_GB2312"/>
                <w:color w:val="000000"/>
                <w:sz w:val="24"/>
              </w:rPr>
              <w:t>设施新增年份</w:t>
            </w:r>
          </w:p>
        </w:tc>
        <w:tc>
          <w:tcPr>
            <w:tcW w:w="2148" w:type="pct"/>
            <w:gridSpan w:val="2"/>
            <w:vAlign w:val="center"/>
          </w:tcPr>
          <w:p w14:paraId="696C7029">
            <w:pPr>
              <w:keepNext w:val="0"/>
              <w:keepLines w:val="0"/>
              <w:pageBreakBefore w:val="0"/>
              <w:widowControl/>
              <w:tabs>
                <w:tab w:val="left" w:pos="1701"/>
              </w:tabs>
              <w:kinsoku/>
              <w:wordWrap/>
              <w:overflowPunct/>
              <w:topLinePunct w:val="0"/>
              <w:autoSpaceDE/>
              <w:autoSpaceDN/>
              <w:bidi w:val="0"/>
              <w:adjustRightInd/>
              <w:snapToGrid/>
              <w:spacing w:after="0"/>
              <w:ind w:left="-110" w:leftChars="-50" w:right="-110" w:rightChars="-50"/>
              <w:jc w:val="center"/>
              <w:textAlignment w:val="auto"/>
              <w:rPr>
                <w:rFonts w:eastAsia="仿宋_GB2312"/>
                <w:color w:val="000000"/>
                <w:sz w:val="24"/>
              </w:rPr>
            </w:pPr>
            <w:r>
              <w:rPr>
                <w:rFonts w:eastAsia="仿宋_GB2312"/>
                <w:color w:val="000000"/>
                <w:sz w:val="24"/>
              </w:rPr>
              <w:t>新增</w:t>
            </w:r>
            <w:r>
              <w:rPr>
                <w:rFonts w:hint="eastAsia" w:eastAsia="仿宋_GB2312"/>
                <w:color w:val="000000"/>
                <w:sz w:val="24"/>
              </w:rPr>
              <w:t>设施</w:t>
            </w:r>
            <w:r>
              <w:rPr>
                <w:rFonts w:eastAsia="仿宋_GB2312"/>
                <w:color w:val="000000"/>
                <w:sz w:val="24"/>
              </w:rPr>
              <w:t>类型</w:t>
            </w:r>
            <w:r>
              <w:rPr>
                <w:rStyle w:val="40"/>
                <w:rFonts w:eastAsia="仿宋_GB2312"/>
                <w:color w:val="000000"/>
                <w:sz w:val="24"/>
              </w:rPr>
              <w:footnoteReference w:id="0"/>
            </w:r>
          </w:p>
          <w:p w14:paraId="5FEC267B">
            <w:pPr>
              <w:keepNext w:val="0"/>
              <w:keepLines w:val="0"/>
              <w:pageBreakBefore w:val="0"/>
              <w:widowControl/>
              <w:tabs>
                <w:tab w:val="left" w:pos="1701"/>
              </w:tabs>
              <w:kinsoku/>
              <w:wordWrap/>
              <w:overflowPunct/>
              <w:topLinePunct w:val="0"/>
              <w:autoSpaceDE/>
              <w:autoSpaceDN/>
              <w:bidi w:val="0"/>
              <w:adjustRightInd/>
              <w:snapToGrid/>
              <w:spacing w:after="0"/>
              <w:jc w:val="center"/>
              <w:textAlignment w:val="auto"/>
              <w:rPr>
                <w:rFonts w:eastAsia="仿宋_GB2312"/>
                <w:color w:val="000000"/>
                <w:sz w:val="24"/>
              </w:rPr>
            </w:pPr>
          </w:p>
        </w:tc>
        <w:tc>
          <w:tcPr>
            <w:tcW w:w="713" w:type="pct"/>
            <w:vAlign w:val="center"/>
          </w:tcPr>
          <w:p w14:paraId="082F690E">
            <w:pPr>
              <w:keepNext w:val="0"/>
              <w:keepLines w:val="0"/>
              <w:pageBreakBefore w:val="0"/>
              <w:widowControl/>
              <w:tabs>
                <w:tab w:val="left" w:pos="1701"/>
              </w:tabs>
              <w:kinsoku/>
              <w:wordWrap/>
              <w:overflowPunct/>
              <w:topLinePunct w:val="0"/>
              <w:autoSpaceDE/>
              <w:autoSpaceDN/>
              <w:bidi w:val="0"/>
              <w:adjustRightInd/>
              <w:snapToGrid/>
              <w:spacing w:after="0"/>
              <w:ind w:left="-110" w:leftChars="-50" w:right="-110" w:rightChars="-50"/>
              <w:textAlignment w:val="auto"/>
              <w:rPr>
                <w:rFonts w:eastAsia="仿宋_GB2312"/>
                <w:color w:val="000000"/>
                <w:sz w:val="24"/>
              </w:rPr>
            </w:pPr>
            <w:r>
              <w:rPr>
                <w:rFonts w:eastAsia="仿宋_GB2312"/>
                <w:color w:val="000000"/>
                <w:sz w:val="24"/>
              </w:rPr>
              <w:t>是否替代既有设施，被替代既有设施类型</w:t>
            </w:r>
          </w:p>
        </w:tc>
        <w:tc>
          <w:tcPr>
            <w:tcW w:w="721" w:type="pct"/>
            <w:tcBorders>
              <w:bottom w:val="single" w:color="auto" w:sz="4" w:space="0"/>
            </w:tcBorders>
            <w:vAlign w:val="center"/>
          </w:tcPr>
          <w:p w14:paraId="3D76B331">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color w:val="000000"/>
                <w:sz w:val="24"/>
              </w:rPr>
            </w:pPr>
            <w:r>
              <w:rPr>
                <w:rFonts w:hint="eastAsia" w:eastAsia="仿宋_GB2312"/>
                <w:color w:val="000000"/>
                <w:sz w:val="24"/>
              </w:rPr>
              <w:t>新增设施</w:t>
            </w:r>
            <w:r>
              <w:rPr>
                <w:rFonts w:eastAsia="仿宋_GB2312"/>
                <w:color w:val="000000"/>
                <w:sz w:val="24"/>
              </w:rPr>
              <w:t>排放量（吨）</w:t>
            </w:r>
          </w:p>
        </w:tc>
        <w:tc>
          <w:tcPr>
            <w:tcW w:w="577" w:type="pct"/>
            <w:vAlign w:val="center"/>
          </w:tcPr>
          <w:p w14:paraId="224A65BE">
            <w:pPr>
              <w:keepNext w:val="0"/>
              <w:keepLines w:val="0"/>
              <w:pageBreakBefore w:val="0"/>
              <w:widowControl/>
              <w:tabs>
                <w:tab w:val="left" w:pos="1701"/>
              </w:tabs>
              <w:kinsoku/>
              <w:wordWrap/>
              <w:overflowPunct/>
              <w:topLinePunct w:val="0"/>
              <w:autoSpaceDE/>
              <w:autoSpaceDN/>
              <w:bidi w:val="0"/>
              <w:adjustRightInd/>
              <w:snapToGrid/>
              <w:spacing w:after="0"/>
              <w:ind w:left="-110" w:leftChars="-50" w:right="-110" w:rightChars="-50"/>
              <w:textAlignment w:val="auto"/>
              <w:rPr>
                <w:rFonts w:eastAsia="仿宋_GB2312"/>
                <w:color w:val="000000"/>
                <w:sz w:val="24"/>
              </w:rPr>
            </w:pPr>
            <w:r>
              <w:rPr>
                <w:rFonts w:hint="eastAsia" w:eastAsia="仿宋_GB2312"/>
                <w:color w:val="000000"/>
                <w:sz w:val="24"/>
              </w:rPr>
              <w:t>替代既有设施的新增排放量(吨)</w:t>
            </w:r>
          </w:p>
        </w:tc>
      </w:tr>
      <w:tr w14:paraId="54EA3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85" w:type="pct"/>
            <w:vAlign w:val="center"/>
          </w:tcPr>
          <w:p w14:paraId="7215C79B">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sz w:val="24"/>
              </w:rPr>
            </w:pPr>
            <w:r>
              <w:rPr>
                <w:rFonts w:eastAsia="仿宋_GB2312"/>
                <w:sz w:val="24"/>
              </w:rPr>
              <w:t>1</w:t>
            </w:r>
          </w:p>
        </w:tc>
        <w:tc>
          <w:tcPr>
            <w:tcW w:w="553" w:type="pct"/>
            <w:vAlign w:val="center"/>
          </w:tcPr>
          <w:p w14:paraId="578DE1EA">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sz w:val="24"/>
              </w:rPr>
            </w:pPr>
            <w:r>
              <w:rPr>
                <w:rFonts w:hint="eastAsia" w:eastAsia="仿宋_GB2312"/>
                <w:sz w:val="24"/>
              </w:rPr>
              <w:t>2019</w:t>
            </w:r>
          </w:p>
        </w:tc>
        <w:tc>
          <w:tcPr>
            <w:tcW w:w="657" w:type="pct"/>
            <w:vAlign w:val="center"/>
          </w:tcPr>
          <w:p w14:paraId="73CD5A75">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sz w:val="24"/>
              </w:rPr>
            </w:pPr>
            <w:r>
              <w:rPr>
                <w:rFonts w:eastAsia="仿宋_GB2312"/>
                <w:sz w:val="24"/>
              </w:rPr>
              <w:t>数据中心</w:t>
            </w:r>
          </w:p>
        </w:tc>
        <w:tc>
          <w:tcPr>
            <w:tcW w:w="1491" w:type="pct"/>
            <w:vAlign w:val="center"/>
          </w:tcPr>
          <w:p w14:paraId="383B8433">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sz w:val="24"/>
              </w:rPr>
            </w:pPr>
            <w:r>
              <w:rPr>
                <w:rFonts w:eastAsia="仿宋_GB2312"/>
                <w:sz w:val="24"/>
              </w:rPr>
              <w:t>新增IDC机房设备</w:t>
            </w:r>
            <w:r>
              <w:rPr>
                <w:rFonts w:hint="eastAsia" w:eastAsia="仿宋_GB2312"/>
                <w:sz w:val="24"/>
              </w:rPr>
              <w:t>：xxxx个</w:t>
            </w:r>
          </w:p>
        </w:tc>
        <w:tc>
          <w:tcPr>
            <w:tcW w:w="713" w:type="pct"/>
            <w:vAlign w:val="center"/>
          </w:tcPr>
          <w:p w14:paraId="55401BF2">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sz w:val="24"/>
              </w:rPr>
            </w:pPr>
            <w:r>
              <w:rPr>
                <w:rFonts w:eastAsia="仿宋_GB2312"/>
                <w:sz w:val="24"/>
              </w:rPr>
              <w:t>否</w:t>
            </w:r>
          </w:p>
        </w:tc>
        <w:tc>
          <w:tcPr>
            <w:tcW w:w="721" w:type="pct"/>
            <w:tcBorders>
              <w:top w:val="single" w:color="auto" w:sz="4" w:space="0"/>
              <w:left w:val="nil"/>
              <w:bottom w:val="single" w:color="auto" w:sz="4" w:space="0"/>
              <w:right w:val="nil"/>
            </w:tcBorders>
            <w:vAlign w:val="center"/>
          </w:tcPr>
          <w:p w14:paraId="18C3CCA9">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等线"/>
                <w:color w:val="000000"/>
              </w:rPr>
            </w:pPr>
            <w:r>
              <w:rPr>
                <w:rFonts w:ascii="Times New Roman" w:hAnsi="Times New Roman" w:eastAsia="等线"/>
                <w:color w:val="000000"/>
              </w:rPr>
              <w:t>124600.07</w:t>
            </w:r>
          </w:p>
        </w:tc>
        <w:tc>
          <w:tcPr>
            <w:tcW w:w="577" w:type="pct"/>
            <w:vAlign w:val="center"/>
          </w:tcPr>
          <w:p w14:paraId="075A3B51">
            <w:pPr>
              <w:keepNext w:val="0"/>
              <w:keepLines w:val="0"/>
              <w:pageBreakBefore w:val="0"/>
              <w:widowControl/>
              <w:tabs>
                <w:tab w:val="left" w:pos="1701"/>
              </w:tabs>
              <w:kinsoku/>
              <w:wordWrap/>
              <w:overflowPunct/>
              <w:topLinePunct w:val="0"/>
              <w:autoSpaceDE/>
              <w:autoSpaceDN/>
              <w:bidi w:val="0"/>
              <w:adjustRightInd/>
              <w:snapToGrid/>
              <w:spacing w:after="0"/>
              <w:jc w:val="center"/>
              <w:textAlignment w:val="auto"/>
              <w:rPr>
                <w:rFonts w:eastAsia="仿宋_GB2312"/>
                <w:sz w:val="24"/>
              </w:rPr>
            </w:pPr>
            <w:r>
              <w:rPr>
                <w:rFonts w:eastAsia="仿宋_GB2312"/>
                <w:sz w:val="24"/>
              </w:rPr>
              <w:t>/</w:t>
            </w:r>
          </w:p>
        </w:tc>
      </w:tr>
      <w:tr w14:paraId="2662D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85" w:type="pct"/>
            <w:vMerge w:val="restart"/>
            <w:vAlign w:val="center"/>
          </w:tcPr>
          <w:p w14:paraId="4FA4312D">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sz w:val="24"/>
              </w:rPr>
            </w:pPr>
            <w:r>
              <w:rPr>
                <w:rFonts w:eastAsia="仿宋_GB2312"/>
                <w:sz w:val="24"/>
              </w:rPr>
              <w:t>2</w:t>
            </w:r>
          </w:p>
        </w:tc>
        <w:tc>
          <w:tcPr>
            <w:tcW w:w="553" w:type="pct"/>
            <w:vMerge w:val="restart"/>
            <w:vAlign w:val="center"/>
          </w:tcPr>
          <w:p w14:paraId="15EB8608">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sz w:val="24"/>
              </w:rPr>
            </w:pPr>
            <w:r>
              <w:rPr>
                <w:rFonts w:hint="eastAsia" w:eastAsia="仿宋_GB2312"/>
                <w:sz w:val="24"/>
              </w:rPr>
              <w:t>2019</w:t>
            </w:r>
          </w:p>
        </w:tc>
        <w:tc>
          <w:tcPr>
            <w:tcW w:w="657" w:type="pct"/>
            <w:vMerge w:val="restart"/>
            <w:vAlign w:val="center"/>
          </w:tcPr>
          <w:p w14:paraId="1EF0A253">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sz w:val="24"/>
              </w:rPr>
            </w:pPr>
            <w:r>
              <w:rPr>
                <w:rFonts w:eastAsia="仿宋_GB2312"/>
                <w:sz w:val="24"/>
              </w:rPr>
              <w:t>移动通信设施</w:t>
            </w:r>
          </w:p>
        </w:tc>
        <w:tc>
          <w:tcPr>
            <w:tcW w:w="1491" w:type="pct"/>
            <w:vAlign w:val="center"/>
          </w:tcPr>
          <w:p w14:paraId="62E099A4">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sz w:val="24"/>
              </w:rPr>
            </w:pPr>
            <w:r>
              <w:rPr>
                <w:rFonts w:eastAsia="仿宋_GB2312"/>
                <w:sz w:val="24"/>
              </w:rPr>
              <w:t>室外站(2G/3G/4G)</w:t>
            </w:r>
            <w:r>
              <w:rPr>
                <w:rFonts w:hint="eastAsia" w:eastAsia="仿宋_GB2312"/>
                <w:sz w:val="24"/>
              </w:rPr>
              <w:t>：xxxx个</w:t>
            </w:r>
          </w:p>
        </w:tc>
        <w:tc>
          <w:tcPr>
            <w:tcW w:w="713" w:type="pct"/>
            <w:vAlign w:val="center"/>
          </w:tcPr>
          <w:p w14:paraId="035B8E4E">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sz w:val="24"/>
              </w:rPr>
            </w:pPr>
            <w:r>
              <w:rPr>
                <w:rFonts w:eastAsia="仿宋_GB2312"/>
                <w:sz w:val="24"/>
              </w:rPr>
              <w:t>否</w:t>
            </w:r>
          </w:p>
        </w:tc>
        <w:tc>
          <w:tcPr>
            <w:tcW w:w="721" w:type="pct"/>
            <w:tcBorders>
              <w:top w:val="single" w:color="auto" w:sz="4" w:space="0"/>
              <w:left w:val="nil"/>
              <w:bottom w:val="single" w:color="auto" w:sz="4" w:space="0"/>
              <w:right w:val="nil"/>
            </w:tcBorders>
            <w:vAlign w:val="center"/>
          </w:tcPr>
          <w:p w14:paraId="682C9190">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等线"/>
                <w:color w:val="000000"/>
              </w:rPr>
            </w:pPr>
            <w:r>
              <w:rPr>
                <w:rFonts w:ascii="Times New Roman" w:hAnsi="Times New Roman" w:eastAsia="等线"/>
                <w:color w:val="000000"/>
              </w:rPr>
              <w:t>195644.96</w:t>
            </w:r>
          </w:p>
        </w:tc>
        <w:tc>
          <w:tcPr>
            <w:tcW w:w="577" w:type="pct"/>
            <w:vAlign w:val="center"/>
          </w:tcPr>
          <w:p w14:paraId="3B83282F">
            <w:pPr>
              <w:keepNext w:val="0"/>
              <w:keepLines w:val="0"/>
              <w:pageBreakBefore w:val="0"/>
              <w:widowControl/>
              <w:tabs>
                <w:tab w:val="left" w:pos="1701"/>
              </w:tabs>
              <w:kinsoku/>
              <w:wordWrap/>
              <w:overflowPunct/>
              <w:topLinePunct w:val="0"/>
              <w:autoSpaceDE/>
              <w:autoSpaceDN/>
              <w:bidi w:val="0"/>
              <w:adjustRightInd/>
              <w:snapToGrid/>
              <w:spacing w:after="0"/>
              <w:jc w:val="center"/>
              <w:textAlignment w:val="auto"/>
              <w:rPr>
                <w:rFonts w:eastAsia="仿宋_GB2312"/>
                <w:sz w:val="24"/>
              </w:rPr>
            </w:pPr>
            <w:r>
              <w:rPr>
                <w:rFonts w:eastAsia="仿宋_GB2312"/>
                <w:sz w:val="24"/>
              </w:rPr>
              <w:t>/</w:t>
            </w:r>
          </w:p>
        </w:tc>
      </w:tr>
      <w:tr w14:paraId="76DB7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85" w:type="pct"/>
            <w:vMerge w:val="continue"/>
            <w:vAlign w:val="center"/>
          </w:tcPr>
          <w:p w14:paraId="560366D9">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sz w:val="24"/>
              </w:rPr>
            </w:pPr>
          </w:p>
        </w:tc>
        <w:tc>
          <w:tcPr>
            <w:tcW w:w="553" w:type="pct"/>
            <w:vMerge w:val="continue"/>
            <w:vAlign w:val="center"/>
          </w:tcPr>
          <w:p w14:paraId="7992CB6D">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sz w:val="24"/>
              </w:rPr>
            </w:pPr>
          </w:p>
        </w:tc>
        <w:tc>
          <w:tcPr>
            <w:tcW w:w="657" w:type="pct"/>
            <w:vMerge w:val="continue"/>
            <w:vAlign w:val="center"/>
          </w:tcPr>
          <w:p w14:paraId="1B87AEF5">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sz w:val="24"/>
              </w:rPr>
            </w:pPr>
          </w:p>
        </w:tc>
        <w:tc>
          <w:tcPr>
            <w:tcW w:w="1491" w:type="pct"/>
            <w:vAlign w:val="center"/>
          </w:tcPr>
          <w:p w14:paraId="7841062B">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sz w:val="24"/>
              </w:rPr>
            </w:pPr>
            <w:r>
              <w:rPr>
                <w:rFonts w:eastAsia="仿宋_GB2312"/>
                <w:sz w:val="24"/>
              </w:rPr>
              <w:t>室内站(2G/3G/4G)</w:t>
            </w:r>
            <w:r>
              <w:rPr>
                <w:rFonts w:hint="eastAsia" w:eastAsia="仿宋_GB2312"/>
                <w:sz w:val="24"/>
              </w:rPr>
              <w:t>：xxxx个</w:t>
            </w:r>
          </w:p>
        </w:tc>
        <w:tc>
          <w:tcPr>
            <w:tcW w:w="713" w:type="pct"/>
            <w:vAlign w:val="center"/>
          </w:tcPr>
          <w:p w14:paraId="3F23E034">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sz w:val="24"/>
              </w:rPr>
            </w:pPr>
            <w:r>
              <w:rPr>
                <w:rFonts w:eastAsia="仿宋_GB2312"/>
                <w:sz w:val="24"/>
              </w:rPr>
              <w:t>否</w:t>
            </w:r>
          </w:p>
        </w:tc>
        <w:tc>
          <w:tcPr>
            <w:tcW w:w="721" w:type="pct"/>
            <w:tcBorders>
              <w:top w:val="single" w:color="auto" w:sz="4" w:space="0"/>
              <w:left w:val="nil"/>
              <w:bottom w:val="single" w:color="auto" w:sz="4" w:space="0"/>
              <w:right w:val="nil"/>
            </w:tcBorders>
            <w:vAlign w:val="center"/>
          </w:tcPr>
          <w:p w14:paraId="4684C54A">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等线"/>
                <w:color w:val="000000"/>
              </w:rPr>
            </w:pPr>
            <w:r>
              <w:rPr>
                <w:rFonts w:ascii="Times New Roman" w:hAnsi="Times New Roman" w:eastAsia="等线"/>
                <w:color w:val="000000"/>
              </w:rPr>
              <w:t>114072.95</w:t>
            </w:r>
          </w:p>
        </w:tc>
        <w:tc>
          <w:tcPr>
            <w:tcW w:w="577" w:type="pct"/>
            <w:vAlign w:val="center"/>
          </w:tcPr>
          <w:p w14:paraId="61F92982">
            <w:pPr>
              <w:keepNext w:val="0"/>
              <w:keepLines w:val="0"/>
              <w:pageBreakBefore w:val="0"/>
              <w:widowControl/>
              <w:tabs>
                <w:tab w:val="left" w:pos="1701"/>
              </w:tabs>
              <w:kinsoku/>
              <w:wordWrap/>
              <w:overflowPunct/>
              <w:topLinePunct w:val="0"/>
              <w:autoSpaceDE/>
              <w:autoSpaceDN/>
              <w:bidi w:val="0"/>
              <w:adjustRightInd/>
              <w:snapToGrid/>
              <w:spacing w:after="0"/>
              <w:jc w:val="center"/>
              <w:textAlignment w:val="auto"/>
              <w:rPr>
                <w:rFonts w:eastAsia="仿宋_GB2312"/>
                <w:sz w:val="24"/>
              </w:rPr>
            </w:pPr>
            <w:r>
              <w:rPr>
                <w:rFonts w:eastAsia="仿宋_GB2312"/>
                <w:color w:val="000000"/>
                <w:sz w:val="24"/>
              </w:rPr>
              <w:t>/</w:t>
            </w:r>
          </w:p>
        </w:tc>
      </w:tr>
      <w:tr w14:paraId="4D5B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85" w:type="pct"/>
            <w:vMerge w:val="continue"/>
            <w:vAlign w:val="center"/>
          </w:tcPr>
          <w:p w14:paraId="24CB60C7">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sz w:val="24"/>
              </w:rPr>
            </w:pPr>
          </w:p>
        </w:tc>
        <w:tc>
          <w:tcPr>
            <w:tcW w:w="553" w:type="pct"/>
            <w:vMerge w:val="continue"/>
            <w:vAlign w:val="center"/>
          </w:tcPr>
          <w:p w14:paraId="66AE906F">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sz w:val="24"/>
              </w:rPr>
            </w:pPr>
          </w:p>
        </w:tc>
        <w:tc>
          <w:tcPr>
            <w:tcW w:w="657" w:type="pct"/>
            <w:vMerge w:val="continue"/>
            <w:vAlign w:val="center"/>
          </w:tcPr>
          <w:p w14:paraId="2B020E85">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sz w:val="24"/>
              </w:rPr>
            </w:pPr>
          </w:p>
        </w:tc>
        <w:tc>
          <w:tcPr>
            <w:tcW w:w="1491" w:type="pct"/>
            <w:vAlign w:val="center"/>
          </w:tcPr>
          <w:p w14:paraId="589F4B2A">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sz w:val="24"/>
              </w:rPr>
            </w:pPr>
            <w:r>
              <w:rPr>
                <w:rFonts w:eastAsia="仿宋_GB2312"/>
                <w:sz w:val="24"/>
              </w:rPr>
              <w:t>室外站5G</w:t>
            </w:r>
            <w:r>
              <w:rPr>
                <w:rFonts w:hint="eastAsia" w:eastAsia="仿宋_GB2312"/>
                <w:sz w:val="24"/>
              </w:rPr>
              <w:t>：xxxx个</w:t>
            </w:r>
          </w:p>
        </w:tc>
        <w:tc>
          <w:tcPr>
            <w:tcW w:w="713" w:type="pct"/>
            <w:vAlign w:val="center"/>
          </w:tcPr>
          <w:p w14:paraId="012DC1A5">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sz w:val="24"/>
              </w:rPr>
            </w:pPr>
            <w:r>
              <w:rPr>
                <w:rFonts w:eastAsia="仿宋_GB2312"/>
                <w:sz w:val="24"/>
              </w:rPr>
              <w:t>否</w:t>
            </w:r>
          </w:p>
        </w:tc>
        <w:tc>
          <w:tcPr>
            <w:tcW w:w="721" w:type="pct"/>
            <w:tcBorders>
              <w:top w:val="single" w:color="auto" w:sz="4" w:space="0"/>
              <w:left w:val="nil"/>
              <w:bottom w:val="single" w:color="auto" w:sz="4" w:space="0"/>
              <w:right w:val="nil"/>
            </w:tcBorders>
            <w:vAlign w:val="center"/>
          </w:tcPr>
          <w:p w14:paraId="7A32D2F5">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等线"/>
                <w:color w:val="000000"/>
              </w:rPr>
            </w:pPr>
            <w:r>
              <w:rPr>
                <w:rFonts w:ascii="Times New Roman" w:hAnsi="Times New Roman" w:eastAsia="等线"/>
                <w:color w:val="000000"/>
              </w:rPr>
              <w:t>367.84</w:t>
            </w:r>
          </w:p>
        </w:tc>
        <w:tc>
          <w:tcPr>
            <w:tcW w:w="577" w:type="pct"/>
            <w:vAlign w:val="center"/>
          </w:tcPr>
          <w:p w14:paraId="3C5A8FF5">
            <w:pPr>
              <w:keepNext w:val="0"/>
              <w:keepLines w:val="0"/>
              <w:pageBreakBefore w:val="0"/>
              <w:widowControl/>
              <w:tabs>
                <w:tab w:val="left" w:pos="1701"/>
              </w:tabs>
              <w:kinsoku/>
              <w:wordWrap/>
              <w:overflowPunct/>
              <w:topLinePunct w:val="0"/>
              <w:autoSpaceDE/>
              <w:autoSpaceDN/>
              <w:bidi w:val="0"/>
              <w:adjustRightInd/>
              <w:snapToGrid/>
              <w:spacing w:after="0"/>
              <w:jc w:val="center"/>
              <w:textAlignment w:val="auto"/>
              <w:rPr>
                <w:rFonts w:eastAsia="仿宋_GB2312"/>
                <w:sz w:val="24"/>
              </w:rPr>
            </w:pPr>
            <w:r>
              <w:rPr>
                <w:rFonts w:eastAsia="仿宋_GB2312"/>
                <w:color w:val="000000"/>
                <w:sz w:val="24"/>
              </w:rPr>
              <w:t>/</w:t>
            </w:r>
          </w:p>
        </w:tc>
      </w:tr>
      <w:tr w14:paraId="4BFDD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85" w:type="pct"/>
            <w:vMerge w:val="continue"/>
            <w:vAlign w:val="center"/>
          </w:tcPr>
          <w:p w14:paraId="052B02F6">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sz w:val="24"/>
              </w:rPr>
            </w:pPr>
          </w:p>
        </w:tc>
        <w:tc>
          <w:tcPr>
            <w:tcW w:w="553" w:type="pct"/>
            <w:vMerge w:val="continue"/>
            <w:vAlign w:val="center"/>
          </w:tcPr>
          <w:p w14:paraId="6515463C">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sz w:val="24"/>
              </w:rPr>
            </w:pPr>
          </w:p>
        </w:tc>
        <w:tc>
          <w:tcPr>
            <w:tcW w:w="657" w:type="pct"/>
            <w:vMerge w:val="continue"/>
            <w:vAlign w:val="center"/>
          </w:tcPr>
          <w:p w14:paraId="088A21A2">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sz w:val="24"/>
              </w:rPr>
            </w:pPr>
          </w:p>
        </w:tc>
        <w:tc>
          <w:tcPr>
            <w:tcW w:w="1491" w:type="pct"/>
            <w:vAlign w:val="center"/>
          </w:tcPr>
          <w:p w14:paraId="79032DD6">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sz w:val="24"/>
              </w:rPr>
            </w:pPr>
            <w:r>
              <w:rPr>
                <w:rFonts w:eastAsia="仿宋_GB2312"/>
                <w:sz w:val="24"/>
              </w:rPr>
              <w:t>室内站5G</w:t>
            </w:r>
            <w:r>
              <w:rPr>
                <w:rFonts w:hint="eastAsia" w:eastAsia="仿宋_GB2312"/>
                <w:sz w:val="24"/>
              </w:rPr>
              <w:t>：xxxx个</w:t>
            </w:r>
          </w:p>
        </w:tc>
        <w:tc>
          <w:tcPr>
            <w:tcW w:w="713" w:type="pct"/>
            <w:vAlign w:val="center"/>
          </w:tcPr>
          <w:p w14:paraId="422828A5">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sz w:val="24"/>
              </w:rPr>
            </w:pPr>
            <w:r>
              <w:rPr>
                <w:rFonts w:eastAsia="仿宋_GB2312"/>
                <w:sz w:val="24"/>
              </w:rPr>
              <w:t>否</w:t>
            </w:r>
          </w:p>
        </w:tc>
        <w:tc>
          <w:tcPr>
            <w:tcW w:w="721" w:type="pct"/>
            <w:tcBorders>
              <w:top w:val="single" w:color="auto" w:sz="4" w:space="0"/>
              <w:left w:val="nil"/>
              <w:bottom w:val="single" w:color="auto" w:sz="4" w:space="0"/>
              <w:right w:val="nil"/>
            </w:tcBorders>
            <w:vAlign w:val="center"/>
          </w:tcPr>
          <w:p w14:paraId="7805EF93">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等线"/>
                <w:color w:val="000000"/>
              </w:rPr>
            </w:pPr>
            <w:r>
              <w:rPr>
                <w:rFonts w:ascii="Times New Roman" w:hAnsi="Times New Roman" w:eastAsia="等线"/>
                <w:color w:val="000000"/>
              </w:rPr>
              <w:t>0.00</w:t>
            </w:r>
          </w:p>
        </w:tc>
        <w:tc>
          <w:tcPr>
            <w:tcW w:w="577" w:type="pct"/>
            <w:vAlign w:val="center"/>
          </w:tcPr>
          <w:p w14:paraId="2780543D">
            <w:pPr>
              <w:keepNext w:val="0"/>
              <w:keepLines w:val="0"/>
              <w:pageBreakBefore w:val="0"/>
              <w:widowControl/>
              <w:tabs>
                <w:tab w:val="left" w:pos="1701"/>
              </w:tabs>
              <w:kinsoku/>
              <w:wordWrap/>
              <w:overflowPunct/>
              <w:topLinePunct w:val="0"/>
              <w:autoSpaceDE/>
              <w:autoSpaceDN/>
              <w:bidi w:val="0"/>
              <w:adjustRightInd/>
              <w:snapToGrid/>
              <w:spacing w:after="0"/>
              <w:jc w:val="center"/>
              <w:textAlignment w:val="auto"/>
              <w:rPr>
                <w:rFonts w:eastAsia="仿宋_GB2312"/>
                <w:sz w:val="24"/>
              </w:rPr>
            </w:pPr>
            <w:r>
              <w:rPr>
                <w:rFonts w:eastAsia="仿宋_GB2312"/>
                <w:color w:val="000000"/>
                <w:sz w:val="24"/>
              </w:rPr>
              <w:t>/</w:t>
            </w:r>
          </w:p>
        </w:tc>
      </w:tr>
      <w:tr w14:paraId="2B025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85" w:type="pct"/>
            <w:vMerge w:val="restart"/>
            <w:vAlign w:val="center"/>
          </w:tcPr>
          <w:p w14:paraId="7100FAAB">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sz w:val="24"/>
              </w:rPr>
            </w:pPr>
            <w:r>
              <w:rPr>
                <w:rFonts w:eastAsia="仿宋_GB2312"/>
                <w:sz w:val="24"/>
              </w:rPr>
              <w:t>3</w:t>
            </w:r>
          </w:p>
        </w:tc>
        <w:tc>
          <w:tcPr>
            <w:tcW w:w="553" w:type="pct"/>
            <w:vMerge w:val="restart"/>
            <w:vAlign w:val="center"/>
          </w:tcPr>
          <w:p w14:paraId="68279EEB">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sz w:val="24"/>
              </w:rPr>
            </w:pPr>
            <w:r>
              <w:rPr>
                <w:rFonts w:hint="eastAsia" w:eastAsia="仿宋_GB2312"/>
                <w:sz w:val="24"/>
              </w:rPr>
              <w:t>20</w:t>
            </w:r>
            <w:r>
              <w:rPr>
                <w:rFonts w:eastAsia="仿宋_GB2312"/>
                <w:sz w:val="24"/>
              </w:rPr>
              <w:t>20</w:t>
            </w:r>
          </w:p>
        </w:tc>
        <w:tc>
          <w:tcPr>
            <w:tcW w:w="657" w:type="pct"/>
            <w:vMerge w:val="restart"/>
            <w:vAlign w:val="center"/>
          </w:tcPr>
          <w:p w14:paraId="39ABA05F">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sz w:val="24"/>
              </w:rPr>
            </w:pPr>
            <w:r>
              <w:rPr>
                <w:rFonts w:eastAsia="仿宋_GB2312"/>
                <w:sz w:val="24"/>
              </w:rPr>
              <w:t>固定及移动网络通信设施</w:t>
            </w:r>
          </w:p>
        </w:tc>
        <w:tc>
          <w:tcPr>
            <w:tcW w:w="1491" w:type="pct"/>
            <w:vAlign w:val="center"/>
          </w:tcPr>
          <w:p w14:paraId="5166DD1A">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sz w:val="24"/>
              </w:rPr>
            </w:pPr>
            <w:r>
              <w:rPr>
                <w:rFonts w:eastAsia="仿宋_GB2312"/>
                <w:sz w:val="24"/>
              </w:rPr>
              <w:t>固定网主要传输设备（包括ATM、DDN、DPN、FR、IPRNA、MSTP、OTN、PTN、SDH）</w:t>
            </w:r>
            <w:r>
              <w:rPr>
                <w:rFonts w:hint="eastAsia" w:eastAsia="仿宋_GB2312"/>
                <w:sz w:val="24"/>
              </w:rPr>
              <w:t>：xxxx个</w:t>
            </w:r>
          </w:p>
        </w:tc>
        <w:tc>
          <w:tcPr>
            <w:tcW w:w="713" w:type="pct"/>
            <w:vAlign w:val="center"/>
          </w:tcPr>
          <w:p w14:paraId="3C7250C2">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sz w:val="24"/>
              </w:rPr>
            </w:pPr>
            <w:r>
              <w:rPr>
                <w:rFonts w:eastAsia="仿宋_GB2312"/>
                <w:sz w:val="24"/>
              </w:rPr>
              <w:t>否</w:t>
            </w:r>
          </w:p>
        </w:tc>
        <w:tc>
          <w:tcPr>
            <w:tcW w:w="721" w:type="pct"/>
            <w:tcBorders>
              <w:top w:val="single" w:color="auto" w:sz="4" w:space="0"/>
              <w:left w:val="nil"/>
              <w:bottom w:val="single" w:color="auto" w:sz="4" w:space="0"/>
              <w:right w:val="nil"/>
            </w:tcBorders>
            <w:vAlign w:val="center"/>
          </w:tcPr>
          <w:p w14:paraId="2E825261">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等线"/>
                <w:color w:val="000000"/>
              </w:rPr>
            </w:pPr>
            <w:r>
              <w:rPr>
                <w:rFonts w:ascii="Times New Roman" w:hAnsi="Times New Roman" w:eastAsia="等线"/>
                <w:color w:val="000000"/>
              </w:rPr>
              <w:t>22569.37</w:t>
            </w:r>
          </w:p>
        </w:tc>
        <w:tc>
          <w:tcPr>
            <w:tcW w:w="577" w:type="pct"/>
            <w:vAlign w:val="center"/>
          </w:tcPr>
          <w:p w14:paraId="45615724">
            <w:pPr>
              <w:keepNext w:val="0"/>
              <w:keepLines w:val="0"/>
              <w:pageBreakBefore w:val="0"/>
              <w:widowControl/>
              <w:tabs>
                <w:tab w:val="left" w:pos="1701"/>
              </w:tabs>
              <w:kinsoku/>
              <w:wordWrap/>
              <w:overflowPunct/>
              <w:topLinePunct w:val="0"/>
              <w:autoSpaceDE/>
              <w:autoSpaceDN/>
              <w:bidi w:val="0"/>
              <w:adjustRightInd/>
              <w:snapToGrid/>
              <w:spacing w:after="0"/>
              <w:jc w:val="center"/>
              <w:textAlignment w:val="auto"/>
              <w:rPr>
                <w:rFonts w:eastAsia="仿宋_GB2312"/>
                <w:sz w:val="24"/>
              </w:rPr>
            </w:pPr>
            <w:r>
              <w:rPr>
                <w:rFonts w:eastAsia="仿宋_GB2312"/>
                <w:color w:val="000000"/>
                <w:sz w:val="24"/>
              </w:rPr>
              <w:t>/</w:t>
            </w:r>
          </w:p>
        </w:tc>
      </w:tr>
      <w:tr w14:paraId="5C4C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285" w:type="pct"/>
            <w:vMerge w:val="continue"/>
            <w:vAlign w:val="center"/>
          </w:tcPr>
          <w:p w14:paraId="115384D3">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sz w:val="24"/>
              </w:rPr>
            </w:pPr>
          </w:p>
        </w:tc>
        <w:tc>
          <w:tcPr>
            <w:tcW w:w="553" w:type="pct"/>
            <w:vMerge w:val="continue"/>
            <w:vAlign w:val="center"/>
          </w:tcPr>
          <w:p w14:paraId="59B69C06">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sz w:val="24"/>
              </w:rPr>
            </w:pPr>
          </w:p>
        </w:tc>
        <w:tc>
          <w:tcPr>
            <w:tcW w:w="657" w:type="pct"/>
            <w:vMerge w:val="continue"/>
            <w:vAlign w:val="center"/>
          </w:tcPr>
          <w:p w14:paraId="28505E49">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sz w:val="24"/>
              </w:rPr>
            </w:pPr>
          </w:p>
        </w:tc>
        <w:tc>
          <w:tcPr>
            <w:tcW w:w="1491" w:type="pct"/>
            <w:vAlign w:val="center"/>
          </w:tcPr>
          <w:p w14:paraId="4C24E460">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sz w:val="24"/>
              </w:rPr>
            </w:pPr>
            <w:r>
              <w:rPr>
                <w:rFonts w:eastAsia="仿宋_GB2312"/>
                <w:sz w:val="24"/>
              </w:rPr>
              <w:t>固定网主要宽带设备（包括OLT、汇聚交换机、服务器、BRAS）</w:t>
            </w:r>
            <w:r>
              <w:rPr>
                <w:rFonts w:hint="eastAsia" w:eastAsia="仿宋_GB2312"/>
                <w:sz w:val="24"/>
              </w:rPr>
              <w:t>：xxxx个</w:t>
            </w:r>
          </w:p>
        </w:tc>
        <w:tc>
          <w:tcPr>
            <w:tcW w:w="713" w:type="pct"/>
            <w:vAlign w:val="center"/>
          </w:tcPr>
          <w:p w14:paraId="28824DEE">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sz w:val="24"/>
              </w:rPr>
            </w:pPr>
            <w:r>
              <w:rPr>
                <w:rFonts w:eastAsia="仿宋_GB2312"/>
                <w:sz w:val="24"/>
              </w:rPr>
              <w:t>否</w:t>
            </w:r>
          </w:p>
        </w:tc>
        <w:tc>
          <w:tcPr>
            <w:tcW w:w="721" w:type="pct"/>
            <w:tcBorders>
              <w:top w:val="single" w:color="auto" w:sz="4" w:space="0"/>
              <w:left w:val="nil"/>
              <w:bottom w:val="single" w:color="auto" w:sz="4" w:space="0"/>
              <w:right w:val="nil"/>
            </w:tcBorders>
            <w:vAlign w:val="center"/>
          </w:tcPr>
          <w:p w14:paraId="3C42090E">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等线"/>
                <w:color w:val="000000"/>
              </w:rPr>
            </w:pPr>
            <w:r>
              <w:rPr>
                <w:rFonts w:ascii="Times New Roman" w:hAnsi="Times New Roman" w:eastAsia="等线"/>
                <w:color w:val="000000"/>
              </w:rPr>
              <w:t>14792.26</w:t>
            </w:r>
          </w:p>
        </w:tc>
        <w:tc>
          <w:tcPr>
            <w:tcW w:w="577" w:type="pct"/>
            <w:vAlign w:val="center"/>
          </w:tcPr>
          <w:p w14:paraId="359BF6E3">
            <w:pPr>
              <w:keepNext w:val="0"/>
              <w:keepLines w:val="0"/>
              <w:pageBreakBefore w:val="0"/>
              <w:widowControl/>
              <w:tabs>
                <w:tab w:val="left" w:pos="1701"/>
              </w:tabs>
              <w:kinsoku/>
              <w:wordWrap/>
              <w:overflowPunct/>
              <w:topLinePunct w:val="0"/>
              <w:autoSpaceDE/>
              <w:autoSpaceDN/>
              <w:bidi w:val="0"/>
              <w:adjustRightInd/>
              <w:snapToGrid/>
              <w:spacing w:after="0"/>
              <w:jc w:val="center"/>
              <w:textAlignment w:val="auto"/>
              <w:rPr>
                <w:rFonts w:eastAsia="仿宋_GB2312"/>
                <w:sz w:val="24"/>
              </w:rPr>
            </w:pPr>
            <w:r>
              <w:rPr>
                <w:rFonts w:eastAsia="仿宋_GB2312"/>
                <w:color w:val="000000"/>
                <w:sz w:val="24"/>
              </w:rPr>
              <w:t>/</w:t>
            </w:r>
          </w:p>
        </w:tc>
      </w:tr>
      <w:tr w14:paraId="1FC8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85" w:type="pct"/>
            <w:vMerge w:val="continue"/>
            <w:vAlign w:val="center"/>
          </w:tcPr>
          <w:p w14:paraId="37DD4B42">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sz w:val="24"/>
              </w:rPr>
            </w:pPr>
          </w:p>
        </w:tc>
        <w:tc>
          <w:tcPr>
            <w:tcW w:w="553" w:type="pct"/>
            <w:vMerge w:val="continue"/>
            <w:vAlign w:val="center"/>
          </w:tcPr>
          <w:p w14:paraId="52E4DB2D">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sz w:val="24"/>
              </w:rPr>
            </w:pPr>
          </w:p>
        </w:tc>
        <w:tc>
          <w:tcPr>
            <w:tcW w:w="657" w:type="pct"/>
            <w:vMerge w:val="continue"/>
            <w:vAlign w:val="center"/>
          </w:tcPr>
          <w:p w14:paraId="3E50CA2A">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sz w:val="24"/>
              </w:rPr>
            </w:pPr>
          </w:p>
        </w:tc>
        <w:tc>
          <w:tcPr>
            <w:tcW w:w="1491" w:type="pct"/>
            <w:vAlign w:val="center"/>
          </w:tcPr>
          <w:p w14:paraId="73E4A099">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sz w:val="24"/>
              </w:rPr>
            </w:pPr>
            <w:r>
              <w:rPr>
                <w:rFonts w:eastAsia="仿宋_GB2312"/>
                <w:sz w:val="24"/>
              </w:rPr>
              <w:t>固定网主要信息化设备（包括PC服务器、SAN网交换机、带库、安全设备、磁盘阵列、光纤交换机、交换机、路由器、小型机）</w:t>
            </w:r>
            <w:r>
              <w:rPr>
                <w:rFonts w:hint="eastAsia" w:eastAsia="仿宋_GB2312"/>
                <w:sz w:val="24"/>
              </w:rPr>
              <w:t>：xxxx个</w:t>
            </w:r>
          </w:p>
        </w:tc>
        <w:tc>
          <w:tcPr>
            <w:tcW w:w="713" w:type="pct"/>
            <w:vAlign w:val="center"/>
          </w:tcPr>
          <w:p w14:paraId="45AE8324">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sz w:val="24"/>
              </w:rPr>
            </w:pPr>
            <w:r>
              <w:rPr>
                <w:rFonts w:eastAsia="仿宋_GB2312"/>
                <w:sz w:val="24"/>
              </w:rPr>
              <w:t>否</w:t>
            </w:r>
          </w:p>
        </w:tc>
        <w:tc>
          <w:tcPr>
            <w:tcW w:w="721" w:type="pct"/>
            <w:tcBorders>
              <w:top w:val="single" w:color="auto" w:sz="4" w:space="0"/>
              <w:left w:val="nil"/>
              <w:bottom w:val="single" w:color="auto" w:sz="4" w:space="0"/>
              <w:right w:val="nil"/>
            </w:tcBorders>
            <w:vAlign w:val="center"/>
          </w:tcPr>
          <w:p w14:paraId="5D54B049">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等线"/>
                <w:color w:val="000000"/>
              </w:rPr>
            </w:pPr>
            <w:r>
              <w:rPr>
                <w:rFonts w:ascii="Times New Roman" w:hAnsi="Times New Roman" w:eastAsia="等线"/>
                <w:color w:val="000000"/>
              </w:rPr>
              <w:t>78708.15</w:t>
            </w:r>
          </w:p>
        </w:tc>
        <w:tc>
          <w:tcPr>
            <w:tcW w:w="577" w:type="pct"/>
            <w:vAlign w:val="center"/>
          </w:tcPr>
          <w:p w14:paraId="5D4A7544">
            <w:pPr>
              <w:keepNext w:val="0"/>
              <w:keepLines w:val="0"/>
              <w:pageBreakBefore w:val="0"/>
              <w:widowControl/>
              <w:tabs>
                <w:tab w:val="left" w:pos="1701"/>
              </w:tabs>
              <w:kinsoku/>
              <w:wordWrap/>
              <w:overflowPunct/>
              <w:topLinePunct w:val="0"/>
              <w:autoSpaceDE/>
              <w:autoSpaceDN/>
              <w:bidi w:val="0"/>
              <w:adjustRightInd/>
              <w:snapToGrid/>
              <w:spacing w:after="0"/>
              <w:jc w:val="center"/>
              <w:textAlignment w:val="auto"/>
              <w:rPr>
                <w:rFonts w:eastAsia="仿宋_GB2312"/>
                <w:color w:val="000000"/>
                <w:sz w:val="24"/>
              </w:rPr>
            </w:pPr>
            <w:r>
              <w:rPr>
                <w:rFonts w:eastAsia="仿宋_GB2312"/>
                <w:color w:val="000000"/>
                <w:sz w:val="24"/>
              </w:rPr>
              <w:t>/</w:t>
            </w:r>
          </w:p>
        </w:tc>
      </w:tr>
      <w:tr w14:paraId="4BB4B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85" w:type="pct"/>
            <w:vMerge w:val="continue"/>
            <w:vAlign w:val="center"/>
          </w:tcPr>
          <w:p w14:paraId="2D0A9DE9">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sz w:val="24"/>
              </w:rPr>
            </w:pPr>
          </w:p>
        </w:tc>
        <w:tc>
          <w:tcPr>
            <w:tcW w:w="553" w:type="pct"/>
            <w:vMerge w:val="continue"/>
            <w:vAlign w:val="center"/>
          </w:tcPr>
          <w:p w14:paraId="3D62BC2D">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sz w:val="24"/>
              </w:rPr>
            </w:pPr>
          </w:p>
        </w:tc>
        <w:tc>
          <w:tcPr>
            <w:tcW w:w="657" w:type="pct"/>
            <w:vMerge w:val="continue"/>
            <w:vAlign w:val="center"/>
          </w:tcPr>
          <w:p w14:paraId="5F0F9E77">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sz w:val="24"/>
              </w:rPr>
            </w:pPr>
          </w:p>
        </w:tc>
        <w:tc>
          <w:tcPr>
            <w:tcW w:w="1491" w:type="pct"/>
            <w:vAlign w:val="center"/>
          </w:tcPr>
          <w:p w14:paraId="5C6E8202">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sz w:val="24"/>
              </w:rPr>
            </w:pPr>
            <w:r>
              <w:rPr>
                <w:rFonts w:eastAsia="仿宋_GB2312"/>
                <w:sz w:val="24"/>
              </w:rPr>
              <w:t>固定网主要互联网设备</w:t>
            </w:r>
            <w:r>
              <w:rPr>
                <w:rFonts w:hint="eastAsia" w:eastAsia="仿宋_GB2312"/>
                <w:sz w:val="24"/>
              </w:rPr>
              <w:t>：xxxx个</w:t>
            </w:r>
          </w:p>
        </w:tc>
        <w:tc>
          <w:tcPr>
            <w:tcW w:w="713" w:type="pct"/>
            <w:vAlign w:val="center"/>
          </w:tcPr>
          <w:p w14:paraId="5C8E0A95">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sz w:val="24"/>
              </w:rPr>
            </w:pPr>
            <w:r>
              <w:rPr>
                <w:rFonts w:eastAsia="仿宋_GB2312"/>
                <w:sz w:val="24"/>
              </w:rPr>
              <w:t>否</w:t>
            </w:r>
          </w:p>
        </w:tc>
        <w:tc>
          <w:tcPr>
            <w:tcW w:w="721" w:type="pct"/>
            <w:tcBorders>
              <w:top w:val="single" w:color="auto" w:sz="4" w:space="0"/>
              <w:left w:val="nil"/>
              <w:bottom w:val="single" w:color="auto" w:sz="4" w:space="0"/>
              <w:right w:val="nil"/>
            </w:tcBorders>
            <w:vAlign w:val="center"/>
          </w:tcPr>
          <w:p w14:paraId="65E51A18">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等线"/>
                <w:color w:val="000000"/>
              </w:rPr>
            </w:pPr>
            <w:r>
              <w:rPr>
                <w:rFonts w:ascii="Times New Roman" w:hAnsi="Times New Roman" w:eastAsia="等线"/>
                <w:color w:val="000000"/>
              </w:rPr>
              <w:t>8048.60</w:t>
            </w:r>
          </w:p>
        </w:tc>
        <w:tc>
          <w:tcPr>
            <w:tcW w:w="577" w:type="pct"/>
            <w:vAlign w:val="center"/>
          </w:tcPr>
          <w:p w14:paraId="0AAF1B0A">
            <w:pPr>
              <w:keepNext w:val="0"/>
              <w:keepLines w:val="0"/>
              <w:pageBreakBefore w:val="0"/>
              <w:widowControl/>
              <w:tabs>
                <w:tab w:val="left" w:pos="1701"/>
              </w:tabs>
              <w:kinsoku/>
              <w:wordWrap/>
              <w:overflowPunct/>
              <w:topLinePunct w:val="0"/>
              <w:autoSpaceDE/>
              <w:autoSpaceDN/>
              <w:bidi w:val="0"/>
              <w:adjustRightInd/>
              <w:snapToGrid/>
              <w:spacing w:after="0"/>
              <w:jc w:val="center"/>
              <w:textAlignment w:val="auto"/>
              <w:rPr>
                <w:rFonts w:eastAsia="仿宋_GB2312"/>
                <w:color w:val="000000"/>
                <w:sz w:val="24"/>
              </w:rPr>
            </w:pPr>
            <w:r>
              <w:rPr>
                <w:rFonts w:eastAsia="仿宋_GB2312"/>
                <w:color w:val="000000"/>
                <w:sz w:val="24"/>
              </w:rPr>
              <w:t>/</w:t>
            </w:r>
          </w:p>
        </w:tc>
      </w:tr>
      <w:tr w14:paraId="6DEA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85" w:type="pct"/>
            <w:vAlign w:val="center"/>
          </w:tcPr>
          <w:p w14:paraId="0786D358">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sz w:val="24"/>
              </w:rPr>
            </w:pPr>
            <w:r>
              <w:rPr>
                <w:rFonts w:eastAsia="仿宋_GB2312"/>
                <w:sz w:val="24"/>
              </w:rPr>
              <w:t>合计</w:t>
            </w:r>
          </w:p>
        </w:tc>
        <w:tc>
          <w:tcPr>
            <w:tcW w:w="553" w:type="pct"/>
            <w:vAlign w:val="center"/>
          </w:tcPr>
          <w:p w14:paraId="4B99BCCE">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sz w:val="24"/>
              </w:rPr>
            </w:pPr>
          </w:p>
        </w:tc>
        <w:tc>
          <w:tcPr>
            <w:tcW w:w="657" w:type="pct"/>
            <w:vAlign w:val="center"/>
          </w:tcPr>
          <w:p w14:paraId="052D06AD">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sz w:val="24"/>
              </w:rPr>
            </w:pPr>
          </w:p>
        </w:tc>
        <w:tc>
          <w:tcPr>
            <w:tcW w:w="1491" w:type="pct"/>
            <w:vAlign w:val="center"/>
          </w:tcPr>
          <w:p w14:paraId="5A9E71E7">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sz w:val="24"/>
              </w:rPr>
            </w:pPr>
          </w:p>
        </w:tc>
        <w:tc>
          <w:tcPr>
            <w:tcW w:w="713" w:type="pct"/>
            <w:vAlign w:val="center"/>
          </w:tcPr>
          <w:p w14:paraId="5AD46C04">
            <w:pPr>
              <w:keepNext w:val="0"/>
              <w:keepLines w:val="0"/>
              <w:pageBreakBefore w:val="0"/>
              <w:widowControl/>
              <w:tabs>
                <w:tab w:val="left" w:pos="1701"/>
              </w:tabs>
              <w:kinsoku/>
              <w:wordWrap/>
              <w:overflowPunct/>
              <w:topLinePunct w:val="0"/>
              <w:autoSpaceDE/>
              <w:autoSpaceDN/>
              <w:bidi w:val="0"/>
              <w:adjustRightInd/>
              <w:snapToGrid/>
              <w:spacing w:after="0"/>
              <w:textAlignment w:val="auto"/>
              <w:rPr>
                <w:rFonts w:eastAsia="仿宋_GB2312"/>
                <w:sz w:val="24"/>
              </w:rPr>
            </w:pPr>
          </w:p>
        </w:tc>
        <w:tc>
          <w:tcPr>
            <w:tcW w:w="721" w:type="pct"/>
            <w:tcBorders>
              <w:top w:val="single" w:color="auto" w:sz="4" w:space="0"/>
              <w:left w:val="nil"/>
              <w:bottom w:val="single" w:color="auto" w:sz="4" w:space="0"/>
              <w:right w:val="nil"/>
            </w:tcBorders>
            <w:vAlign w:val="center"/>
          </w:tcPr>
          <w:p w14:paraId="612A2782">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eastAsia="等线"/>
                <w:color w:val="000000"/>
              </w:rPr>
            </w:pPr>
            <w:r>
              <w:rPr>
                <w:rFonts w:ascii="Times New Roman" w:hAnsi="Times New Roman" w:eastAsia="等线"/>
                <w:color w:val="000000"/>
              </w:rPr>
              <w:t>558804.19</w:t>
            </w:r>
          </w:p>
        </w:tc>
        <w:tc>
          <w:tcPr>
            <w:tcW w:w="577" w:type="pct"/>
            <w:vAlign w:val="center"/>
          </w:tcPr>
          <w:p w14:paraId="4D087337">
            <w:pPr>
              <w:keepNext w:val="0"/>
              <w:keepLines w:val="0"/>
              <w:pageBreakBefore w:val="0"/>
              <w:widowControl/>
              <w:tabs>
                <w:tab w:val="left" w:pos="1701"/>
              </w:tabs>
              <w:kinsoku/>
              <w:wordWrap/>
              <w:overflowPunct/>
              <w:topLinePunct w:val="0"/>
              <w:autoSpaceDE/>
              <w:autoSpaceDN/>
              <w:bidi w:val="0"/>
              <w:adjustRightInd/>
              <w:snapToGrid/>
              <w:spacing w:after="0"/>
              <w:jc w:val="center"/>
              <w:textAlignment w:val="auto"/>
              <w:rPr>
                <w:rFonts w:eastAsia="仿宋_GB2312"/>
                <w:color w:val="000000"/>
                <w:sz w:val="24"/>
              </w:rPr>
            </w:pPr>
          </w:p>
        </w:tc>
      </w:tr>
      <w:tr w14:paraId="71FB2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5000" w:type="pct"/>
            <w:gridSpan w:val="7"/>
            <w:vAlign w:val="center"/>
          </w:tcPr>
          <w:p w14:paraId="1A45F231">
            <w:pPr>
              <w:keepNext w:val="0"/>
              <w:keepLines w:val="0"/>
              <w:pageBreakBefore w:val="0"/>
              <w:widowControl/>
              <w:kinsoku/>
              <w:wordWrap/>
              <w:overflowPunct/>
              <w:topLinePunct w:val="0"/>
              <w:autoSpaceDE/>
              <w:autoSpaceDN/>
              <w:bidi w:val="0"/>
              <w:adjustRightInd/>
              <w:snapToGrid/>
              <w:spacing w:after="0"/>
              <w:textAlignment w:val="auto"/>
              <w:rPr>
                <w:rFonts w:eastAsia="仿宋_GB2312"/>
                <w:color w:val="000000"/>
                <w:sz w:val="24"/>
              </w:rPr>
            </w:pPr>
            <w:r>
              <w:rPr>
                <w:rFonts w:eastAsia="仿宋_GB2312"/>
                <w:color w:val="000000"/>
                <w:sz w:val="24"/>
              </w:rPr>
              <w:t>备注：</w:t>
            </w:r>
          </w:p>
          <w:p w14:paraId="33355F59">
            <w:pPr>
              <w:keepNext w:val="0"/>
              <w:keepLines w:val="0"/>
              <w:pageBreakBefore w:val="0"/>
              <w:widowControl/>
              <w:kinsoku/>
              <w:wordWrap/>
              <w:overflowPunct/>
              <w:topLinePunct w:val="0"/>
              <w:autoSpaceDE/>
              <w:autoSpaceDN/>
              <w:bidi w:val="0"/>
              <w:adjustRightInd/>
              <w:snapToGrid/>
              <w:spacing w:after="0"/>
              <w:ind w:left="-110" w:leftChars="-50" w:right="-110" w:rightChars="-50"/>
              <w:textAlignment w:val="auto"/>
              <w:rPr>
                <w:rFonts w:eastAsia="仿宋_GB2312"/>
                <w:sz w:val="24"/>
              </w:rPr>
            </w:pPr>
            <w:r>
              <w:rPr>
                <w:rFonts w:hint="eastAsia" w:eastAsia="仿宋_GB2312"/>
                <w:color w:val="000000"/>
                <w:sz w:val="24"/>
              </w:rPr>
              <w:t>1）</w:t>
            </w:r>
            <w:r>
              <w:rPr>
                <w:rFonts w:eastAsia="仿宋_GB2312"/>
                <w:sz w:val="24"/>
              </w:rPr>
              <w:t>室外站(2G/3G/4G)每月用电量为</w:t>
            </w:r>
            <w:r>
              <w:rPr>
                <w:rFonts w:hint="eastAsia" w:eastAsia="仿宋_GB2312"/>
                <w:sz w:val="24"/>
              </w:rPr>
              <w:t>xxx</w:t>
            </w:r>
            <w:r>
              <w:rPr>
                <w:rFonts w:eastAsia="仿宋_GB2312"/>
                <w:sz w:val="24"/>
              </w:rPr>
              <w:t>度，室内站(2G/3G/4G)每月用电量为</w:t>
            </w:r>
            <w:r>
              <w:rPr>
                <w:rFonts w:hint="eastAsia" w:eastAsia="仿宋_GB2312"/>
                <w:sz w:val="24"/>
              </w:rPr>
              <w:t>xxx</w:t>
            </w:r>
            <w:r>
              <w:rPr>
                <w:rFonts w:eastAsia="仿宋_GB2312"/>
                <w:sz w:val="24"/>
              </w:rPr>
              <w:t>度，室外站5G每月用电量为</w:t>
            </w:r>
            <w:r>
              <w:rPr>
                <w:rFonts w:hint="eastAsia" w:eastAsia="仿宋_GB2312"/>
                <w:sz w:val="24"/>
              </w:rPr>
              <w:t>xxxx</w:t>
            </w:r>
            <w:r>
              <w:rPr>
                <w:rFonts w:eastAsia="仿宋_GB2312"/>
                <w:sz w:val="24"/>
              </w:rPr>
              <w:t>度，室内站5G尚未通入使用，无法实测用电量。</w:t>
            </w:r>
          </w:p>
          <w:p w14:paraId="68CB457D">
            <w:pPr>
              <w:keepNext w:val="0"/>
              <w:keepLines w:val="0"/>
              <w:pageBreakBefore w:val="0"/>
              <w:widowControl/>
              <w:tabs>
                <w:tab w:val="left" w:pos="1701"/>
              </w:tabs>
              <w:kinsoku/>
              <w:wordWrap/>
              <w:overflowPunct/>
              <w:topLinePunct w:val="0"/>
              <w:autoSpaceDE/>
              <w:autoSpaceDN/>
              <w:bidi w:val="0"/>
              <w:adjustRightInd/>
              <w:snapToGrid/>
              <w:spacing w:after="0"/>
              <w:ind w:left="-110" w:leftChars="-50" w:right="-110" w:rightChars="-50"/>
              <w:textAlignment w:val="auto"/>
              <w:rPr>
                <w:rFonts w:eastAsia="仿宋_GB2312"/>
                <w:color w:val="000000"/>
                <w:sz w:val="24"/>
              </w:rPr>
            </w:pPr>
            <w:r>
              <w:rPr>
                <w:rFonts w:hint="eastAsia" w:eastAsia="仿宋_GB2312"/>
                <w:sz w:val="24"/>
              </w:rPr>
              <w:t>2）</w:t>
            </w:r>
            <w:r>
              <w:rPr>
                <w:rFonts w:eastAsia="仿宋_GB2312"/>
                <w:sz w:val="24"/>
              </w:rPr>
              <w:t>随着IDC的新建，新增设施的使用系数将进一步降低，核查组要求排放单位对2020年度的使用系数进行统计并更新，按照北京市数据中心IT设备实际负载率</w:t>
            </w:r>
            <w:r>
              <w:rPr>
                <w:rFonts w:hint="eastAsia" w:eastAsia="仿宋_GB2312"/>
                <w:sz w:val="24"/>
              </w:rPr>
              <w:t>xx</w:t>
            </w:r>
            <w:r>
              <w:rPr>
                <w:rFonts w:eastAsia="仿宋_GB2312"/>
                <w:sz w:val="24"/>
              </w:rPr>
              <w:t>%核定，因此2020年度IDC的使用系数符合排放单位的实际情况。</w:t>
            </w:r>
          </w:p>
        </w:tc>
      </w:tr>
    </w:tbl>
    <w:p w14:paraId="61F6450A">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新增设施排放量为558804.19吨，是基准年份排放量的</w:t>
      </w:r>
      <w:r>
        <w:rPr>
          <w:rFonts w:hint="eastAsia" w:ascii="Times New Roman" w:hAnsi="Times New Roman" w:eastAsia="仿宋_GB2312"/>
          <w:sz w:val="32"/>
          <w:szCs w:val="32"/>
        </w:rPr>
        <w:t>47.57</w:t>
      </w:r>
      <w:r>
        <w:rPr>
          <w:rFonts w:ascii="Times New Roman" w:hAnsi="Times New Roman" w:eastAsia="仿宋_GB2312"/>
          <w:sz w:val="32"/>
          <w:szCs w:val="32"/>
        </w:rPr>
        <w:t>%，新增设施对应的</w:t>
      </w:r>
      <w:r>
        <w:rPr>
          <w:rFonts w:hint="eastAsia" w:eastAsia="仿宋_GB2312"/>
          <w:sz w:val="32"/>
          <w:szCs w:val="32"/>
        </w:rPr>
        <w:t>移动业务总量为xx万元（移动语音业务总量xx万元、移动数据与互联网业务总量xx万元、移动增值及其他业务总量xx万元），</w:t>
      </w:r>
      <w:r>
        <w:rPr>
          <w:rFonts w:ascii="Times New Roman" w:hAnsi="Times New Roman" w:eastAsia="仿宋_GB2312"/>
          <w:sz w:val="32"/>
          <w:szCs w:val="32"/>
        </w:rPr>
        <w:t>新增设施对应的</w:t>
      </w:r>
      <w:r>
        <w:rPr>
          <w:rFonts w:hint="eastAsia" w:eastAsia="仿宋_GB2312"/>
          <w:sz w:val="32"/>
          <w:szCs w:val="32"/>
        </w:rPr>
        <w:t>固网业务总量xx万元。新增设施的数据中心为大型数据中心，数据中心总用电量为xxMWh，IT设备用电量为xxMWh。</w:t>
      </w:r>
      <w:r>
        <w:rPr>
          <w:rFonts w:ascii="Times New Roman" w:hAnsi="Times New Roman" w:eastAsia="仿宋_GB2312"/>
          <w:sz w:val="32"/>
          <w:szCs w:val="32"/>
        </w:rPr>
        <w:t>此信息供新增设施配额发放参考。</w:t>
      </w:r>
    </w:p>
    <w:p w14:paraId="2168D048">
      <w:pPr>
        <w:spacing w:after="0" w:line="560" w:lineRule="exact"/>
        <w:ind w:firstLine="640" w:firstLineChars="200"/>
        <w:rPr>
          <w:rFonts w:eastAsia="仿宋_GB2312"/>
          <w:sz w:val="32"/>
          <w:szCs w:val="32"/>
        </w:rPr>
      </w:pPr>
      <w:r>
        <w:rPr>
          <w:rFonts w:hint="eastAsia" w:eastAsia="仿宋_GB2312"/>
          <w:sz w:val="32"/>
          <w:szCs w:val="32"/>
        </w:rPr>
        <w:t>5</w:t>
      </w:r>
      <w:r>
        <w:rPr>
          <w:rFonts w:eastAsia="仿宋_GB2312"/>
          <w:sz w:val="32"/>
          <w:szCs w:val="32"/>
        </w:rPr>
        <w:t>. 核查过程未覆盖的问题描述</w:t>
      </w:r>
    </w:p>
    <w:p w14:paraId="0A4A997B">
      <w:pPr>
        <w:spacing w:after="0" w:line="560" w:lineRule="exact"/>
        <w:ind w:firstLine="465"/>
        <w:jc w:val="both"/>
        <w:rPr>
          <w:rFonts w:eastAsia="仿宋_GB2312"/>
          <w:sz w:val="32"/>
          <w:szCs w:val="32"/>
        </w:rPr>
      </w:pPr>
      <w:r>
        <w:rPr>
          <w:rFonts w:eastAsia="仿宋_GB2312"/>
          <w:sz w:val="32"/>
          <w:szCs w:val="32"/>
        </w:rPr>
        <w:t>由于天然气表和电表分别为燃气公司及电力公司管控，因此未能核查这些仪表的检定信息。</w:t>
      </w:r>
    </w:p>
    <w:p w14:paraId="68B1B75D">
      <w:pPr>
        <w:spacing w:after="0" w:line="560" w:lineRule="exact"/>
        <w:ind w:firstLine="465"/>
        <w:jc w:val="both"/>
        <w:rPr>
          <w:rFonts w:eastAsia="仿宋"/>
          <w:sz w:val="24"/>
        </w:rPr>
      </w:pPr>
      <w:r>
        <w:rPr>
          <w:rFonts w:eastAsia="仿宋_GB2312"/>
          <w:sz w:val="32"/>
          <w:szCs w:val="32"/>
        </w:rPr>
        <w:t>由于排放单位的新增设施台账属于保密信息，核查组未能获得完整的新增设施台账，通过现场抽查的方式确认排放单位的新增设施来源于财务入账系统和建设部门运维系统，但数量多达上万条，抽查的项目有限，因此核查过程未能完全覆盖新增设施的数量。</w:t>
      </w:r>
    </w:p>
    <w:p w14:paraId="660C5113">
      <w:pPr>
        <w:pStyle w:val="4"/>
        <w:spacing w:before="0" w:after="0" w:line="560" w:lineRule="exact"/>
        <w:sectPr>
          <w:pgSz w:w="11906" w:h="16838"/>
          <w:pgMar w:top="2098" w:right="1474" w:bottom="1984" w:left="1587" w:header="851" w:footer="1587" w:gutter="0"/>
          <w:pgNumType w:fmt="decimal"/>
          <w:cols w:space="0" w:num="1"/>
          <w:rtlGutter w:val="0"/>
          <w:docGrid w:type="lines" w:linePitch="312" w:charSpace="0"/>
        </w:sectPr>
      </w:pPr>
    </w:p>
    <w:p w14:paraId="742DC38A">
      <w:pPr>
        <w:pStyle w:val="4"/>
        <w:spacing w:before="0" w:after="0" w:line="56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其他服务业企业（单位）</w:t>
      </w:r>
      <w:r>
        <w:rPr>
          <w:rFonts w:asciiTheme="majorEastAsia" w:hAnsiTheme="majorEastAsia" w:eastAsiaTheme="majorEastAsia"/>
          <w:sz w:val="32"/>
          <w:szCs w:val="32"/>
        </w:rPr>
        <w:t>-</w:t>
      </w:r>
      <w:r>
        <w:rPr>
          <w:rFonts w:hint="eastAsia" w:asciiTheme="majorEastAsia" w:hAnsiTheme="majorEastAsia" w:eastAsiaTheme="majorEastAsia"/>
          <w:sz w:val="32"/>
          <w:szCs w:val="32"/>
        </w:rPr>
        <w:t>银行</w:t>
      </w:r>
    </w:p>
    <w:p w14:paraId="799DF000">
      <w:pPr>
        <w:spacing w:after="0" w:line="560" w:lineRule="exact"/>
        <w:rPr>
          <w:rFonts w:eastAsia="仿宋_GB2312"/>
          <w:sz w:val="32"/>
          <w:szCs w:val="32"/>
        </w:rPr>
      </w:pPr>
      <w:r>
        <w:rPr>
          <w:rFonts w:eastAsia="仿宋_GB2312"/>
          <w:sz w:val="32"/>
          <w:szCs w:val="32"/>
        </w:rPr>
        <w:t>核查结论</w:t>
      </w:r>
    </w:p>
    <w:p w14:paraId="1FD7094F">
      <w:pPr>
        <w:spacing w:after="0" w:line="560" w:lineRule="exact"/>
        <w:ind w:firstLine="640" w:firstLineChars="200"/>
        <w:jc w:val="both"/>
        <w:rPr>
          <w:rFonts w:eastAsia="仿宋_GB2312"/>
          <w:sz w:val="32"/>
          <w:szCs w:val="32"/>
        </w:rPr>
      </w:pPr>
      <w:r>
        <w:rPr>
          <w:rFonts w:eastAsia="仿宋"/>
          <w:sz w:val="32"/>
          <w:szCs w:val="32"/>
        </w:rPr>
        <w:t>xxxx公司（以下简称排放单位）委托xxx公司开展</w:t>
      </w:r>
      <w:r>
        <w:rPr>
          <w:rFonts w:hint="eastAsia" w:eastAsia="仿宋"/>
          <w:sz w:val="32"/>
          <w:szCs w:val="32"/>
        </w:rPr>
        <w:t>XXXX年</w:t>
      </w:r>
      <w:r>
        <w:rPr>
          <w:rFonts w:eastAsia="仿宋_GB2312"/>
          <w:sz w:val="32"/>
          <w:szCs w:val="32"/>
        </w:rPr>
        <w:t>二氧化碳排放的核查工作。核查范围包括排放单位所有在北京市辖区内固定设施导致的二氧化碳直接排放和二氧化碳间接排放。</w:t>
      </w:r>
    </w:p>
    <w:p w14:paraId="360B2A03">
      <w:pPr>
        <w:spacing w:after="0" w:line="560" w:lineRule="exact"/>
        <w:ind w:firstLine="640" w:firstLineChars="200"/>
        <w:jc w:val="both"/>
        <w:rPr>
          <w:rFonts w:eastAsia="仿宋_GB2312"/>
          <w:sz w:val="32"/>
          <w:szCs w:val="32"/>
        </w:rPr>
      </w:pPr>
      <w:r>
        <w:rPr>
          <w:rFonts w:eastAsia="仿宋_GB2312"/>
          <w:sz w:val="32"/>
          <w:szCs w:val="32"/>
        </w:rPr>
        <w:t>通过文件评审、现场访问、核查报告编写及内部技术复核，核查组对排放单位</w:t>
      </w:r>
      <w:r>
        <w:rPr>
          <w:rFonts w:hint="eastAsia" w:eastAsia="仿宋_GB2312"/>
          <w:sz w:val="32"/>
          <w:szCs w:val="32"/>
        </w:rPr>
        <w:t>XXXX年</w:t>
      </w:r>
      <w:r>
        <w:rPr>
          <w:rFonts w:eastAsia="仿宋_GB2312"/>
          <w:sz w:val="32"/>
          <w:szCs w:val="32"/>
        </w:rPr>
        <w:t>度二氧化碳排放报告形成如下核查结论：</w:t>
      </w:r>
    </w:p>
    <w:p w14:paraId="39B6850B">
      <w:pPr>
        <w:spacing w:after="0" w:line="560" w:lineRule="exact"/>
        <w:ind w:firstLine="640" w:firstLineChars="200"/>
        <w:jc w:val="both"/>
        <w:rPr>
          <w:rFonts w:eastAsia="仿宋_GB2312"/>
          <w:sz w:val="32"/>
          <w:szCs w:val="32"/>
        </w:rPr>
      </w:pPr>
      <w:r>
        <w:rPr>
          <w:rFonts w:eastAsia="仿宋_GB2312"/>
          <w:sz w:val="32"/>
          <w:szCs w:val="32"/>
        </w:rPr>
        <w:t>1. 核算、报告与方法学的符合性</w:t>
      </w:r>
    </w:p>
    <w:p w14:paraId="4FBF38D7">
      <w:pPr>
        <w:spacing w:after="0" w:line="560" w:lineRule="exact"/>
        <w:ind w:firstLine="640" w:firstLineChars="200"/>
        <w:jc w:val="both"/>
        <w:rPr>
          <w:rFonts w:eastAsia="仿宋_GB2312"/>
          <w:sz w:val="32"/>
          <w:szCs w:val="32"/>
        </w:rPr>
      </w:pPr>
      <w:r>
        <w:rPr>
          <w:rFonts w:eastAsia="仿宋_GB2312"/>
          <w:sz w:val="32"/>
          <w:szCs w:val="32"/>
        </w:rPr>
        <w:t>核查组确认排放单位的温室气体排放核算与报告均符合方法学</w:t>
      </w:r>
      <w:r>
        <w:rPr>
          <w:rFonts w:hint="eastAsia" w:eastAsia="仿宋_GB2312"/>
          <w:sz w:val="32"/>
          <w:szCs w:val="32"/>
        </w:rPr>
        <w:t>《二氧化碳排放核算和报告要求服务业》（DB11/T 1785-2020）</w:t>
      </w:r>
      <w:r>
        <w:rPr>
          <w:rFonts w:eastAsia="仿宋_GB2312"/>
          <w:sz w:val="32"/>
          <w:szCs w:val="32"/>
        </w:rPr>
        <w:t>的要求，核查组对本排放报告出具肯定的核查结论。</w:t>
      </w:r>
    </w:p>
    <w:p w14:paraId="3F9C8AE2">
      <w:pPr>
        <w:spacing w:after="0" w:line="560" w:lineRule="exact"/>
        <w:ind w:firstLine="640" w:firstLineChars="200"/>
        <w:jc w:val="both"/>
        <w:rPr>
          <w:rFonts w:eastAsia="仿宋_GB2312"/>
          <w:sz w:val="32"/>
          <w:szCs w:val="32"/>
        </w:rPr>
      </w:pPr>
      <w:r>
        <w:rPr>
          <w:rFonts w:hint="eastAsia" w:eastAsia="仿宋_GB2312"/>
          <w:sz w:val="32"/>
          <w:szCs w:val="32"/>
        </w:rPr>
        <w:t>2</w:t>
      </w:r>
      <w:r>
        <w:rPr>
          <w:rFonts w:eastAsia="仿宋_GB2312"/>
          <w:sz w:val="32"/>
          <w:szCs w:val="32"/>
        </w:rPr>
        <w:t>. 本年度排放量及活动水平数据的声明</w:t>
      </w:r>
    </w:p>
    <w:p w14:paraId="63D09C69">
      <w:pPr>
        <w:spacing w:after="0" w:line="560" w:lineRule="exact"/>
        <w:ind w:firstLine="640" w:firstLineChars="200"/>
        <w:jc w:val="both"/>
        <w:rPr>
          <w:rFonts w:eastAsia="仿宋_GB2312"/>
          <w:sz w:val="32"/>
          <w:szCs w:val="32"/>
        </w:rPr>
      </w:pPr>
      <w:r>
        <w:rPr>
          <w:rFonts w:eastAsia="仿宋_GB2312"/>
          <w:sz w:val="32"/>
          <w:szCs w:val="32"/>
        </w:rPr>
        <w:t>经核查的直接和间接排放量与最终排放报告中的一致。经核查的直接排放量为0吨，间接排放量为</w:t>
      </w:r>
      <w:r>
        <w:rPr>
          <w:rFonts w:eastAsia="仿宋_GB2312"/>
          <w:color w:val="000000"/>
          <w:sz w:val="32"/>
          <w:szCs w:val="32"/>
        </w:rPr>
        <w:t>15256.41</w:t>
      </w:r>
      <w:r>
        <w:rPr>
          <w:rFonts w:eastAsia="仿宋_GB2312"/>
          <w:sz w:val="32"/>
          <w:szCs w:val="32"/>
        </w:rPr>
        <w:t>吨，总排放量为</w:t>
      </w:r>
      <w:r>
        <w:rPr>
          <w:rFonts w:eastAsia="仿宋_GB2312"/>
          <w:color w:val="000000"/>
          <w:sz w:val="32"/>
          <w:szCs w:val="32"/>
        </w:rPr>
        <w:t>15256.41</w:t>
      </w:r>
      <w:r>
        <w:rPr>
          <w:rFonts w:eastAsia="仿宋_GB2312"/>
          <w:sz w:val="32"/>
          <w:szCs w:val="32"/>
        </w:rPr>
        <w:t>吨。</w:t>
      </w:r>
    </w:p>
    <w:p w14:paraId="62510F47">
      <w:pPr>
        <w:spacing w:after="0" w:line="560" w:lineRule="exact"/>
        <w:ind w:firstLine="640" w:firstLineChars="200"/>
        <w:jc w:val="both"/>
        <w:rPr>
          <w:rFonts w:eastAsia="仿宋_GB2312"/>
          <w:sz w:val="32"/>
          <w:szCs w:val="32"/>
        </w:rPr>
      </w:pPr>
      <w:r>
        <w:rPr>
          <w:rFonts w:eastAsia="仿宋_GB2312"/>
          <w:sz w:val="32"/>
          <w:szCs w:val="32"/>
        </w:rPr>
        <w:t>经核查的非数据中心建筑面积、数据中心</w:t>
      </w:r>
      <w:r>
        <w:rPr>
          <w:rFonts w:hint="eastAsia" w:eastAsia="仿宋_GB2312"/>
          <w:sz w:val="32"/>
          <w:szCs w:val="32"/>
        </w:rPr>
        <w:t>总用电量、</w:t>
      </w:r>
      <w:r>
        <w:rPr>
          <w:rFonts w:eastAsia="仿宋_GB2312"/>
          <w:sz w:val="32"/>
          <w:szCs w:val="32"/>
        </w:rPr>
        <w:t>IT设备用电量与最终排放报告中数据一致。经核查的非数据中心建筑面积为xxx平方米</w:t>
      </w:r>
      <w:r>
        <w:rPr>
          <w:rFonts w:hint="eastAsia" w:eastAsia="仿宋_GB2312"/>
          <w:sz w:val="32"/>
          <w:szCs w:val="32"/>
        </w:rPr>
        <w:t>；xx个大型</w:t>
      </w:r>
      <w:r>
        <w:rPr>
          <w:rFonts w:eastAsia="仿宋_GB2312"/>
          <w:sz w:val="32"/>
          <w:szCs w:val="32"/>
        </w:rPr>
        <w:t>数据中心</w:t>
      </w:r>
      <w:r>
        <w:rPr>
          <w:rFonts w:hint="eastAsia" w:eastAsia="仿宋_GB2312"/>
          <w:sz w:val="32"/>
          <w:szCs w:val="32"/>
        </w:rPr>
        <w:t>总用电量为xxMWh，</w:t>
      </w:r>
      <w:r>
        <w:rPr>
          <w:rFonts w:eastAsia="仿宋_GB2312"/>
          <w:sz w:val="32"/>
          <w:szCs w:val="32"/>
        </w:rPr>
        <w:t>IT设备用电量为</w:t>
      </w:r>
      <w:r>
        <w:rPr>
          <w:rFonts w:hint="eastAsia" w:eastAsia="仿宋_GB2312"/>
          <w:sz w:val="32"/>
          <w:szCs w:val="32"/>
        </w:rPr>
        <w:t>xx</w:t>
      </w:r>
      <w:r>
        <w:rPr>
          <w:rFonts w:eastAsia="仿宋_GB2312"/>
          <w:sz w:val="32"/>
          <w:szCs w:val="32"/>
        </w:rPr>
        <w:t>MWh</w:t>
      </w:r>
      <w:r>
        <w:rPr>
          <w:rFonts w:hint="eastAsia" w:eastAsia="仿宋_GB2312"/>
          <w:sz w:val="32"/>
          <w:szCs w:val="32"/>
        </w:rPr>
        <w:t>；xx个中小型数据中心总用电量为xxMWh，IT设备用电量为xxMWh</w:t>
      </w:r>
      <w:r>
        <w:rPr>
          <w:rFonts w:eastAsia="仿宋_GB2312"/>
          <w:sz w:val="32"/>
          <w:szCs w:val="32"/>
        </w:rPr>
        <w:t>。</w:t>
      </w:r>
    </w:p>
    <w:p w14:paraId="4CE2C863">
      <w:pPr>
        <w:spacing w:after="0" w:line="560" w:lineRule="exact"/>
        <w:ind w:firstLine="640" w:firstLineChars="200"/>
        <w:jc w:val="both"/>
        <w:rPr>
          <w:rFonts w:eastAsia="仿宋_GB2312"/>
          <w:sz w:val="32"/>
          <w:szCs w:val="32"/>
        </w:rPr>
      </w:pPr>
      <w:r>
        <w:rPr>
          <w:rFonts w:hint="eastAsia" w:eastAsia="仿宋_GB2312"/>
          <w:sz w:val="32"/>
          <w:szCs w:val="32"/>
        </w:rPr>
        <w:t>3</w:t>
      </w:r>
      <w:r>
        <w:rPr>
          <w:rFonts w:eastAsia="仿宋_GB2312"/>
          <w:sz w:val="32"/>
          <w:szCs w:val="32"/>
        </w:rPr>
        <w:t>. 年度排放量及活动水平波动的原因说明</w:t>
      </w:r>
    </w:p>
    <w:p w14:paraId="31A6A08C">
      <w:pPr>
        <w:spacing w:after="0" w:line="560" w:lineRule="exact"/>
        <w:ind w:firstLine="640" w:firstLineChars="200"/>
        <w:jc w:val="both"/>
        <w:rPr>
          <w:rFonts w:eastAsia="仿宋_GB2312"/>
          <w:sz w:val="32"/>
          <w:szCs w:val="32"/>
        </w:rPr>
      </w:pPr>
      <w:r>
        <w:rPr>
          <w:rFonts w:hint="eastAsia" w:eastAsia="仿宋_GB2312"/>
          <w:sz w:val="32"/>
          <w:szCs w:val="32"/>
        </w:rPr>
        <w:t>本年度</w:t>
      </w:r>
      <w:r>
        <w:rPr>
          <w:rFonts w:eastAsia="仿宋_GB2312"/>
          <w:sz w:val="32"/>
          <w:szCs w:val="32"/>
        </w:rPr>
        <w:t>排放量与上一年度排放量相比</w:t>
      </w:r>
      <w:r>
        <w:rPr>
          <w:rFonts w:hint="eastAsia" w:eastAsia="仿宋_GB2312"/>
          <w:sz w:val="32"/>
          <w:szCs w:val="32"/>
        </w:rPr>
        <w:t>增加</w:t>
      </w:r>
      <w:r>
        <w:rPr>
          <w:rFonts w:eastAsia="仿宋_GB2312"/>
          <w:sz w:val="32"/>
          <w:szCs w:val="32"/>
        </w:rPr>
        <w:t>5003.4</w:t>
      </w:r>
      <w:r>
        <w:rPr>
          <w:rFonts w:hint="eastAsia" w:eastAsia="仿宋_GB2312"/>
          <w:sz w:val="32"/>
          <w:szCs w:val="32"/>
        </w:rPr>
        <w:t>5</w:t>
      </w:r>
      <w:r>
        <w:rPr>
          <w:rFonts w:eastAsia="仿宋_GB2312"/>
          <w:sz w:val="32"/>
          <w:szCs w:val="32"/>
        </w:rPr>
        <w:t>吨/48.80%，原因为排放单位相比基准年新增</w:t>
      </w:r>
      <w:r>
        <w:rPr>
          <w:rFonts w:hint="eastAsia" w:eastAsia="仿宋_GB2312"/>
          <w:sz w:val="32"/>
          <w:szCs w:val="32"/>
        </w:rPr>
        <w:t>2</w:t>
      </w:r>
      <w:r>
        <w:rPr>
          <w:rFonts w:eastAsia="仿宋_GB2312"/>
          <w:sz w:val="32"/>
          <w:szCs w:val="32"/>
        </w:rPr>
        <w:t>个支行及1处办公区，电力消费量大幅上涨</w:t>
      </w:r>
      <w:r>
        <w:rPr>
          <w:rFonts w:hint="eastAsia" w:eastAsia="仿宋_GB2312"/>
          <w:sz w:val="32"/>
          <w:szCs w:val="32"/>
        </w:rPr>
        <w:t>，导致排放量大幅上升。</w:t>
      </w:r>
    </w:p>
    <w:p w14:paraId="0CEDA09D">
      <w:pPr>
        <w:spacing w:after="0" w:line="560" w:lineRule="exact"/>
        <w:ind w:firstLine="640" w:firstLineChars="200"/>
        <w:jc w:val="both"/>
        <w:rPr>
          <w:rFonts w:eastAsia="仿宋_GB2312"/>
          <w:sz w:val="32"/>
          <w:szCs w:val="32"/>
        </w:rPr>
      </w:pPr>
      <w:r>
        <w:rPr>
          <w:rFonts w:eastAsia="仿宋_GB2312"/>
          <w:sz w:val="32"/>
          <w:szCs w:val="32"/>
        </w:rPr>
        <w:t>本年度排放量与历史基准年份相比排放量增加5003.4</w:t>
      </w:r>
      <w:r>
        <w:rPr>
          <w:rFonts w:hint="eastAsia" w:eastAsia="仿宋_GB2312"/>
          <w:sz w:val="32"/>
          <w:szCs w:val="32"/>
        </w:rPr>
        <w:t>5</w:t>
      </w:r>
      <w:r>
        <w:rPr>
          <w:rFonts w:eastAsia="仿宋_GB2312"/>
          <w:sz w:val="32"/>
          <w:szCs w:val="32"/>
        </w:rPr>
        <w:t>吨/48.80%，原因为排放单位相比基准年新增</w:t>
      </w:r>
      <w:r>
        <w:rPr>
          <w:rFonts w:hint="eastAsia" w:eastAsia="仿宋_GB2312"/>
          <w:sz w:val="32"/>
          <w:szCs w:val="32"/>
        </w:rPr>
        <w:t>2</w:t>
      </w:r>
      <w:r>
        <w:rPr>
          <w:rFonts w:eastAsia="仿宋_GB2312"/>
          <w:sz w:val="32"/>
          <w:szCs w:val="32"/>
        </w:rPr>
        <w:t>个支行及1处办公区，电力消费量大幅上涨。</w:t>
      </w:r>
    </w:p>
    <w:p w14:paraId="49000058">
      <w:pPr>
        <w:spacing w:after="0" w:line="560" w:lineRule="exact"/>
        <w:jc w:val="center"/>
        <w:rPr>
          <w:rFonts w:eastAsia="仿宋_GB2312"/>
          <w:sz w:val="32"/>
          <w:szCs w:val="32"/>
        </w:rPr>
      </w:pPr>
      <w:r>
        <w:rPr>
          <w:rFonts w:eastAsia="仿宋_GB2312"/>
          <w:sz w:val="24"/>
        </w:rPr>
        <w:t>表XX  排放量汇总表</w:t>
      </w:r>
    </w:p>
    <w:tbl>
      <w:tblPr>
        <w:tblStyle w:val="35"/>
        <w:tblW w:w="4999" w:type="pct"/>
        <w:tblInd w:w="0" w:type="dxa"/>
        <w:tblLayout w:type="autofit"/>
        <w:tblCellMar>
          <w:top w:w="0" w:type="dxa"/>
          <w:left w:w="108" w:type="dxa"/>
          <w:bottom w:w="0" w:type="dxa"/>
          <w:right w:w="108" w:type="dxa"/>
        </w:tblCellMar>
      </w:tblPr>
      <w:tblGrid>
        <w:gridCol w:w="1947"/>
        <w:gridCol w:w="1948"/>
        <w:gridCol w:w="2479"/>
        <w:gridCol w:w="2685"/>
      </w:tblGrid>
      <w:tr w14:paraId="59DBD988">
        <w:tblPrEx>
          <w:tblCellMar>
            <w:top w:w="0" w:type="dxa"/>
            <w:left w:w="108" w:type="dxa"/>
            <w:bottom w:w="0" w:type="dxa"/>
            <w:right w:w="108" w:type="dxa"/>
          </w:tblCellMar>
        </w:tblPrEx>
        <w:trPr>
          <w:trHeight w:val="1028" w:hRule="atLeast"/>
        </w:trPr>
        <w:tc>
          <w:tcPr>
            <w:tcW w:w="1075" w:type="pct"/>
            <w:tcBorders>
              <w:top w:val="single" w:color="auto" w:sz="4" w:space="0"/>
              <w:left w:val="single" w:color="auto" w:sz="4" w:space="0"/>
              <w:bottom w:val="single" w:color="auto" w:sz="4" w:space="0"/>
              <w:right w:val="single" w:color="auto" w:sz="4" w:space="0"/>
            </w:tcBorders>
            <w:vAlign w:val="center"/>
          </w:tcPr>
          <w:p w14:paraId="18C3BEAE">
            <w:pPr>
              <w:keepNext w:val="0"/>
              <w:keepLines w:val="0"/>
              <w:pageBreakBefore w:val="0"/>
              <w:widowControl/>
              <w:kinsoku/>
              <w:wordWrap/>
              <w:overflowPunct/>
              <w:topLinePunct w:val="0"/>
              <w:autoSpaceDE/>
              <w:autoSpaceDN/>
              <w:bidi w:val="0"/>
              <w:adjustRightInd/>
              <w:snapToGrid/>
              <w:spacing w:after="0"/>
              <w:jc w:val="center"/>
              <w:textAlignment w:val="auto"/>
              <w:rPr>
                <w:rFonts w:eastAsia="仿宋_GB2312"/>
                <w:color w:val="000000"/>
                <w:sz w:val="24"/>
              </w:rPr>
            </w:pPr>
            <w:r>
              <w:rPr>
                <w:rFonts w:eastAsia="仿宋_GB2312"/>
                <w:color w:val="000000"/>
                <w:sz w:val="24"/>
              </w:rPr>
              <w:t>年度</w:t>
            </w:r>
          </w:p>
        </w:tc>
        <w:tc>
          <w:tcPr>
            <w:tcW w:w="1075" w:type="pct"/>
            <w:tcBorders>
              <w:top w:val="single" w:color="auto" w:sz="4" w:space="0"/>
              <w:left w:val="nil"/>
              <w:bottom w:val="single" w:color="auto" w:sz="4" w:space="0"/>
              <w:right w:val="single" w:color="auto" w:sz="4" w:space="0"/>
            </w:tcBorders>
            <w:vAlign w:val="center"/>
          </w:tcPr>
          <w:p w14:paraId="349DA966">
            <w:pPr>
              <w:keepNext w:val="0"/>
              <w:keepLines w:val="0"/>
              <w:pageBreakBefore w:val="0"/>
              <w:widowControl/>
              <w:kinsoku/>
              <w:wordWrap/>
              <w:overflowPunct/>
              <w:topLinePunct w:val="0"/>
              <w:autoSpaceDE/>
              <w:autoSpaceDN/>
              <w:bidi w:val="0"/>
              <w:adjustRightInd/>
              <w:snapToGrid/>
              <w:spacing w:after="0"/>
              <w:jc w:val="center"/>
              <w:textAlignment w:val="auto"/>
              <w:rPr>
                <w:rFonts w:eastAsia="仿宋_GB2312"/>
                <w:color w:val="000000"/>
                <w:sz w:val="24"/>
              </w:rPr>
            </w:pPr>
            <w:r>
              <w:rPr>
                <w:rFonts w:eastAsia="仿宋_GB2312"/>
                <w:color w:val="000000"/>
                <w:sz w:val="24"/>
              </w:rPr>
              <w:t>直接排放量（tCO</w:t>
            </w:r>
            <w:r>
              <w:rPr>
                <w:rFonts w:eastAsia="仿宋_GB2312"/>
                <w:color w:val="000000"/>
                <w:sz w:val="24"/>
                <w:vertAlign w:val="subscript"/>
              </w:rPr>
              <w:t>2</w:t>
            </w:r>
            <w:r>
              <w:rPr>
                <w:rFonts w:eastAsia="仿宋_GB2312"/>
                <w:color w:val="000000"/>
                <w:sz w:val="24"/>
              </w:rPr>
              <w:t>）</w:t>
            </w:r>
          </w:p>
        </w:tc>
        <w:tc>
          <w:tcPr>
            <w:tcW w:w="1368" w:type="pct"/>
            <w:tcBorders>
              <w:top w:val="single" w:color="auto" w:sz="4" w:space="0"/>
              <w:left w:val="nil"/>
              <w:bottom w:val="single" w:color="auto" w:sz="4" w:space="0"/>
              <w:right w:val="single" w:color="auto" w:sz="4" w:space="0"/>
            </w:tcBorders>
            <w:vAlign w:val="center"/>
          </w:tcPr>
          <w:p w14:paraId="01B35235">
            <w:pPr>
              <w:keepNext w:val="0"/>
              <w:keepLines w:val="0"/>
              <w:pageBreakBefore w:val="0"/>
              <w:widowControl/>
              <w:kinsoku/>
              <w:wordWrap/>
              <w:overflowPunct/>
              <w:topLinePunct w:val="0"/>
              <w:autoSpaceDE/>
              <w:autoSpaceDN/>
              <w:bidi w:val="0"/>
              <w:adjustRightInd/>
              <w:snapToGrid/>
              <w:spacing w:after="0"/>
              <w:jc w:val="center"/>
              <w:textAlignment w:val="auto"/>
              <w:rPr>
                <w:rFonts w:eastAsia="仿宋_GB2312"/>
                <w:color w:val="000000"/>
                <w:sz w:val="24"/>
              </w:rPr>
            </w:pPr>
            <w:r>
              <w:rPr>
                <w:rFonts w:eastAsia="仿宋_GB2312"/>
                <w:color w:val="000000"/>
                <w:sz w:val="24"/>
              </w:rPr>
              <w:t>间接排放量（tCO</w:t>
            </w:r>
            <w:r>
              <w:rPr>
                <w:rFonts w:eastAsia="仿宋_GB2312"/>
                <w:color w:val="000000"/>
                <w:sz w:val="24"/>
                <w:vertAlign w:val="subscript"/>
              </w:rPr>
              <w:t>2</w:t>
            </w:r>
            <w:r>
              <w:rPr>
                <w:rFonts w:eastAsia="仿宋_GB2312"/>
                <w:color w:val="000000"/>
                <w:sz w:val="24"/>
              </w:rPr>
              <w:t>）</w:t>
            </w:r>
          </w:p>
        </w:tc>
        <w:tc>
          <w:tcPr>
            <w:tcW w:w="1482" w:type="pct"/>
            <w:tcBorders>
              <w:top w:val="single" w:color="auto" w:sz="4" w:space="0"/>
              <w:left w:val="nil"/>
              <w:bottom w:val="single" w:color="auto" w:sz="4" w:space="0"/>
              <w:right w:val="single" w:color="auto" w:sz="4" w:space="0"/>
            </w:tcBorders>
            <w:vAlign w:val="center"/>
          </w:tcPr>
          <w:p w14:paraId="0195BA85">
            <w:pPr>
              <w:keepNext w:val="0"/>
              <w:keepLines w:val="0"/>
              <w:pageBreakBefore w:val="0"/>
              <w:widowControl/>
              <w:kinsoku/>
              <w:wordWrap/>
              <w:overflowPunct/>
              <w:topLinePunct w:val="0"/>
              <w:autoSpaceDE/>
              <w:autoSpaceDN/>
              <w:bidi w:val="0"/>
              <w:adjustRightInd/>
              <w:snapToGrid/>
              <w:spacing w:after="0"/>
              <w:jc w:val="center"/>
              <w:textAlignment w:val="auto"/>
              <w:rPr>
                <w:rFonts w:eastAsia="仿宋_GB2312"/>
                <w:color w:val="000000"/>
                <w:sz w:val="24"/>
              </w:rPr>
            </w:pPr>
            <w:r>
              <w:rPr>
                <w:rFonts w:eastAsia="仿宋_GB2312"/>
                <w:color w:val="000000"/>
                <w:sz w:val="24"/>
              </w:rPr>
              <w:t>排放总量（tCO</w:t>
            </w:r>
            <w:r>
              <w:rPr>
                <w:rFonts w:eastAsia="仿宋_GB2312"/>
                <w:color w:val="000000"/>
                <w:sz w:val="24"/>
                <w:vertAlign w:val="subscript"/>
              </w:rPr>
              <w:t>2</w:t>
            </w:r>
            <w:r>
              <w:rPr>
                <w:rFonts w:eastAsia="仿宋_GB2312"/>
                <w:color w:val="000000"/>
                <w:sz w:val="24"/>
              </w:rPr>
              <w:t>）</w:t>
            </w:r>
          </w:p>
        </w:tc>
      </w:tr>
      <w:tr w14:paraId="7645B53A">
        <w:tblPrEx>
          <w:tblCellMar>
            <w:top w:w="0" w:type="dxa"/>
            <w:left w:w="108" w:type="dxa"/>
            <w:bottom w:w="0" w:type="dxa"/>
            <w:right w:w="108" w:type="dxa"/>
          </w:tblCellMar>
        </w:tblPrEx>
        <w:trPr>
          <w:trHeight w:val="547" w:hRule="atLeast"/>
        </w:trPr>
        <w:tc>
          <w:tcPr>
            <w:tcW w:w="1075" w:type="pct"/>
            <w:tcBorders>
              <w:top w:val="nil"/>
              <w:left w:val="single" w:color="auto" w:sz="4" w:space="0"/>
              <w:bottom w:val="single" w:color="auto" w:sz="4" w:space="0"/>
              <w:right w:val="single" w:color="auto" w:sz="4" w:space="0"/>
            </w:tcBorders>
            <w:noWrap/>
            <w:vAlign w:val="center"/>
          </w:tcPr>
          <w:p w14:paraId="1CB85C6E">
            <w:pPr>
              <w:keepNext w:val="0"/>
              <w:keepLines w:val="0"/>
              <w:pageBreakBefore w:val="0"/>
              <w:widowControl/>
              <w:kinsoku/>
              <w:wordWrap/>
              <w:overflowPunct/>
              <w:topLinePunct w:val="0"/>
              <w:autoSpaceDE/>
              <w:autoSpaceDN/>
              <w:bidi w:val="0"/>
              <w:adjustRightInd/>
              <w:snapToGrid/>
              <w:spacing w:after="0"/>
              <w:jc w:val="center"/>
              <w:textAlignment w:val="auto"/>
              <w:rPr>
                <w:rFonts w:eastAsia="仿宋_GB2312"/>
                <w:color w:val="000000"/>
                <w:sz w:val="24"/>
              </w:rPr>
            </w:pPr>
            <w:r>
              <w:rPr>
                <w:rFonts w:eastAsia="仿宋_GB2312"/>
                <w:color w:val="000000"/>
                <w:sz w:val="24"/>
              </w:rPr>
              <w:t>2016</w:t>
            </w:r>
          </w:p>
        </w:tc>
        <w:tc>
          <w:tcPr>
            <w:tcW w:w="1075" w:type="pct"/>
            <w:tcBorders>
              <w:top w:val="nil"/>
              <w:left w:val="nil"/>
              <w:bottom w:val="single" w:color="auto" w:sz="4" w:space="0"/>
              <w:right w:val="single" w:color="auto" w:sz="4" w:space="0"/>
            </w:tcBorders>
            <w:noWrap/>
            <w:vAlign w:val="center"/>
          </w:tcPr>
          <w:p w14:paraId="78481C40">
            <w:pPr>
              <w:keepNext w:val="0"/>
              <w:keepLines w:val="0"/>
              <w:pageBreakBefore w:val="0"/>
              <w:widowControl/>
              <w:kinsoku/>
              <w:wordWrap/>
              <w:overflowPunct/>
              <w:topLinePunct w:val="0"/>
              <w:autoSpaceDE/>
              <w:autoSpaceDN/>
              <w:bidi w:val="0"/>
              <w:adjustRightInd/>
              <w:snapToGrid/>
              <w:spacing w:after="0"/>
              <w:jc w:val="center"/>
              <w:textAlignment w:val="auto"/>
              <w:rPr>
                <w:rFonts w:eastAsia="仿宋_GB2312" w:cs="Calibri"/>
                <w:color w:val="000000"/>
                <w:sz w:val="24"/>
              </w:rPr>
            </w:pPr>
            <w:r>
              <w:rPr>
                <w:rFonts w:eastAsia="仿宋_GB2312" w:cs="Calibri"/>
                <w:color w:val="000000"/>
                <w:sz w:val="24"/>
              </w:rPr>
              <w:t>0</w:t>
            </w:r>
          </w:p>
        </w:tc>
        <w:tc>
          <w:tcPr>
            <w:tcW w:w="1368" w:type="pct"/>
            <w:tcBorders>
              <w:top w:val="nil"/>
              <w:left w:val="nil"/>
              <w:bottom w:val="single" w:color="auto" w:sz="4" w:space="0"/>
              <w:right w:val="single" w:color="auto" w:sz="4" w:space="0"/>
            </w:tcBorders>
            <w:noWrap/>
            <w:vAlign w:val="center"/>
          </w:tcPr>
          <w:p w14:paraId="60E88A08">
            <w:pPr>
              <w:keepNext w:val="0"/>
              <w:keepLines w:val="0"/>
              <w:pageBreakBefore w:val="0"/>
              <w:widowControl/>
              <w:kinsoku/>
              <w:wordWrap/>
              <w:overflowPunct/>
              <w:topLinePunct w:val="0"/>
              <w:autoSpaceDE/>
              <w:autoSpaceDN/>
              <w:bidi w:val="0"/>
              <w:adjustRightInd/>
              <w:snapToGrid/>
              <w:spacing w:after="0"/>
              <w:jc w:val="center"/>
              <w:textAlignment w:val="auto"/>
              <w:rPr>
                <w:rFonts w:eastAsia="仿宋_GB2312" w:cs="Calibri"/>
                <w:color w:val="000000"/>
                <w:sz w:val="24"/>
              </w:rPr>
            </w:pPr>
            <w:r>
              <w:rPr>
                <w:rFonts w:eastAsia="仿宋_GB2312" w:cs="Calibri"/>
                <w:color w:val="000000"/>
                <w:sz w:val="24"/>
              </w:rPr>
              <w:t>8248.15</w:t>
            </w:r>
          </w:p>
        </w:tc>
        <w:tc>
          <w:tcPr>
            <w:tcW w:w="1482" w:type="pct"/>
            <w:tcBorders>
              <w:top w:val="nil"/>
              <w:left w:val="nil"/>
              <w:bottom w:val="single" w:color="auto" w:sz="4" w:space="0"/>
              <w:right w:val="single" w:color="auto" w:sz="4" w:space="0"/>
            </w:tcBorders>
            <w:vAlign w:val="center"/>
          </w:tcPr>
          <w:p w14:paraId="216F066F">
            <w:pPr>
              <w:keepNext w:val="0"/>
              <w:keepLines w:val="0"/>
              <w:pageBreakBefore w:val="0"/>
              <w:widowControl/>
              <w:kinsoku/>
              <w:wordWrap/>
              <w:overflowPunct/>
              <w:topLinePunct w:val="0"/>
              <w:autoSpaceDE/>
              <w:autoSpaceDN/>
              <w:bidi w:val="0"/>
              <w:adjustRightInd/>
              <w:snapToGrid/>
              <w:spacing w:after="0"/>
              <w:jc w:val="center"/>
              <w:textAlignment w:val="auto"/>
              <w:rPr>
                <w:rFonts w:eastAsia="仿宋_GB2312" w:cs="Calibri"/>
                <w:color w:val="000000"/>
                <w:sz w:val="24"/>
              </w:rPr>
            </w:pPr>
            <w:r>
              <w:rPr>
                <w:rFonts w:eastAsia="仿宋_GB2312" w:cs="Calibri"/>
                <w:color w:val="000000"/>
                <w:sz w:val="24"/>
              </w:rPr>
              <w:t>8248.15</w:t>
            </w:r>
          </w:p>
        </w:tc>
      </w:tr>
      <w:tr w14:paraId="4DB030D6">
        <w:tblPrEx>
          <w:tblCellMar>
            <w:top w:w="0" w:type="dxa"/>
            <w:left w:w="108" w:type="dxa"/>
            <w:bottom w:w="0" w:type="dxa"/>
            <w:right w:w="108" w:type="dxa"/>
          </w:tblCellMar>
        </w:tblPrEx>
        <w:trPr>
          <w:trHeight w:val="347" w:hRule="atLeast"/>
        </w:trPr>
        <w:tc>
          <w:tcPr>
            <w:tcW w:w="1075" w:type="pct"/>
            <w:tcBorders>
              <w:top w:val="nil"/>
              <w:left w:val="single" w:color="auto" w:sz="4" w:space="0"/>
              <w:bottom w:val="single" w:color="auto" w:sz="4" w:space="0"/>
              <w:right w:val="single" w:color="auto" w:sz="4" w:space="0"/>
            </w:tcBorders>
            <w:noWrap/>
            <w:vAlign w:val="center"/>
          </w:tcPr>
          <w:p w14:paraId="3D56311D">
            <w:pPr>
              <w:keepNext w:val="0"/>
              <w:keepLines w:val="0"/>
              <w:pageBreakBefore w:val="0"/>
              <w:widowControl/>
              <w:kinsoku/>
              <w:wordWrap/>
              <w:overflowPunct/>
              <w:topLinePunct w:val="0"/>
              <w:autoSpaceDE/>
              <w:autoSpaceDN/>
              <w:bidi w:val="0"/>
              <w:adjustRightInd/>
              <w:snapToGrid/>
              <w:spacing w:after="0"/>
              <w:jc w:val="center"/>
              <w:textAlignment w:val="auto"/>
              <w:rPr>
                <w:rFonts w:eastAsia="仿宋_GB2312"/>
                <w:color w:val="000000"/>
                <w:sz w:val="24"/>
              </w:rPr>
            </w:pPr>
            <w:r>
              <w:rPr>
                <w:rFonts w:eastAsia="仿宋_GB2312"/>
                <w:color w:val="000000"/>
                <w:sz w:val="24"/>
              </w:rPr>
              <w:t>2017</w:t>
            </w:r>
          </w:p>
        </w:tc>
        <w:tc>
          <w:tcPr>
            <w:tcW w:w="1075" w:type="pct"/>
            <w:tcBorders>
              <w:top w:val="nil"/>
              <w:left w:val="nil"/>
              <w:bottom w:val="single" w:color="auto" w:sz="4" w:space="0"/>
              <w:right w:val="single" w:color="auto" w:sz="4" w:space="0"/>
            </w:tcBorders>
            <w:noWrap/>
            <w:vAlign w:val="center"/>
          </w:tcPr>
          <w:p w14:paraId="272221A6">
            <w:pPr>
              <w:keepNext w:val="0"/>
              <w:keepLines w:val="0"/>
              <w:pageBreakBefore w:val="0"/>
              <w:widowControl/>
              <w:kinsoku/>
              <w:wordWrap/>
              <w:overflowPunct/>
              <w:topLinePunct w:val="0"/>
              <w:autoSpaceDE/>
              <w:autoSpaceDN/>
              <w:bidi w:val="0"/>
              <w:adjustRightInd/>
              <w:snapToGrid/>
              <w:spacing w:after="0"/>
              <w:jc w:val="center"/>
              <w:textAlignment w:val="auto"/>
              <w:rPr>
                <w:rFonts w:eastAsia="仿宋_GB2312" w:cs="Calibri"/>
                <w:color w:val="000000"/>
                <w:sz w:val="24"/>
              </w:rPr>
            </w:pPr>
            <w:r>
              <w:rPr>
                <w:rFonts w:eastAsia="仿宋_GB2312" w:cs="Calibri"/>
                <w:color w:val="000000"/>
                <w:sz w:val="24"/>
              </w:rPr>
              <w:t>0</w:t>
            </w:r>
          </w:p>
        </w:tc>
        <w:tc>
          <w:tcPr>
            <w:tcW w:w="1368" w:type="pct"/>
            <w:tcBorders>
              <w:top w:val="nil"/>
              <w:left w:val="nil"/>
              <w:bottom w:val="single" w:color="auto" w:sz="4" w:space="0"/>
              <w:right w:val="single" w:color="auto" w:sz="4" w:space="0"/>
            </w:tcBorders>
            <w:noWrap/>
            <w:vAlign w:val="center"/>
          </w:tcPr>
          <w:p w14:paraId="7D1FA854">
            <w:pPr>
              <w:keepNext w:val="0"/>
              <w:keepLines w:val="0"/>
              <w:pageBreakBefore w:val="0"/>
              <w:widowControl/>
              <w:kinsoku/>
              <w:wordWrap/>
              <w:overflowPunct/>
              <w:topLinePunct w:val="0"/>
              <w:autoSpaceDE/>
              <w:autoSpaceDN/>
              <w:bidi w:val="0"/>
              <w:adjustRightInd/>
              <w:snapToGrid/>
              <w:spacing w:after="0"/>
              <w:jc w:val="center"/>
              <w:textAlignment w:val="auto"/>
              <w:rPr>
                <w:rFonts w:eastAsia="仿宋_GB2312" w:cs="Calibri"/>
                <w:color w:val="000000"/>
                <w:sz w:val="24"/>
              </w:rPr>
            </w:pPr>
            <w:r>
              <w:rPr>
                <w:rFonts w:eastAsia="仿宋_GB2312" w:cs="Calibri"/>
                <w:color w:val="000000"/>
                <w:sz w:val="24"/>
              </w:rPr>
              <w:t>8683.15</w:t>
            </w:r>
          </w:p>
        </w:tc>
        <w:tc>
          <w:tcPr>
            <w:tcW w:w="1482" w:type="pct"/>
            <w:tcBorders>
              <w:top w:val="nil"/>
              <w:left w:val="nil"/>
              <w:bottom w:val="single" w:color="auto" w:sz="4" w:space="0"/>
              <w:right w:val="single" w:color="auto" w:sz="4" w:space="0"/>
            </w:tcBorders>
            <w:vAlign w:val="center"/>
          </w:tcPr>
          <w:p w14:paraId="3BD7C9B2">
            <w:pPr>
              <w:keepNext w:val="0"/>
              <w:keepLines w:val="0"/>
              <w:pageBreakBefore w:val="0"/>
              <w:widowControl/>
              <w:kinsoku/>
              <w:wordWrap/>
              <w:overflowPunct/>
              <w:topLinePunct w:val="0"/>
              <w:autoSpaceDE/>
              <w:autoSpaceDN/>
              <w:bidi w:val="0"/>
              <w:adjustRightInd/>
              <w:snapToGrid/>
              <w:spacing w:after="0"/>
              <w:jc w:val="center"/>
              <w:textAlignment w:val="auto"/>
              <w:rPr>
                <w:rFonts w:eastAsia="仿宋_GB2312" w:cs="Calibri"/>
                <w:color w:val="000000"/>
                <w:sz w:val="24"/>
              </w:rPr>
            </w:pPr>
            <w:r>
              <w:rPr>
                <w:rFonts w:eastAsia="仿宋_GB2312" w:cs="Calibri"/>
                <w:color w:val="000000"/>
                <w:sz w:val="24"/>
              </w:rPr>
              <w:t>8683.15</w:t>
            </w:r>
          </w:p>
        </w:tc>
      </w:tr>
      <w:tr w14:paraId="55F75922">
        <w:tblPrEx>
          <w:tblCellMar>
            <w:top w:w="0" w:type="dxa"/>
            <w:left w:w="108" w:type="dxa"/>
            <w:bottom w:w="0" w:type="dxa"/>
            <w:right w:w="108" w:type="dxa"/>
          </w:tblCellMar>
        </w:tblPrEx>
        <w:trPr>
          <w:trHeight w:val="347" w:hRule="atLeast"/>
        </w:trPr>
        <w:tc>
          <w:tcPr>
            <w:tcW w:w="1075" w:type="pct"/>
            <w:tcBorders>
              <w:top w:val="single" w:color="auto" w:sz="4" w:space="0"/>
              <w:left w:val="single" w:color="auto" w:sz="4" w:space="0"/>
              <w:bottom w:val="single" w:color="auto" w:sz="4" w:space="0"/>
              <w:right w:val="single" w:color="auto" w:sz="4" w:space="0"/>
            </w:tcBorders>
            <w:noWrap/>
            <w:vAlign w:val="center"/>
          </w:tcPr>
          <w:p w14:paraId="16F8C837">
            <w:pPr>
              <w:keepNext w:val="0"/>
              <w:keepLines w:val="0"/>
              <w:pageBreakBefore w:val="0"/>
              <w:widowControl/>
              <w:kinsoku/>
              <w:wordWrap/>
              <w:overflowPunct/>
              <w:topLinePunct w:val="0"/>
              <w:autoSpaceDE/>
              <w:autoSpaceDN/>
              <w:bidi w:val="0"/>
              <w:adjustRightInd/>
              <w:snapToGrid/>
              <w:spacing w:after="0"/>
              <w:jc w:val="center"/>
              <w:textAlignment w:val="auto"/>
              <w:rPr>
                <w:rFonts w:eastAsia="仿宋_GB2312"/>
                <w:color w:val="000000"/>
                <w:sz w:val="24"/>
              </w:rPr>
            </w:pPr>
            <w:r>
              <w:rPr>
                <w:rFonts w:eastAsia="仿宋_GB2312"/>
                <w:color w:val="000000"/>
                <w:sz w:val="24"/>
              </w:rPr>
              <w:t>2018</w:t>
            </w:r>
          </w:p>
        </w:tc>
        <w:tc>
          <w:tcPr>
            <w:tcW w:w="1075" w:type="pct"/>
            <w:tcBorders>
              <w:top w:val="single" w:color="auto" w:sz="4" w:space="0"/>
              <w:left w:val="nil"/>
              <w:bottom w:val="single" w:color="auto" w:sz="4" w:space="0"/>
              <w:right w:val="single" w:color="auto" w:sz="4" w:space="0"/>
            </w:tcBorders>
            <w:noWrap/>
            <w:vAlign w:val="center"/>
          </w:tcPr>
          <w:p w14:paraId="082E88FE">
            <w:pPr>
              <w:keepNext w:val="0"/>
              <w:keepLines w:val="0"/>
              <w:pageBreakBefore w:val="0"/>
              <w:widowControl/>
              <w:kinsoku/>
              <w:wordWrap/>
              <w:overflowPunct/>
              <w:topLinePunct w:val="0"/>
              <w:autoSpaceDE/>
              <w:autoSpaceDN/>
              <w:bidi w:val="0"/>
              <w:adjustRightInd/>
              <w:snapToGrid/>
              <w:spacing w:after="0"/>
              <w:jc w:val="center"/>
              <w:textAlignment w:val="auto"/>
              <w:rPr>
                <w:rFonts w:eastAsia="仿宋_GB2312" w:cs="Calibri"/>
                <w:color w:val="000000"/>
                <w:sz w:val="24"/>
              </w:rPr>
            </w:pPr>
            <w:r>
              <w:rPr>
                <w:rFonts w:eastAsia="仿宋_GB2312" w:cs="Calibri"/>
                <w:color w:val="000000"/>
                <w:sz w:val="24"/>
              </w:rPr>
              <w:t>0</w:t>
            </w:r>
          </w:p>
        </w:tc>
        <w:tc>
          <w:tcPr>
            <w:tcW w:w="1368" w:type="pct"/>
            <w:tcBorders>
              <w:top w:val="single" w:color="auto" w:sz="4" w:space="0"/>
              <w:left w:val="nil"/>
              <w:bottom w:val="single" w:color="auto" w:sz="4" w:space="0"/>
              <w:right w:val="single" w:color="auto" w:sz="4" w:space="0"/>
            </w:tcBorders>
            <w:noWrap/>
            <w:vAlign w:val="center"/>
          </w:tcPr>
          <w:p w14:paraId="60A486EA">
            <w:pPr>
              <w:keepNext w:val="0"/>
              <w:keepLines w:val="0"/>
              <w:pageBreakBefore w:val="0"/>
              <w:widowControl/>
              <w:kinsoku/>
              <w:wordWrap/>
              <w:overflowPunct/>
              <w:topLinePunct w:val="0"/>
              <w:autoSpaceDE/>
              <w:autoSpaceDN/>
              <w:bidi w:val="0"/>
              <w:adjustRightInd/>
              <w:snapToGrid/>
              <w:spacing w:after="0"/>
              <w:jc w:val="center"/>
              <w:textAlignment w:val="auto"/>
              <w:rPr>
                <w:rFonts w:eastAsia="仿宋_GB2312" w:cs="Calibri"/>
                <w:color w:val="000000"/>
                <w:sz w:val="24"/>
              </w:rPr>
            </w:pPr>
            <w:r>
              <w:rPr>
                <w:rFonts w:eastAsia="仿宋_GB2312" w:cs="Calibri"/>
                <w:color w:val="000000"/>
                <w:sz w:val="24"/>
              </w:rPr>
              <w:t>10252.96</w:t>
            </w:r>
          </w:p>
        </w:tc>
        <w:tc>
          <w:tcPr>
            <w:tcW w:w="1482" w:type="pct"/>
            <w:tcBorders>
              <w:top w:val="single" w:color="auto" w:sz="4" w:space="0"/>
              <w:left w:val="nil"/>
              <w:bottom w:val="single" w:color="auto" w:sz="4" w:space="0"/>
              <w:right w:val="single" w:color="auto" w:sz="4" w:space="0"/>
            </w:tcBorders>
            <w:vAlign w:val="center"/>
          </w:tcPr>
          <w:p w14:paraId="6AC81CD8">
            <w:pPr>
              <w:keepNext w:val="0"/>
              <w:keepLines w:val="0"/>
              <w:pageBreakBefore w:val="0"/>
              <w:widowControl/>
              <w:kinsoku/>
              <w:wordWrap/>
              <w:overflowPunct/>
              <w:topLinePunct w:val="0"/>
              <w:autoSpaceDE/>
              <w:autoSpaceDN/>
              <w:bidi w:val="0"/>
              <w:adjustRightInd/>
              <w:snapToGrid/>
              <w:spacing w:after="0"/>
              <w:jc w:val="center"/>
              <w:textAlignment w:val="auto"/>
              <w:rPr>
                <w:rFonts w:eastAsia="仿宋_GB2312" w:cs="Calibri"/>
                <w:color w:val="000000"/>
                <w:sz w:val="24"/>
              </w:rPr>
            </w:pPr>
            <w:r>
              <w:rPr>
                <w:rFonts w:eastAsia="仿宋_GB2312" w:cs="Calibri"/>
                <w:color w:val="000000"/>
                <w:sz w:val="24"/>
              </w:rPr>
              <w:t>10252.96</w:t>
            </w:r>
          </w:p>
        </w:tc>
      </w:tr>
      <w:tr w14:paraId="27BABB5D">
        <w:tblPrEx>
          <w:tblCellMar>
            <w:top w:w="0" w:type="dxa"/>
            <w:left w:w="108" w:type="dxa"/>
            <w:bottom w:w="0" w:type="dxa"/>
            <w:right w:w="108" w:type="dxa"/>
          </w:tblCellMar>
        </w:tblPrEx>
        <w:trPr>
          <w:trHeight w:val="347" w:hRule="atLeast"/>
        </w:trPr>
        <w:tc>
          <w:tcPr>
            <w:tcW w:w="1075" w:type="pct"/>
            <w:tcBorders>
              <w:top w:val="single" w:color="auto" w:sz="4" w:space="0"/>
              <w:left w:val="single" w:color="auto" w:sz="4" w:space="0"/>
              <w:bottom w:val="single" w:color="auto" w:sz="4" w:space="0"/>
              <w:right w:val="single" w:color="auto" w:sz="4" w:space="0"/>
            </w:tcBorders>
            <w:noWrap/>
            <w:vAlign w:val="center"/>
          </w:tcPr>
          <w:p w14:paraId="6570A9CC">
            <w:pPr>
              <w:keepNext w:val="0"/>
              <w:keepLines w:val="0"/>
              <w:pageBreakBefore w:val="0"/>
              <w:widowControl/>
              <w:kinsoku/>
              <w:wordWrap/>
              <w:overflowPunct/>
              <w:topLinePunct w:val="0"/>
              <w:autoSpaceDE/>
              <w:autoSpaceDN/>
              <w:bidi w:val="0"/>
              <w:adjustRightInd/>
              <w:snapToGrid/>
              <w:spacing w:after="0"/>
              <w:jc w:val="center"/>
              <w:textAlignment w:val="auto"/>
              <w:rPr>
                <w:rFonts w:eastAsia="仿宋_GB2312"/>
                <w:color w:val="000000"/>
                <w:sz w:val="24"/>
              </w:rPr>
            </w:pPr>
            <w:r>
              <w:rPr>
                <w:rFonts w:eastAsia="仿宋_GB2312"/>
                <w:color w:val="000000"/>
                <w:sz w:val="24"/>
              </w:rPr>
              <w:t>2019</w:t>
            </w:r>
          </w:p>
        </w:tc>
        <w:tc>
          <w:tcPr>
            <w:tcW w:w="1075" w:type="pct"/>
            <w:tcBorders>
              <w:top w:val="single" w:color="auto" w:sz="4" w:space="0"/>
              <w:left w:val="nil"/>
              <w:bottom w:val="single" w:color="auto" w:sz="4" w:space="0"/>
              <w:right w:val="single" w:color="auto" w:sz="4" w:space="0"/>
            </w:tcBorders>
            <w:noWrap/>
            <w:vAlign w:val="center"/>
          </w:tcPr>
          <w:p w14:paraId="209E3FD6">
            <w:pPr>
              <w:keepNext w:val="0"/>
              <w:keepLines w:val="0"/>
              <w:pageBreakBefore w:val="0"/>
              <w:widowControl/>
              <w:kinsoku/>
              <w:wordWrap/>
              <w:overflowPunct/>
              <w:topLinePunct w:val="0"/>
              <w:autoSpaceDE/>
              <w:autoSpaceDN/>
              <w:bidi w:val="0"/>
              <w:adjustRightInd/>
              <w:snapToGrid/>
              <w:spacing w:after="0"/>
              <w:jc w:val="center"/>
              <w:textAlignment w:val="auto"/>
              <w:rPr>
                <w:rFonts w:eastAsia="仿宋_GB2312" w:cs="Calibri"/>
                <w:color w:val="000000"/>
                <w:sz w:val="24"/>
              </w:rPr>
            </w:pPr>
            <w:r>
              <w:rPr>
                <w:rFonts w:eastAsia="仿宋_GB2312" w:cs="Calibri"/>
                <w:color w:val="000000"/>
                <w:sz w:val="24"/>
              </w:rPr>
              <w:t>0</w:t>
            </w:r>
          </w:p>
        </w:tc>
        <w:tc>
          <w:tcPr>
            <w:tcW w:w="1368" w:type="pct"/>
            <w:tcBorders>
              <w:top w:val="single" w:color="auto" w:sz="4" w:space="0"/>
              <w:left w:val="nil"/>
              <w:bottom w:val="single" w:color="auto" w:sz="4" w:space="0"/>
              <w:right w:val="single" w:color="auto" w:sz="4" w:space="0"/>
            </w:tcBorders>
            <w:noWrap/>
            <w:vAlign w:val="center"/>
          </w:tcPr>
          <w:p w14:paraId="644E498A">
            <w:pPr>
              <w:keepNext w:val="0"/>
              <w:keepLines w:val="0"/>
              <w:pageBreakBefore w:val="0"/>
              <w:widowControl/>
              <w:kinsoku/>
              <w:wordWrap/>
              <w:overflowPunct/>
              <w:topLinePunct w:val="0"/>
              <w:autoSpaceDE/>
              <w:autoSpaceDN/>
              <w:bidi w:val="0"/>
              <w:adjustRightInd/>
              <w:snapToGrid/>
              <w:spacing w:after="0"/>
              <w:jc w:val="center"/>
              <w:textAlignment w:val="auto"/>
              <w:rPr>
                <w:rFonts w:eastAsia="仿宋_GB2312" w:cs="Calibri"/>
                <w:color w:val="000000"/>
                <w:sz w:val="24"/>
              </w:rPr>
            </w:pPr>
            <w:bookmarkStart w:id="24" w:name="_Hlk34841875"/>
            <w:r>
              <w:rPr>
                <w:rFonts w:eastAsia="仿宋_GB2312" w:cs="Calibri"/>
                <w:color w:val="000000"/>
                <w:sz w:val="24"/>
              </w:rPr>
              <w:t>15256.41</w:t>
            </w:r>
            <w:bookmarkEnd w:id="24"/>
          </w:p>
        </w:tc>
        <w:tc>
          <w:tcPr>
            <w:tcW w:w="1482" w:type="pct"/>
            <w:tcBorders>
              <w:top w:val="single" w:color="auto" w:sz="4" w:space="0"/>
              <w:left w:val="nil"/>
              <w:bottom w:val="single" w:color="auto" w:sz="4" w:space="0"/>
              <w:right w:val="single" w:color="auto" w:sz="4" w:space="0"/>
            </w:tcBorders>
            <w:vAlign w:val="center"/>
          </w:tcPr>
          <w:p w14:paraId="77BC8232">
            <w:pPr>
              <w:keepNext w:val="0"/>
              <w:keepLines w:val="0"/>
              <w:pageBreakBefore w:val="0"/>
              <w:widowControl/>
              <w:kinsoku/>
              <w:wordWrap/>
              <w:overflowPunct/>
              <w:topLinePunct w:val="0"/>
              <w:autoSpaceDE/>
              <w:autoSpaceDN/>
              <w:bidi w:val="0"/>
              <w:adjustRightInd/>
              <w:snapToGrid/>
              <w:spacing w:after="0"/>
              <w:jc w:val="center"/>
              <w:textAlignment w:val="auto"/>
              <w:rPr>
                <w:rFonts w:eastAsia="仿宋_GB2312" w:cs="Calibri"/>
                <w:color w:val="000000"/>
                <w:sz w:val="24"/>
              </w:rPr>
            </w:pPr>
            <w:r>
              <w:rPr>
                <w:rFonts w:eastAsia="仿宋_GB2312" w:cs="Calibri"/>
                <w:color w:val="000000"/>
                <w:sz w:val="24"/>
              </w:rPr>
              <w:t>15256.41</w:t>
            </w:r>
          </w:p>
        </w:tc>
      </w:tr>
      <w:tr w14:paraId="331C6392">
        <w:tblPrEx>
          <w:tblCellMar>
            <w:top w:w="0" w:type="dxa"/>
            <w:left w:w="108" w:type="dxa"/>
            <w:bottom w:w="0" w:type="dxa"/>
            <w:right w:w="108" w:type="dxa"/>
          </w:tblCellMar>
        </w:tblPrEx>
        <w:trPr>
          <w:trHeight w:val="347" w:hRule="atLeast"/>
        </w:trPr>
        <w:tc>
          <w:tcPr>
            <w:tcW w:w="1075" w:type="pct"/>
            <w:tcBorders>
              <w:top w:val="single" w:color="auto" w:sz="4" w:space="0"/>
              <w:left w:val="single" w:color="auto" w:sz="4" w:space="0"/>
              <w:bottom w:val="single" w:color="auto" w:sz="4" w:space="0"/>
              <w:right w:val="single" w:color="auto" w:sz="4" w:space="0"/>
            </w:tcBorders>
            <w:noWrap/>
            <w:vAlign w:val="center"/>
          </w:tcPr>
          <w:p w14:paraId="02C8F28F">
            <w:pPr>
              <w:keepNext w:val="0"/>
              <w:keepLines w:val="0"/>
              <w:pageBreakBefore w:val="0"/>
              <w:widowControl/>
              <w:kinsoku/>
              <w:wordWrap/>
              <w:overflowPunct/>
              <w:topLinePunct w:val="0"/>
              <w:autoSpaceDE/>
              <w:autoSpaceDN/>
              <w:bidi w:val="0"/>
              <w:adjustRightInd/>
              <w:snapToGrid/>
              <w:spacing w:after="0"/>
              <w:jc w:val="center"/>
              <w:textAlignment w:val="auto"/>
              <w:rPr>
                <w:rFonts w:eastAsia="仿宋_GB2312"/>
                <w:color w:val="000000"/>
                <w:sz w:val="24"/>
              </w:rPr>
            </w:pPr>
            <w:r>
              <w:rPr>
                <w:rFonts w:hint="eastAsia" w:eastAsia="仿宋_GB2312"/>
                <w:color w:val="000000"/>
                <w:sz w:val="24"/>
              </w:rPr>
              <w:t>2</w:t>
            </w:r>
            <w:r>
              <w:rPr>
                <w:rFonts w:eastAsia="仿宋_GB2312"/>
                <w:color w:val="000000"/>
                <w:sz w:val="24"/>
              </w:rPr>
              <w:t>020</w:t>
            </w:r>
          </w:p>
        </w:tc>
        <w:tc>
          <w:tcPr>
            <w:tcW w:w="1075" w:type="pct"/>
            <w:tcBorders>
              <w:top w:val="single" w:color="auto" w:sz="4" w:space="0"/>
              <w:left w:val="nil"/>
              <w:bottom w:val="single" w:color="auto" w:sz="4" w:space="0"/>
              <w:right w:val="single" w:color="auto" w:sz="4" w:space="0"/>
            </w:tcBorders>
            <w:noWrap/>
            <w:vAlign w:val="center"/>
          </w:tcPr>
          <w:p w14:paraId="43170853">
            <w:pPr>
              <w:keepNext w:val="0"/>
              <w:keepLines w:val="0"/>
              <w:pageBreakBefore w:val="0"/>
              <w:widowControl/>
              <w:kinsoku/>
              <w:wordWrap/>
              <w:overflowPunct/>
              <w:topLinePunct w:val="0"/>
              <w:autoSpaceDE/>
              <w:autoSpaceDN/>
              <w:bidi w:val="0"/>
              <w:adjustRightInd/>
              <w:snapToGrid/>
              <w:spacing w:after="0"/>
              <w:jc w:val="center"/>
              <w:textAlignment w:val="auto"/>
              <w:rPr>
                <w:rFonts w:eastAsia="仿宋_GB2312" w:cs="Calibri"/>
                <w:color w:val="000000"/>
                <w:sz w:val="24"/>
              </w:rPr>
            </w:pPr>
            <w:r>
              <w:rPr>
                <w:rFonts w:eastAsia="仿宋_GB2312" w:cs="Calibri"/>
                <w:color w:val="000000"/>
                <w:sz w:val="24"/>
              </w:rPr>
              <w:t>0</w:t>
            </w:r>
          </w:p>
        </w:tc>
        <w:tc>
          <w:tcPr>
            <w:tcW w:w="1368" w:type="pct"/>
            <w:tcBorders>
              <w:top w:val="single" w:color="auto" w:sz="4" w:space="0"/>
              <w:left w:val="nil"/>
              <w:bottom w:val="single" w:color="auto" w:sz="4" w:space="0"/>
              <w:right w:val="single" w:color="auto" w:sz="4" w:space="0"/>
            </w:tcBorders>
            <w:noWrap/>
            <w:vAlign w:val="center"/>
          </w:tcPr>
          <w:p w14:paraId="782D8B46">
            <w:pPr>
              <w:keepNext w:val="0"/>
              <w:keepLines w:val="0"/>
              <w:pageBreakBefore w:val="0"/>
              <w:widowControl/>
              <w:kinsoku/>
              <w:wordWrap/>
              <w:overflowPunct/>
              <w:topLinePunct w:val="0"/>
              <w:autoSpaceDE/>
              <w:autoSpaceDN/>
              <w:bidi w:val="0"/>
              <w:adjustRightInd/>
              <w:snapToGrid/>
              <w:spacing w:after="0"/>
              <w:jc w:val="center"/>
              <w:textAlignment w:val="auto"/>
              <w:rPr>
                <w:rFonts w:eastAsia="仿宋_GB2312" w:cs="Calibri"/>
                <w:color w:val="000000"/>
                <w:sz w:val="24"/>
              </w:rPr>
            </w:pPr>
            <w:r>
              <w:rPr>
                <w:rFonts w:eastAsia="仿宋_GB2312" w:cs="Calibri"/>
                <w:color w:val="000000"/>
                <w:sz w:val="24"/>
              </w:rPr>
              <w:t>15256.41</w:t>
            </w:r>
          </w:p>
        </w:tc>
        <w:tc>
          <w:tcPr>
            <w:tcW w:w="1482" w:type="pct"/>
            <w:tcBorders>
              <w:top w:val="single" w:color="auto" w:sz="4" w:space="0"/>
              <w:left w:val="nil"/>
              <w:bottom w:val="single" w:color="auto" w:sz="4" w:space="0"/>
              <w:right w:val="single" w:color="auto" w:sz="4" w:space="0"/>
            </w:tcBorders>
            <w:vAlign w:val="center"/>
          </w:tcPr>
          <w:p w14:paraId="59A904FB">
            <w:pPr>
              <w:keepNext w:val="0"/>
              <w:keepLines w:val="0"/>
              <w:pageBreakBefore w:val="0"/>
              <w:widowControl/>
              <w:kinsoku/>
              <w:wordWrap/>
              <w:overflowPunct/>
              <w:topLinePunct w:val="0"/>
              <w:autoSpaceDE/>
              <w:autoSpaceDN/>
              <w:bidi w:val="0"/>
              <w:adjustRightInd/>
              <w:snapToGrid/>
              <w:spacing w:after="0"/>
              <w:jc w:val="center"/>
              <w:textAlignment w:val="auto"/>
              <w:rPr>
                <w:rFonts w:eastAsia="仿宋_GB2312" w:cs="Calibri"/>
                <w:color w:val="000000"/>
                <w:sz w:val="24"/>
              </w:rPr>
            </w:pPr>
            <w:r>
              <w:rPr>
                <w:rFonts w:eastAsia="仿宋_GB2312" w:cs="Calibri"/>
                <w:color w:val="000000"/>
                <w:sz w:val="24"/>
              </w:rPr>
              <w:t>15256.41</w:t>
            </w:r>
          </w:p>
        </w:tc>
      </w:tr>
    </w:tbl>
    <w:p w14:paraId="7B22A87F">
      <w:pPr>
        <w:jc w:val="center"/>
      </w:pPr>
      <w:r>
        <w:rPr>
          <w:lang w:val="en-US"/>
        </w:rPr>
        <w:drawing>
          <wp:inline distT="0" distB="0" distL="0" distR="0">
            <wp:extent cx="4568825" cy="2740025"/>
            <wp:effectExtent l="0" t="0" r="3175" b="3175"/>
            <wp:docPr id="3"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6B4347E">
      <w:pPr>
        <w:spacing w:after="0" w:line="560" w:lineRule="exact"/>
        <w:jc w:val="center"/>
        <w:rPr>
          <w:rFonts w:eastAsia="仿宋_GB2312"/>
          <w:sz w:val="32"/>
          <w:szCs w:val="32"/>
        </w:rPr>
      </w:pPr>
      <w:r>
        <w:rPr>
          <w:rFonts w:hint="eastAsia" w:eastAsia="仿宋_GB2312"/>
          <w:sz w:val="24"/>
        </w:rPr>
        <w:t>图</w:t>
      </w:r>
      <w:r>
        <w:rPr>
          <w:rFonts w:eastAsia="仿宋_GB2312"/>
          <w:sz w:val="24"/>
        </w:rPr>
        <w:t>XX  排放量</w:t>
      </w:r>
      <w:r>
        <w:rPr>
          <w:rFonts w:hint="eastAsia" w:eastAsia="仿宋_GB2312"/>
          <w:sz w:val="24"/>
        </w:rPr>
        <w:t>变化趋势图（增加2</w:t>
      </w:r>
      <w:r>
        <w:rPr>
          <w:rFonts w:eastAsia="仿宋_GB2312"/>
          <w:sz w:val="24"/>
        </w:rPr>
        <w:t>020年度）</w:t>
      </w:r>
    </w:p>
    <w:p w14:paraId="50954145">
      <w:pPr>
        <w:spacing w:after="0" w:line="560" w:lineRule="exact"/>
        <w:ind w:firstLine="640" w:firstLineChars="200"/>
        <w:rPr>
          <w:rFonts w:eastAsia="仿宋_GB2312"/>
          <w:sz w:val="32"/>
          <w:szCs w:val="32"/>
        </w:rPr>
      </w:pPr>
      <w:r>
        <w:rPr>
          <w:rFonts w:hint="eastAsia" w:eastAsia="仿宋_GB2312"/>
          <w:sz w:val="32"/>
          <w:szCs w:val="32"/>
        </w:rPr>
        <w:t>4. 核算和报告边界变化</w:t>
      </w:r>
      <w:r>
        <w:rPr>
          <w:rFonts w:hint="eastAsia" w:ascii="Times New Roman" w:hAnsi="Times New Roman" w:eastAsia="仿宋_GB2312"/>
          <w:sz w:val="32"/>
          <w:szCs w:val="32"/>
        </w:rPr>
        <w:t>（含设施变化）</w:t>
      </w:r>
      <w:r>
        <w:rPr>
          <w:rFonts w:hint="eastAsia" w:eastAsia="仿宋_GB2312"/>
          <w:sz w:val="32"/>
          <w:szCs w:val="32"/>
        </w:rPr>
        <w:t>情况</w:t>
      </w:r>
    </w:p>
    <w:p w14:paraId="60F15A1C">
      <w:pPr>
        <w:spacing w:after="0" w:line="560" w:lineRule="exact"/>
        <w:ind w:firstLine="640" w:firstLineChars="200"/>
        <w:rPr>
          <w:rFonts w:eastAsia="仿宋_GB2312"/>
          <w:sz w:val="32"/>
          <w:szCs w:val="32"/>
        </w:rPr>
      </w:pPr>
      <w:r>
        <w:rPr>
          <w:rFonts w:hint="eastAsia" w:eastAsia="仿宋_GB2312"/>
          <w:sz w:val="32"/>
          <w:szCs w:val="32"/>
        </w:rPr>
        <w:t>4.1 本年度场所边界的变化</w:t>
      </w:r>
    </w:p>
    <w:p w14:paraId="41AA652B">
      <w:pPr>
        <w:spacing w:after="0" w:line="560" w:lineRule="exact"/>
        <w:ind w:firstLine="640" w:firstLineChars="200"/>
        <w:jc w:val="both"/>
        <w:rPr>
          <w:rFonts w:eastAsia="仿宋_GB2312"/>
          <w:sz w:val="32"/>
          <w:szCs w:val="32"/>
        </w:rPr>
      </w:pPr>
      <w:r>
        <w:rPr>
          <w:rFonts w:eastAsia="仿宋_GB2312"/>
          <w:sz w:val="32"/>
          <w:szCs w:val="32"/>
        </w:rPr>
        <w:t>排放单位核算和报告边界为北京市辖区内经营</w:t>
      </w:r>
      <w:r>
        <w:rPr>
          <w:rFonts w:hint="eastAsia" w:eastAsia="仿宋_GB2312"/>
          <w:sz w:val="32"/>
          <w:szCs w:val="32"/>
        </w:rPr>
        <w:t>的</w:t>
      </w:r>
      <w:r>
        <w:rPr>
          <w:rFonts w:eastAsia="仿宋_GB2312"/>
          <w:sz w:val="32"/>
          <w:szCs w:val="32"/>
        </w:rPr>
        <w:t>办公网点</w:t>
      </w:r>
      <w:r>
        <w:rPr>
          <w:rFonts w:hint="eastAsia" w:eastAsia="仿宋_GB2312"/>
          <w:sz w:val="32"/>
          <w:szCs w:val="32"/>
        </w:rPr>
        <w:t>，包括</w:t>
      </w:r>
      <w:r>
        <w:rPr>
          <w:rFonts w:eastAsia="仿宋_GB2312"/>
          <w:sz w:val="32"/>
          <w:szCs w:val="32"/>
        </w:rPr>
        <w:t>xxx</w:t>
      </w:r>
      <w:r>
        <w:rPr>
          <w:rFonts w:hint="eastAsia" w:eastAsia="仿宋_GB2312"/>
          <w:sz w:val="32"/>
          <w:szCs w:val="32"/>
        </w:rPr>
        <w:t>个支行及位于xx的办公大楼，建筑面积共计xxx平方米，还包括xx个大型数据中心，xx个中小型数据中心。与上年度相比，增加xx个支行及位于xxx的办公区域；与历史基准年相比，增加xx个支行及位于xxx的办公区域。</w:t>
      </w:r>
    </w:p>
    <w:p w14:paraId="72E15645">
      <w:pPr>
        <w:spacing w:after="0" w:line="560" w:lineRule="exact"/>
        <w:ind w:left="440" w:leftChars="200"/>
        <w:jc w:val="both"/>
        <w:rPr>
          <w:rFonts w:eastAsia="仿宋_GB2312"/>
          <w:sz w:val="32"/>
          <w:szCs w:val="32"/>
        </w:rPr>
      </w:pPr>
      <w:r>
        <w:rPr>
          <w:rFonts w:hint="eastAsia" w:eastAsia="仿宋_GB2312"/>
          <w:sz w:val="32"/>
          <w:szCs w:val="32"/>
        </w:rPr>
        <w:t>4.2</w:t>
      </w:r>
      <w:r>
        <w:rPr>
          <w:rFonts w:eastAsia="仿宋_GB2312"/>
          <w:sz w:val="32"/>
          <w:szCs w:val="32"/>
        </w:rPr>
        <w:t>本年度排放设施的变化</w:t>
      </w:r>
    </w:p>
    <w:p w14:paraId="437AEF26">
      <w:pPr>
        <w:spacing w:after="0" w:line="560" w:lineRule="exact"/>
        <w:ind w:firstLine="465"/>
        <w:jc w:val="both"/>
        <w:rPr>
          <w:rFonts w:eastAsia="仿宋_GB2312"/>
          <w:sz w:val="32"/>
          <w:szCs w:val="32"/>
        </w:rPr>
      </w:pPr>
      <w:r>
        <w:rPr>
          <w:rFonts w:eastAsia="仿宋_GB2312"/>
          <w:sz w:val="32"/>
          <w:szCs w:val="32"/>
        </w:rPr>
        <w:t>排放单位2018年存在</w:t>
      </w:r>
      <w:r>
        <w:rPr>
          <w:rFonts w:hint="eastAsia" w:eastAsia="仿宋_GB2312"/>
          <w:sz w:val="32"/>
          <w:szCs w:val="32"/>
        </w:rPr>
        <w:t>x</w:t>
      </w:r>
      <w:r>
        <w:rPr>
          <w:rFonts w:eastAsia="仿宋_GB2312"/>
          <w:sz w:val="32"/>
          <w:szCs w:val="32"/>
        </w:rPr>
        <w:t>xx支行、</w:t>
      </w:r>
      <w:r>
        <w:rPr>
          <w:rFonts w:hint="eastAsia" w:eastAsia="仿宋_GB2312"/>
          <w:sz w:val="32"/>
          <w:szCs w:val="32"/>
        </w:rPr>
        <w:t>x</w:t>
      </w:r>
      <w:r>
        <w:rPr>
          <w:rFonts w:eastAsia="仿宋_GB2312"/>
          <w:sz w:val="32"/>
          <w:szCs w:val="32"/>
        </w:rPr>
        <w:t>xx支行、</w:t>
      </w:r>
      <w:r>
        <w:rPr>
          <w:rFonts w:hint="eastAsia" w:eastAsia="仿宋_GB2312"/>
          <w:sz w:val="32"/>
          <w:szCs w:val="32"/>
        </w:rPr>
        <w:t>x</w:t>
      </w:r>
      <w:r>
        <w:rPr>
          <w:rFonts w:eastAsia="仿宋_GB2312"/>
          <w:sz w:val="32"/>
          <w:szCs w:val="32"/>
        </w:rPr>
        <w:t>xx支行3个支行截至2018年底运行时间均不足12个月，符合调整既有设施排放配额的申请条件，此信息供既有设施调整配额参考。</w:t>
      </w:r>
    </w:p>
    <w:p w14:paraId="72B79D4C">
      <w:pPr>
        <w:spacing w:after="0" w:line="560" w:lineRule="exact"/>
        <w:ind w:firstLine="465"/>
        <w:jc w:val="both"/>
        <w:rPr>
          <w:rFonts w:eastAsia="仿宋_GB2312"/>
          <w:sz w:val="32"/>
          <w:szCs w:val="32"/>
        </w:rPr>
      </w:pPr>
      <w:r>
        <w:rPr>
          <w:rFonts w:eastAsia="仿宋_GB2312"/>
          <w:sz w:val="32"/>
          <w:szCs w:val="32"/>
        </w:rPr>
        <w:t>本年度既有设施退出数量为1个，xxxx支行于2017年4月5日停止营业。</w:t>
      </w:r>
    </w:p>
    <w:p w14:paraId="095044D6">
      <w:pPr>
        <w:spacing w:after="0" w:line="560" w:lineRule="exact"/>
        <w:jc w:val="center"/>
        <w:rPr>
          <w:rFonts w:eastAsia="仿宋_GB2312"/>
          <w:sz w:val="24"/>
        </w:rPr>
      </w:pPr>
      <w:r>
        <w:rPr>
          <w:rFonts w:eastAsia="仿宋_GB2312"/>
          <w:sz w:val="24"/>
        </w:rPr>
        <w:t>表XX  既有设施退出信息表</w:t>
      </w:r>
    </w:p>
    <w:tbl>
      <w:tblPr>
        <w:tblStyle w:val="3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73"/>
        <w:gridCol w:w="1112"/>
        <w:gridCol w:w="709"/>
        <w:gridCol w:w="943"/>
        <w:gridCol w:w="1100"/>
        <w:gridCol w:w="1143"/>
        <w:gridCol w:w="1143"/>
        <w:gridCol w:w="1143"/>
      </w:tblGrid>
      <w:tr w14:paraId="4DE03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456" w:type="dxa"/>
            <w:vMerge w:val="restart"/>
            <w:vAlign w:val="center"/>
          </w:tcPr>
          <w:p w14:paraId="1A9B83E9">
            <w:pPr>
              <w:jc w:val="center"/>
              <w:rPr>
                <w:rFonts w:eastAsia="仿宋_GB2312"/>
                <w:sz w:val="24"/>
              </w:rPr>
            </w:pPr>
            <w:r>
              <w:rPr>
                <w:rFonts w:eastAsia="仿宋_GB2312"/>
                <w:sz w:val="24"/>
              </w:rPr>
              <w:t>序号</w:t>
            </w:r>
          </w:p>
        </w:tc>
        <w:tc>
          <w:tcPr>
            <w:tcW w:w="773" w:type="dxa"/>
            <w:vMerge w:val="restart"/>
            <w:vAlign w:val="center"/>
          </w:tcPr>
          <w:p w14:paraId="53B965F4">
            <w:pPr>
              <w:jc w:val="center"/>
              <w:rPr>
                <w:rFonts w:eastAsia="仿宋_GB2312"/>
                <w:sz w:val="24"/>
              </w:rPr>
            </w:pPr>
            <w:r>
              <w:rPr>
                <w:rFonts w:eastAsia="仿宋_GB2312"/>
                <w:sz w:val="24"/>
              </w:rPr>
              <w:t>既有设施名称</w:t>
            </w:r>
          </w:p>
        </w:tc>
        <w:tc>
          <w:tcPr>
            <w:tcW w:w="1112" w:type="dxa"/>
            <w:vMerge w:val="restart"/>
            <w:vAlign w:val="center"/>
          </w:tcPr>
          <w:p w14:paraId="0A57F4F1">
            <w:pPr>
              <w:jc w:val="center"/>
              <w:rPr>
                <w:rFonts w:eastAsia="仿宋_GB2312"/>
                <w:sz w:val="24"/>
              </w:rPr>
            </w:pPr>
            <w:r>
              <w:rPr>
                <w:rFonts w:eastAsia="仿宋_GB2312"/>
                <w:sz w:val="24"/>
              </w:rPr>
              <w:t>既有设施对应其它生产信息（如适用）</w:t>
            </w:r>
          </w:p>
        </w:tc>
        <w:tc>
          <w:tcPr>
            <w:tcW w:w="709" w:type="dxa"/>
            <w:vMerge w:val="restart"/>
            <w:vAlign w:val="center"/>
          </w:tcPr>
          <w:p w14:paraId="48431026">
            <w:pPr>
              <w:jc w:val="center"/>
              <w:rPr>
                <w:rFonts w:eastAsia="仿宋_GB2312"/>
                <w:sz w:val="24"/>
              </w:rPr>
            </w:pPr>
            <w:r>
              <w:rPr>
                <w:rFonts w:eastAsia="仿宋_GB2312"/>
                <w:sz w:val="24"/>
              </w:rPr>
              <w:t>退出时间</w:t>
            </w:r>
          </w:p>
        </w:tc>
        <w:tc>
          <w:tcPr>
            <w:tcW w:w="943" w:type="dxa"/>
            <w:vMerge w:val="restart"/>
            <w:vAlign w:val="center"/>
          </w:tcPr>
          <w:p w14:paraId="6E921CF4">
            <w:pPr>
              <w:jc w:val="center"/>
              <w:rPr>
                <w:rFonts w:eastAsia="仿宋_GB2312"/>
                <w:sz w:val="24"/>
              </w:rPr>
            </w:pPr>
            <w:r>
              <w:rPr>
                <w:rFonts w:eastAsia="仿宋_GB2312"/>
                <w:sz w:val="24"/>
              </w:rPr>
              <w:t>是否由新增设施替代</w:t>
            </w:r>
          </w:p>
        </w:tc>
        <w:tc>
          <w:tcPr>
            <w:tcW w:w="1100" w:type="dxa"/>
            <w:vMerge w:val="restart"/>
            <w:tcBorders>
              <w:right w:val="single" w:color="auto" w:sz="4" w:space="0"/>
            </w:tcBorders>
            <w:vAlign w:val="center"/>
          </w:tcPr>
          <w:p w14:paraId="1DDCA579">
            <w:pPr>
              <w:jc w:val="center"/>
              <w:rPr>
                <w:rFonts w:eastAsia="仿宋_GB2312"/>
                <w:sz w:val="24"/>
              </w:rPr>
            </w:pPr>
            <w:r>
              <w:rPr>
                <w:rFonts w:eastAsia="仿宋_GB2312"/>
                <w:sz w:val="24"/>
              </w:rPr>
              <w:t>年度</w:t>
            </w:r>
          </w:p>
        </w:tc>
        <w:tc>
          <w:tcPr>
            <w:tcW w:w="3429" w:type="dxa"/>
            <w:gridSpan w:val="3"/>
            <w:tcBorders>
              <w:left w:val="single" w:color="auto" w:sz="4" w:space="0"/>
            </w:tcBorders>
            <w:vAlign w:val="center"/>
          </w:tcPr>
          <w:p w14:paraId="2229ACBF">
            <w:pPr>
              <w:jc w:val="center"/>
              <w:rPr>
                <w:rFonts w:eastAsia="仿宋_GB2312"/>
                <w:sz w:val="24"/>
              </w:rPr>
            </w:pPr>
            <w:r>
              <w:rPr>
                <w:rFonts w:eastAsia="仿宋_GB2312"/>
                <w:sz w:val="24"/>
              </w:rPr>
              <w:t>历史年度排放量</w:t>
            </w:r>
          </w:p>
        </w:tc>
      </w:tr>
      <w:tr w14:paraId="7F95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56" w:type="dxa"/>
            <w:vMerge w:val="continue"/>
            <w:vAlign w:val="center"/>
          </w:tcPr>
          <w:p w14:paraId="26A6095C">
            <w:pPr>
              <w:jc w:val="center"/>
              <w:rPr>
                <w:rFonts w:eastAsia="仿宋_GB2312"/>
                <w:sz w:val="24"/>
              </w:rPr>
            </w:pPr>
          </w:p>
        </w:tc>
        <w:tc>
          <w:tcPr>
            <w:tcW w:w="773" w:type="dxa"/>
            <w:vMerge w:val="continue"/>
            <w:vAlign w:val="center"/>
          </w:tcPr>
          <w:p w14:paraId="596A4457">
            <w:pPr>
              <w:jc w:val="center"/>
              <w:rPr>
                <w:rFonts w:eastAsia="仿宋_GB2312"/>
                <w:sz w:val="24"/>
              </w:rPr>
            </w:pPr>
          </w:p>
        </w:tc>
        <w:tc>
          <w:tcPr>
            <w:tcW w:w="1112" w:type="dxa"/>
            <w:vMerge w:val="continue"/>
            <w:vAlign w:val="center"/>
          </w:tcPr>
          <w:p w14:paraId="19F8AD2D">
            <w:pPr>
              <w:jc w:val="center"/>
              <w:rPr>
                <w:rFonts w:eastAsia="仿宋_GB2312"/>
                <w:sz w:val="24"/>
              </w:rPr>
            </w:pPr>
          </w:p>
        </w:tc>
        <w:tc>
          <w:tcPr>
            <w:tcW w:w="709" w:type="dxa"/>
            <w:vMerge w:val="continue"/>
            <w:vAlign w:val="center"/>
          </w:tcPr>
          <w:p w14:paraId="63FFD4E9">
            <w:pPr>
              <w:jc w:val="center"/>
              <w:rPr>
                <w:rFonts w:eastAsia="仿宋_GB2312"/>
                <w:sz w:val="24"/>
              </w:rPr>
            </w:pPr>
          </w:p>
        </w:tc>
        <w:tc>
          <w:tcPr>
            <w:tcW w:w="943" w:type="dxa"/>
            <w:vMerge w:val="continue"/>
            <w:vAlign w:val="center"/>
          </w:tcPr>
          <w:p w14:paraId="5D2795F0">
            <w:pPr>
              <w:jc w:val="center"/>
              <w:rPr>
                <w:rFonts w:eastAsia="仿宋_GB2312"/>
                <w:sz w:val="24"/>
              </w:rPr>
            </w:pPr>
          </w:p>
        </w:tc>
        <w:tc>
          <w:tcPr>
            <w:tcW w:w="1100" w:type="dxa"/>
            <w:vMerge w:val="continue"/>
            <w:tcBorders>
              <w:right w:val="single" w:color="auto" w:sz="4" w:space="0"/>
            </w:tcBorders>
            <w:vAlign w:val="center"/>
          </w:tcPr>
          <w:p w14:paraId="24AC0610">
            <w:pPr>
              <w:jc w:val="center"/>
              <w:rPr>
                <w:rFonts w:eastAsia="仿宋_GB2312"/>
                <w:sz w:val="24"/>
              </w:rPr>
            </w:pPr>
          </w:p>
        </w:tc>
        <w:tc>
          <w:tcPr>
            <w:tcW w:w="1143" w:type="dxa"/>
            <w:tcBorders>
              <w:left w:val="single" w:color="auto" w:sz="4" w:space="0"/>
            </w:tcBorders>
            <w:vAlign w:val="center"/>
          </w:tcPr>
          <w:p w14:paraId="5CA2543E">
            <w:pPr>
              <w:jc w:val="center"/>
              <w:rPr>
                <w:rFonts w:eastAsia="仿宋_GB2312"/>
                <w:sz w:val="24"/>
              </w:rPr>
            </w:pPr>
            <w:r>
              <w:rPr>
                <w:rFonts w:eastAsia="仿宋_GB2312"/>
                <w:sz w:val="24"/>
              </w:rPr>
              <w:t>直接排放量</w:t>
            </w:r>
          </w:p>
          <w:p w14:paraId="23123C9F">
            <w:pPr>
              <w:jc w:val="center"/>
              <w:rPr>
                <w:rFonts w:eastAsia="仿宋_GB2312"/>
                <w:sz w:val="24"/>
              </w:rPr>
            </w:pPr>
            <w:r>
              <w:rPr>
                <w:rFonts w:eastAsia="仿宋_GB2312"/>
                <w:sz w:val="24"/>
              </w:rPr>
              <w:t>（tCO</w:t>
            </w:r>
            <w:r>
              <w:rPr>
                <w:rFonts w:eastAsia="仿宋_GB2312"/>
                <w:sz w:val="24"/>
                <w:vertAlign w:val="subscript"/>
              </w:rPr>
              <w:t>2</w:t>
            </w:r>
            <w:r>
              <w:rPr>
                <w:rFonts w:eastAsia="仿宋_GB2312"/>
                <w:sz w:val="24"/>
              </w:rPr>
              <w:t>）</w:t>
            </w:r>
          </w:p>
        </w:tc>
        <w:tc>
          <w:tcPr>
            <w:tcW w:w="1143" w:type="dxa"/>
            <w:vAlign w:val="center"/>
          </w:tcPr>
          <w:p w14:paraId="3CEE572E">
            <w:pPr>
              <w:jc w:val="center"/>
              <w:rPr>
                <w:rFonts w:eastAsia="仿宋_GB2312"/>
                <w:sz w:val="24"/>
              </w:rPr>
            </w:pPr>
            <w:r>
              <w:rPr>
                <w:rFonts w:eastAsia="仿宋_GB2312"/>
                <w:sz w:val="24"/>
              </w:rPr>
              <w:t>间接排放量（tCO</w:t>
            </w:r>
            <w:r>
              <w:rPr>
                <w:rFonts w:eastAsia="仿宋_GB2312"/>
                <w:sz w:val="24"/>
                <w:vertAlign w:val="subscript"/>
              </w:rPr>
              <w:t>2</w:t>
            </w:r>
            <w:r>
              <w:rPr>
                <w:rFonts w:eastAsia="仿宋_GB2312"/>
                <w:sz w:val="24"/>
              </w:rPr>
              <w:t>）</w:t>
            </w:r>
          </w:p>
        </w:tc>
        <w:tc>
          <w:tcPr>
            <w:tcW w:w="1143" w:type="dxa"/>
            <w:vAlign w:val="center"/>
          </w:tcPr>
          <w:p w14:paraId="2E430BEB">
            <w:pPr>
              <w:jc w:val="center"/>
              <w:rPr>
                <w:rFonts w:eastAsia="仿宋_GB2312"/>
                <w:sz w:val="24"/>
              </w:rPr>
            </w:pPr>
            <w:r>
              <w:rPr>
                <w:rFonts w:eastAsia="仿宋_GB2312"/>
                <w:sz w:val="24"/>
              </w:rPr>
              <w:t>总排放量（tCO</w:t>
            </w:r>
            <w:r>
              <w:rPr>
                <w:rFonts w:eastAsia="仿宋_GB2312"/>
                <w:sz w:val="24"/>
                <w:vertAlign w:val="subscript"/>
              </w:rPr>
              <w:t>2</w:t>
            </w:r>
            <w:r>
              <w:rPr>
                <w:rFonts w:eastAsia="仿宋_GB2312"/>
                <w:sz w:val="24"/>
              </w:rPr>
              <w:t>）</w:t>
            </w:r>
          </w:p>
        </w:tc>
      </w:tr>
      <w:tr w14:paraId="6417D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456" w:type="dxa"/>
            <w:vMerge w:val="restart"/>
            <w:vAlign w:val="center"/>
          </w:tcPr>
          <w:p w14:paraId="496CFBAF">
            <w:pPr>
              <w:jc w:val="center"/>
              <w:rPr>
                <w:rFonts w:eastAsia="仿宋_GB2312"/>
                <w:sz w:val="24"/>
              </w:rPr>
            </w:pPr>
            <w:r>
              <w:rPr>
                <w:rFonts w:eastAsia="仿宋_GB2312"/>
                <w:sz w:val="24"/>
              </w:rPr>
              <w:t>1</w:t>
            </w:r>
          </w:p>
        </w:tc>
        <w:tc>
          <w:tcPr>
            <w:tcW w:w="773" w:type="dxa"/>
            <w:vMerge w:val="restart"/>
            <w:vAlign w:val="center"/>
          </w:tcPr>
          <w:p w14:paraId="6AF80FCB">
            <w:pPr>
              <w:jc w:val="center"/>
              <w:rPr>
                <w:rFonts w:eastAsia="仿宋_GB2312"/>
                <w:sz w:val="24"/>
              </w:rPr>
            </w:pPr>
            <w:r>
              <w:rPr>
                <w:rFonts w:eastAsia="仿宋_GB2312"/>
                <w:sz w:val="24"/>
              </w:rPr>
              <w:t>xxx支行</w:t>
            </w:r>
          </w:p>
        </w:tc>
        <w:tc>
          <w:tcPr>
            <w:tcW w:w="1112" w:type="dxa"/>
            <w:vMerge w:val="restart"/>
            <w:vAlign w:val="center"/>
          </w:tcPr>
          <w:p w14:paraId="4BAE6711">
            <w:pPr>
              <w:jc w:val="center"/>
              <w:rPr>
                <w:rFonts w:eastAsia="仿宋_GB2312"/>
                <w:sz w:val="24"/>
              </w:rPr>
            </w:pPr>
            <w:r>
              <w:rPr>
                <w:rFonts w:eastAsia="仿宋_GB2312"/>
                <w:sz w:val="24"/>
              </w:rPr>
              <w:t>建筑面积：xxx平方米</w:t>
            </w:r>
          </w:p>
        </w:tc>
        <w:tc>
          <w:tcPr>
            <w:tcW w:w="709" w:type="dxa"/>
            <w:vMerge w:val="restart"/>
            <w:vAlign w:val="center"/>
          </w:tcPr>
          <w:p w14:paraId="29BC923D">
            <w:pPr>
              <w:jc w:val="center"/>
              <w:rPr>
                <w:rFonts w:eastAsia="仿宋_GB2312"/>
                <w:sz w:val="24"/>
              </w:rPr>
            </w:pPr>
            <w:r>
              <w:rPr>
                <w:rFonts w:eastAsia="仿宋_GB2312"/>
                <w:sz w:val="24"/>
              </w:rPr>
              <w:t>2017</w:t>
            </w:r>
          </w:p>
        </w:tc>
        <w:tc>
          <w:tcPr>
            <w:tcW w:w="943" w:type="dxa"/>
            <w:vMerge w:val="restart"/>
            <w:vAlign w:val="center"/>
          </w:tcPr>
          <w:p w14:paraId="7EBFA365">
            <w:pPr>
              <w:jc w:val="center"/>
              <w:rPr>
                <w:rFonts w:eastAsia="仿宋_GB2312"/>
                <w:sz w:val="24"/>
              </w:rPr>
            </w:pPr>
            <w:r>
              <w:rPr>
                <w:rFonts w:eastAsia="仿宋_GB2312"/>
                <w:sz w:val="24"/>
              </w:rPr>
              <w:t>否</w:t>
            </w:r>
          </w:p>
        </w:tc>
        <w:tc>
          <w:tcPr>
            <w:tcW w:w="1100" w:type="dxa"/>
            <w:tcBorders>
              <w:right w:val="single" w:color="auto" w:sz="4" w:space="0"/>
            </w:tcBorders>
          </w:tcPr>
          <w:p w14:paraId="1EDCF496">
            <w:pPr>
              <w:rPr>
                <w:rFonts w:eastAsia="仿宋_GB2312"/>
                <w:sz w:val="24"/>
              </w:rPr>
            </w:pPr>
            <w:r>
              <w:rPr>
                <w:rFonts w:eastAsia="仿宋_GB2312"/>
                <w:sz w:val="24"/>
              </w:rPr>
              <w:t>2016年</w:t>
            </w:r>
          </w:p>
        </w:tc>
        <w:tc>
          <w:tcPr>
            <w:tcW w:w="1143" w:type="dxa"/>
            <w:tcBorders>
              <w:left w:val="single" w:color="auto" w:sz="4" w:space="0"/>
            </w:tcBorders>
          </w:tcPr>
          <w:p w14:paraId="191B5EA0">
            <w:pPr>
              <w:jc w:val="center"/>
              <w:rPr>
                <w:rFonts w:eastAsia="仿宋_GB2312"/>
                <w:sz w:val="24"/>
              </w:rPr>
            </w:pPr>
            <w:r>
              <w:rPr>
                <w:rFonts w:eastAsia="仿宋_GB2312"/>
                <w:sz w:val="24"/>
              </w:rPr>
              <w:t>0</w:t>
            </w:r>
          </w:p>
        </w:tc>
        <w:tc>
          <w:tcPr>
            <w:tcW w:w="1143" w:type="dxa"/>
            <w:vAlign w:val="bottom"/>
          </w:tcPr>
          <w:p w14:paraId="6A339E5F">
            <w:pPr>
              <w:jc w:val="center"/>
              <w:rPr>
                <w:rFonts w:eastAsia="仿宋_GB2312"/>
                <w:sz w:val="24"/>
              </w:rPr>
            </w:pPr>
            <w:r>
              <w:rPr>
                <w:rFonts w:hint="eastAsia" w:eastAsia="仿宋_GB2312"/>
                <w:sz w:val="24"/>
              </w:rPr>
              <w:t>37.5</w:t>
            </w:r>
          </w:p>
        </w:tc>
        <w:tc>
          <w:tcPr>
            <w:tcW w:w="1143" w:type="dxa"/>
            <w:vAlign w:val="bottom"/>
          </w:tcPr>
          <w:p w14:paraId="13B41CF9">
            <w:pPr>
              <w:jc w:val="center"/>
              <w:rPr>
                <w:rFonts w:eastAsia="仿宋_GB2312"/>
                <w:sz w:val="24"/>
              </w:rPr>
            </w:pPr>
            <w:r>
              <w:rPr>
                <w:rFonts w:hint="eastAsia" w:eastAsia="仿宋_GB2312"/>
                <w:sz w:val="24"/>
              </w:rPr>
              <w:t>37.5</w:t>
            </w:r>
          </w:p>
        </w:tc>
      </w:tr>
      <w:tr w14:paraId="01F3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56" w:type="dxa"/>
            <w:vMerge w:val="continue"/>
          </w:tcPr>
          <w:p w14:paraId="39DB11D5">
            <w:pPr>
              <w:rPr>
                <w:rFonts w:eastAsia="仿宋_GB2312"/>
                <w:sz w:val="24"/>
              </w:rPr>
            </w:pPr>
          </w:p>
        </w:tc>
        <w:tc>
          <w:tcPr>
            <w:tcW w:w="773" w:type="dxa"/>
            <w:vMerge w:val="continue"/>
          </w:tcPr>
          <w:p w14:paraId="36D803D5">
            <w:pPr>
              <w:rPr>
                <w:rFonts w:eastAsia="仿宋_GB2312"/>
                <w:sz w:val="24"/>
              </w:rPr>
            </w:pPr>
          </w:p>
        </w:tc>
        <w:tc>
          <w:tcPr>
            <w:tcW w:w="1112" w:type="dxa"/>
            <w:vMerge w:val="continue"/>
          </w:tcPr>
          <w:p w14:paraId="498D281C">
            <w:pPr>
              <w:rPr>
                <w:rFonts w:eastAsia="仿宋_GB2312"/>
                <w:sz w:val="24"/>
              </w:rPr>
            </w:pPr>
          </w:p>
        </w:tc>
        <w:tc>
          <w:tcPr>
            <w:tcW w:w="709" w:type="dxa"/>
            <w:vMerge w:val="continue"/>
          </w:tcPr>
          <w:p w14:paraId="64D530DB">
            <w:pPr>
              <w:rPr>
                <w:rFonts w:eastAsia="仿宋_GB2312"/>
                <w:sz w:val="24"/>
              </w:rPr>
            </w:pPr>
          </w:p>
        </w:tc>
        <w:tc>
          <w:tcPr>
            <w:tcW w:w="943" w:type="dxa"/>
            <w:vMerge w:val="continue"/>
          </w:tcPr>
          <w:p w14:paraId="612EA723">
            <w:pPr>
              <w:rPr>
                <w:rFonts w:eastAsia="仿宋_GB2312"/>
                <w:sz w:val="24"/>
              </w:rPr>
            </w:pPr>
          </w:p>
        </w:tc>
        <w:tc>
          <w:tcPr>
            <w:tcW w:w="1100" w:type="dxa"/>
            <w:tcBorders>
              <w:right w:val="single" w:color="auto" w:sz="4" w:space="0"/>
            </w:tcBorders>
          </w:tcPr>
          <w:p w14:paraId="0110DC9A">
            <w:pPr>
              <w:rPr>
                <w:rFonts w:eastAsia="仿宋_GB2312"/>
                <w:sz w:val="24"/>
              </w:rPr>
            </w:pPr>
            <w:r>
              <w:rPr>
                <w:rFonts w:eastAsia="仿宋_GB2312"/>
                <w:sz w:val="24"/>
              </w:rPr>
              <w:t>2017年</w:t>
            </w:r>
          </w:p>
        </w:tc>
        <w:tc>
          <w:tcPr>
            <w:tcW w:w="1143" w:type="dxa"/>
            <w:tcBorders>
              <w:left w:val="single" w:color="auto" w:sz="4" w:space="0"/>
            </w:tcBorders>
          </w:tcPr>
          <w:p w14:paraId="375E14AE">
            <w:pPr>
              <w:jc w:val="center"/>
              <w:rPr>
                <w:rFonts w:eastAsia="仿宋_GB2312"/>
                <w:sz w:val="24"/>
              </w:rPr>
            </w:pPr>
            <w:r>
              <w:rPr>
                <w:rFonts w:eastAsia="仿宋_GB2312"/>
                <w:sz w:val="24"/>
              </w:rPr>
              <w:t>0</w:t>
            </w:r>
          </w:p>
        </w:tc>
        <w:tc>
          <w:tcPr>
            <w:tcW w:w="1143" w:type="dxa"/>
            <w:vAlign w:val="bottom"/>
          </w:tcPr>
          <w:p w14:paraId="56F1F0BC">
            <w:pPr>
              <w:jc w:val="center"/>
              <w:rPr>
                <w:rFonts w:eastAsia="仿宋_GB2312"/>
                <w:sz w:val="24"/>
              </w:rPr>
            </w:pPr>
            <w:r>
              <w:rPr>
                <w:rFonts w:hint="eastAsia" w:eastAsia="仿宋_GB2312"/>
                <w:sz w:val="24"/>
              </w:rPr>
              <w:t>22.32</w:t>
            </w:r>
          </w:p>
        </w:tc>
        <w:tc>
          <w:tcPr>
            <w:tcW w:w="1143" w:type="dxa"/>
            <w:vAlign w:val="bottom"/>
          </w:tcPr>
          <w:p w14:paraId="442D9B10">
            <w:pPr>
              <w:jc w:val="center"/>
              <w:rPr>
                <w:rFonts w:eastAsia="仿宋_GB2312"/>
                <w:sz w:val="24"/>
              </w:rPr>
            </w:pPr>
            <w:r>
              <w:rPr>
                <w:rFonts w:hint="eastAsia" w:eastAsia="仿宋_GB2312"/>
                <w:sz w:val="24"/>
              </w:rPr>
              <w:t>22.32</w:t>
            </w:r>
          </w:p>
        </w:tc>
      </w:tr>
      <w:tr w14:paraId="35B34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56" w:type="dxa"/>
            <w:vMerge w:val="continue"/>
          </w:tcPr>
          <w:p w14:paraId="5A46D49B">
            <w:pPr>
              <w:rPr>
                <w:rFonts w:eastAsia="仿宋_GB2312"/>
                <w:sz w:val="24"/>
              </w:rPr>
            </w:pPr>
          </w:p>
        </w:tc>
        <w:tc>
          <w:tcPr>
            <w:tcW w:w="773" w:type="dxa"/>
            <w:vMerge w:val="continue"/>
          </w:tcPr>
          <w:p w14:paraId="1BBA940C">
            <w:pPr>
              <w:rPr>
                <w:rFonts w:eastAsia="仿宋_GB2312"/>
                <w:sz w:val="24"/>
              </w:rPr>
            </w:pPr>
          </w:p>
        </w:tc>
        <w:tc>
          <w:tcPr>
            <w:tcW w:w="1112" w:type="dxa"/>
            <w:vMerge w:val="continue"/>
          </w:tcPr>
          <w:p w14:paraId="130AF086">
            <w:pPr>
              <w:rPr>
                <w:rFonts w:eastAsia="仿宋_GB2312"/>
                <w:sz w:val="24"/>
              </w:rPr>
            </w:pPr>
          </w:p>
        </w:tc>
        <w:tc>
          <w:tcPr>
            <w:tcW w:w="709" w:type="dxa"/>
            <w:vMerge w:val="continue"/>
          </w:tcPr>
          <w:p w14:paraId="5E0C1304">
            <w:pPr>
              <w:rPr>
                <w:rFonts w:eastAsia="仿宋_GB2312"/>
                <w:sz w:val="24"/>
              </w:rPr>
            </w:pPr>
          </w:p>
        </w:tc>
        <w:tc>
          <w:tcPr>
            <w:tcW w:w="943" w:type="dxa"/>
            <w:vMerge w:val="continue"/>
          </w:tcPr>
          <w:p w14:paraId="4B8D6423">
            <w:pPr>
              <w:rPr>
                <w:rFonts w:eastAsia="仿宋_GB2312"/>
                <w:sz w:val="24"/>
              </w:rPr>
            </w:pPr>
          </w:p>
        </w:tc>
        <w:tc>
          <w:tcPr>
            <w:tcW w:w="1100" w:type="dxa"/>
            <w:tcBorders>
              <w:right w:val="single" w:color="auto" w:sz="4" w:space="0"/>
            </w:tcBorders>
          </w:tcPr>
          <w:p w14:paraId="3EE79C4C">
            <w:pPr>
              <w:rPr>
                <w:rFonts w:eastAsia="仿宋_GB2312"/>
                <w:sz w:val="24"/>
              </w:rPr>
            </w:pPr>
            <w:r>
              <w:rPr>
                <w:rFonts w:eastAsia="仿宋_GB2312"/>
                <w:sz w:val="24"/>
              </w:rPr>
              <w:t>2018年</w:t>
            </w:r>
          </w:p>
        </w:tc>
        <w:tc>
          <w:tcPr>
            <w:tcW w:w="1143" w:type="dxa"/>
            <w:tcBorders>
              <w:left w:val="single" w:color="auto" w:sz="4" w:space="0"/>
            </w:tcBorders>
            <w:vAlign w:val="center"/>
          </w:tcPr>
          <w:p w14:paraId="270134C6">
            <w:pPr>
              <w:jc w:val="center"/>
              <w:rPr>
                <w:rFonts w:eastAsia="仿宋_GB2312"/>
                <w:sz w:val="24"/>
              </w:rPr>
            </w:pPr>
            <w:r>
              <w:rPr>
                <w:rFonts w:hint="eastAsia" w:eastAsia="仿宋_GB2312"/>
                <w:sz w:val="24"/>
              </w:rPr>
              <w:t>/</w:t>
            </w:r>
          </w:p>
        </w:tc>
        <w:tc>
          <w:tcPr>
            <w:tcW w:w="1143" w:type="dxa"/>
            <w:vAlign w:val="center"/>
          </w:tcPr>
          <w:p w14:paraId="0CE0F81D">
            <w:pPr>
              <w:jc w:val="center"/>
              <w:rPr>
                <w:rFonts w:eastAsia="仿宋_GB2312"/>
                <w:sz w:val="24"/>
              </w:rPr>
            </w:pPr>
            <w:r>
              <w:rPr>
                <w:rFonts w:hint="eastAsia" w:eastAsia="仿宋_GB2312"/>
                <w:sz w:val="24"/>
              </w:rPr>
              <w:t>/</w:t>
            </w:r>
          </w:p>
        </w:tc>
        <w:tc>
          <w:tcPr>
            <w:tcW w:w="1143" w:type="dxa"/>
            <w:vAlign w:val="center"/>
          </w:tcPr>
          <w:p w14:paraId="195B1EC1">
            <w:pPr>
              <w:jc w:val="center"/>
              <w:rPr>
                <w:rFonts w:eastAsia="仿宋_GB2312"/>
                <w:sz w:val="24"/>
              </w:rPr>
            </w:pPr>
            <w:r>
              <w:rPr>
                <w:rFonts w:hint="eastAsia" w:eastAsia="仿宋_GB2312"/>
                <w:sz w:val="24"/>
              </w:rPr>
              <w:t>/</w:t>
            </w:r>
          </w:p>
        </w:tc>
      </w:tr>
    </w:tbl>
    <w:p w14:paraId="1786242F">
      <w:pPr>
        <w:spacing w:after="0" w:line="560" w:lineRule="exact"/>
        <w:ind w:firstLine="465"/>
        <w:rPr>
          <w:rFonts w:eastAsia="仿宋_GB2312"/>
          <w:sz w:val="32"/>
          <w:szCs w:val="32"/>
        </w:rPr>
      </w:pPr>
      <w:r>
        <w:rPr>
          <w:rFonts w:eastAsia="仿宋_GB2312"/>
          <w:sz w:val="32"/>
          <w:szCs w:val="32"/>
        </w:rPr>
        <w:t>排放单位新增</w:t>
      </w:r>
      <w:r>
        <w:rPr>
          <w:rFonts w:hint="eastAsia" w:eastAsia="仿宋_GB2312"/>
          <w:sz w:val="32"/>
          <w:szCs w:val="32"/>
        </w:rPr>
        <w:t>2</w:t>
      </w:r>
      <w:r>
        <w:rPr>
          <w:rFonts w:eastAsia="仿宋_GB2312"/>
          <w:sz w:val="32"/>
          <w:szCs w:val="32"/>
        </w:rPr>
        <w:t>个支行及</w:t>
      </w:r>
      <w:r>
        <w:rPr>
          <w:rFonts w:hint="eastAsia" w:eastAsia="仿宋_GB2312"/>
          <w:sz w:val="32"/>
          <w:szCs w:val="32"/>
        </w:rPr>
        <w:t>1</w:t>
      </w:r>
      <w:r>
        <w:rPr>
          <w:rFonts w:eastAsia="仿宋_GB2312"/>
          <w:sz w:val="32"/>
          <w:szCs w:val="32"/>
        </w:rPr>
        <w:t>处办公区域，具体新增及其排放量见下表：</w:t>
      </w:r>
    </w:p>
    <w:p w14:paraId="372A8135">
      <w:pPr>
        <w:spacing w:after="0" w:line="560" w:lineRule="exact"/>
        <w:jc w:val="center"/>
        <w:rPr>
          <w:rFonts w:eastAsia="仿宋_GB2312"/>
          <w:sz w:val="24"/>
        </w:rPr>
      </w:pPr>
    </w:p>
    <w:p w14:paraId="36575820">
      <w:pPr>
        <w:spacing w:after="0" w:line="560" w:lineRule="exact"/>
        <w:jc w:val="center"/>
        <w:rPr>
          <w:rFonts w:eastAsia="仿宋_GB2312"/>
          <w:sz w:val="32"/>
          <w:szCs w:val="32"/>
        </w:rPr>
      </w:pPr>
      <w:r>
        <w:rPr>
          <w:rFonts w:eastAsia="仿宋_GB2312"/>
          <w:sz w:val="24"/>
        </w:rPr>
        <w:t xml:space="preserve">表XX  </w:t>
      </w:r>
      <w:r>
        <w:rPr>
          <w:rFonts w:hint="eastAsia" w:eastAsia="仿宋_GB2312"/>
          <w:sz w:val="24"/>
        </w:rPr>
        <w:t>新增设施信息</w:t>
      </w:r>
      <w:r>
        <w:rPr>
          <w:rFonts w:eastAsia="仿宋_GB2312"/>
          <w:sz w:val="24"/>
        </w:rPr>
        <w:t>表</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072"/>
        <w:gridCol w:w="3362"/>
        <w:gridCol w:w="1366"/>
        <w:gridCol w:w="1186"/>
        <w:gridCol w:w="1372"/>
      </w:tblGrid>
      <w:tr w14:paraId="08AF3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6" w:type="pct"/>
            <w:vAlign w:val="center"/>
          </w:tcPr>
          <w:p w14:paraId="6A484235">
            <w:pPr>
              <w:tabs>
                <w:tab w:val="left" w:pos="1701"/>
              </w:tabs>
              <w:jc w:val="center"/>
              <w:rPr>
                <w:rFonts w:eastAsia="仿宋_GB2312"/>
                <w:color w:val="000000"/>
                <w:sz w:val="24"/>
              </w:rPr>
            </w:pPr>
            <w:r>
              <w:rPr>
                <w:rFonts w:eastAsia="仿宋_GB2312"/>
                <w:color w:val="000000"/>
                <w:sz w:val="24"/>
              </w:rPr>
              <w:t>序号</w:t>
            </w:r>
          </w:p>
        </w:tc>
        <w:tc>
          <w:tcPr>
            <w:tcW w:w="592" w:type="pct"/>
            <w:vAlign w:val="center"/>
          </w:tcPr>
          <w:p w14:paraId="6B9A1A14">
            <w:pPr>
              <w:tabs>
                <w:tab w:val="left" w:pos="1701"/>
              </w:tabs>
              <w:jc w:val="center"/>
              <w:rPr>
                <w:rFonts w:eastAsia="仿宋_GB2312"/>
                <w:color w:val="000000"/>
                <w:sz w:val="24"/>
              </w:rPr>
            </w:pPr>
            <w:r>
              <w:rPr>
                <w:rFonts w:eastAsia="仿宋_GB2312"/>
                <w:color w:val="000000"/>
                <w:sz w:val="24"/>
              </w:rPr>
              <w:t>设施新增年份</w:t>
            </w:r>
          </w:p>
        </w:tc>
        <w:tc>
          <w:tcPr>
            <w:tcW w:w="1856" w:type="pct"/>
            <w:vAlign w:val="center"/>
          </w:tcPr>
          <w:p w14:paraId="75091F51">
            <w:pPr>
              <w:tabs>
                <w:tab w:val="left" w:pos="1701"/>
              </w:tabs>
              <w:jc w:val="center"/>
              <w:rPr>
                <w:rFonts w:eastAsia="仿宋_GB2312"/>
                <w:color w:val="000000"/>
                <w:sz w:val="24"/>
              </w:rPr>
            </w:pPr>
            <w:r>
              <w:rPr>
                <w:rFonts w:eastAsia="仿宋_GB2312"/>
                <w:color w:val="000000"/>
                <w:sz w:val="24"/>
              </w:rPr>
              <w:t>新增设施类型</w:t>
            </w:r>
          </w:p>
        </w:tc>
        <w:tc>
          <w:tcPr>
            <w:tcW w:w="754" w:type="pct"/>
            <w:vAlign w:val="center"/>
          </w:tcPr>
          <w:p w14:paraId="705C6B1E">
            <w:pPr>
              <w:tabs>
                <w:tab w:val="left" w:pos="1701"/>
              </w:tabs>
              <w:jc w:val="center"/>
              <w:rPr>
                <w:rFonts w:eastAsia="仿宋_GB2312"/>
                <w:color w:val="000000"/>
                <w:sz w:val="24"/>
              </w:rPr>
            </w:pPr>
            <w:r>
              <w:rPr>
                <w:rFonts w:eastAsia="仿宋_GB2312"/>
                <w:color w:val="000000"/>
                <w:sz w:val="24"/>
              </w:rPr>
              <w:t>是否替代既有设施，被替代既有设施类型</w:t>
            </w:r>
          </w:p>
        </w:tc>
        <w:tc>
          <w:tcPr>
            <w:tcW w:w="655" w:type="pct"/>
            <w:vAlign w:val="center"/>
          </w:tcPr>
          <w:p w14:paraId="46328EAB">
            <w:pPr>
              <w:tabs>
                <w:tab w:val="left" w:pos="1701"/>
              </w:tabs>
              <w:jc w:val="center"/>
              <w:rPr>
                <w:rFonts w:eastAsia="仿宋_GB2312"/>
                <w:color w:val="000000"/>
                <w:sz w:val="24"/>
              </w:rPr>
            </w:pPr>
            <w:r>
              <w:rPr>
                <w:rFonts w:eastAsia="仿宋_GB2312"/>
                <w:color w:val="000000"/>
                <w:sz w:val="24"/>
              </w:rPr>
              <w:t>新增设施排放量（吨）</w:t>
            </w:r>
          </w:p>
        </w:tc>
        <w:tc>
          <w:tcPr>
            <w:tcW w:w="757" w:type="pct"/>
            <w:vAlign w:val="center"/>
          </w:tcPr>
          <w:p w14:paraId="51126087">
            <w:pPr>
              <w:tabs>
                <w:tab w:val="left" w:pos="1701"/>
              </w:tabs>
              <w:jc w:val="center"/>
              <w:rPr>
                <w:rFonts w:eastAsia="仿宋_GB2312"/>
                <w:color w:val="000000"/>
                <w:sz w:val="24"/>
              </w:rPr>
            </w:pPr>
            <w:r>
              <w:rPr>
                <w:rFonts w:eastAsia="仿宋_GB2312"/>
                <w:color w:val="000000"/>
                <w:sz w:val="24"/>
              </w:rPr>
              <w:t>新增替代既有设施排放量（吨）</w:t>
            </w:r>
          </w:p>
        </w:tc>
      </w:tr>
      <w:tr w14:paraId="28942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vAlign w:val="center"/>
          </w:tcPr>
          <w:p w14:paraId="1148CC7E">
            <w:pPr>
              <w:jc w:val="center"/>
              <w:rPr>
                <w:rFonts w:eastAsia="仿宋_GB2312"/>
                <w:color w:val="000000"/>
                <w:sz w:val="24"/>
              </w:rPr>
            </w:pPr>
            <w:r>
              <w:rPr>
                <w:rFonts w:eastAsia="仿宋_GB2312"/>
                <w:color w:val="000000"/>
                <w:sz w:val="24"/>
              </w:rPr>
              <w:t>1</w:t>
            </w:r>
          </w:p>
        </w:tc>
        <w:tc>
          <w:tcPr>
            <w:tcW w:w="592" w:type="pct"/>
            <w:vAlign w:val="center"/>
          </w:tcPr>
          <w:p w14:paraId="70290719">
            <w:pPr>
              <w:jc w:val="center"/>
              <w:rPr>
                <w:rFonts w:eastAsia="仿宋_GB2312"/>
                <w:sz w:val="24"/>
              </w:rPr>
            </w:pPr>
            <w:r>
              <w:rPr>
                <w:rFonts w:eastAsia="仿宋_GB2312"/>
                <w:sz w:val="24"/>
              </w:rPr>
              <w:t>2019</w:t>
            </w:r>
          </w:p>
        </w:tc>
        <w:tc>
          <w:tcPr>
            <w:tcW w:w="1856" w:type="pct"/>
            <w:vAlign w:val="center"/>
          </w:tcPr>
          <w:p w14:paraId="2F581372">
            <w:pPr>
              <w:rPr>
                <w:rFonts w:eastAsia="仿宋_GB2312"/>
                <w:sz w:val="24"/>
              </w:rPr>
            </w:pPr>
            <w:r>
              <w:rPr>
                <w:rFonts w:eastAsia="仿宋_GB2312"/>
                <w:sz w:val="24"/>
              </w:rPr>
              <w:t>支行2个：xxx支行、xx大厦支行</w:t>
            </w:r>
          </w:p>
        </w:tc>
        <w:tc>
          <w:tcPr>
            <w:tcW w:w="754" w:type="pct"/>
            <w:vAlign w:val="center"/>
          </w:tcPr>
          <w:p w14:paraId="3C14912A">
            <w:pPr>
              <w:jc w:val="center"/>
              <w:rPr>
                <w:rFonts w:eastAsia="仿宋_GB2312"/>
                <w:sz w:val="24"/>
              </w:rPr>
            </w:pPr>
            <w:r>
              <w:rPr>
                <w:rFonts w:eastAsia="仿宋_GB2312"/>
                <w:sz w:val="24"/>
              </w:rPr>
              <w:t>否</w:t>
            </w:r>
          </w:p>
        </w:tc>
        <w:tc>
          <w:tcPr>
            <w:tcW w:w="655" w:type="pct"/>
            <w:vAlign w:val="center"/>
          </w:tcPr>
          <w:p w14:paraId="1FB16FD8">
            <w:pPr>
              <w:jc w:val="center"/>
              <w:rPr>
                <w:rFonts w:eastAsia="仿宋_GB2312"/>
                <w:sz w:val="24"/>
              </w:rPr>
            </w:pPr>
            <w:r>
              <w:rPr>
                <w:rFonts w:eastAsia="仿宋_GB2312"/>
                <w:sz w:val="24"/>
              </w:rPr>
              <w:t>228.41</w:t>
            </w:r>
          </w:p>
        </w:tc>
        <w:tc>
          <w:tcPr>
            <w:tcW w:w="757" w:type="pct"/>
            <w:vAlign w:val="center"/>
          </w:tcPr>
          <w:p w14:paraId="16298CA7">
            <w:pPr>
              <w:jc w:val="center"/>
              <w:rPr>
                <w:rFonts w:eastAsia="仿宋_GB2312"/>
                <w:sz w:val="24"/>
              </w:rPr>
            </w:pPr>
            <w:r>
              <w:rPr>
                <w:rFonts w:eastAsia="仿宋_GB2312"/>
                <w:sz w:val="24"/>
              </w:rPr>
              <w:t>/</w:t>
            </w:r>
          </w:p>
        </w:tc>
      </w:tr>
      <w:tr w14:paraId="693DA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vAlign w:val="center"/>
          </w:tcPr>
          <w:p w14:paraId="57656974">
            <w:pPr>
              <w:jc w:val="center"/>
              <w:rPr>
                <w:rFonts w:eastAsia="仿宋_GB2312"/>
                <w:color w:val="000000"/>
                <w:sz w:val="24"/>
              </w:rPr>
            </w:pPr>
            <w:r>
              <w:rPr>
                <w:rFonts w:eastAsia="仿宋_GB2312"/>
                <w:color w:val="000000"/>
                <w:sz w:val="24"/>
              </w:rPr>
              <w:t>2</w:t>
            </w:r>
          </w:p>
        </w:tc>
        <w:tc>
          <w:tcPr>
            <w:tcW w:w="592" w:type="pct"/>
            <w:vAlign w:val="center"/>
          </w:tcPr>
          <w:p w14:paraId="552F1A9D">
            <w:pPr>
              <w:jc w:val="center"/>
              <w:rPr>
                <w:rFonts w:eastAsia="仿宋_GB2312"/>
                <w:sz w:val="24"/>
              </w:rPr>
            </w:pPr>
            <w:r>
              <w:rPr>
                <w:rFonts w:eastAsia="仿宋_GB2312"/>
                <w:sz w:val="24"/>
              </w:rPr>
              <w:t>2020</w:t>
            </w:r>
          </w:p>
        </w:tc>
        <w:tc>
          <w:tcPr>
            <w:tcW w:w="1856" w:type="pct"/>
            <w:vAlign w:val="center"/>
          </w:tcPr>
          <w:p w14:paraId="75B8694D">
            <w:pPr>
              <w:rPr>
                <w:rFonts w:eastAsia="仿宋_GB2312"/>
                <w:sz w:val="24"/>
              </w:rPr>
            </w:pPr>
            <w:r>
              <w:rPr>
                <w:rFonts w:eastAsia="仿宋_GB2312"/>
                <w:sz w:val="24"/>
              </w:rPr>
              <w:t>1处办公区域：分行月坛大厦办公区域</w:t>
            </w:r>
          </w:p>
        </w:tc>
        <w:tc>
          <w:tcPr>
            <w:tcW w:w="754" w:type="pct"/>
            <w:vAlign w:val="center"/>
          </w:tcPr>
          <w:p w14:paraId="7DDD627B">
            <w:pPr>
              <w:jc w:val="center"/>
              <w:rPr>
                <w:rFonts w:eastAsia="仿宋_GB2312"/>
                <w:sz w:val="24"/>
              </w:rPr>
            </w:pPr>
            <w:r>
              <w:rPr>
                <w:rFonts w:eastAsia="仿宋_GB2312"/>
                <w:sz w:val="24"/>
              </w:rPr>
              <w:t>否</w:t>
            </w:r>
          </w:p>
        </w:tc>
        <w:tc>
          <w:tcPr>
            <w:tcW w:w="655" w:type="pct"/>
            <w:vAlign w:val="center"/>
          </w:tcPr>
          <w:p w14:paraId="4DCACB80">
            <w:pPr>
              <w:jc w:val="center"/>
              <w:rPr>
                <w:rFonts w:eastAsia="仿宋_GB2312"/>
                <w:sz w:val="24"/>
              </w:rPr>
            </w:pPr>
            <w:r>
              <w:rPr>
                <w:rFonts w:eastAsia="仿宋_GB2312"/>
                <w:sz w:val="24"/>
              </w:rPr>
              <w:t>5343.50</w:t>
            </w:r>
          </w:p>
        </w:tc>
        <w:tc>
          <w:tcPr>
            <w:tcW w:w="757" w:type="pct"/>
            <w:vAlign w:val="center"/>
          </w:tcPr>
          <w:p w14:paraId="7F1FA9A7">
            <w:pPr>
              <w:jc w:val="center"/>
              <w:rPr>
                <w:rFonts w:eastAsia="仿宋_GB2312"/>
                <w:sz w:val="24"/>
              </w:rPr>
            </w:pPr>
            <w:r>
              <w:rPr>
                <w:rFonts w:eastAsia="仿宋_GB2312"/>
                <w:sz w:val="24"/>
              </w:rPr>
              <w:t>/</w:t>
            </w:r>
          </w:p>
        </w:tc>
      </w:tr>
      <w:tr w14:paraId="01ADF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vAlign w:val="center"/>
          </w:tcPr>
          <w:p w14:paraId="2BD53FE2">
            <w:pPr>
              <w:jc w:val="center"/>
              <w:rPr>
                <w:rFonts w:eastAsia="仿宋_GB2312"/>
                <w:sz w:val="24"/>
              </w:rPr>
            </w:pPr>
            <w:r>
              <w:rPr>
                <w:rFonts w:eastAsia="仿宋_GB2312"/>
                <w:color w:val="000000"/>
                <w:sz w:val="24"/>
              </w:rPr>
              <w:t>合计</w:t>
            </w:r>
          </w:p>
        </w:tc>
        <w:tc>
          <w:tcPr>
            <w:tcW w:w="592" w:type="pct"/>
            <w:vAlign w:val="center"/>
          </w:tcPr>
          <w:p w14:paraId="3F3BBFEA">
            <w:pPr>
              <w:jc w:val="center"/>
              <w:rPr>
                <w:rFonts w:eastAsia="仿宋_GB2312"/>
                <w:sz w:val="24"/>
              </w:rPr>
            </w:pPr>
          </w:p>
        </w:tc>
        <w:tc>
          <w:tcPr>
            <w:tcW w:w="1856" w:type="pct"/>
            <w:vAlign w:val="center"/>
          </w:tcPr>
          <w:p w14:paraId="3F669BE3">
            <w:pPr>
              <w:jc w:val="center"/>
              <w:rPr>
                <w:rFonts w:eastAsia="仿宋_GB2312"/>
                <w:sz w:val="24"/>
              </w:rPr>
            </w:pPr>
          </w:p>
        </w:tc>
        <w:tc>
          <w:tcPr>
            <w:tcW w:w="754" w:type="pct"/>
            <w:vAlign w:val="center"/>
          </w:tcPr>
          <w:p w14:paraId="4FA4ADB4">
            <w:pPr>
              <w:jc w:val="center"/>
              <w:rPr>
                <w:rFonts w:eastAsia="仿宋_GB2312"/>
                <w:sz w:val="24"/>
              </w:rPr>
            </w:pPr>
          </w:p>
        </w:tc>
        <w:tc>
          <w:tcPr>
            <w:tcW w:w="655" w:type="pct"/>
            <w:vAlign w:val="center"/>
          </w:tcPr>
          <w:p w14:paraId="33904779">
            <w:pPr>
              <w:jc w:val="center"/>
              <w:rPr>
                <w:rFonts w:eastAsia="仿宋_GB2312"/>
                <w:sz w:val="24"/>
              </w:rPr>
            </w:pPr>
            <w:r>
              <w:rPr>
                <w:rFonts w:eastAsia="仿宋_GB2312"/>
                <w:sz w:val="24"/>
              </w:rPr>
              <w:t>5571.90</w:t>
            </w:r>
          </w:p>
        </w:tc>
        <w:tc>
          <w:tcPr>
            <w:tcW w:w="757" w:type="pct"/>
            <w:vAlign w:val="center"/>
          </w:tcPr>
          <w:p w14:paraId="5026EBA1">
            <w:pPr>
              <w:jc w:val="center"/>
              <w:rPr>
                <w:rFonts w:eastAsia="仿宋_GB2312"/>
                <w:sz w:val="24"/>
              </w:rPr>
            </w:pPr>
            <w:r>
              <w:rPr>
                <w:rFonts w:eastAsia="仿宋_GB2312"/>
                <w:sz w:val="24"/>
              </w:rPr>
              <w:t>/</w:t>
            </w:r>
          </w:p>
        </w:tc>
      </w:tr>
    </w:tbl>
    <w:p w14:paraId="297D5DBF">
      <w:pPr>
        <w:spacing w:after="0" w:line="560" w:lineRule="exact"/>
        <w:ind w:firstLine="465"/>
        <w:jc w:val="both"/>
        <w:rPr>
          <w:rFonts w:eastAsia="仿宋_GB2312"/>
          <w:sz w:val="32"/>
          <w:szCs w:val="32"/>
        </w:rPr>
      </w:pPr>
      <w:r>
        <w:rPr>
          <w:rFonts w:eastAsia="仿宋_GB2312"/>
          <w:sz w:val="32"/>
          <w:szCs w:val="32"/>
        </w:rPr>
        <w:t>2020年累计新增设施总排放量为</w:t>
      </w:r>
      <w:r>
        <w:rPr>
          <w:rFonts w:eastAsia="仿宋_GB2312"/>
          <w:color w:val="000000"/>
          <w:sz w:val="32"/>
          <w:szCs w:val="32"/>
        </w:rPr>
        <w:t>5571.90吨</w:t>
      </w:r>
      <w:r>
        <w:rPr>
          <w:rFonts w:eastAsia="仿宋_GB2312"/>
          <w:sz w:val="32"/>
          <w:szCs w:val="32"/>
        </w:rPr>
        <w:t>，占基准年排放量的</w:t>
      </w:r>
      <w:r>
        <w:rPr>
          <w:rFonts w:hint="eastAsia" w:eastAsia="仿宋_GB2312"/>
          <w:sz w:val="32"/>
          <w:szCs w:val="32"/>
        </w:rPr>
        <w:t>5</w:t>
      </w:r>
      <w:r>
        <w:rPr>
          <w:rFonts w:eastAsia="仿宋_GB2312"/>
          <w:sz w:val="32"/>
          <w:szCs w:val="32"/>
        </w:rPr>
        <w:t>4.34%，新增</w:t>
      </w:r>
      <w:r>
        <w:rPr>
          <w:rFonts w:hint="eastAsia" w:eastAsia="仿宋_GB2312"/>
          <w:sz w:val="32"/>
          <w:szCs w:val="32"/>
        </w:rPr>
        <w:t>支行及办公区</w:t>
      </w:r>
      <w:r>
        <w:rPr>
          <w:rFonts w:eastAsia="仿宋_GB2312"/>
          <w:sz w:val="32"/>
          <w:szCs w:val="32"/>
        </w:rPr>
        <w:t>建筑面积</w:t>
      </w:r>
      <w:r>
        <w:rPr>
          <w:rFonts w:hint="eastAsia" w:eastAsia="仿宋_GB2312"/>
          <w:sz w:val="32"/>
          <w:szCs w:val="32"/>
        </w:rPr>
        <w:t>xxxx平方米</w:t>
      </w:r>
      <w:r>
        <w:rPr>
          <w:rFonts w:eastAsia="仿宋_GB2312"/>
          <w:sz w:val="32"/>
          <w:szCs w:val="32"/>
        </w:rPr>
        <w:t>，</w:t>
      </w:r>
      <w:r>
        <w:rPr>
          <w:rFonts w:hint="eastAsia" w:eastAsia="仿宋_GB2312"/>
          <w:sz w:val="32"/>
          <w:szCs w:val="32"/>
        </w:rPr>
        <w:t>未新增数据中心。</w:t>
      </w:r>
      <w:r>
        <w:rPr>
          <w:rFonts w:eastAsia="仿宋_GB2312"/>
          <w:sz w:val="32"/>
          <w:szCs w:val="32"/>
        </w:rPr>
        <w:t>此信息供新增设施发放配额参考。</w:t>
      </w:r>
    </w:p>
    <w:p w14:paraId="13CB0BF8">
      <w:pPr>
        <w:spacing w:after="0" w:line="560" w:lineRule="exact"/>
        <w:ind w:firstLine="640" w:firstLineChars="200"/>
        <w:rPr>
          <w:rFonts w:eastAsia="仿宋_GB2312"/>
          <w:sz w:val="32"/>
          <w:szCs w:val="32"/>
        </w:rPr>
      </w:pPr>
      <w:r>
        <w:rPr>
          <w:rFonts w:hint="eastAsia" w:eastAsia="仿宋_GB2312"/>
          <w:sz w:val="32"/>
          <w:szCs w:val="32"/>
        </w:rPr>
        <w:t>5</w:t>
      </w:r>
      <w:r>
        <w:rPr>
          <w:rFonts w:eastAsia="仿宋_GB2312"/>
          <w:sz w:val="32"/>
          <w:szCs w:val="32"/>
        </w:rPr>
        <w:t>. 核查过程未覆盖的问题描述</w:t>
      </w:r>
    </w:p>
    <w:p w14:paraId="3DF32E09">
      <w:pPr>
        <w:spacing w:after="0" w:line="560" w:lineRule="exact"/>
        <w:ind w:firstLine="640" w:firstLineChars="200"/>
        <w:rPr>
          <w:rFonts w:eastAsia="仿宋_GB2312"/>
          <w:sz w:val="32"/>
          <w:szCs w:val="32"/>
        </w:rPr>
      </w:pPr>
      <w:r>
        <w:rPr>
          <w:rFonts w:eastAsia="仿宋_GB2312"/>
          <w:sz w:val="32"/>
          <w:szCs w:val="32"/>
        </w:rPr>
        <w:t>由于电表为电力公司和物业管控，因此未能核查这些仪表的检定信息。</w:t>
      </w:r>
    </w:p>
    <w:p w14:paraId="75D4874C">
      <w:pPr>
        <w:spacing w:after="0" w:line="560" w:lineRule="exact"/>
      </w:pPr>
    </w:p>
    <w:p w14:paraId="05BCAAA4">
      <w:pPr>
        <w:pStyle w:val="4"/>
        <w:spacing w:before="0" w:after="0" w:line="560" w:lineRule="exact"/>
        <w:rPr>
          <w:rFonts w:ascii="Times New Roman" w:hAnsi="Times New Roman"/>
        </w:rPr>
        <w:sectPr>
          <w:pgSz w:w="11906" w:h="16838"/>
          <w:pgMar w:top="2098" w:right="1474" w:bottom="1984" w:left="1587" w:header="851" w:footer="1587" w:gutter="0"/>
          <w:pgNumType w:fmt="decimal"/>
          <w:cols w:space="0" w:num="1"/>
          <w:rtlGutter w:val="0"/>
          <w:docGrid w:type="lines" w:linePitch="312" w:charSpace="0"/>
        </w:sectPr>
      </w:pPr>
    </w:p>
    <w:p w14:paraId="438DD143">
      <w:pPr>
        <w:pStyle w:val="4"/>
        <w:spacing w:before="0" w:after="0" w:line="56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其他服务业企业（单位）</w:t>
      </w:r>
      <w:r>
        <w:rPr>
          <w:rFonts w:asciiTheme="majorEastAsia" w:hAnsiTheme="majorEastAsia" w:eastAsiaTheme="majorEastAsia"/>
          <w:sz w:val="32"/>
          <w:szCs w:val="32"/>
        </w:rPr>
        <w:t>-</w:t>
      </w:r>
      <w:r>
        <w:rPr>
          <w:rFonts w:hint="eastAsia" w:asciiTheme="majorEastAsia" w:hAnsiTheme="majorEastAsia" w:eastAsiaTheme="majorEastAsia"/>
          <w:sz w:val="32"/>
          <w:szCs w:val="32"/>
        </w:rPr>
        <w:t>物业</w:t>
      </w:r>
    </w:p>
    <w:p w14:paraId="1D0094CE">
      <w:pPr>
        <w:spacing w:after="0" w:line="560" w:lineRule="exact"/>
        <w:rPr>
          <w:rFonts w:ascii="Times New Roman" w:hAnsi="Times New Roman" w:eastAsia="仿宋_GB2312"/>
          <w:sz w:val="32"/>
          <w:szCs w:val="32"/>
        </w:rPr>
      </w:pPr>
      <w:r>
        <w:rPr>
          <w:rFonts w:ascii="Times New Roman" w:hAnsi="Times New Roman" w:eastAsia="仿宋_GB2312"/>
          <w:sz w:val="32"/>
          <w:szCs w:val="32"/>
        </w:rPr>
        <w:t>核查结论</w:t>
      </w:r>
    </w:p>
    <w:p w14:paraId="41E60426">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
          <w:sz w:val="32"/>
          <w:szCs w:val="32"/>
        </w:rPr>
        <w:t>xxxx公司（以下简称排放单位）委托xxx公司开展XXXX年</w:t>
      </w:r>
      <w:r>
        <w:rPr>
          <w:rFonts w:ascii="Times New Roman" w:hAnsi="Times New Roman" w:eastAsia="仿宋_GB2312"/>
          <w:sz w:val="32"/>
          <w:szCs w:val="32"/>
        </w:rPr>
        <w:t>二氧化碳排放的核查工作。核查范围包括排放单位所有在北京市辖区内的固定设施导致的二氧化碳直接排放和二氧化碳间接排放。</w:t>
      </w:r>
    </w:p>
    <w:p w14:paraId="2A813565">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通过文件评审、现场访问、核查报告编写及内部技术复核，核查组对排放单位XXXX年度二氧化碳排放报告形成如下核查结论：</w:t>
      </w:r>
    </w:p>
    <w:p w14:paraId="06D307CC">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 核算、报告与方法学的符合性</w:t>
      </w:r>
    </w:p>
    <w:p w14:paraId="239D618E">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核查组确认所有不符合已全部关闭，排放单位的核算与报告均符合方法学</w:t>
      </w:r>
      <w:r>
        <w:rPr>
          <w:rFonts w:hint="eastAsia" w:ascii="Times New Roman" w:hAnsi="Times New Roman" w:eastAsia="仿宋_GB2312"/>
          <w:sz w:val="32"/>
          <w:szCs w:val="32"/>
        </w:rPr>
        <w:t>《二氧化碳排放核算和报告要求服务业》（DB11/T 1785-2020）</w:t>
      </w:r>
      <w:r>
        <w:rPr>
          <w:rFonts w:ascii="Times New Roman" w:hAnsi="Times New Roman" w:eastAsia="仿宋_GB2312"/>
          <w:sz w:val="32"/>
          <w:szCs w:val="32"/>
        </w:rPr>
        <w:t>的要求，核查组对本排放报告出具肯定的核查结论。</w:t>
      </w:r>
    </w:p>
    <w:p w14:paraId="0E06D5AB">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 本年度排放量及活动水平数据的声明</w:t>
      </w:r>
    </w:p>
    <w:p w14:paraId="2D03A261">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经核查的直接和间接排放量与最终排放报告中的一</w:t>
      </w:r>
      <w:r>
        <w:rPr>
          <w:rFonts w:hint="eastAsia" w:ascii="Times New Roman" w:hAnsi="Times New Roman" w:eastAsia="仿宋_GB2312"/>
          <w:sz w:val="32"/>
          <w:szCs w:val="32"/>
        </w:rPr>
        <w:t>致。经核查的直接排放量为</w:t>
      </w:r>
      <w:r>
        <w:rPr>
          <w:rFonts w:ascii="Times New Roman" w:hAnsi="Times New Roman" w:eastAsia="仿宋_GB2312"/>
          <w:sz w:val="32"/>
          <w:szCs w:val="32"/>
        </w:rPr>
        <w:t>950.56</w:t>
      </w:r>
      <w:r>
        <w:rPr>
          <w:rFonts w:hint="eastAsia" w:ascii="Times New Roman" w:hAnsi="Times New Roman" w:eastAsia="仿宋_GB2312"/>
          <w:sz w:val="32"/>
          <w:szCs w:val="32"/>
        </w:rPr>
        <w:t>吨，间接排放量为</w:t>
      </w:r>
      <w:r>
        <w:rPr>
          <w:rFonts w:ascii="Times New Roman" w:hAnsi="Times New Roman" w:eastAsia="仿宋_GB2312"/>
          <w:sz w:val="32"/>
          <w:szCs w:val="32"/>
        </w:rPr>
        <w:t>24628.50</w:t>
      </w:r>
      <w:r>
        <w:rPr>
          <w:rFonts w:hint="eastAsia" w:ascii="Times New Roman" w:hAnsi="Times New Roman" w:eastAsia="仿宋_GB2312"/>
          <w:sz w:val="32"/>
          <w:szCs w:val="32"/>
        </w:rPr>
        <w:t>吨，总排放量为</w:t>
      </w:r>
      <w:r>
        <w:rPr>
          <w:rFonts w:ascii="Times New Roman" w:hAnsi="Times New Roman" w:eastAsia="仿宋_GB2312"/>
          <w:sz w:val="32"/>
          <w:szCs w:val="32"/>
        </w:rPr>
        <w:t>25579.06</w:t>
      </w:r>
      <w:r>
        <w:rPr>
          <w:rFonts w:hint="eastAsia" w:ascii="Times New Roman" w:hAnsi="Times New Roman" w:eastAsia="仿宋_GB2312"/>
          <w:sz w:val="32"/>
          <w:szCs w:val="32"/>
        </w:rPr>
        <w:t>吨。</w:t>
      </w:r>
    </w:p>
    <w:p w14:paraId="06F93F51">
      <w:pPr>
        <w:spacing w:after="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经核查的服务的商业写字楼建筑面积与最终排放报告中一致。经核查的商业写字楼建筑面积（不含地下车库）为</w:t>
      </w:r>
      <w:r>
        <w:rPr>
          <w:rFonts w:ascii="Times New Roman" w:hAnsi="Times New Roman" w:eastAsia="仿宋_GB2312"/>
          <w:sz w:val="32"/>
          <w:szCs w:val="32"/>
        </w:rPr>
        <w:t>xxxx</w:t>
      </w:r>
      <w:r>
        <w:rPr>
          <w:rFonts w:hint="eastAsia" w:ascii="Times New Roman" w:hAnsi="Times New Roman" w:eastAsia="仿宋_GB2312"/>
          <w:sz w:val="32"/>
          <w:szCs w:val="32"/>
        </w:rPr>
        <w:t>平方米，地下车库面积为</w:t>
      </w:r>
      <w:r>
        <w:rPr>
          <w:rFonts w:ascii="Times New Roman" w:hAnsi="Times New Roman" w:eastAsia="仿宋_GB2312"/>
          <w:sz w:val="32"/>
          <w:szCs w:val="32"/>
        </w:rPr>
        <w:t>xx</w:t>
      </w:r>
      <w:r>
        <w:rPr>
          <w:rFonts w:hint="eastAsia" w:ascii="Times New Roman" w:hAnsi="Times New Roman" w:eastAsia="仿宋_GB2312"/>
          <w:sz w:val="32"/>
          <w:szCs w:val="32"/>
        </w:rPr>
        <w:t>平方米，实际物业管理面积为</w:t>
      </w:r>
      <w:r>
        <w:rPr>
          <w:rFonts w:ascii="Times New Roman" w:hAnsi="Times New Roman" w:eastAsia="仿宋_GB2312"/>
          <w:sz w:val="32"/>
          <w:szCs w:val="32"/>
        </w:rPr>
        <w:t>xxx</w:t>
      </w:r>
      <w:r>
        <w:rPr>
          <w:rFonts w:hint="eastAsia" w:ascii="Times New Roman" w:hAnsi="Times New Roman" w:eastAsia="仿宋_GB2312"/>
          <w:sz w:val="32"/>
          <w:szCs w:val="32"/>
        </w:rPr>
        <w:t>平方米，产值为</w:t>
      </w:r>
      <w:r>
        <w:rPr>
          <w:rFonts w:ascii="Times New Roman" w:hAnsi="Times New Roman" w:eastAsia="仿宋_GB2312"/>
          <w:sz w:val="32"/>
          <w:szCs w:val="32"/>
        </w:rPr>
        <w:t>xxx</w:t>
      </w:r>
      <w:r>
        <w:rPr>
          <w:rFonts w:hint="eastAsia" w:ascii="Times New Roman" w:hAnsi="Times New Roman" w:eastAsia="仿宋_GB2312"/>
          <w:sz w:val="32"/>
          <w:szCs w:val="32"/>
        </w:rPr>
        <w:t>万元（其中物业管理费</w:t>
      </w:r>
      <w:r>
        <w:rPr>
          <w:rFonts w:ascii="Times New Roman" w:hAnsi="Times New Roman" w:eastAsia="仿宋_GB2312"/>
          <w:sz w:val="32"/>
          <w:szCs w:val="32"/>
        </w:rPr>
        <w:t>xx</w:t>
      </w:r>
      <w:r>
        <w:rPr>
          <w:rFonts w:hint="eastAsia" w:ascii="Times New Roman" w:hAnsi="Times New Roman" w:eastAsia="仿宋_GB2312"/>
          <w:sz w:val="32"/>
          <w:szCs w:val="32"/>
        </w:rPr>
        <w:t>万元，采暖制冷费用</w:t>
      </w:r>
      <w:r>
        <w:rPr>
          <w:rFonts w:ascii="Times New Roman" w:hAnsi="Times New Roman" w:eastAsia="仿宋_GB2312"/>
          <w:sz w:val="32"/>
          <w:szCs w:val="32"/>
        </w:rPr>
        <w:t>xx</w:t>
      </w:r>
      <w:r>
        <w:rPr>
          <w:rFonts w:hint="eastAsia" w:ascii="Times New Roman" w:hAnsi="Times New Roman" w:eastAsia="仿宋_GB2312"/>
          <w:sz w:val="32"/>
          <w:szCs w:val="32"/>
        </w:rPr>
        <w:t>万元，物业经营收入</w:t>
      </w:r>
      <w:r>
        <w:rPr>
          <w:rFonts w:ascii="Times New Roman" w:hAnsi="Times New Roman" w:eastAsia="仿宋_GB2312"/>
          <w:sz w:val="32"/>
          <w:szCs w:val="32"/>
        </w:rPr>
        <w:t>xx</w:t>
      </w:r>
      <w:r>
        <w:rPr>
          <w:rFonts w:hint="eastAsia" w:ascii="Times New Roman" w:hAnsi="Times New Roman" w:eastAsia="仿宋_GB2312"/>
          <w:sz w:val="32"/>
          <w:szCs w:val="32"/>
        </w:rPr>
        <w:t>万元，增值服务费</w:t>
      </w:r>
      <w:r>
        <w:rPr>
          <w:rFonts w:ascii="Times New Roman" w:hAnsi="Times New Roman" w:eastAsia="仿宋_GB2312"/>
          <w:sz w:val="32"/>
          <w:szCs w:val="32"/>
        </w:rPr>
        <w:t>xx</w:t>
      </w:r>
      <w:r>
        <w:rPr>
          <w:rFonts w:hint="eastAsia" w:ascii="Times New Roman" w:hAnsi="Times New Roman" w:eastAsia="仿宋_GB2312"/>
          <w:sz w:val="32"/>
          <w:szCs w:val="32"/>
        </w:rPr>
        <w:t>万元），入驻率为</w:t>
      </w:r>
      <w:r>
        <w:rPr>
          <w:rFonts w:ascii="Times New Roman" w:hAnsi="Times New Roman" w:eastAsia="仿宋_GB2312"/>
          <w:sz w:val="32"/>
          <w:szCs w:val="32"/>
        </w:rPr>
        <w:t>xx%</w:t>
      </w:r>
      <w:r>
        <w:rPr>
          <w:rFonts w:hint="eastAsia" w:ascii="Times New Roman" w:hAnsi="Times New Roman" w:eastAsia="仿宋_GB2312"/>
          <w:sz w:val="32"/>
          <w:szCs w:val="32"/>
        </w:rPr>
        <w:t>。</w:t>
      </w:r>
    </w:p>
    <w:p w14:paraId="080A7E46">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 xml:space="preserve">3. </w:t>
      </w:r>
      <w:r>
        <w:rPr>
          <w:rFonts w:hint="eastAsia" w:ascii="Times New Roman" w:hAnsi="Times New Roman" w:eastAsia="仿宋_GB2312"/>
          <w:sz w:val="32"/>
          <w:szCs w:val="32"/>
        </w:rPr>
        <w:t>年度排放量及活动水平波动的原因说明</w:t>
      </w:r>
    </w:p>
    <w:p w14:paraId="59928333">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排放单位本年度排放量与上一年度排放量相比增加1947.91吨/8.24%，其中直接排放量与上年度相比减少32.79吨/3.3</w:t>
      </w:r>
      <w:r>
        <w:rPr>
          <w:rFonts w:hint="eastAsia" w:ascii="Times New Roman" w:hAnsi="Times New Roman" w:eastAsia="仿宋_GB2312"/>
          <w:sz w:val="32"/>
          <w:szCs w:val="32"/>
        </w:rPr>
        <w:t>3</w:t>
      </w:r>
      <w:r>
        <w:rPr>
          <w:rFonts w:ascii="Times New Roman" w:hAnsi="Times New Roman" w:eastAsia="仿宋_GB2312"/>
          <w:sz w:val="32"/>
          <w:szCs w:val="32"/>
        </w:rPr>
        <w:t>%，间接排放量与上一年度相比增加1980.7吨/8.75%。原因为排放单位服务范围新增xx发展中心，电力消耗量大幅上升导致排放量大幅上升。</w:t>
      </w:r>
    </w:p>
    <w:p w14:paraId="23F0316D">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本年度排放量与历史基准年份相比增加1947.91</w:t>
      </w:r>
      <w:r>
        <w:rPr>
          <w:rFonts w:hint="eastAsia" w:ascii="Times New Roman" w:hAnsi="Times New Roman" w:eastAsia="仿宋_GB2312"/>
          <w:sz w:val="32"/>
          <w:szCs w:val="32"/>
        </w:rPr>
        <w:t>吨</w:t>
      </w:r>
      <w:r>
        <w:rPr>
          <w:rFonts w:ascii="Times New Roman" w:hAnsi="Times New Roman" w:eastAsia="仿宋_GB2312"/>
          <w:sz w:val="32"/>
          <w:szCs w:val="32"/>
        </w:rPr>
        <w:t>/8.24%，原因为排放单位服务范围与基准年相比新增xx发展中心，电力消耗量大幅上升导致排放量大幅上升。</w:t>
      </w:r>
    </w:p>
    <w:p w14:paraId="23A71C5A">
      <w:pPr>
        <w:jc w:val="center"/>
        <w:rPr>
          <w:rFonts w:ascii="Times New Roman" w:hAnsi="Times New Roman" w:eastAsia="仿宋_GB2312"/>
          <w:sz w:val="28"/>
          <w:szCs w:val="28"/>
        </w:rPr>
      </w:pPr>
      <w:r>
        <w:rPr>
          <w:rFonts w:ascii="Times New Roman" w:hAnsi="Times New Roman" w:eastAsia="仿宋_GB2312"/>
          <w:sz w:val="28"/>
          <w:szCs w:val="28"/>
        </w:rPr>
        <w:t>表xx  排放量汇总表</w:t>
      </w:r>
    </w:p>
    <w:tbl>
      <w:tblPr>
        <w:tblStyle w:val="35"/>
        <w:tblW w:w="7917" w:type="dxa"/>
        <w:jc w:val="center"/>
        <w:tblLayout w:type="autofit"/>
        <w:tblCellMar>
          <w:top w:w="0" w:type="dxa"/>
          <w:left w:w="108" w:type="dxa"/>
          <w:bottom w:w="0" w:type="dxa"/>
          <w:right w:w="108" w:type="dxa"/>
        </w:tblCellMar>
      </w:tblPr>
      <w:tblGrid>
        <w:gridCol w:w="1702"/>
        <w:gridCol w:w="1702"/>
        <w:gridCol w:w="2166"/>
        <w:gridCol w:w="2347"/>
      </w:tblGrid>
      <w:tr w14:paraId="1C12A12D">
        <w:tblPrEx>
          <w:tblCellMar>
            <w:top w:w="0" w:type="dxa"/>
            <w:left w:w="108" w:type="dxa"/>
            <w:bottom w:w="0" w:type="dxa"/>
            <w:right w:w="108" w:type="dxa"/>
          </w:tblCellMar>
        </w:tblPrEx>
        <w:trPr>
          <w:trHeight w:val="1028"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74E78B56">
            <w:pPr>
              <w:jc w:val="center"/>
              <w:rPr>
                <w:rFonts w:ascii="Times New Roman" w:hAnsi="Times New Roman" w:eastAsia="仿宋_GB2312"/>
                <w:color w:val="000000"/>
                <w:sz w:val="24"/>
              </w:rPr>
            </w:pPr>
            <w:r>
              <w:rPr>
                <w:rFonts w:ascii="Times New Roman" w:hAnsi="Times New Roman" w:eastAsia="仿宋_GB2312"/>
                <w:color w:val="000000"/>
                <w:sz w:val="24"/>
              </w:rPr>
              <w:t>年度</w:t>
            </w:r>
          </w:p>
        </w:tc>
        <w:tc>
          <w:tcPr>
            <w:tcW w:w="1702" w:type="dxa"/>
            <w:tcBorders>
              <w:top w:val="single" w:color="auto" w:sz="4" w:space="0"/>
              <w:left w:val="nil"/>
              <w:bottom w:val="single" w:color="auto" w:sz="4" w:space="0"/>
              <w:right w:val="single" w:color="auto" w:sz="4" w:space="0"/>
            </w:tcBorders>
            <w:vAlign w:val="center"/>
          </w:tcPr>
          <w:p w14:paraId="0424829F">
            <w:pPr>
              <w:jc w:val="center"/>
              <w:rPr>
                <w:rFonts w:ascii="Times New Roman" w:hAnsi="Times New Roman" w:eastAsia="仿宋_GB2312"/>
                <w:color w:val="000000"/>
                <w:sz w:val="24"/>
              </w:rPr>
            </w:pPr>
            <w:r>
              <w:rPr>
                <w:rFonts w:ascii="Times New Roman" w:hAnsi="Times New Roman" w:eastAsia="仿宋_GB2312"/>
                <w:color w:val="000000"/>
                <w:sz w:val="24"/>
              </w:rPr>
              <w:t>直接排放量（tCO</w:t>
            </w:r>
            <w:r>
              <w:rPr>
                <w:rFonts w:ascii="Times New Roman" w:hAnsi="Times New Roman" w:eastAsia="仿宋_GB2312"/>
                <w:color w:val="000000"/>
                <w:sz w:val="24"/>
                <w:vertAlign w:val="subscript"/>
              </w:rPr>
              <w:t>2</w:t>
            </w:r>
            <w:r>
              <w:rPr>
                <w:rFonts w:ascii="Times New Roman" w:hAnsi="Times New Roman" w:eastAsia="仿宋_GB2312"/>
                <w:color w:val="000000"/>
                <w:sz w:val="24"/>
              </w:rPr>
              <w:t>）</w:t>
            </w:r>
          </w:p>
        </w:tc>
        <w:tc>
          <w:tcPr>
            <w:tcW w:w="2166" w:type="dxa"/>
            <w:tcBorders>
              <w:top w:val="single" w:color="auto" w:sz="4" w:space="0"/>
              <w:left w:val="nil"/>
              <w:bottom w:val="single" w:color="auto" w:sz="4" w:space="0"/>
              <w:right w:val="single" w:color="auto" w:sz="4" w:space="0"/>
            </w:tcBorders>
            <w:vAlign w:val="center"/>
          </w:tcPr>
          <w:p w14:paraId="46268695">
            <w:pPr>
              <w:jc w:val="center"/>
              <w:rPr>
                <w:rFonts w:ascii="Times New Roman" w:hAnsi="Times New Roman" w:eastAsia="仿宋_GB2312"/>
                <w:color w:val="000000"/>
                <w:sz w:val="24"/>
              </w:rPr>
            </w:pPr>
            <w:r>
              <w:rPr>
                <w:rFonts w:ascii="Times New Roman" w:hAnsi="Times New Roman" w:eastAsia="仿宋_GB2312"/>
                <w:color w:val="000000"/>
                <w:sz w:val="24"/>
              </w:rPr>
              <w:t>间接排放量（tCO</w:t>
            </w:r>
            <w:r>
              <w:rPr>
                <w:rFonts w:ascii="Times New Roman" w:hAnsi="Times New Roman" w:eastAsia="仿宋_GB2312"/>
                <w:color w:val="000000"/>
                <w:sz w:val="24"/>
                <w:vertAlign w:val="subscript"/>
              </w:rPr>
              <w:t>2</w:t>
            </w:r>
            <w:r>
              <w:rPr>
                <w:rFonts w:ascii="Times New Roman" w:hAnsi="Times New Roman" w:eastAsia="仿宋_GB2312"/>
                <w:color w:val="000000"/>
                <w:sz w:val="24"/>
              </w:rPr>
              <w:t>）</w:t>
            </w:r>
          </w:p>
        </w:tc>
        <w:tc>
          <w:tcPr>
            <w:tcW w:w="2347" w:type="dxa"/>
            <w:tcBorders>
              <w:top w:val="single" w:color="auto" w:sz="4" w:space="0"/>
              <w:left w:val="nil"/>
              <w:bottom w:val="single" w:color="auto" w:sz="4" w:space="0"/>
              <w:right w:val="single" w:color="auto" w:sz="4" w:space="0"/>
            </w:tcBorders>
            <w:vAlign w:val="center"/>
          </w:tcPr>
          <w:p w14:paraId="60FC2389">
            <w:pPr>
              <w:jc w:val="center"/>
              <w:rPr>
                <w:rFonts w:ascii="Times New Roman" w:hAnsi="Times New Roman" w:eastAsia="仿宋_GB2312"/>
                <w:color w:val="000000"/>
                <w:sz w:val="24"/>
              </w:rPr>
            </w:pPr>
            <w:r>
              <w:rPr>
                <w:rFonts w:ascii="Times New Roman" w:hAnsi="Times New Roman" w:eastAsia="仿宋_GB2312"/>
                <w:color w:val="000000"/>
                <w:sz w:val="24"/>
              </w:rPr>
              <w:t>排放总量（tCO</w:t>
            </w:r>
            <w:r>
              <w:rPr>
                <w:rFonts w:ascii="Times New Roman" w:hAnsi="Times New Roman" w:eastAsia="仿宋_GB2312"/>
                <w:color w:val="000000"/>
                <w:sz w:val="24"/>
                <w:vertAlign w:val="subscript"/>
              </w:rPr>
              <w:t>2</w:t>
            </w:r>
            <w:r>
              <w:rPr>
                <w:rFonts w:ascii="Times New Roman" w:hAnsi="Times New Roman" w:eastAsia="仿宋_GB2312"/>
                <w:color w:val="000000"/>
                <w:sz w:val="24"/>
              </w:rPr>
              <w:t>）</w:t>
            </w:r>
          </w:p>
        </w:tc>
      </w:tr>
      <w:tr w14:paraId="5FA1C85A">
        <w:tblPrEx>
          <w:tblCellMar>
            <w:top w:w="0" w:type="dxa"/>
            <w:left w:w="108" w:type="dxa"/>
            <w:bottom w:w="0" w:type="dxa"/>
            <w:right w:w="108" w:type="dxa"/>
          </w:tblCellMar>
        </w:tblPrEx>
        <w:trPr>
          <w:trHeight w:val="547" w:hRule="atLeast"/>
          <w:jc w:val="center"/>
        </w:trPr>
        <w:tc>
          <w:tcPr>
            <w:tcW w:w="1702" w:type="dxa"/>
            <w:tcBorders>
              <w:top w:val="nil"/>
              <w:left w:val="single" w:color="auto" w:sz="4" w:space="0"/>
              <w:bottom w:val="single" w:color="auto" w:sz="4" w:space="0"/>
              <w:right w:val="single" w:color="auto" w:sz="4" w:space="0"/>
            </w:tcBorders>
            <w:noWrap/>
            <w:vAlign w:val="center"/>
          </w:tcPr>
          <w:p w14:paraId="1BD0F60A">
            <w:pPr>
              <w:jc w:val="center"/>
              <w:rPr>
                <w:rFonts w:ascii="Times New Roman" w:hAnsi="Times New Roman" w:eastAsia="仿宋_GB2312"/>
                <w:sz w:val="24"/>
              </w:rPr>
            </w:pPr>
            <w:r>
              <w:rPr>
                <w:rFonts w:ascii="Times New Roman" w:hAnsi="Times New Roman" w:eastAsia="仿宋_GB2312"/>
                <w:sz w:val="24"/>
              </w:rPr>
              <w:t>2016</w:t>
            </w:r>
          </w:p>
        </w:tc>
        <w:tc>
          <w:tcPr>
            <w:tcW w:w="1702" w:type="dxa"/>
            <w:tcBorders>
              <w:top w:val="single" w:color="auto" w:sz="4" w:space="0"/>
              <w:left w:val="nil"/>
              <w:bottom w:val="single" w:color="auto" w:sz="4" w:space="0"/>
              <w:right w:val="single" w:color="auto" w:sz="4" w:space="0"/>
            </w:tcBorders>
            <w:noWrap/>
            <w:vAlign w:val="center"/>
          </w:tcPr>
          <w:p w14:paraId="091BF361">
            <w:pPr>
              <w:jc w:val="center"/>
              <w:rPr>
                <w:rFonts w:ascii="Times New Roman" w:hAnsi="Times New Roman" w:eastAsia="仿宋_GB2312"/>
                <w:sz w:val="24"/>
              </w:rPr>
            </w:pPr>
            <w:r>
              <w:rPr>
                <w:rFonts w:ascii="Times New Roman" w:hAnsi="Times New Roman" w:eastAsia="仿宋_GB2312"/>
                <w:sz w:val="24"/>
              </w:rPr>
              <w:t>810.00</w:t>
            </w:r>
          </w:p>
        </w:tc>
        <w:tc>
          <w:tcPr>
            <w:tcW w:w="2166" w:type="dxa"/>
            <w:tcBorders>
              <w:top w:val="single" w:color="auto" w:sz="4" w:space="0"/>
              <w:left w:val="single" w:color="auto" w:sz="4" w:space="0"/>
              <w:bottom w:val="single" w:color="auto" w:sz="4" w:space="0"/>
              <w:right w:val="single" w:color="auto" w:sz="4" w:space="0"/>
            </w:tcBorders>
            <w:noWrap/>
            <w:vAlign w:val="center"/>
          </w:tcPr>
          <w:p w14:paraId="19256072">
            <w:pPr>
              <w:jc w:val="center"/>
              <w:rPr>
                <w:rFonts w:ascii="Times New Roman" w:hAnsi="Times New Roman" w:eastAsia="仿宋_GB2312"/>
                <w:sz w:val="24"/>
              </w:rPr>
            </w:pPr>
            <w:r>
              <w:rPr>
                <w:rFonts w:ascii="Times New Roman" w:hAnsi="Times New Roman" w:eastAsia="仿宋_GB2312"/>
                <w:sz w:val="24"/>
              </w:rPr>
              <w:t>22067.80</w:t>
            </w:r>
          </w:p>
        </w:tc>
        <w:tc>
          <w:tcPr>
            <w:tcW w:w="2347" w:type="dxa"/>
            <w:tcBorders>
              <w:top w:val="single" w:color="auto" w:sz="4" w:space="0"/>
              <w:left w:val="single" w:color="auto" w:sz="4" w:space="0"/>
              <w:bottom w:val="single" w:color="auto" w:sz="4" w:space="0"/>
              <w:right w:val="single" w:color="auto" w:sz="4" w:space="0"/>
            </w:tcBorders>
            <w:vAlign w:val="center"/>
          </w:tcPr>
          <w:p w14:paraId="45EF53C6">
            <w:pPr>
              <w:jc w:val="center"/>
              <w:rPr>
                <w:rFonts w:ascii="Times New Roman" w:hAnsi="Times New Roman" w:eastAsia="仿宋_GB2312"/>
                <w:sz w:val="24"/>
              </w:rPr>
            </w:pPr>
            <w:r>
              <w:rPr>
                <w:rFonts w:ascii="Times New Roman" w:hAnsi="Times New Roman" w:eastAsia="仿宋_GB2312"/>
                <w:sz w:val="24"/>
              </w:rPr>
              <w:t xml:space="preserve">22877.80 </w:t>
            </w:r>
          </w:p>
        </w:tc>
      </w:tr>
      <w:tr w14:paraId="674A24D2">
        <w:tblPrEx>
          <w:tblCellMar>
            <w:top w:w="0" w:type="dxa"/>
            <w:left w:w="108" w:type="dxa"/>
            <w:bottom w:w="0" w:type="dxa"/>
            <w:right w:w="108" w:type="dxa"/>
          </w:tblCellMar>
        </w:tblPrEx>
        <w:trPr>
          <w:trHeight w:val="347" w:hRule="atLeast"/>
          <w:jc w:val="center"/>
        </w:trPr>
        <w:tc>
          <w:tcPr>
            <w:tcW w:w="1702" w:type="dxa"/>
            <w:tcBorders>
              <w:top w:val="nil"/>
              <w:left w:val="single" w:color="auto" w:sz="4" w:space="0"/>
              <w:bottom w:val="single" w:color="auto" w:sz="4" w:space="0"/>
              <w:right w:val="single" w:color="auto" w:sz="4" w:space="0"/>
            </w:tcBorders>
            <w:noWrap/>
            <w:vAlign w:val="center"/>
          </w:tcPr>
          <w:p w14:paraId="35721335">
            <w:pPr>
              <w:jc w:val="center"/>
              <w:rPr>
                <w:rFonts w:ascii="Times New Roman" w:hAnsi="Times New Roman" w:eastAsia="仿宋_GB2312"/>
                <w:sz w:val="24"/>
              </w:rPr>
            </w:pPr>
            <w:r>
              <w:rPr>
                <w:rFonts w:ascii="Times New Roman" w:hAnsi="Times New Roman" w:eastAsia="仿宋_GB2312"/>
                <w:sz w:val="24"/>
              </w:rPr>
              <w:t>2017</w:t>
            </w:r>
          </w:p>
        </w:tc>
        <w:tc>
          <w:tcPr>
            <w:tcW w:w="1702" w:type="dxa"/>
            <w:tcBorders>
              <w:top w:val="single" w:color="auto" w:sz="4" w:space="0"/>
              <w:left w:val="nil"/>
              <w:bottom w:val="single" w:color="auto" w:sz="4" w:space="0"/>
              <w:right w:val="single" w:color="auto" w:sz="4" w:space="0"/>
            </w:tcBorders>
            <w:noWrap/>
            <w:vAlign w:val="center"/>
          </w:tcPr>
          <w:p w14:paraId="4CA22DA2">
            <w:pPr>
              <w:jc w:val="center"/>
              <w:rPr>
                <w:rFonts w:ascii="Times New Roman" w:hAnsi="Times New Roman" w:eastAsia="仿宋_GB2312"/>
                <w:sz w:val="24"/>
              </w:rPr>
            </w:pPr>
            <w:r>
              <w:rPr>
                <w:rFonts w:ascii="Times New Roman" w:hAnsi="Times New Roman" w:eastAsia="仿宋_GB2312"/>
                <w:sz w:val="24"/>
              </w:rPr>
              <w:t>830.25</w:t>
            </w:r>
          </w:p>
        </w:tc>
        <w:tc>
          <w:tcPr>
            <w:tcW w:w="2166" w:type="dxa"/>
            <w:tcBorders>
              <w:top w:val="single" w:color="auto" w:sz="4" w:space="0"/>
              <w:left w:val="single" w:color="auto" w:sz="4" w:space="0"/>
              <w:bottom w:val="single" w:color="auto" w:sz="4" w:space="0"/>
              <w:right w:val="single" w:color="auto" w:sz="4" w:space="0"/>
            </w:tcBorders>
            <w:noWrap/>
            <w:vAlign w:val="center"/>
          </w:tcPr>
          <w:p w14:paraId="34733C39">
            <w:pPr>
              <w:jc w:val="center"/>
              <w:rPr>
                <w:rFonts w:ascii="Times New Roman" w:hAnsi="Times New Roman" w:eastAsia="仿宋_GB2312"/>
                <w:sz w:val="24"/>
              </w:rPr>
            </w:pPr>
            <w:r>
              <w:rPr>
                <w:rFonts w:ascii="Times New Roman" w:hAnsi="Times New Roman" w:eastAsia="仿宋_GB2312"/>
                <w:sz w:val="24"/>
              </w:rPr>
              <w:t>22357.80</w:t>
            </w:r>
          </w:p>
        </w:tc>
        <w:tc>
          <w:tcPr>
            <w:tcW w:w="2347" w:type="dxa"/>
            <w:tcBorders>
              <w:top w:val="single" w:color="auto" w:sz="4" w:space="0"/>
              <w:left w:val="single" w:color="auto" w:sz="4" w:space="0"/>
              <w:bottom w:val="single" w:color="auto" w:sz="4" w:space="0"/>
              <w:right w:val="single" w:color="auto" w:sz="4" w:space="0"/>
            </w:tcBorders>
            <w:vAlign w:val="center"/>
          </w:tcPr>
          <w:p w14:paraId="27ACCB54">
            <w:pPr>
              <w:jc w:val="center"/>
              <w:rPr>
                <w:rFonts w:ascii="Times New Roman" w:hAnsi="Times New Roman" w:eastAsia="仿宋_GB2312"/>
                <w:sz w:val="24"/>
              </w:rPr>
            </w:pPr>
            <w:r>
              <w:rPr>
                <w:rFonts w:ascii="Times New Roman" w:hAnsi="Times New Roman" w:eastAsia="仿宋_GB2312"/>
                <w:sz w:val="24"/>
              </w:rPr>
              <w:t xml:space="preserve">23188.05 </w:t>
            </w:r>
          </w:p>
        </w:tc>
      </w:tr>
      <w:tr w14:paraId="2E0519B4">
        <w:tblPrEx>
          <w:tblCellMar>
            <w:top w:w="0" w:type="dxa"/>
            <w:left w:w="108" w:type="dxa"/>
            <w:bottom w:w="0" w:type="dxa"/>
            <w:right w:w="108" w:type="dxa"/>
          </w:tblCellMar>
        </w:tblPrEx>
        <w:trPr>
          <w:trHeight w:val="347" w:hRule="atLeast"/>
          <w:jc w:val="center"/>
        </w:trPr>
        <w:tc>
          <w:tcPr>
            <w:tcW w:w="1702" w:type="dxa"/>
            <w:tcBorders>
              <w:top w:val="nil"/>
              <w:left w:val="single" w:color="auto" w:sz="4" w:space="0"/>
              <w:bottom w:val="single" w:color="auto" w:sz="4" w:space="0"/>
              <w:right w:val="single" w:color="auto" w:sz="4" w:space="0"/>
            </w:tcBorders>
            <w:noWrap/>
            <w:vAlign w:val="center"/>
          </w:tcPr>
          <w:p w14:paraId="6E86E1E7">
            <w:pPr>
              <w:jc w:val="center"/>
              <w:rPr>
                <w:rFonts w:ascii="Times New Roman" w:hAnsi="Times New Roman" w:eastAsia="仿宋_GB2312"/>
                <w:sz w:val="24"/>
              </w:rPr>
            </w:pPr>
            <w:r>
              <w:rPr>
                <w:rFonts w:ascii="Times New Roman" w:hAnsi="Times New Roman" w:eastAsia="仿宋_GB2312"/>
                <w:sz w:val="24"/>
              </w:rPr>
              <w:t>2018</w:t>
            </w:r>
          </w:p>
        </w:tc>
        <w:tc>
          <w:tcPr>
            <w:tcW w:w="1702" w:type="dxa"/>
            <w:tcBorders>
              <w:top w:val="single" w:color="auto" w:sz="4" w:space="0"/>
              <w:left w:val="nil"/>
              <w:bottom w:val="single" w:color="auto" w:sz="4" w:space="0"/>
              <w:right w:val="single" w:color="auto" w:sz="4" w:space="0"/>
            </w:tcBorders>
            <w:noWrap/>
            <w:vAlign w:val="center"/>
          </w:tcPr>
          <w:p w14:paraId="7BD89B49">
            <w:pPr>
              <w:jc w:val="center"/>
              <w:rPr>
                <w:rFonts w:ascii="Times New Roman" w:hAnsi="Times New Roman" w:eastAsia="仿宋_GB2312"/>
                <w:sz w:val="24"/>
              </w:rPr>
            </w:pPr>
            <w:r>
              <w:rPr>
                <w:rFonts w:ascii="Times New Roman" w:hAnsi="Times New Roman" w:eastAsia="仿宋_GB2312"/>
                <w:sz w:val="24"/>
              </w:rPr>
              <w:t>983.35</w:t>
            </w:r>
          </w:p>
        </w:tc>
        <w:tc>
          <w:tcPr>
            <w:tcW w:w="2166" w:type="dxa"/>
            <w:tcBorders>
              <w:top w:val="single" w:color="auto" w:sz="4" w:space="0"/>
              <w:left w:val="single" w:color="auto" w:sz="4" w:space="0"/>
              <w:bottom w:val="single" w:color="auto" w:sz="4" w:space="0"/>
              <w:right w:val="single" w:color="auto" w:sz="4" w:space="0"/>
            </w:tcBorders>
            <w:noWrap/>
            <w:vAlign w:val="center"/>
          </w:tcPr>
          <w:p w14:paraId="367B36E5">
            <w:pPr>
              <w:jc w:val="center"/>
              <w:rPr>
                <w:rFonts w:ascii="Times New Roman" w:hAnsi="Times New Roman" w:eastAsia="仿宋_GB2312"/>
                <w:sz w:val="24"/>
              </w:rPr>
            </w:pPr>
            <w:r>
              <w:rPr>
                <w:rFonts w:ascii="Times New Roman" w:hAnsi="Times New Roman" w:eastAsia="仿宋_GB2312"/>
                <w:sz w:val="24"/>
              </w:rPr>
              <w:t>22647.80</w:t>
            </w:r>
          </w:p>
        </w:tc>
        <w:tc>
          <w:tcPr>
            <w:tcW w:w="2347" w:type="dxa"/>
            <w:tcBorders>
              <w:top w:val="single" w:color="auto" w:sz="4" w:space="0"/>
              <w:left w:val="single" w:color="auto" w:sz="4" w:space="0"/>
              <w:bottom w:val="single" w:color="auto" w:sz="4" w:space="0"/>
              <w:right w:val="single" w:color="auto" w:sz="4" w:space="0"/>
            </w:tcBorders>
            <w:vAlign w:val="center"/>
          </w:tcPr>
          <w:p w14:paraId="3E9EF0FF">
            <w:pPr>
              <w:jc w:val="center"/>
              <w:rPr>
                <w:rFonts w:ascii="Times New Roman" w:hAnsi="Times New Roman" w:eastAsia="仿宋_GB2312"/>
                <w:sz w:val="24"/>
              </w:rPr>
            </w:pPr>
            <w:r>
              <w:rPr>
                <w:rFonts w:ascii="Times New Roman" w:hAnsi="Times New Roman" w:eastAsia="仿宋_GB2312"/>
                <w:sz w:val="24"/>
              </w:rPr>
              <w:t xml:space="preserve">23631.15 </w:t>
            </w:r>
          </w:p>
        </w:tc>
      </w:tr>
      <w:tr w14:paraId="3307C9DA">
        <w:tblPrEx>
          <w:tblCellMar>
            <w:top w:w="0" w:type="dxa"/>
            <w:left w:w="108" w:type="dxa"/>
            <w:bottom w:w="0" w:type="dxa"/>
            <w:right w:w="108" w:type="dxa"/>
          </w:tblCellMar>
        </w:tblPrEx>
        <w:trPr>
          <w:trHeight w:val="347" w:hRule="atLeast"/>
          <w:jc w:val="center"/>
        </w:trPr>
        <w:tc>
          <w:tcPr>
            <w:tcW w:w="1702" w:type="dxa"/>
            <w:tcBorders>
              <w:top w:val="single" w:color="auto" w:sz="4" w:space="0"/>
              <w:left w:val="single" w:color="auto" w:sz="4" w:space="0"/>
              <w:bottom w:val="single" w:color="auto" w:sz="4" w:space="0"/>
              <w:right w:val="single" w:color="auto" w:sz="4" w:space="0"/>
            </w:tcBorders>
            <w:noWrap/>
            <w:vAlign w:val="center"/>
          </w:tcPr>
          <w:p w14:paraId="01B1B94A">
            <w:pPr>
              <w:jc w:val="center"/>
              <w:rPr>
                <w:rFonts w:ascii="Times New Roman" w:hAnsi="Times New Roman" w:eastAsia="仿宋_GB2312"/>
                <w:sz w:val="24"/>
              </w:rPr>
            </w:pPr>
            <w:r>
              <w:rPr>
                <w:rFonts w:ascii="Times New Roman" w:hAnsi="Times New Roman" w:eastAsia="仿宋_GB2312"/>
                <w:sz w:val="24"/>
              </w:rPr>
              <w:t>2019</w:t>
            </w:r>
          </w:p>
        </w:tc>
        <w:tc>
          <w:tcPr>
            <w:tcW w:w="1702" w:type="dxa"/>
            <w:tcBorders>
              <w:top w:val="single" w:color="auto" w:sz="4" w:space="0"/>
              <w:left w:val="nil"/>
              <w:bottom w:val="single" w:color="auto" w:sz="4" w:space="0"/>
              <w:right w:val="single" w:color="auto" w:sz="4" w:space="0"/>
            </w:tcBorders>
            <w:noWrap/>
            <w:vAlign w:val="center"/>
          </w:tcPr>
          <w:p w14:paraId="65689FD8">
            <w:pPr>
              <w:jc w:val="center"/>
              <w:rPr>
                <w:rFonts w:ascii="Times New Roman" w:hAnsi="Times New Roman" w:eastAsia="仿宋_GB2312"/>
                <w:sz w:val="24"/>
              </w:rPr>
            </w:pPr>
            <w:r>
              <w:rPr>
                <w:rFonts w:ascii="Times New Roman" w:hAnsi="Times New Roman" w:eastAsia="仿宋_GB2312"/>
                <w:sz w:val="24"/>
              </w:rPr>
              <w:t>950.56</w:t>
            </w:r>
          </w:p>
        </w:tc>
        <w:tc>
          <w:tcPr>
            <w:tcW w:w="2166" w:type="dxa"/>
            <w:tcBorders>
              <w:top w:val="single" w:color="auto" w:sz="4" w:space="0"/>
              <w:left w:val="single" w:color="auto" w:sz="4" w:space="0"/>
              <w:bottom w:val="single" w:color="auto" w:sz="4" w:space="0"/>
              <w:right w:val="single" w:color="auto" w:sz="4" w:space="0"/>
            </w:tcBorders>
            <w:noWrap/>
            <w:vAlign w:val="center"/>
          </w:tcPr>
          <w:p w14:paraId="2B0404CE">
            <w:pPr>
              <w:jc w:val="center"/>
              <w:rPr>
                <w:rFonts w:ascii="Times New Roman" w:hAnsi="Times New Roman" w:eastAsia="仿宋_GB2312"/>
                <w:sz w:val="24"/>
              </w:rPr>
            </w:pPr>
            <w:bookmarkStart w:id="25" w:name="_Hlk34831329"/>
            <w:bookmarkStart w:id="26" w:name="_Hlk34830506"/>
            <w:r>
              <w:rPr>
                <w:rFonts w:ascii="Times New Roman" w:hAnsi="Times New Roman" w:eastAsia="仿宋_GB2312"/>
                <w:sz w:val="24"/>
              </w:rPr>
              <w:t>24628.50</w:t>
            </w:r>
            <w:bookmarkEnd w:id="25"/>
            <w:bookmarkEnd w:id="26"/>
          </w:p>
        </w:tc>
        <w:tc>
          <w:tcPr>
            <w:tcW w:w="2347" w:type="dxa"/>
            <w:tcBorders>
              <w:top w:val="single" w:color="auto" w:sz="4" w:space="0"/>
              <w:left w:val="single" w:color="auto" w:sz="4" w:space="0"/>
              <w:bottom w:val="single" w:color="auto" w:sz="4" w:space="0"/>
              <w:right w:val="single" w:color="auto" w:sz="4" w:space="0"/>
            </w:tcBorders>
            <w:vAlign w:val="center"/>
          </w:tcPr>
          <w:p w14:paraId="20566B12">
            <w:pPr>
              <w:jc w:val="center"/>
              <w:rPr>
                <w:rFonts w:ascii="Times New Roman" w:hAnsi="Times New Roman" w:eastAsia="仿宋_GB2312"/>
                <w:sz w:val="24"/>
              </w:rPr>
            </w:pPr>
            <w:r>
              <w:rPr>
                <w:rFonts w:ascii="Times New Roman" w:hAnsi="Times New Roman" w:eastAsia="仿宋_GB2312"/>
                <w:sz w:val="24"/>
              </w:rPr>
              <w:t xml:space="preserve">25579.06 </w:t>
            </w:r>
          </w:p>
        </w:tc>
      </w:tr>
      <w:tr w14:paraId="5DE6AAC9">
        <w:tblPrEx>
          <w:tblCellMar>
            <w:top w:w="0" w:type="dxa"/>
            <w:left w:w="108" w:type="dxa"/>
            <w:bottom w:w="0" w:type="dxa"/>
            <w:right w:w="108" w:type="dxa"/>
          </w:tblCellMar>
        </w:tblPrEx>
        <w:trPr>
          <w:trHeight w:val="347" w:hRule="atLeast"/>
          <w:jc w:val="center"/>
        </w:trPr>
        <w:tc>
          <w:tcPr>
            <w:tcW w:w="1702" w:type="dxa"/>
            <w:tcBorders>
              <w:top w:val="single" w:color="auto" w:sz="4" w:space="0"/>
              <w:left w:val="single" w:color="auto" w:sz="4" w:space="0"/>
              <w:bottom w:val="single" w:color="auto" w:sz="4" w:space="0"/>
              <w:right w:val="single" w:color="auto" w:sz="4" w:space="0"/>
            </w:tcBorders>
            <w:noWrap/>
            <w:vAlign w:val="center"/>
          </w:tcPr>
          <w:p w14:paraId="01C010AE">
            <w:pPr>
              <w:jc w:val="center"/>
              <w:rPr>
                <w:rFonts w:ascii="Times New Roman" w:hAnsi="Times New Roman" w:eastAsia="仿宋_GB2312"/>
                <w:sz w:val="24"/>
              </w:rPr>
            </w:pPr>
            <w:r>
              <w:rPr>
                <w:rFonts w:hint="eastAsia" w:ascii="Times New Roman" w:hAnsi="Times New Roman" w:eastAsia="仿宋_GB2312"/>
                <w:sz w:val="24"/>
              </w:rPr>
              <w:t>2</w:t>
            </w:r>
            <w:r>
              <w:rPr>
                <w:rFonts w:ascii="Times New Roman" w:hAnsi="Times New Roman" w:eastAsia="仿宋_GB2312"/>
                <w:sz w:val="24"/>
              </w:rPr>
              <w:t>020</w:t>
            </w:r>
          </w:p>
        </w:tc>
        <w:tc>
          <w:tcPr>
            <w:tcW w:w="1702" w:type="dxa"/>
            <w:tcBorders>
              <w:top w:val="single" w:color="auto" w:sz="4" w:space="0"/>
              <w:left w:val="nil"/>
              <w:bottom w:val="single" w:color="auto" w:sz="4" w:space="0"/>
              <w:right w:val="single" w:color="auto" w:sz="4" w:space="0"/>
            </w:tcBorders>
            <w:noWrap/>
            <w:vAlign w:val="center"/>
          </w:tcPr>
          <w:p w14:paraId="7D4FF8DA">
            <w:pPr>
              <w:jc w:val="center"/>
              <w:rPr>
                <w:rFonts w:ascii="Times New Roman" w:hAnsi="Times New Roman" w:eastAsia="仿宋_GB2312"/>
                <w:sz w:val="24"/>
              </w:rPr>
            </w:pPr>
            <w:r>
              <w:rPr>
                <w:rFonts w:ascii="Times New Roman" w:hAnsi="Times New Roman" w:eastAsia="仿宋_GB2312"/>
                <w:sz w:val="24"/>
              </w:rPr>
              <w:t>950.56</w:t>
            </w:r>
          </w:p>
        </w:tc>
        <w:tc>
          <w:tcPr>
            <w:tcW w:w="2166" w:type="dxa"/>
            <w:tcBorders>
              <w:top w:val="single" w:color="auto" w:sz="4" w:space="0"/>
              <w:left w:val="single" w:color="auto" w:sz="4" w:space="0"/>
              <w:bottom w:val="single" w:color="auto" w:sz="4" w:space="0"/>
              <w:right w:val="single" w:color="auto" w:sz="4" w:space="0"/>
            </w:tcBorders>
            <w:noWrap/>
            <w:vAlign w:val="center"/>
          </w:tcPr>
          <w:p w14:paraId="7BBB04B2">
            <w:pPr>
              <w:jc w:val="center"/>
              <w:rPr>
                <w:rFonts w:ascii="Times New Roman" w:hAnsi="Times New Roman" w:eastAsia="仿宋_GB2312"/>
                <w:sz w:val="24"/>
              </w:rPr>
            </w:pPr>
            <w:r>
              <w:rPr>
                <w:rFonts w:ascii="Times New Roman" w:hAnsi="Times New Roman" w:eastAsia="仿宋_GB2312"/>
                <w:sz w:val="24"/>
              </w:rPr>
              <w:t>24628.50</w:t>
            </w:r>
          </w:p>
        </w:tc>
        <w:tc>
          <w:tcPr>
            <w:tcW w:w="2347" w:type="dxa"/>
            <w:tcBorders>
              <w:top w:val="single" w:color="auto" w:sz="4" w:space="0"/>
              <w:left w:val="single" w:color="auto" w:sz="4" w:space="0"/>
              <w:bottom w:val="single" w:color="auto" w:sz="4" w:space="0"/>
              <w:right w:val="single" w:color="auto" w:sz="4" w:space="0"/>
            </w:tcBorders>
            <w:vAlign w:val="center"/>
          </w:tcPr>
          <w:p w14:paraId="48D5FDF5">
            <w:pPr>
              <w:jc w:val="center"/>
              <w:rPr>
                <w:rFonts w:ascii="Times New Roman" w:hAnsi="Times New Roman" w:eastAsia="仿宋_GB2312"/>
                <w:sz w:val="24"/>
              </w:rPr>
            </w:pPr>
            <w:r>
              <w:rPr>
                <w:rFonts w:ascii="Times New Roman" w:hAnsi="Times New Roman" w:eastAsia="仿宋_GB2312"/>
                <w:sz w:val="24"/>
              </w:rPr>
              <w:t xml:space="preserve">25579.06 </w:t>
            </w:r>
          </w:p>
        </w:tc>
      </w:tr>
    </w:tbl>
    <w:p w14:paraId="5571E739">
      <w:pPr>
        <w:jc w:val="center"/>
        <w:rPr>
          <w:rFonts w:ascii="Times New Roman" w:hAnsi="Times New Roman"/>
        </w:rPr>
      </w:pPr>
    </w:p>
    <w:p w14:paraId="1490D9DD">
      <w:pPr>
        <w:jc w:val="center"/>
        <w:rPr>
          <w:rFonts w:ascii="Times New Roman" w:hAnsi="Times New Roman" w:eastAsia="仿宋_GB2312"/>
          <w:sz w:val="28"/>
          <w:szCs w:val="28"/>
        </w:rPr>
      </w:pPr>
      <w:r>
        <w:rPr>
          <w:lang w:val="en-US"/>
        </w:rPr>
        <w:drawing>
          <wp:inline distT="0" distB="0" distL="0" distR="0">
            <wp:extent cx="4568825" cy="2740025"/>
            <wp:effectExtent l="0" t="0" r="3175" b="3175"/>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BB8C64D">
      <w:pPr>
        <w:spacing w:after="0" w:line="560" w:lineRule="exact"/>
        <w:jc w:val="center"/>
        <w:rPr>
          <w:rFonts w:ascii="Times New Roman" w:hAnsi="Times New Roman" w:eastAsia="仿宋_GB2312"/>
          <w:sz w:val="28"/>
          <w:szCs w:val="28"/>
        </w:rPr>
      </w:pPr>
      <w:r>
        <w:rPr>
          <w:rFonts w:ascii="Times New Roman" w:hAnsi="Times New Roman" w:eastAsia="仿宋_GB2312"/>
          <w:sz w:val="28"/>
          <w:szCs w:val="28"/>
        </w:rPr>
        <w:t>图xx 排放量变化趋势图（增加</w:t>
      </w:r>
      <w:r>
        <w:rPr>
          <w:rFonts w:hint="eastAsia" w:ascii="Times New Roman" w:hAnsi="Times New Roman" w:eastAsia="仿宋_GB2312"/>
          <w:sz w:val="28"/>
          <w:szCs w:val="28"/>
        </w:rPr>
        <w:t>2</w:t>
      </w:r>
      <w:r>
        <w:rPr>
          <w:rFonts w:ascii="Times New Roman" w:hAnsi="Times New Roman" w:eastAsia="仿宋_GB2312"/>
          <w:sz w:val="28"/>
          <w:szCs w:val="28"/>
        </w:rPr>
        <w:t>020年度）</w:t>
      </w:r>
    </w:p>
    <w:p w14:paraId="0A4C7624">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 核算和报告边界变化</w:t>
      </w:r>
      <w:r>
        <w:rPr>
          <w:rFonts w:hint="eastAsia" w:ascii="Times New Roman" w:hAnsi="Times New Roman" w:eastAsia="仿宋_GB2312"/>
          <w:sz w:val="32"/>
          <w:szCs w:val="32"/>
        </w:rPr>
        <w:t>（含设施变化）</w:t>
      </w:r>
      <w:r>
        <w:rPr>
          <w:rFonts w:ascii="Times New Roman" w:hAnsi="Times New Roman" w:eastAsia="仿宋_GB2312"/>
          <w:sz w:val="32"/>
          <w:szCs w:val="32"/>
        </w:rPr>
        <w:t>情况</w:t>
      </w:r>
    </w:p>
    <w:p w14:paraId="345285D7">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4.1 本年度场所边界的变化</w:t>
      </w:r>
    </w:p>
    <w:p w14:paraId="6C33FFC0">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排放单位核算和报告边界为在北京市辖区内的物业项目地，商业写字楼包括xxx、xxx，建筑面积（不含地下车库）xxxx平方米，地下车库面积xxxx平方米，实际物业管理面积xxx平方米。</w:t>
      </w:r>
    </w:p>
    <w:p w14:paraId="758E3EBE">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与上一年度相比，新增商业写字楼xx发展中心，建筑面积（不含地下车库）xxxx平方米，地下车库面积xxxx平方米，实际物业管理面积xxx平方米。</w:t>
      </w:r>
    </w:p>
    <w:p w14:paraId="764B3899">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与基准年相比，新增商业写字楼xx发展中心，建筑面积（不含地下车库）xxxx平方米，地下车库面积xxxx平方米，实际物业管理面积xxx平方米。</w:t>
      </w:r>
    </w:p>
    <w:p w14:paraId="76AFA02E">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4.2 本年度排放设施的变化</w:t>
      </w:r>
    </w:p>
    <w:p w14:paraId="05D1AC5B">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排放单位不涉及既有配额调整。</w:t>
      </w:r>
    </w:p>
    <w:p w14:paraId="5CAAFDB5">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排放单位无既有设施退出。</w:t>
      </w:r>
    </w:p>
    <w:p w14:paraId="57018548">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排放单位新增设施及其排放详见下表：</w:t>
      </w:r>
    </w:p>
    <w:p w14:paraId="4605AF64">
      <w:pPr>
        <w:spacing w:after="0" w:line="560" w:lineRule="exact"/>
        <w:ind w:firstLine="465"/>
        <w:jc w:val="center"/>
        <w:rPr>
          <w:rFonts w:ascii="Times New Roman" w:hAnsi="Times New Roman" w:eastAsia="仿宋_GB2312"/>
          <w:sz w:val="28"/>
          <w:szCs w:val="28"/>
        </w:rPr>
      </w:pPr>
      <w:r>
        <w:rPr>
          <w:rFonts w:ascii="Times New Roman" w:hAnsi="Times New Roman" w:eastAsia="仿宋_GB2312"/>
          <w:sz w:val="28"/>
          <w:szCs w:val="28"/>
        </w:rPr>
        <w:t>表xx   新增设施信息表</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206"/>
        <w:gridCol w:w="2259"/>
        <w:gridCol w:w="1808"/>
        <w:gridCol w:w="1540"/>
        <w:gridCol w:w="1375"/>
      </w:tblGrid>
      <w:tr w14:paraId="3FFC9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Align w:val="center"/>
          </w:tcPr>
          <w:p w14:paraId="638B4590">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序号</w:t>
            </w:r>
          </w:p>
        </w:tc>
        <w:tc>
          <w:tcPr>
            <w:tcW w:w="666" w:type="pct"/>
            <w:vAlign w:val="center"/>
          </w:tcPr>
          <w:p w14:paraId="27898A3B">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设施新增年份</w:t>
            </w:r>
          </w:p>
        </w:tc>
        <w:tc>
          <w:tcPr>
            <w:tcW w:w="1247" w:type="pct"/>
            <w:vAlign w:val="center"/>
          </w:tcPr>
          <w:p w14:paraId="5C707D56">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新增设施类型</w:t>
            </w:r>
          </w:p>
        </w:tc>
        <w:tc>
          <w:tcPr>
            <w:tcW w:w="998" w:type="pct"/>
            <w:vAlign w:val="center"/>
          </w:tcPr>
          <w:p w14:paraId="6DE3E50E">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是否替代既有设施，被替代既有设施类型</w:t>
            </w:r>
          </w:p>
        </w:tc>
        <w:tc>
          <w:tcPr>
            <w:tcW w:w="850" w:type="pct"/>
            <w:vAlign w:val="center"/>
          </w:tcPr>
          <w:p w14:paraId="1DF5872B">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新增设施排放量（吨）</w:t>
            </w:r>
          </w:p>
        </w:tc>
        <w:tc>
          <w:tcPr>
            <w:tcW w:w="759" w:type="pct"/>
            <w:vAlign w:val="center"/>
          </w:tcPr>
          <w:p w14:paraId="24B5E765">
            <w:pPr>
              <w:tabs>
                <w:tab w:val="left" w:pos="1701"/>
              </w:tabs>
              <w:jc w:val="center"/>
              <w:rPr>
                <w:rFonts w:ascii="Times New Roman" w:hAnsi="Times New Roman" w:eastAsia="仿宋_GB2312"/>
                <w:color w:val="000000"/>
                <w:sz w:val="24"/>
              </w:rPr>
            </w:pPr>
            <w:r>
              <w:rPr>
                <w:rFonts w:hint="eastAsia" w:ascii="Times New Roman" w:hAnsi="Times New Roman" w:eastAsia="仿宋_GB2312"/>
                <w:color w:val="000000"/>
                <w:sz w:val="24"/>
              </w:rPr>
              <w:t>替代既有设施的新增排放量(吨)</w:t>
            </w:r>
          </w:p>
        </w:tc>
      </w:tr>
      <w:tr w14:paraId="1761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Align w:val="center"/>
          </w:tcPr>
          <w:p w14:paraId="14EB4CE8">
            <w:pPr>
              <w:jc w:val="center"/>
              <w:rPr>
                <w:rFonts w:ascii="Times New Roman" w:hAnsi="Times New Roman" w:eastAsia="仿宋_GB2312"/>
                <w:sz w:val="24"/>
              </w:rPr>
            </w:pPr>
            <w:r>
              <w:rPr>
                <w:rFonts w:ascii="Times New Roman" w:hAnsi="Times New Roman" w:eastAsia="仿宋_GB2312"/>
                <w:color w:val="000000"/>
                <w:sz w:val="24"/>
              </w:rPr>
              <w:t>1</w:t>
            </w:r>
          </w:p>
        </w:tc>
        <w:tc>
          <w:tcPr>
            <w:tcW w:w="666" w:type="pct"/>
            <w:vAlign w:val="center"/>
          </w:tcPr>
          <w:p w14:paraId="41ED8821">
            <w:pPr>
              <w:jc w:val="center"/>
              <w:rPr>
                <w:rFonts w:ascii="Times New Roman" w:hAnsi="Times New Roman" w:eastAsia="仿宋_GB2312"/>
                <w:sz w:val="24"/>
              </w:rPr>
            </w:pPr>
            <w:r>
              <w:rPr>
                <w:rFonts w:ascii="Times New Roman" w:hAnsi="Times New Roman" w:eastAsia="仿宋_GB2312"/>
                <w:sz w:val="24"/>
              </w:rPr>
              <w:t>2019</w:t>
            </w:r>
          </w:p>
        </w:tc>
        <w:tc>
          <w:tcPr>
            <w:tcW w:w="1247" w:type="pct"/>
            <w:vAlign w:val="center"/>
          </w:tcPr>
          <w:p w14:paraId="58575A91">
            <w:pPr>
              <w:jc w:val="center"/>
              <w:rPr>
                <w:rFonts w:ascii="Times New Roman" w:hAnsi="Times New Roman" w:eastAsia="仿宋_GB2312"/>
                <w:sz w:val="24"/>
              </w:rPr>
            </w:pPr>
            <w:r>
              <w:rPr>
                <w:rFonts w:ascii="Times New Roman" w:hAnsi="Times New Roman" w:eastAsia="仿宋_GB2312"/>
                <w:sz w:val="24"/>
              </w:rPr>
              <w:t>xx发展中心设施</w:t>
            </w:r>
          </w:p>
        </w:tc>
        <w:tc>
          <w:tcPr>
            <w:tcW w:w="998" w:type="pct"/>
            <w:vAlign w:val="center"/>
          </w:tcPr>
          <w:p w14:paraId="4F9946AD">
            <w:pPr>
              <w:jc w:val="center"/>
              <w:rPr>
                <w:rFonts w:ascii="Times New Roman" w:hAnsi="Times New Roman" w:eastAsia="仿宋_GB2312"/>
                <w:sz w:val="24"/>
              </w:rPr>
            </w:pPr>
            <w:r>
              <w:rPr>
                <w:rFonts w:ascii="Times New Roman" w:hAnsi="Times New Roman" w:eastAsia="仿宋_GB2312"/>
                <w:sz w:val="24"/>
              </w:rPr>
              <w:t>否</w:t>
            </w:r>
          </w:p>
        </w:tc>
        <w:tc>
          <w:tcPr>
            <w:tcW w:w="850" w:type="pct"/>
            <w:vAlign w:val="center"/>
          </w:tcPr>
          <w:p w14:paraId="452D9276">
            <w:pPr>
              <w:jc w:val="center"/>
              <w:rPr>
                <w:rFonts w:ascii="Times New Roman" w:hAnsi="Times New Roman" w:eastAsia="仿宋_GB2312"/>
                <w:sz w:val="24"/>
              </w:rPr>
            </w:pPr>
            <w:r>
              <w:rPr>
                <w:rFonts w:ascii="Times New Roman" w:hAnsi="Times New Roman" w:eastAsia="仿宋_GB2312"/>
                <w:sz w:val="24"/>
              </w:rPr>
              <w:t>2006.10</w:t>
            </w:r>
          </w:p>
        </w:tc>
        <w:tc>
          <w:tcPr>
            <w:tcW w:w="759" w:type="pct"/>
            <w:vAlign w:val="center"/>
          </w:tcPr>
          <w:p w14:paraId="416F0F3A">
            <w:pPr>
              <w:jc w:val="center"/>
              <w:rPr>
                <w:rFonts w:ascii="Times New Roman" w:hAnsi="Times New Roman" w:eastAsia="仿宋_GB2312"/>
                <w:sz w:val="24"/>
              </w:rPr>
            </w:pPr>
            <w:r>
              <w:rPr>
                <w:rFonts w:ascii="Times New Roman" w:hAnsi="Times New Roman" w:eastAsia="仿宋_GB2312"/>
                <w:sz w:val="24"/>
              </w:rPr>
              <w:t>/</w:t>
            </w:r>
          </w:p>
        </w:tc>
      </w:tr>
      <w:tr w14:paraId="169C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Align w:val="center"/>
          </w:tcPr>
          <w:p w14:paraId="21427B25">
            <w:pPr>
              <w:jc w:val="center"/>
              <w:rPr>
                <w:rFonts w:ascii="Times New Roman" w:hAnsi="Times New Roman" w:eastAsia="仿宋_GB2312"/>
                <w:color w:val="000000"/>
                <w:sz w:val="24"/>
              </w:rPr>
            </w:pPr>
            <w:r>
              <w:rPr>
                <w:rFonts w:hint="eastAsia" w:ascii="Times New Roman" w:hAnsi="Times New Roman" w:eastAsia="仿宋_GB2312"/>
                <w:color w:val="000000"/>
                <w:sz w:val="24"/>
              </w:rPr>
              <w:t>2</w:t>
            </w:r>
          </w:p>
        </w:tc>
        <w:tc>
          <w:tcPr>
            <w:tcW w:w="666" w:type="pct"/>
            <w:vAlign w:val="center"/>
          </w:tcPr>
          <w:p w14:paraId="09EA08C2">
            <w:pPr>
              <w:jc w:val="center"/>
              <w:rPr>
                <w:rFonts w:ascii="Times New Roman" w:hAnsi="Times New Roman" w:eastAsia="仿宋_GB2312"/>
                <w:sz w:val="24"/>
              </w:rPr>
            </w:pPr>
            <w:r>
              <w:rPr>
                <w:rFonts w:hint="eastAsia" w:ascii="Times New Roman" w:hAnsi="Times New Roman" w:eastAsia="仿宋_GB2312"/>
                <w:sz w:val="24"/>
              </w:rPr>
              <w:t>2</w:t>
            </w:r>
            <w:r>
              <w:rPr>
                <w:rFonts w:ascii="Times New Roman" w:hAnsi="Times New Roman" w:eastAsia="仿宋_GB2312"/>
                <w:sz w:val="24"/>
              </w:rPr>
              <w:t>020</w:t>
            </w:r>
          </w:p>
        </w:tc>
        <w:tc>
          <w:tcPr>
            <w:tcW w:w="1247" w:type="pct"/>
          </w:tcPr>
          <w:p w14:paraId="41271421">
            <w:pPr>
              <w:jc w:val="center"/>
              <w:rPr>
                <w:rFonts w:ascii="Times New Roman" w:hAnsi="Times New Roman" w:eastAsia="仿宋_GB2312"/>
                <w:sz w:val="24"/>
              </w:rPr>
            </w:pPr>
            <w:r>
              <w:rPr>
                <w:rFonts w:hint="eastAsia"/>
              </w:rPr>
              <w:t>xx发展中心设施</w:t>
            </w:r>
          </w:p>
        </w:tc>
        <w:tc>
          <w:tcPr>
            <w:tcW w:w="998" w:type="pct"/>
          </w:tcPr>
          <w:p w14:paraId="7C0970BB">
            <w:pPr>
              <w:jc w:val="center"/>
              <w:rPr>
                <w:rFonts w:ascii="Times New Roman" w:hAnsi="Times New Roman" w:eastAsia="仿宋_GB2312"/>
                <w:sz w:val="24"/>
              </w:rPr>
            </w:pPr>
            <w:r>
              <w:rPr>
                <w:rFonts w:hint="eastAsia"/>
              </w:rPr>
              <w:t>否</w:t>
            </w:r>
          </w:p>
        </w:tc>
        <w:tc>
          <w:tcPr>
            <w:tcW w:w="850" w:type="pct"/>
            <w:vAlign w:val="center"/>
          </w:tcPr>
          <w:p w14:paraId="52401065">
            <w:pPr>
              <w:jc w:val="center"/>
              <w:rPr>
                <w:rFonts w:ascii="Times New Roman" w:hAnsi="Times New Roman" w:eastAsia="仿宋_GB2312"/>
                <w:sz w:val="24"/>
              </w:rPr>
            </w:pPr>
            <w:r>
              <w:rPr>
                <w:rFonts w:hint="eastAsia" w:ascii="Times New Roman" w:hAnsi="Times New Roman" w:eastAsia="仿宋_GB2312"/>
                <w:sz w:val="24"/>
              </w:rPr>
              <w:t>X</w:t>
            </w:r>
            <w:r>
              <w:rPr>
                <w:rFonts w:ascii="Times New Roman" w:hAnsi="Times New Roman" w:eastAsia="仿宋_GB2312"/>
                <w:sz w:val="24"/>
              </w:rPr>
              <w:t>XX</w:t>
            </w:r>
          </w:p>
        </w:tc>
        <w:tc>
          <w:tcPr>
            <w:tcW w:w="759" w:type="pct"/>
            <w:vAlign w:val="center"/>
          </w:tcPr>
          <w:p w14:paraId="3AFBD7A5">
            <w:pPr>
              <w:jc w:val="center"/>
              <w:rPr>
                <w:rFonts w:ascii="Times New Roman" w:hAnsi="Times New Roman" w:eastAsia="仿宋_GB2312"/>
                <w:sz w:val="24"/>
              </w:rPr>
            </w:pPr>
          </w:p>
        </w:tc>
      </w:tr>
      <w:tr w14:paraId="27E2E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Align w:val="center"/>
          </w:tcPr>
          <w:p w14:paraId="7D728410">
            <w:pPr>
              <w:jc w:val="center"/>
              <w:rPr>
                <w:rFonts w:ascii="Times New Roman" w:hAnsi="Times New Roman" w:eastAsia="仿宋_GB2312"/>
                <w:sz w:val="24"/>
              </w:rPr>
            </w:pPr>
            <w:r>
              <w:rPr>
                <w:rFonts w:ascii="Times New Roman" w:hAnsi="Times New Roman" w:eastAsia="仿宋_GB2312"/>
                <w:color w:val="000000"/>
                <w:sz w:val="24"/>
              </w:rPr>
              <w:t>合计</w:t>
            </w:r>
          </w:p>
        </w:tc>
        <w:tc>
          <w:tcPr>
            <w:tcW w:w="666" w:type="pct"/>
            <w:vAlign w:val="center"/>
          </w:tcPr>
          <w:p w14:paraId="36C9D5BA">
            <w:pPr>
              <w:jc w:val="center"/>
              <w:rPr>
                <w:rFonts w:ascii="Times New Roman" w:hAnsi="Times New Roman" w:eastAsia="仿宋_GB2312"/>
                <w:sz w:val="24"/>
              </w:rPr>
            </w:pPr>
          </w:p>
        </w:tc>
        <w:tc>
          <w:tcPr>
            <w:tcW w:w="1247" w:type="pct"/>
            <w:vAlign w:val="center"/>
          </w:tcPr>
          <w:p w14:paraId="6176DDFB">
            <w:pPr>
              <w:jc w:val="center"/>
              <w:rPr>
                <w:rFonts w:ascii="Times New Roman" w:hAnsi="Times New Roman" w:eastAsia="仿宋_GB2312"/>
                <w:sz w:val="24"/>
              </w:rPr>
            </w:pPr>
          </w:p>
        </w:tc>
        <w:tc>
          <w:tcPr>
            <w:tcW w:w="998" w:type="pct"/>
            <w:vAlign w:val="center"/>
          </w:tcPr>
          <w:p w14:paraId="678E5529">
            <w:pPr>
              <w:jc w:val="center"/>
              <w:rPr>
                <w:rFonts w:ascii="Times New Roman" w:hAnsi="Times New Roman" w:eastAsia="仿宋_GB2312"/>
                <w:sz w:val="24"/>
              </w:rPr>
            </w:pPr>
          </w:p>
        </w:tc>
        <w:tc>
          <w:tcPr>
            <w:tcW w:w="850" w:type="pct"/>
            <w:vAlign w:val="center"/>
          </w:tcPr>
          <w:p w14:paraId="1C41A913">
            <w:pPr>
              <w:jc w:val="center"/>
              <w:rPr>
                <w:rFonts w:ascii="Times New Roman" w:hAnsi="Times New Roman" w:eastAsia="仿宋_GB2312"/>
                <w:sz w:val="24"/>
              </w:rPr>
            </w:pPr>
            <w:r>
              <w:rPr>
                <w:rFonts w:ascii="Times New Roman" w:hAnsi="Times New Roman" w:eastAsia="仿宋_GB2312"/>
                <w:sz w:val="24"/>
              </w:rPr>
              <w:t>XXX</w:t>
            </w:r>
          </w:p>
        </w:tc>
        <w:tc>
          <w:tcPr>
            <w:tcW w:w="759" w:type="pct"/>
            <w:vAlign w:val="center"/>
          </w:tcPr>
          <w:p w14:paraId="340D76D6">
            <w:pPr>
              <w:jc w:val="center"/>
              <w:rPr>
                <w:rFonts w:ascii="Times New Roman" w:hAnsi="Times New Roman" w:eastAsia="仿宋_GB2312"/>
                <w:sz w:val="24"/>
              </w:rPr>
            </w:pPr>
            <w:r>
              <w:rPr>
                <w:rFonts w:ascii="Times New Roman" w:hAnsi="Times New Roman" w:eastAsia="仿宋_GB2312"/>
                <w:sz w:val="24"/>
              </w:rPr>
              <w:t>/</w:t>
            </w:r>
          </w:p>
        </w:tc>
      </w:tr>
    </w:tbl>
    <w:p w14:paraId="7BA7BB2D">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排放单位2020年新增设施导致的总排放量为XXX吨，是基准年排放量的XXX%，新增服务范围xx发展中心建筑面积（不含地下车库）xxxx平方米，地下车库面积xxxx平方米，实际物业管理面积xxxx平方米，</w:t>
      </w:r>
      <w:r>
        <w:rPr>
          <w:rFonts w:hint="eastAsia" w:ascii="Times New Roman" w:hAnsi="Times New Roman" w:eastAsia="仿宋_GB2312"/>
          <w:sz w:val="32"/>
          <w:szCs w:val="32"/>
        </w:rPr>
        <w:t>新增服务范围对应的</w:t>
      </w:r>
      <w:r>
        <w:rPr>
          <w:rFonts w:ascii="Times New Roman" w:hAnsi="Times New Roman" w:eastAsia="仿宋_GB2312"/>
          <w:sz w:val="32"/>
          <w:szCs w:val="32"/>
        </w:rPr>
        <w:t>产值为xxx万元</w:t>
      </w:r>
      <w:r>
        <w:rPr>
          <w:rFonts w:hint="eastAsia" w:ascii="Times New Roman" w:hAnsi="Times New Roman" w:eastAsia="仿宋_GB2312"/>
          <w:sz w:val="32"/>
          <w:szCs w:val="32"/>
        </w:rPr>
        <w:t>（其中物业管理费xx万元，采暖制冷费用xx万元，物业经营收入xx万元，增值服务费xx万元），入驻率为xx%</w:t>
      </w:r>
      <w:r>
        <w:rPr>
          <w:rFonts w:ascii="Times New Roman" w:hAnsi="Times New Roman" w:eastAsia="仿宋_GB2312"/>
          <w:sz w:val="32"/>
          <w:szCs w:val="32"/>
        </w:rPr>
        <w:t>。此信息供新增设施发放配额参考。</w:t>
      </w:r>
    </w:p>
    <w:p w14:paraId="53E58995">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 核查过程未覆盖的问题描述</w:t>
      </w:r>
    </w:p>
    <w:p w14:paraId="5639BDCB">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由于天然气表和电表分别为燃气公司及电力公司管控，因此未能核查这些仪表的检定信息。</w:t>
      </w:r>
    </w:p>
    <w:p w14:paraId="4402EBD1">
      <w:pPr>
        <w:spacing w:after="0" w:line="560" w:lineRule="exact"/>
        <w:ind w:right="-198" w:rightChars="-90" w:firstLine="640" w:firstLineChars="200"/>
        <w:rPr>
          <w:rFonts w:ascii="Times New Roman" w:hAnsi="Times New Roman" w:eastAsia="仿宋_GB2312"/>
          <w:sz w:val="32"/>
          <w:szCs w:val="32"/>
        </w:rPr>
        <w:sectPr>
          <w:pgSz w:w="11906" w:h="16838"/>
          <w:pgMar w:top="2098" w:right="1474" w:bottom="1984" w:left="1587" w:header="851" w:footer="1587" w:gutter="0"/>
          <w:pgNumType w:fmt="decimal"/>
          <w:cols w:space="0" w:num="1"/>
          <w:rtlGutter w:val="0"/>
          <w:docGrid w:type="lines" w:linePitch="312" w:charSpace="0"/>
        </w:sectPr>
      </w:pPr>
      <w:r>
        <w:rPr>
          <w:rFonts w:ascii="Times New Roman" w:hAnsi="Times New Roman" w:eastAsia="仿宋_GB2312"/>
          <w:sz w:val="32"/>
          <w:szCs w:val="32"/>
        </w:rPr>
        <w:t>历史核查时，对于排放单位服务的</w:t>
      </w:r>
      <w:r>
        <w:rPr>
          <w:rFonts w:hint="eastAsia" w:ascii="Times New Roman" w:hAnsi="Times New Roman" w:eastAsia="仿宋_GB2312"/>
          <w:sz w:val="32"/>
          <w:szCs w:val="32"/>
        </w:rPr>
        <w:t>商业</w:t>
      </w:r>
      <w:r>
        <w:rPr>
          <w:rFonts w:ascii="Times New Roman" w:hAnsi="Times New Roman" w:eastAsia="仿宋_GB2312"/>
          <w:sz w:val="32"/>
          <w:szCs w:val="32"/>
        </w:rPr>
        <w:t>写字楼内的租户（非重点排放单位）消耗的电力予以了扣减，因此本次核查与历史核查边界保持一致，对</w:t>
      </w:r>
      <w:r>
        <w:rPr>
          <w:rFonts w:hint="eastAsia" w:ascii="Times New Roman" w:hAnsi="Times New Roman" w:eastAsia="仿宋_GB2312"/>
          <w:sz w:val="32"/>
          <w:szCs w:val="32"/>
        </w:rPr>
        <w:t>商业</w:t>
      </w:r>
      <w:r>
        <w:rPr>
          <w:rFonts w:ascii="Times New Roman" w:hAnsi="Times New Roman" w:eastAsia="仿宋_GB2312"/>
          <w:sz w:val="32"/>
          <w:szCs w:val="32"/>
        </w:rPr>
        <w:t>写字楼内的租户也予以了扣减。</w:t>
      </w:r>
    </w:p>
    <w:p w14:paraId="0202A387">
      <w:pPr>
        <w:pStyle w:val="4"/>
        <w:spacing w:before="0" w:after="0" w:line="56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其他行业企业</w:t>
      </w:r>
    </w:p>
    <w:p w14:paraId="6E30007A">
      <w:pPr>
        <w:spacing w:after="0" w:line="560" w:lineRule="exact"/>
        <w:rPr>
          <w:rFonts w:ascii="Times New Roman" w:hAnsi="Times New Roman" w:eastAsia="仿宋_GB2312"/>
          <w:sz w:val="32"/>
          <w:szCs w:val="32"/>
        </w:rPr>
      </w:pPr>
      <w:r>
        <w:rPr>
          <w:rFonts w:ascii="Times New Roman" w:hAnsi="Times New Roman" w:eastAsia="仿宋_GB2312"/>
          <w:sz w:val="32"/>
          <w:szCs w:val="32"/>
        </w:rPr>
        <w:t>核查结论</w:t>
      </w:r>
    </w:p>
    <w:p w14:paraId="5B84EF17">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
          <w:sz w:val="32"/>
          <w:szCs w:val="32"/>
        </w:rPr>
        <w:t>xxxx公司（以下简称排放单位）委托xxx公司开展XXXX年</w:t>
      </w:r>
      <w:r>
        <w:rPr>
          <w:rFonts w:ascii="Times New Roman" w:hAnsi="Times New Roman" w:eastAsia="仿宋_GB2312"/>
          <w:sz w:val="32"/>
          <w:szCs w:val="32"/>
        </w:rPr>
        <w:t>二氧化碳排放的核查工作。核查范围包括排放单位所有在北京市辖区内的固定设施导致的二氧化碳直接排放和二氧化碳间接排放。</w:t>
      </w:r>
    </w:p>
    <w:p w14:paraId="46936581">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通过文件评审、现场访问、核查报告编写及内部技术复核，核查组对排放单位XXXX年度二氧化碳排放报告形成如下核查结论：</w:t>
      </w:r>
    </w:p>
    <w:p w14:paraId="38AFC064">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 核算、报告与方法学的符合性</w:t>
      </w:r>
    </w:p>
    <w:p w14:paraId="10BB6C34">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核查组确认所有不符合已全部关闭，排放单位的核算与报告均符合方法学</w:t>
      </w:r>
      <w:r>
        <w:rPr>
          <w:rFonts w:hint="eastAsia" w:ascii="Times New Roman" w:hAnsi="Times New Roman" w:eastAsia="仿宋_GB2312"/>
          <w:sz w:val="32"/>
          <w:szCs w:val="32"/>
        </w:rPr>
        <w:t>《二氧化碳排放核算和报告要求其他行业》（DB11/T 1787-2020）</w:t>
      </w:r>
      <w:r>
        <w:rPr>
          <w:rFonts w:ascii="Times New Roman" w:hAnsi="Times New Roman" w:eastAsia="仿宋_GB2312"/>
          <w:sz w:val="32"/>
          <w:szCs w:val="32"/>
        </w:rPr>
        <w:t>的要求，核查组对本排放报告出具肯定的核查结论。</w:t>
      </w:r>
    </w:p>
    <w:p w14:paraId="5C10E064">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 本年度排放量及活动水平数据的声明</w:t>
      </w:r>
    </w:p>
    <w:p w14:paraId="3299768B">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经核查的直接和间接排放量与最终排放报告中的一</w:t>
      </w:r>
      <w:r>
        <w:rPr>
          <w:rFonts w:hint="eastAsia" w:ascii="Times New Roman" w:hAnsi="Times New Roman" w:eastAsia="仿宋_GB2312"/>
          <w:sz w:val="32"/>
          <w:szCs w:val="32"/>
        </w:rPr>
        <w:t>致。经核查的直接排放量为</w:t>
      </w:r>
      <w:r>
        <w:rPr>
          <w:rFonts w:ascii="Times New Roman" w:hAnsi="Times New Roman" w:eastAsia="仿宋_GB2312"/>
          <w:sz w:val="32"/>
          <w:szCs w:val="32"/>
        </w:rPr>
        <w:t>4306.14</w:t>
      </w:r>
      <w:r>
        <w:rPr>
          <w:rFonts w:hint="eastAsia" w:ascii="Times New Roman" w:hAnsi="Times New Roman" w:eastAsia="仿宋_GB2312"/>
          <w:sz w:val="32"/>
          <w:szCs w:val="32"/>
        </w:rPr>
        <w:t>吨，间接排放量为</w:t>
      </w:r>
      <w:r>
        <w:rPr>
          <w:rFonts w:ascii="Times New Roman" w:hAnsi="Times New Roman" w:eastAsia="仿宋_GB2312"/>
          <w:sz w:val="32"/>
          <w:szCs w:val="32"/>
        </w:rPr>
        <w:t>5567.87</w:t>
      </w:r>
      <w:r>
        <w:rPr>
          <w:rFonts w:hint="eastAsia" w:ascii="Times New Roman" w:hAnsi="Times New Roman" w:eastAsia="仿宋_GB2312"/>
          <w:sz w:val="32"/>
          <w:szCs w:val="32"/>
        </w:rPr>
        <w:t>吨，总排放量为</w:t>
      </w:r>
      <w:r>
        <w:rPr>
          <w:rFonts w:ascii="Times New Roman" w:hAnsi="Times New Roman" w:eastAsia="仿宋_GB2312"/>
          <w:sz w:val="32"/>
          <w:szCs w:val="32"/>
        </w:rPr>
        <w:t>9874.01</w:t>
      </w:r>
      <w:r>
        <w:rPr>
          <w:rFonts w:hint="eastAsia" w:ascii="Times New Roman" w:hAnsi="Times New Roman" w:eastAsia="仿宋_GB2312"/>
          <w:sz w:val="32"/>
          <w:szCs w:val="32"/>
        </w:rPr>
        <w:t>吨。</w:t>
      </w:r>
    </w:p>
    <w:p w14:paraId="753CF829">
      <w:pPr>
        <w:spacing w:after="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经核查的产品产量、产值与最终排放报告数据一致。经核查的</w:t>
      </w:r>
      <w:r>
        <w:rPr>
          <w:rFonts w:ascii="Times New Roman" w:hAnsi="Times New Roman" w:eastAsia="仿宋_GB2312"/>
          <w:sz w:val="32"/>
          <w:szCs w:val="32"/>
        </w:rPr>
        <w:t>xx</w:t>
      </w:r>
      <w:r>
        <w:rPr>
          <w:rFonts w:hint="eastAsia" w:ascii="Times New Roman" w:hAnsi="Times New Roman" w:eastAsia="仿宋_GB2312"/>
          <w:sz w:val="32"/>
          <w:szCs w:val="32"/>
        </w:rPr>
        <w:t>产品产量为</w:t>
      </w:r>
      <w:r>
        <w:rPr>
          <w:rFonts w:ascii="Times New Roman" w:hAnsi="Times New Roman" w:eastAsia="仿宋_GB2312"/>
          <w:sz w:val="32"/>
          <w:szCs w:val="32"/>
        </w:rPr>
        <w:t>xxx</w:t>
      </w:r>
      <w:r>
        <w:rPr>
          <w:rFonts w:hint="eastAsia" w:ascii="Times New Roman" w:hAnsi="Times New Roman" w:eastAsia="仿宋_GB2312"/>
          <w:sz w:val="32"/>
          <w:szCs w:val="32"/>
        </w:rPr>
        <w:t>吨，产值数据为</w:t>
      </w:r>
      <w:r>
        <w:rPr>
          <w:rFonts w:ascii="Times New Roman" w:hAnsi="Times New Roman" w:eastAsia="仿宋_GB2312"/>
          <w:sz w:val="32"/>
          <w:szCs w:val="32"/>
        </w:rPr>
        <w:t>xxxx</w:t>
      </w:r>
      <w:r>
        <w:rPr>
          <w:rFonts w:hint="eastAsia" w:ascii="Times New Roman" w:hAnsi="Times New Roman" w:eastAsia="仿宋_GB2312"/>
          <w:sz w:val="32"/>
          <w:szCs w:val="32"/>
        </w:rPr>
        <w:t>万元。</w:t>
      </w:r>
    </w:p>
    <w:p w14:paraId="6DB0379B">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 xml:space="preserve">3. </w:t>
      </w:r>
      <w:r>
        <w:rPr>
          <w:rFonts w:hint="eastAsia" w:ascii="Times New Roman" w:hAnsi="Times New Roman" w:eastAsia="仿宋_GB2312"/>
          <w:sz w:val="32"/>
          <w:szCs w:val="32"/>
        </w:rPr>
        <w:t>年度排放量及活动水平波动的原因说明</w:t>
      </w:r>
    </w:p>
    <w:p w14:paraId="148CE5D5">
      <w:pPr>
        <w:spacing w:after="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本年度排放量与上一年度排放量相比增加了</w:t>
      </w:r>
      <w:r>
        <w:rPr>
          <w:rFonts w:ascii="Times New Roman" w:hAnsi="Times New Roman" w:eastAsia="仿宋_GB2312"/>
          <w:sz w:val="32"/>
          <w:szCs w:val="32"/>
        </w:rPr>
        <w:t>1812.43</w:t>
      </w:r>
      <w:r>
        <w:rPr>
          <w:rFonts w:hint="eastAsia" w:ascii="Times New Roman" w:hAnsi="Times New Roman" w:eastAsia="仿宋_GB2312"/>
          <w:sz w:val="32"/>
          <w:szCs w:val="32"/>
        </w:rPr>
        <w:t>吨</w:t>
      </w:r>
      <w:r>
        <w:rPr>
          <w:rFonts w:ascii="Times New Roman" w:hAnsi="Times New Roman" w:eastAsia="仿宋_GB2312"/>
          <w:sz w:val="32"/>
          <w:szCs w:val="32"/>
        </w:rPr>
        <w:t>/22.48%</w:t>
      </w:r>
      <w:r>
        <w:rPr>
          <w:rFonts w:hint="eastAsia" w:ascii="Times New Roman" w:hAnsi="Times New Roman" w:eastAsia="仿宋_GB2312"/>
          <w:sz w:val="32"/>
          <w:szCs w:val="32"/>
        </w:rPr>
        <w:t>，其中，直接排放量增加了</w:t>
      </w:r>
      <w:r>
        <w:rPr>
          <w:rFonts w:ascii="Times New Roman" w:hAnsi="Times New Roman" w:eastAsia="仿宋_GB2312"/>
          <w:sz w:val="32"/>
          <w:szCs w:val="32"/>
        </w:rPr>
        <w:t>648.81</w:t>
      </w:r>
      <w:r>
        <w:rPr>
          <w:rFonts w:hint="eastAsia" w:ascii="Times New Roman" w:hAnsi="Times New Roman" w:eastAsia="仿宋_GB2312"/>
          <w:sz w:val="32"/>
          <w:szCs w:val="32"/>
        </w:rPr>
        <w:t>吨</w:t>
      </w:r>
      <w:r>
        <w:rPr>
          <w:rFonts w:ascii="Times New Roman" w:hAnsi="Times New Roman" w:eastAsia="仿宋_GB2312"/>
          <w:sz w:val="32"/>
          <w:szCs w:val="32"/>
        </w:rPr>
        <w:t>/17.74%</w:t>
      </w:r>
      <w:r>
        <w:rPr>
          <w:rFonts w:hint="eastAsia" w:ascii="Times New Roman" w:hAnsi="Times New Roman" w:eastAsia="仿宋_GB2312"/>
          <w:sz w:val="32"/>
          <w:szCs w:val="32"/>
        </w:rPr>
        <w:t>，间接排放量增加了</w:t>
      </w:r>
      <w:r>
        <w:rPr>
          <w:rFonts w:ascii="Times New Roman" w:hAnsi="Times New Roman" w:eastAsia="仿宋_GB2312"/>
          <w:sz w:val="32"/>
          <w:szCs w:val="32"/>
        </w:rPr>
        <w:t>1163.61</w:t>
      </w:r>
      <w:r>
        <w:rPr>
          <w:rFonts w:hint="eastAsia" w:ascii="Times New Roman" w:hAnsi="Times New Roman" w:eastAsia="仿宋_GB2312"/>
          <w:sz w:val="32"/>
          <w:szCs w:val="32"/>
        </w:rPr>
        <w:t>吨</w:t>
      </w:r>
      <w:r>
        <w:rPr>
          <w:rFonts w:ascii="Times New Roman" w:hAnsi="Times New Roman" w:eastAsia="仿宋_GB2312"/>
          <w:sz w:val="32"/>
          <w:szCs w:val="32"/>
        </w:rPr>
        <w:t>/26.42%</w:t>
      </w:r>
      <w:r>
        <w:rPr>
          <w:rFonts w:hint="eastAsia" w:ascii="Times New Roman" w:hAnsi="Times New Roman" w:eastAsia="仿宋_GB2312"/>
          <w:sz w:val="32"/>
          <w:szCs w:val="32"/>
        </w:rPr>
        <w:t>。经与排放单位确认，排放单位为提高</w:t>
      </w:r>
      <w:r>
        <w:rPr>
          <w:rFonts w:ascii="Times New Roman" w:hAnsi="Times New Roman" w:eastAsia="仿宋_GB2312"/>
          <w:sz w:val="32"/>
          <w:szCs w:val="32"/>
        </w:rPr>
        <w:t>产能，</w:t>
      </w:r>
      <w:r>
        <w:rPr>
          <w:rFonts w:hint="eastAsia" w:ascii="Times New Roman" w:hAnsi="Times New Roman" w:eastAsia="仿宋_GB2312"/>
          <w:sz w:val="32"/>
          <w:szCs w:val="32"/>
        </w:rPr>
        <w:t>增加了原料处理量</w:t>
      </w:r>
      <w:r>
        <w:rPr>
          <w:rFonts w:ascii="Times New Roman" w:hAnsi="Times New Roman" w:eastAsia="仿宋_GB2312"/>
          <w:sz w:val="32"/>
          <w:szCs w:val="32"/>
        </w:rPr>
        <w:t>，导致2019年天然气消耗上升直接排放量增加；2019年新增了一</w:t>
      </w:r>
      <w:r>
        <w:rPr>
          <w:rFonts w:hint="eastAsia" w:ascii="Times New Roman" w:hAnsi="Times New Roman" w:eastAsia="仿宋_GB2312"/>
          <w:sz w:val="32"/>
          <w:szCs w:val="32"/>
        </w:rPr>
        <w:t>套xxxx</w:t>
      </w:r>
      <w:r>
        <w:rPr>
          <w:rFonts w:ascii="Times New Roman" w:hAnsi="Times New Roman" w:eastAsia="仿宋_GB2312"/>
          <w:sz w:val="32"/>
          <w:szCs w:val="32"/>
        </w:rPr>
        <w:t>生产设备，电力消耗量增加导致间接排放量增加。</w:t>
      </w:r>
    </w:p>
    <w:p w14:paraId="3E1EC1AE">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2020年度排放量与历史基准年份排放量相比增加了1812.42吨/22.48%。排放量增加的主要原因为排放单位增加</w:t>
      </w:r>
      <w:r>
        <w:rPr>
          <w:rFonts w:hint="eastAsia" w:ascii="Times New Roman" w:hAnsi="Times New Roman" w:eastAsia="仿宋_GB2312"/>
          <w:sz w:val="32"/>
          <w:szCs w:val="32"/>
        </w:rPr>
        <w:t>了原料处理量</w:t>
      </w:r>
      <w:r>
        <w:rPr>
          <w:rFonts w:ascii="Times New Roman" w:hAnsi="Times New Roman" w:eastAsia="仿宋_GB2312"/>
          <w:sz w:val="32"/>
          <w:szCs w:val="32"/>
        </w:rPr>
        <w:t>且新增加了一</w:t>
      </w:r>
      <w:r>
        <w:rPr>
          <w:rFonts w:hint="eastAsia" w:ascii="Times New Roman" w:hAnsi="Times New Roman" w:eastAsia="仿宋_GB2312"/>
          <w:sz w:val="32"/>
          <w:szCs w:val="32"/>
        </w:rPr>
        <w:t>套xxxx</w:t>
      </w:r>
      <w:r>
        <w:rPr>
          <w:rFonts w:ascii="Times New Roman" w:hAnsi="Times New Roman" w:eastAsia="仿宋_GB2312"/>
          <w:sz w:val="32"/>
          <w:szCs w:val="32"/>
        </w:rPr>
        <w:t>生产设备，导致排放量上升。</w:t>
      </w:r>
    </w:p>
    <w:p w14:paraId="68FB7EC3">
      <w:pPr>
        <w:spacing w:after="0" w:line="560" w:lineRule="exact"/>
        <w:jc w:val="center"/>
        <w:rPr>
          <w:rFonts w:ascii="Times New Roman" w:hAnsi="Times New Roman" w:eastAsia="仿宋_GB2312"/>
          <w:sz w:val="24"/>
        </w:rPr>
      </w:pPr>
      <w:r>
        <w:rPr>
          <w:rFonts w:ascii="Times New Roman" w:hAnsi="Times New Roman" w:eastAsia="仿宋_GB2312"/>
          <w:sz w:val="24"/>
        </w:rPr>
        <w:t>表XX  排放量汇总表</w:t>
      </w:r>
    </w:p>
    <w:tbl>
      <w:tblPr>
        <w:tblStyle w:val="35"/>
        <w:tblW w:w="4998" w:type="pct"/>
        <w:tblInd w:w="0" w:type="dxa"/>
        <w:tblLayout w:type="autofit"/>
        <w:tblCellMar>
          <w:top w:w="0" w:type="dxa"/>
          <w:left w:w="0" w:type="dxa"/>
          <w:bottom w:w="0" w:type="dxa"/>
          <w:right w:w="0" w:type="dxa"/>
        </w:tblCellMar>
      </w:tblPr>
      <w:tblGrid>
        <w:gridCol w:w="1816"/>
        <w:gridCol w:w="2123"/>
        <w:gridCol w:w="2579"/>
        <w:gridCol w:w="2343"/>
      </w:tblGrid>
      <w:tr w14:paraId="0C611B59">
        <w:tblPrEx>
          <w:tblCellMar>
            <w:top w:w="0" w:type="dxa"/>
            <w:left w:w="0" w:type="dxa"/>
            <w:bottom w:w="0" w:type="dxa"/>
            <w:right w:w="0" w:type="dxa"/>
          </w:tblCellMar>
        </w:tblPrEx>
        <w:trPr>
          <w:trHeight w:val="737" w:hRule="atLeast"/>
        </w:trPr>
        <w:tc>
          <w:tcPr>
            <w:tcW w:w="1025" w:type="pct"/>
            <w:tcBorders>
              <w:top w:val="single" w:color="000000" w:sz="8" w:space="0"/>
              <w:left w:val="single" w:color="000000" w:sz="8" w:space="0"/>
              <w:bottom w:val="single" w:color="000000" w:sz="8" w:space="0"/>
              <w:right w:val="single" w:color="000000" w:sz="8" w:space="0"/>
            </w:tcBorders>
            <w:tcMar>
              <w:top w:w="10" w:type="dxa"/>
              <w:left w:w="10" w:type="dxa"/>
              <w:right w:w="10" w:type="dxa"/>
            </w:tcMar>
            <w:vAlign w:val="center"/>
          </w:tcPr>
          <w:p w14:paraId="1486B7A2">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年度</w:t>
            </w:r>
          </w:p>
        </w:tc>
        <w:tc>
          <w:tcPr>
            <w:tcW w:w="1198" w:type="pct"/>
            <w:tcBorders>
              <w:top w:val="single" w:color="000000" w:sz="8" w:space="0"/>
              <w:left w:val="nil"/>
              <w:bottom w:val="single" w:color="000000" w:sz="8" w:space="0"/>
              <w:right w:val="single" w:color="000000" w:sz="8" w:space="0"/>
            </w:tcBorders>
            <w:tcMar>
              <w:top w:w="10" w:type="dxa"/>
              <w:left w:w="10" w:type="dxa"/>
              <w:right w:w="10" w:type="dxa"/>
            </w:tcMar>
            <w:vAlign w:val="center"/>
          </w:tcPr>
          <w:p w14:paraId="5D2BB57F">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直接排放量（tCO2）</w:t>
            </w:r>
          </w:p>
        </w:tc>
        <w:tc>
          <w:tcPr>
            <w:tcW w:w="1455" w:type="pct"/>
            <w:tcBorders>
              <w:top w:val="single" w:color="000000" w:sz="8" w:space="0"/>
              <w:left w:val="nil"/>
              <w:bottom w:val="single" w:color="000000" w:sz="8" w:space="0"/>
              <w:right w:val="single" w:color="000000" w:sz="8" w:space="0"/>
            </w:tcBorders>
            <w:tcMar>
              <w:top w:w="10" w:type="dxa"/>
              <w:left w:w="10" w:type="dxa"/>
              <w:right w:w="10" w:type="dxa"/>
            </w:tcMar>
            <w:vAlign w:val="center"/>
          </w:tcPr>
          <w:p w14:paraId="7388F095">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间接排放量（tCO2）</w:t>
            </w:r>
          </w:p>
        </w:tc>
        <w:tc>
          <w:tcPr>
            <w:tcW w:w="1322" w:type="pct"/>
            <w:tcBorders>
              <w:top w:val="single" w:color="000000" w:sz="8" w:space="0"/>
              <w:left w:val="nil"/>
              <w:bottom w:val="single" w:color="000000" w:sz="8" w:space="0"/>
              <w:right w:val="single" w:color="000000" w:sz="8" w:space="0"/>
            </w:tcBorders>
            <w:tcMar>
              <w:top w:w="10" w:type="dxa"/>
              <w:left w:w="10" w:type="dxa"/>
              <w:right w:w="10" w:type="dxa"/>
            </w:tcMar>
            <w:vAlign w:val="center"/>
          </w:tcPr>
          <w:p w14:paraId="0432CA33">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排放总量（tCO2）</w:t>
            </w:r>
          </w:p>
        </w:tc>
      </w:tr>
      <w:tr w14:paraId="4C2CFBFE">
        <w:tblPrEx>
          <w:tblCellMar>
            <w:top w:w="0" w:type="dxa"/>
            <w:left w:w="0" w:type="dxa"/>
            <w:bottom w:w="0" w:type="dxa"/>
            <w:right w:w="0" w:type="dxa"/>
          </w:tblCellMar>
        </w:tblPrEx>
        <w:trPr>
          <w:trHeight w:val="330" w:hRule="atLeast"/>
        </w:trPr>
        <w:tc>
          <w:tcPr>
            <w:tcW w:w="1025" w:type="pct"/>
            <w:tcBorders>
              <w:top w:val="nil"/>
              <w:left w:val="single" w:color="000000" w:sz="8" w:space="0"/>
              <w:bottom w:val="single" w:color="000000" w:sz="8" w:space="0"/>
              <w:right w:val="single" w:color="000000" w:sz="8" w:space="0"/>
            </w:tcBorders>
            <w:noWrap/>
            <w:tcMar>
              <w:top w:w="10" w:type="dxa"/>
              <w:left w:w="10" w:type="dxa"/>
              <w:right w:w="10" w:type="dxa"/>
            </w:tcMar>
            <w:vAlign w:val="center"/>
          </w:tcPr>
          <w:p w14:paraId="3EA53AB3">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2016</w:t>
            </w:r>
          </w:p>
        </w:tc>
        <w:tc>
          <w:tcPr>
            <w:tcW w:w="1198" w:type="pct"/>
            <w:tcBorders>
              <w:top w:val="nil"/>
              <w:left w:val="nil"/>
              <w:bottom w:val="single" w:color="000000" w:sz="8" w:space="0"/>
              <w:right w:val="single" w:color="000000" w:sz="8" w:space="0"/>
            </w:tcBorders>
            <w:noWrap/>
            <w:tcMar>
              <w:top w:w="10" w:type="dxa"/>
              <w:left w:w="10" w:type="dxa"/>
              <w:right w:w="10" w:type="dxa"/>
            </w:tcMar>
            <w:vAlign w:val="center"/>
          </w:tcPr>
          <w:p w14:paraId="19CE69B2">
            <w:pPr>
              <w:jc w:val="center"/>
              <w:rPr>
                <w:rFonts w:ascii="Times New Roman" w:hAnsi="Times New Roman"/>
              </w:rPr>
            </w:pPr>
            <w:r>
              <w:rPr>
                <w:rFonts w:ascii="Times New Roman" w:hAnsi="Times New Roman"/>
              </w:rPr>
              <w:t>3442.68</w:t>
            </w:r>
          </w:p>
        </w:tc>
        <w:tc>
          <w:tcPr>
            <w:tcW w:w="1455" w:type="pct"/>
            <w:tcBorders>
              <w:top w:val="nil"/>
              <w:left w:val="nil"/>
              <w:bottom w:val="single" w:color="000000" w:sz="8" w:space="0"/>
              <w:right w:val="single" w:color="000000" w:sz="8" w:space="0"/>
            </w:tcBorders>
            <w:noWrap/>
            <w:tcMar>
              <w:top w:w="10" w:type="dxa"/>
              <w:left w:w="10" w:type="dxa"/>
              <w:right w:w="10" w:type="dxa"/>
            </w:tcMar>
            <w:vAlign w:val="center"/>
          </w:tcPr>
          <w:p w14:paraId="3D2E2F97">
            <w:pPr>
              <w:jc w:val="center"/>
              <w:rPr>
                <w:rFonts w:ascii="Times New Roman" w:hAnsi="Times New Roman"/>
              </w:rPr>
            </w:pPr>
            <w:r>
              <w:rPr>
                <w:rFonts w:ascii="Times New Roman" w:hAnsi="Times New Roman"/>
              </w:rPr>
              <w:t>3824.26</w:t>
            </w:r>
          </w:p>
        </w:tc>
        <w:tc>
          <w:tcPr>
            <w:tcW w:w="1322" w:type="pct"/>
            <w:tcBorders>
              <w:top w:val="nil"/>
              <w:left w:val="nil"/>
              <w:bottom w:val="single" w:color="000000" w:sz="8" w:space="0"/>
              <w:right w:val="single" w:color="000000" w:sz="8" w:space="0"/>
            </w:tcBorders>
            <w:tcMar>
              <w:top w:w="10" w:type="dxa"/>
              <w:left w:w="10" w:type="dxa"/>
              <w:right w:w="10" w:type="dxa"/>
            </w:tcMar>
            <w:vAlign w:val="center"/>
          </w:tcPr>
          <w:p w14:paraId="5ECDB01D">
            <w:pPr>
              <w:jc w:val="center"/>
              <w:rPr>
                <w:rFonts w:ascii="Times New Roman" w:hAnsi="Times New Roman"/>
              </w:rPr>
            </w:pPr>
            <w:r>
              <w:rPr>
                <w:rFonts w:ascii="Times New Roman" w:hAnsi="Times New Roman"/>
              </w:rPr>
              <w:t>7266.93</w:t>
            </w:r>
          </w:p>
        </w:tc>
      </w:tr>
      <w:tr w14:paraId="2E529FF1">
        <w:tblPrEx>
          <w:tblCellMar>
            <w:top w:w="0" w:type="dxa"/>
            <w:left w:w="0" w:type="dxa"/>
            <w:bottom w:w="0" w:type="dxa"/>
            <w:right w:w="0" w:type="dxa"/>
          </w:tblCellMar>
        </w:tblPrEx>
        <w:trPr>
          <w:trHeight w:val="330" w:hRule="atLeast"/>
        </w:trPr>
        <w:tc>
          <w:tcPr>
            <w:tcW w:w="1025" w:type="pct"/>
            <w:tcBorders>
              <w:top w:val="nil"/>
              <w:left w:val="single" w:color="000000" w:sz="8" w:space="0"/>
              <w:bottom w:val="single" w:color="auto" w:sz="4" w:space="0"/>
              <w:right w:val="single" w:color="000000" w:sz="8" w:space="0"/>
            </w:tcBorders>
            <w:noWrap/>
            <w:tcMar>
              <w:top w:w="10" w:type="dxa"/>
              <w:left w:w="10" w:type="dxa"/>
              <w:right w:w="10" w:type="dxa"/>
            </w:tcMar>
            <w:vAlign w:val="center"/>
          </w:tcPr>
          <w:p w14:paraId="21D8B8F9">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2017</w:t>
            </w:r>
          </w:p>
        </w:tc>
        <w:tc>
          <w:tcPr>
            <w:tcW w:w="1198" w:type="pct"/>
            <w:tcBorders>
              <w:top w:val="nil"/>
              <w:left w:val="nil"/>
              <w:bottom w:val="single" w:color="auto" w:sz="4" w:space="0"/>
              <w:right w:val="single" w:color="000000" w:sz="8" w:space="0"/>
            </w:tcBorders>
            <w:noWrap/>
            <w:tcMar>
              <w:top w:w="10" w:type="dxa"/>
              <w:left w:w="10" w:type="dxa"/>
              <w:right w:w="10" w:type="dxa"/>
            </w:tcMar>
            <w:vAlign w:val="center"/>
          </w:tcPr>
          <w:p w14:paraId="0AB76BB7">
            <w:pPr>
              <w:jc w:val="center"/>
              <w:rPr>
                <w:rFonts w:ascii="Times New Roman" w:hAnsi="Times New Roman"/>
              </w:rPr>
            </w:pPr>
            <w:r>
              <w:rPr>
                <w:rFonts w:ascii="Times New Roman" w:hAnsi="Times New Roman"/>
              </w:rPr>
              <w:t>3522.33</w:t>
            </w:r>
          </w:p>
        </w:tc>
        <w:tc>
          <w:tcPr>
            <w:tcW w:w="1455" w:type="pct"/>
            <w:tcBorders>
              <w:top w:val="nil"/>
              <w:left w:val="nil"/>
              <w:bottom w:val="single" w:color="auto" w:sz="4" w:space="0"/>
              <w:right w:val="single" w:color="000000" w:sz="8" w:space="0"/>
            </w:tcBorders>
            <w:noWrap/>
            <w:tcMar>
              <w:top w:w="10" w:type="dxa"/>
              <w:left w:w="10" w:type="dxa"/>
              <w:right w:w="10" w:type="dxa"/>
            </w:tcMar>
            <w:vAlign w:val="center"/>
          </w:tcPr>
          <w:p w14:paraId="1A16D685">
            <w:pPr>
              <w:jc w:val="center"/>
              <w:rPr>
                <w:rFonts w:ascii="Times New Roman" w:hAnsi="Times New Roman"/>
              </w:rPr>
            </w:pPr>
            <w:r>
              <w:rPr>
                <w:rFonts w:ascii="Times New Roman" w:hAnsi="Times New Roman"/>
              </w:rPr>
              <w:t>4114.26</w:t>
            </w:r>
          </w:p>
        </w:tc>
        <w:tc>
          <w:tcPr>
            <w:tcW w:w="1322" w:type="pct"/>
            <w:tcBorders>
              <w:top w:val="nil"/>
              <w:left w:val="nil"/>
              <w:bottom w:val="single" w:color="auto" w:sz="4" w:space="0"/>
              <w:right w:val="single" w:color="000000" w:sz="8" w:space="0"/>
            </w:tcBorders>
            <w:tcMar>
              <w:top w:w="10" w:type="dxa"/>
              <w:left w:w="10" w:type="dxa"/>
              <w:right w:w="10" w:type="dxa"/>
            </w:tcMar>
            <w:vAlign w:val="center"/>
          </w:tcPr>
          <w:p w14:paraId="3FB28FAC">
            <w:pPr>
              <w:jc w:val="center"/>
              <w:rPr>
                <w:rFonts w:ascii="Times New Roman" w:hAnsi="Times New Roman"/>
              </w:rPr>
            </w:pPr>
            <w:r>
              <w:rPr>
                <w:rFonts w:ascii="Times New Roman" w:hAnsi="Times New Roman"/>
              </w:rPr>
              <w:t>7636.58</w:t>
            </w:r>
          </w:p>
        </w:tc>
      </w:tr>
      <w:tr w14:paraId="48391CFB">
        <w:tblPrEx>
          <w:tblCellMar>
            <w:top w:w="0" w:type="dxa"/>
            <w:left w:w="0" w:type="dxa"/>
            <w:bottom w:w="0" w:type="dxa"/>
            <w:right w:w="0" w:type="dxa"/>
          </w:tblCellMar>
        </w:tblPrEx>
        <w:trPr>
          <w:trHeight w:val="330" w:hRule="atLeast"/>
        </w:trPr>
        <w:tc>
          <w:tcPr>
            <w:tcW w:w="1025"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14:paraId="3125A97C">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2018</w:t>
            </w:r>
          </w:p>
        </w:tc>
        <w:tc>
          <w:tcPr>
            <w:tcW w:w="1198"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14:paraId="7E47C783">
            <w:pPr>
              <w:jc w:val="center"/>
              <w:rPr>
                <w:rFonts w:ascii="Times New Roman" w:hAnsi="Times New Roman"/>
              </w:rPr>
            </w:pPr>
            <w:r>
              <w:rPr>
                <w:rFonts w:ascii="Times New Roman" w:hAnsi="Times New Roman"/>
              </w:rPr>
              <w:t>3657.33</w:t>
            </w:r>
          </w:p>
        </w:tc>
        <w:tc>
          <w:tcPr>
            <w:tcW w:w="1455"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14:paraId="2AF433C3">
            <w:pPr>
              <w:jc w:val="center"/>
              <w:rPr>
                <w:rFonts w:ascii="Times New Roman" w:hAnsi="Times New Roman"/>
              </w:rPr>
            </w:pPr>
            <w:r>
              <w:rPr>
                <w:rFonts w:ascii="Times New Roman" w:hAnsi="Times New Roman"/>
              </w:rPr>
              <w:t>4404.26</w:t>
            </w:r>
          </w:p>
        </w:tc>
        <w:tc>
          <w:tcPr>
            <w:tcW w:w="1322" w:type="pct"/>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14:paraId="2C521BA0">
            <w:pPr>
              <w:jc w:val="center"/>
              <w:rPr>
                <w:rFonts w:ascii="Times New Roman" w:hAnsi="Times New Roman"/>
              </w:rPr>
            </w:pPr>
            <w:r>
              <w:rPr>
                <w:rFonts w:ascii="Times New Roman" w:hAnsi="Times New Roman"/>
              </w:rPr>
              <w:t>8061.58</w:t>
            </w:r>
          </w:p>
        </w:tc>
      </w:tr>
      <w:tr w14:paraId="676E5814">
        <w:tblPrEx>
          <w:tblCellMar>
            <w:top w:w="0" w:type="dxa"/>
            <w:left w:w="0" w:type="dxa"/>
            <w:bottom w:w="0" w:type="dxa"/>
            <w:right w:w="0" w:type="dxa"/>
          </w:tblCellMar>
        </w:tblPrEx>
        <w:trPr>
          <w:trHeight w:val="315" w:hRule="atLeast"/>
        </w:trPr>
        <w:tc>
          <w:tcPr>
            <w:tcW w:w="1025"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14:paraId="5F541850">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2019</w:t>
            </w:r>
          </w:p>
        </w:tc>
        <w:tc>
          <w:tcPr>
            <w:tcW w:w="1198"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14:paraId="2F338D3D">
            <w:pPr>
              <w:jc w:val="center"/>
              <w:rPr>
                <w:rFonts w:ascii="Times New Roman" w:hAnsi="Times New Roman"/>
              </w:rPr>
            </w:pPr>
            <w:r>
              <w:rPr>
                <w:rFonts w:ascii="Times New Roman" w:hAnsi="Times New Roman"/>
              </w:rPr>
              <w:t>4306.14</w:t>
            </w:r>
          </w:p>
        </w:tc>
        <w:tc>
          <w:tcPr>
            <w:tcW w:w="1455"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14:paraId="261EAB81">
            <w:pPr>
              <w:jc w:val="center"/>
              <w:rPr>
                <w:rFonts w:ascii="Times New Roman" w:hAnsi="Times New Roman"/>
              </w:rPr>
            </w:pPr>
            <w:bookmarkStart w:id="27" w:name="_Hlk34833377"/>
            <w:r>
              <w:rPr>
                <w:rFonts w:ascii="Times New Roman" w:hAnsi="Times New Roman"/>
              </w:rPr>
              <w:t>5567.87</w:t>
            </w:r>
            <w:bookmarkEnd w:id="27"/>
          </w:p>
        </w:tc>
        <w:tc>
          <w:tcPr>
            <w:tcW w:w="1322" w:type="pct"/>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14:paraId="041DA7D1">
            <w:pPr>
              <w:jc w:val="center"/>
              <w:rPr>
                <w:rFonts w:ascii="Times New Roman" w:hAnsi="Times New Roman"/>
              </w:rPr>
            </w:pPr>
            <w:bookmarkStart w:id="28" w:name="_Hlk34833386"/>
            <w:r>
              <w:rPr>
                <w:rFonts w:ascii="Times New Roman" w:hAnsi="Times New Roman"/>
              </w:rPr>
              <w:t>9874.01</w:t>
            </w:r>
            <w:bookmarkEnd w:id="28"/>
          </w:p>
        </w:tc>
      </w:tr>
      <w:tr w14:paraId="2AD3A49B">
        <w:tblPrEx>
          <w:tblCellMar>
            <w:top w:w="0" w:type="dxa"/>
            <w:left w:w="0" w:type="dxa"/>
            <w:bottom w:w="0" w:type="dxa"/>
            <w:right w:w="0" w:type="dxa"/>
          </w:tblCellMar>
        </w:tblPrEx>
        <w:trPr>
          <w:trHeight w:val="315" w:hRule="atLeast"/>
        </w:trPr>
        <w:tc>
          <w:tcPr>
            <w:tcW w:w="1025"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14:paraId="0E9403DC">
            <w:pPr>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rPr>
              <w:t>2</w:t>
            </w:r>
            <w:r>
              <w:rPr>
                <w:rFonts w:ascii="Times New Roman" w:hAnsi="Times New Roman" w:eastAsia="仿宋_GB2312"/>
                <w:color w:val="000000"/>
                <w:sz w:val="24"/>
              </w:rPr>
              <w:t>020</w:t>
            </w:r>
          </w:p>
        </w:tc>
        <w:tc>
          <w:tcPr>
            <w:tcW w:w="1198"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14:paraId="31A58EC4">
            <w:pPr>
              <w:jc w:val="center"/>
              <w:rPr>
                <w:rFonts w:ascii="Times New Roman" w:hAnsi="Times New Roman"/>
              </w:rPr>
            </w:pPr>
            <w:r>
              <w:rPr>
                <w:rFonts w:ascii="Times New Roman" w:hAnsi="Times New Roman"/>
              </w:rPr>
              <w:t>4306.14</w:t>
            </w:r>
          </w:p>
        </w:tc>
        <w:tc>
          <w:tcPr>
            <w:tcW w:w="1455"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14:paraId="07BAF480">
            <w:pPr>
              <w:jc w:val="center"/>
              <w:rPr>
                <w:rFonts w:ascii="Times New Roman" w:hAnsi="Times New Roman"/>
              </w:rPr>
            </w:pPr>
            <w:r>
              <w:rPr>
                <w:rFonts w:ascii="Times New Roman" w:hAnsi="Times New Roman"/>
              </w:rPr>
              <w:t>5567.87</w:t>
            </w:r>
          </w:p>
        </w:tc>
        <w:tc>
          <w:tcPr>
            <w:tcW w:w="1322" w:type="pct"/>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14:paraId="25F1BE03">
            <w:pPr>
              <w:jc w:val="center"/>
              <w:rPr>
                <w:rFonts w:ascii="Times New Roman" w:hAnsi="Times New Roman"/>
              </w:rPr>
            </w:pPr>
            <w:r>
              <w:rPr>
                <w:rFonts w:ascii="Times New Roman" w:hAnsi="Times New Roman"/>
              </w:rPr>
              <w:t>9874.01</w:t>
            </w:r>
          </w:p>
        </w:tc>
      </w:tr>
    </w:tbl>
    <w:p w14:paraId="79CF7007">
      <w:pPr>
        <w:jc w:val="center"/>
        <w:rPr>
          <w:rFonts w:ascii="Times New Roman" w:hAnsi="Times New Roman"/>
        </w:rPr>
      </w:pPr>
      <w:r>
        <w:rPr>
          <w:lang w:val="en-US"/>
        </w:rPr>
        <w:drawing>
          <wp:inline distT="0" distB="0" distL="0" distR="0">
            <wp:extent cx="4568825" cy="2740025"/>
            <wp:effectExtent l="0" t="0" r="3175" b="3175"/>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F2742DB">
      <w:pPr>
        <w:spacing w:after="0" w:line="560" w:lineRule="exact"/>
        <w:jc w:val="center"/>
        <w:rPr>
          <w:rFonts w:ascii="Times New Roman" w:hAnsi="Times New Roman" w:eastAsia="仿宋_GB2312"/>
          <w:sz w:val="32"/>
          <w:szCs w:val="32"/>
        </w:rPr>
      </w:pPr>
      <w:r>
        <w:rPr>
          <w:rFonts w:ascii="Times New Roman" w:hAnsi="Times New Roman" w:eastAsia="仿宋_GB2312"/>
          <w:sz w:val="24"/>
        </w:rPr>
        <w:t>图XX  排放量变化趋势图（增加</w:t>
      </w:r>
      <w:r>
        <w:rPr>
          <w:rFonts w:hint="eastAsia" w:ascii="Times New Roman" w:hAnsi="Times New Roman" w:eastAsia="仿宋_GB2312"/>
          <w:sz w:val="24"/>
        </w:rPr>
        <w:t>2</w:t>
      </w:r>
      <w:r>
        <w:rPr>
          <w:rFonts w:ascii="Times New Roman" w:hAnsi="Times New Roman" w:eastAsia="仿宋_GB2312"/>
          <w:sz w:val="24"/>
        </w:rPr>
        <w:t>020年度）</w:t>
      </w:r>
    </w:p>
    <w:p w14:paraId="67740A68">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 核算和报告边界变化</w:t>
      </w:r>
      <w:r>
        <w:rPr>
          <w:rFonts w:hint="eastAsia" w:ascii="Times New Roman" w:hAnsi="Times New Roman" w:eastAsia="仿宋_GB2312"/>
          <w:sz w:val="32"/>
          <w:szCs w:val="32"/>
        </w:rPr>
        <w:t>（含设施变化）</w:t>
      </w:r>
      <w:r>
        <w:rPr>
          <w:rFonts w:ascii="Times New Roman" w:hAnsi="Times New Roman" w:eastAsia="仿宋_GB2312"/>
          <w:sz w:val="32"/>
          <w:szCs w:val="32"/>
        </w:rPr>
        <w:t>情况</w:t>
      </w:r>
    </w:p>
    <w:p w14:paraId="4800D6BB">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4.1 本年度场所边界的变化</w:t>
      </w:r>
    </w:p>
    <w:p w14:paraId="286A2F14">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排放单位核算和报告边界为在位于xxx的生产厂区，产品为xxx。与上一年度相比，场所边界无变化；与基准年相比，场所边界无变化。</w:t>
      </w:r>
    </w:p>
    <w:p w14:paraId="477D26CF">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4.2 本年度排放设施的变化</w:t>
      </w:r>
    </w:p>
    <w:p w14:paraId="6961AB23">
      <w:pPr>
        <w:spacing w:after="0" w:line="560" w:lineRule="exact"/>
        <w:ind w:firstLine="465"/>
        <w:jc w:val="both"/>
        <w:rPr>
          <w:rFonts w:ascii="Times New Roman" w:hAnsi="Times New Roman" w:eastAsia="仿宋_GB2312"/>
          <w:sz w:val="32"/>
          <w:szCs w:val="32"/>
        </w:rPr>
      </w:pPr>
      <w:r>
        <w:rPr>
          <w:rFonts w:ascii="Times New Roman" w:hAnsi="Times New Roman" w:eastAsia="仿宋_GB2312"/>
          <w:sz w:val="32"/>
          <w:szCs w:val="32"/>
        </w:rPr>
        <w:t>排放单位2018年新建生产车间和厂房（x号楼、x号楼）。新建生产车间设施在2018年调试运行近2个月，投产运行2个月，截止2018年12月底运行时间不足12个月，符合既有设施排放配额调整的申请条件。此信息供既有设施调整配额参考。</w:t>
      </w:r>
    </w:p>
    <w:p w14:paraId="62AA4CD7">
      <w:pPr>
        <w:spacing w:after="0" w:line="560" w:lineRule="exact"/>
        <w:ind w:firstLine="465"/>
        <w:rPr>
          <w:rFonts w:ascii="Times New Roman" w:hAnsi="Times New Roman" w:eastAsia="仿宋_GB2312"/>
          <w:sz w:val="32"/>
          <w:szCs w:val="32"/>
        </w:rPr>
      </w:pPr>
      <w:r>
        <w:rPr>
          <w:rFonts w:ascii="Times New Roman" w:hAnsi="Times New Roman" w:eastAsia="仿宋_GB2312"/>
          <w:sz w:val="32"/>
          <w:szCs w:val="32"/>
        </w:rPr>
        <w:t>排放单位既有设施xxx退出，未被新增设施替代。</w:t>
      </w:r>
    </w:p>
    <w:p w14:paraId="591692D6">
      <w:pPr>
        <w:spacing w:after="0" w:line="560" w:lineRule="exact"/>
        <w:ind w:firstLine="465"/>
        <w:rPr>
          <w:rFonts w:ascii="Times New Roman" w:hAnsi="Times New Roman" w:eastAsia="仿宋_GB2312"/>
          <w:sz w:val="32"/>
          <w:szCs w:val="32"/>
        </w:rPr>
      </w:pPr>
    </w:p>
    <w:p w14:paraId="5B2391CE">
      <w:pPr>
        <w:spacing w:after="0" w:line="560" w:lineRule="exact"/>
        <w:ind w:firstLine="465"/>
        <w:rPr>
          <w:rFonts w:ascii="Times New Roman" w:hAnsi="Times New Roman" w:eastAsia="仿宋_GB2312"/>
          <w:sz w:val="32"/>
          <w:szCs w:val="32"/>
        </w:rPr>
      </w:pPr>
    </w:p>
    <w:p w14:paraId="48F14EFD">
      <w:pPr>
        <w:spacing w:after="0" w:line="560" w:lineRule="exact"/>
        <w:jc w:val="center"/>
        <w:rPr>
          <w:rFonts w:ascii="Times New Roman" w:hAnsi="Times New Roman" w:eastAsia="仿宋_GB2312"/>
          <w:sz w:val="24"/>
        </w:rPr>
      </w:pPr>
      <w:r>
        <w:rPr>
          <w:rFonts w:ascii="Times New Roman" w:hAnsi="Times New Roman" w:eastAsia="仿宋_GB2312"/>
          <w:sz w:val="24"/>
        </w:rPr>
        <w:t>表XX  既有设施退出信息表</w:t>
      </w:r>
    </w:p>
    <w:tbl>
      <w:tblPr>
        <w:tblStyle w:val="3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63"/>
        <w:gridCol w:w="1086"/>
        <w:gridCol w:w="708"/>
        <w:gridCol w:w="912"/>
        <w:gridCol w:w="1075"/>
        <w:gridCol w:w="1174"/>
        <w:gridCol w:w="1174"/>
        <w:gridCol w:w="1174"/>
      </w:tblGrid>
      <w:tr w14:paraId="0D81D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0" w:hRule="atLeast"/>
          <w:jc w:val="center"/>
        </w:trPr>
        <w:tc>
          <w:tcPr>
            <w:tcW w:w="456" w:type="dxa"/>
            <w:vMerge w:val="restart"/>
            <w:vAlign w:val="center"/>
          </w:tcPr>
          <w:p w14:paraId="6964A824">
            <w:pPr>
              <w:jc w:val="center"/>
              <w:rPr>
                <w:rFonts w:ascii="Times New Roman" w:hAnsi="Times New Roman" w:eastAsia="仿宋_GB2312"/>
                <w:sz w:val="24"/>
              </w:rPr>
            </w:pPr>
            <w:r>
              <w:rPr>
                <w:rFonts w:ascii="Times New Roman" w:hAnsi="Times New Roman" w:eastAsia="仿宋_GB2312"/>
                <w:sz w:val="24"/>
              </w:rPr>
              <w:t>序号</w:t>
            </w:r>
          </w:p>
        </w:tc>
        <w:tc>
          <w:tcPr>
            <w:tcW w:w="786" w:type="dxa"/>
            <w:vMerge w:val="restart"/>
            <w:vAlign w:val="center"/>
          </w:tcPr>
          <w:p w14:paraId="253C610A">
            <w:pPr>
              <w:jc w:val="center"/>
              <w:rPr>
                <w:rFonts w:ascii="Times New Roman" w:hAnsi="Times New Roman" w:eastAsia="仿宋_GB2312"/>
                <w:sz w:val="24"/>
              </w:rPr>
            </w:pPr>
            <w:r>
              <w:rPr>
                <w:rFonts w:ascii="Times New Roman" w:hAnsi="Times New Roman" w:eastAsia="仿宋_GB2312"/>
                <w:sz w:val="24"/>
              </w:rPr>
              <w:t>既有设施名称</w:t>
            </w:r>
          </w:p>
        </w:tc>
        <w:tc>
          <w:tcPr>
            <w:tcW w:w="1134" w:type="dxa"/>
            <w:vMerge w:val="restart"/>
            <w:vAlign w:val="center"/>
          </w:tcPr>
          <w:p w14:paraId="6DCE12A4">
            <w:pPr>
              <w:jc w:val="center"/>
              <w:rPr>
                <w:rFonts w:ascii="Times New Roman" w:hAnsi="Times New Roman" w:eastAsia="仿宋_GB2312"/>
                <w:sz w:val="24"/>
              </w:rPr>
            </w:pPr>
            <w:r>
              <w:rPr>
                <w:rFonts w:ascii="Times New Roman" w:hAnsi="Times New Roman" w:eastAsia="仿宋_GB2312"/>
                <w:sz w:val="24"/>
              </w:rPr>
              <w:t>既有设施对应其它生产信息（如适用）</w:t>
            </w:r>
          </w:p>
        </w:tc>
        <w:tc>
          <w:tcPr>
            <w:tcW w:w="709" w:type="dxa"/>
            <w:vMerge w:val="restart"/>
            <w:vAlign w:val="center"/>
          </w:tcPr>
          <w:p w14:paraId="3B52F871">
            <w:pPr>
              <w:jc w:val="center"/>
              <w:rPr>
                <w:rFonts w:ascii="Times New Roman" w:hAnsi="Times New Roman" w:eastAsia="仿宋_GB2312"/>
                <w:sz w:val="24"/>
              </w:rPr>
            </w:pPr>
            <w:r>
              <w:rPr>
                <w:rFonts w:ascii="Times New Roman" w:hAnsi="Times New Roman" w:eastAsia="仿宋_GB2312"/>
                <w:sz w:val="24"/>
              </w:rPr>
              <w:t>退出时间</w:t>
            </w:r>
          </w:p>
        </w:tc>
        <w:tc>
          <w:tcPr>
            <w:tcW w:w="968" w:type="dxa"/>
            <w:vMerge w:val="restart"/>
            <w:vAlign w:val="center"/>
          </w:tcPr>
          <w:p w14:paraId="3FF3532E">
            <w:pPr>
              <w:jc w:val="center"/>
              <w:rPr>
                <w:rFonts w:ascii="Times New Roman" w:hAnsi="Times New Roman" w:eastAsia="仿宋_GB2312"/>
                <w:sz w:val="24"/>
              </w:rPr>
            </w:pPr>
            <w:r>
              <w:rPr>
                <w:rFonts w:ascii="Times New Roman" w:hAnsi="Times New Roman" w:eastAsia="仿宋_GB2312"/>
                <w:sz w:val="24"/>
              </w:rPr>
              <w:t>是否由新增设施替代</w:t>
            </w:r>
          </w:p>
        </w:tc>
        <w:tc>
          <w:tcPr>
            <w:tcW w:w="1121" w:type="dxa"/>
            <w:vMerge w:val="restart"/>
            <w:tcBorders>
              <w:right w:val="single" w:color="auto" w:sz="4" w:space="0"/>
            </w:tcBorders>
            <w:vAlign w:val="center"/>
          </w:tcPr>
          <w:p w14:paraId="3D54F7B3">
            <w:pPr>
              <w:jc w:val="center"/>
              <w:rPr>
                <w:rFonts w:ascii="Times New Roman" w:hAnsi="Times New Roman" w:eastAsia="仿宋_GB2312"/>
                <w:sz w:val="24"/>
              </w:rPr>
            </w:pPr>
            <w:r>
              <w:rPr>
                <w:rFonts w:ascii="Times New Roman" w:hAnsi="Times New Roman" w:eastAsia="仿宋_GB2312"/>
                <w:sz w:val="24"/>
              </w:rPr>
              <w:t>年度</w:t>
            </w:r>
          </w:p>
        </w:tc>
        <w:tc>
          <w:tcPr>
            <w:tcW w:w="3348" w:type="dxa"/>
            <w:gridSpan w:val="3"/>
            <w:tcBorders>
              <w:left w:val="single" w:color="auto" w:sz="4" w:space="0"/>
            </w:tcBorders>
            <w:vAlign w:val="center"/>
          </w:tcPr>
          <w:p w14:paraId="600E0C08">
            <w:pPr>
              <w:jc w:val="center"/>
              <w:rPr>
                <w:rFonts w:ascii="Times New Roman" w:hAnsi="Times New Roman" w:eastAsia="仿宋_GB2312"/>
                <w:sz w:val="24"/>
              </w:rPr>
            </w:pPr>
            <w:r>
              <w:rPr>
                <w:rFonts w:ascii="Times New Roman" w:hAnsi="Times New Roman" w:eastAsia="仿宋_GB2312"/>
                <w:sz w:val="24"/>
              </w:rPr>
              <w:t>历史年度排放量</w:t>
            </w:r>
          </w:p>
        </w:tc>
      </w:tr>
      <w:tr w14:paraId="59F20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56" w:type="dxa"/>
            <w:vMerge w:val="continue"/>
            <w:vAlign w:val="center"/>
          </w:tcPr>
          <w:p w14:paraId="7852DA2B">
            <w:pPr>
              <w:jc w:val="center"/>
              <w:rPr>
                <w:rFonts w:ascii="Times New Roman" w:hAnsi="Times New Roman" w:eastAsia="仿宋_GB2312"/>
                <w:sz w:val="24"/>
              </w:rPr>
            </w:pPr>
          </w:p>
        </w:tc>
        <w:tc>
          <w:tcPr>
            <w:tcW w:w="786" w:type="dxa"/>
            <w:vMerge w:val="continue"/>
            <w:vAlign w:val="center"/>
          </w:tcPr>
          <w:p w14:paraId="361EE787">
            <w:pPr>
              <w:jc w:val="center"/>
              <w:rPr>
                <w:rFonts w:ascii="Times New Roman" w:hAnsi="Times New Roman" w:eastAsia="仿宋_GB2312"/>
                <w:sz w:val="24"/>
              </w:rPr>
            </w:pPr>
          </w:p>
        </w:tc>
        <w:tc>
          <w:tcPr>
            <w:tcW w:w="1134" w:type="dxa"/>
            <w:vMerge w:val="continue"/>
            <w:vAlign w:val="center"/>
          </w:tcPr>
          <w:p w14:paraId="0333CF89">
            <w:pPr>
              <w:jc w:val="center"/>
              <w:rPr>
                <w:rFonts w:ascii="Times New Roman" w:hAnsi="Times New Roman" w:eastAsia="仿宋_GB2312"/>
                <w:sz w:val="24"/>
              </w:rPr>
            </w:pPr>
          </w:p>
        </w:tc>
        <w:tc>
          <w:tcPr>
            <w:tcW w:w="709" w:type="dxa"/>
            <w:vMerge w:val="continue"/>
            <w:vAlign w:val="center"/>
          </w:tcPr>
          <w:p w14:paraId="660E631D">
            <w:pPr>
              <w:jc w:val="center"/>
              <w:rPr>
                <w:rFonts w:ascii="Times New Roman" w:hAnsi="Times New Roman" w:eastAsia="仿宋_GB2312"/>
                <w:sz w:val="24"/>
              </w:rPr>
            </w:pPr>
          </w:p>
        </w:tc>
        <w:tc>
          <w:tcPr>
            <w:tcW w:w="968" w:type="dxa"/>
            <w:vMerge w:val="continue"/>
            <w:vAlign w:val="center"/>
          </w:tcPr>
          <w:p w14:paraId="47AB8635">
            <w:pPr>
              <w:jc w:val="center"/>
              <w:rPr>
                <w:rFonts w:ascii="Times New Roman" w:hAnsi="Times New Roman" w:eastAsia="仿宋_GB2312"/>
                <w:sz w:val="24"/>
              </w:rPr>
            </w:pPr>
          </w:p>
        </w:tc>
        <w:tc>
          <w:tcPr>
            <w:tcW w:w="1121" w:type="dxa"/>
            <w:vMerge w:val="continue"/>
            <w:tcBorders>
              <w:right w:val="single" w:color="auto" w:sz="4" w:space="0"/>
            </w:tcBorders>
            <w:vAlign w:val="center"/>
          </w:tcPr>
          <w:p w14:paraId="70190367">
            <w:pPr>
              <w:jc w:val="center"/>
              <w:rPr>
                <w:rFonts w:ascii="Times New Roman" w:hAnsi="Times New Roman" w:eastAsia="仿宋_GB2312"/>
                <w:sz w:val="24"/>
              </w:rPr>
            </w:pPr>
          </w:p>
        </w:tc>
        <w:tc>
          <w:tcPr>
            <w:tcW w:w="1116" w:type="dxa"/>
            <w:tcBorders>
              <w:left w:val="single" w:color="auto" w:sz="4" w:space="0"/>
            </w:tcBorders>
            <w:vAlign w:val="center"/>
          </w:tcPr>
          <w:p w14:paraId="79896F88">
            <w:pPr>
              <w:jc w:val="center"/>
              <w:rPr>
                <w:rFonts w:ascii="Times New Roman" w:hAnsi="Times New Roman" w:eastAsia="仿宋_GB2312"/>
                <w:sz w:val="24"/>
              </w:rPr>
            </w:pPr>
            <w:r>
              <w:rPr>
                <w:rFonts w:ascii="Times New Roman" w:hAnsi="Times New Roman" w:eastAsia="仿宋_GB2312"/>
                <w:sz w:val="24"/>
              </w:rPr>
              <w:t>直接排放量（tCO</w:t>
            </w:r>
            <w:r>
              <w:rPr>
                <w:rFonts w:ascii="Times New Roman" w:hAnsi="Times New Roman" w:eastAsia="仿宋_GB2312"/>
                <w:sz w:val="24"/>
                <w:vertAlign w:val="subscript"/>
              </w:rPr>
              <w:t>2</w:t>
            </w:r>
            <w:r>
              <w:rPr>
                <w:rFonts w:ascii="Times New Roman" w:hAnsi="Times New Roman" w:eastAsia="仿宋_GB2312"/>
                <w:sz w:val="24"/>
              </w:rPr>
              <w:t>）</w:t>
            </w:r>
          </w:p>
        </w:tc>
        <w:tc>
          <w:tcPr>
            <w:tcW w:w="1116" w:type="dxa"/>
            <w:vAlign w:val="center"/>
          </w:tcPr>
          <w:p w14:paraId="1C3A0C6C">
            <w:pPr>
              <w:jc w:val="center"/>
              <w:rPr>
                <w:rFonts w:ascii="Times New Roman" w:hAnsi="Times New Roman" w:eastAsia="仿宋_GB2312"/>
                <w:sz w:val="24"/>
              </w:rPr>
            </w:pPr>
            <w:r>
              <w:rPr>
                <w:rFonts w:ascii="Times New Roman" w:hAnsi="Times New Roman" w:eastAsia="仿宋_GB2312"/>
                <w:sz w:val="24"/>
              </w:rPr>
              <w:t>间接排放量（tCO</w:t>
            </w:r>
            <w:r>
              <w:rPr>
                <w:rFonts w:ascii="Times New Roman" w:hAnsi="Times New Roman" w:eastAsia="仿宋_GB2312"/>
                <w:sz w:val="24"/>
                <w:vertAlign w:val="subscript"/>
              </w:rPr>
              <w:t>2</w:t>
            </w:r>
            <w:r>
              <w:rPr>
                <w:rFonts w:ascii="Times New Roman" w:hAnsi="Times New Roman" w:eastAsia="仿宋_GB2312"/>
                <w:sz w:val="24"/>
              </w:rPr>
              <w:t>）</w:t>
            </w:r>
          </w:p>
        </w:tc>
        <w:tc>
          <w:tcPr>
            <w:tcW w:w="1116" w:type="dxa"/>
            <w:vAlign w:val="center"/>
          </w:tcPr>
          <w:p w14:paraId="6684F538">
            <w:pPr>
              <w:jc w:val="center"/>
              <w:rPr>
                <w:rFonts w:ascii="Times New Roman" w:hAnsi="Times New Roman" w:eastAsia="仿宋_GB2312"/>
                <w:sz w:val="24"/>
              </w:rPr>
            </w:pPr>
            <w:r>
              <w:rPr>
                <w:rFonts w:ascii="Times New Roman" w:hAnsi="Times New Roman" w:eastAsia="仿宋_GB2312"/>
                <w:sz w:val="24"/>
              </w:rPr>
              <w:t>总排放量（tCO</w:t>
            </w:r>
            <w:r>
              <w:rPr>
                <w:rFonts w:ascii="Times New Roman" w:hAnsi="Times New Roman" w:eastAsia="仿宋_GB2312"/>
                <w:sz w:val="24"/>
                <w:vertAlign w:val="subscript"/>
              </w:rPr>
              <w:t>2</w:t>
            </w:r>
            <w:r>
              <w:rPr>
                <w:rFonts w:ascii="Times New Roman" w:hAnsi="Times New Roman" w:eastAsia="仿宋_GB2312"/>
                <w:sz w:val="24"/>
              </w:rPr>
              <w:t>）</w:t>
            </w:r>
          </w:p>
        </w:tc>
      </w:tr>
      <w:tr w14:paraId="0D14C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456" w:type="dxa"/>
            <w:vMerge w:val="restart"/>
            <w:vAlign w:val="center"/>
          </w:tcPr>
          <w:p w14:paraId="618854D7">
            <w:pPr>
              <w:jc w:val="center"/>
              <w:rPr>
                <w:rFonts w:ascii="Times New Roman" w:hAnsi="Times New Roman" w:eastAsia="仿宋_GB2312"/>
                <w:sz w:val="24"/>
              </w:rPr>
            </w:pPr>
            <w:r>
              <w:rPr>
                <w:rFonts w:ascii="Times New Roman" w:hAnsi="Times New Roman" w:eastAsia="仿宋_GB2312"/>
                <w:sz w:val="24"/>
              </w:rPr>
              <w:t>1</w:t>
            </w:r>
          </w:p>
        </w:tc>
        <w:tc>
          <w:tcPr>
            <w:tcW w:w="786" w:type="dxa"/>
            <w:vMerge w:val="restart"/>
            <w:vAlign w:val="center"/>
          </w:tcPr>
          <w:p w14:paraId="37CEAB53">
            <w:pPr>
              <w:jc w:val="center"/>
              <w:rPr>
                <w:rFonts w:ascii="Times New Roman" w:hAnsi="Times New Roman" w:eastAsia="仿宋_GB2312"/>
                <w:sz w:val="24"/>
              </w:rPr>
            </w:pPr>
            <w:r>
              <w:rPr>
                <w:rFonts w:ascii="Times New Roman" w:hAnsi="Times New Roman" w:eastAsia="仿宋_GB2312"/>
                <w:sz w:val="24"/>
              </w:rPr>
              <w:t>xxx</w:t>
            </w:r>
          </w:p>
        </w:tc>
        <w:tc>
          <w:tcPr>
            <w:tcW w:w="1134" w:type="dxa"/>
            <w:vMerge w:val="restart"/>
            <w:vAlign w:val="center"/>
          </w:tcPr>
          <w:p w14:paraId="17CB8E0E">
            <w:pPr>
              <w:jc w:val="center"/>
              <w:rPr>
                <w:rFonts w:ascii="Times New Roman" w:hAnsi="Times New Roman" w:eastAsia="仿宋_GB2312"/>
                <w:sz w:val="24"/>
              </w:rPr>
            </w:pPr>
          </w:p>
        </w:tc>
        <w:tc>
          <w:tcPr>
            <w:tcW w:w="709" w:type="dxa"/>
            <w:vMerge w:val="restart"/>
            <w:vAlign w:val="center"/>
          </w:tcPr>
          <w:p w14:paraId="5DC06502">
            <w:pPr>
              <w:jc w:val="center"/>
              <w:rPr>
                <w:rFonts w:ascii="Times New Roman" w:hAnsi="Times New Roman" w:eastAsia="仿宋_GB2312"/>
                <w:sz w:val="24"/>
              </w:rPr>
            </w:pPr>
            <w:r>
              <w:rPr>
                <w:rFonts w:ascii="Times New Roman" w:hAnsi="Times New Roman" w:eastAsia="仿宋_GB2312"/>
                <w:sz w:val="24"/>
              </w:rPr>
              <w:t>2018</w:t>
            </w:r>
          </w:p>
        </w:tc>
        <w:tc>
          <w:tcPr>
            <w:tcW w:w="968" w:type="dxa"/>
            <w:vMerge w:val="restart"/>
            <w:vAlign w:val="center"/>
          </w:tcPr>
          <w:p w14:paraId="77B9D258">
            <w:pPr>
              <w:jc w:val="center"/>
              <w:rPr>
                <w:rFonts w:ascii="Times New Roman" w:hAnsi="Times New Roman" w:eastAsia="仿宋_GB2312"/>
                <w:sz w:val="24"/>
              </w:rPr>
            </w:pPr>
            <w:r>
              <w:rPr>
                <w:rFonts w:ascii="Times New Roman" w:hAnsi="Times New Roman" w:eastAsia="仿宋_GB2312"/>
                <w:sz w:val="24"/>
              </w:rPr>
              <w:t>否</w:t>
            </w:r>
          </w:p>
        </w:tc>
        <w:tc>
          <w:tcPr>
            <w:tcW w:w="1121" w:type="dxa"/>
            <w:tcBorders>
              <w:right w:val="single" w:color="auto" w:sz="4" w:space="0"/>
            </w:tcBorders>
          </w:tcPr>
          <w:p w14:paraId="205CF3CC">
            <w:pPr>
              <w:rPr>
                <w:rFonts w:ascii="Times New Roman" w:hAnsi="Times New Roman" w:eastAsia="仿宋_GB2312"/>
                <w:sz w:val="24"/>
              </w:rPr>
            </w:pPr>
            <w:r>
              <w:rPr>
                <w:rFonts w:ascii="Times New Roman" w:hAnsi="Times New Roman" w:eastAsia="仿宋_GB2312"/>
                <w:sz w:val="24"/>
              </w:rPr>
              <w:t>2016年</w:t>
            </w:r>
          </w:p>
        </w:tc>
        <w:tc>
          <w:tcPr>
            <w:tcW w:w="1116" w:type="dxa"/>
            <w:tcBorders>
              <w:left w:val="single" w:color="auto" w:sz="4" w:space="0"/>
            </w:tcBorders>
          </w:tcPr>
          <w:p w14:paraId="3F9C980D">
            <w:pPr>
              <w:rPr>
                <w:rFonts w:ascii="Times New Roman" w:hAnsi="Times New Roman" w:eastAsia="仿宋_GB2312"/>
                <w:sz w:val="24"/>
              </w:rPr>
            </w:pPr>
            <w:r>
              <w:rPr>
                <w:rFonts w:ascii="Times New Roman" w:hAnsi="Times New Roman" w:eastAsia="仿宋_GB2312"/>
                <w:sz w:val="24"/>
              </w:rPr>
              <w:t>800.00</w:t>
            </w:r>
          </w:p>
        </w:tc>
        <w:tc>
          <w:tcPr>
            <w:tcW w:w="1116" w:type="dxa"/>
          </w:tcPr>
          <w:p w14:paraId="55EB8039">
            <w:pPr>
              <w:rPr>
                <w:rFonts w:ascii="Times New Roman" w:hAnsi="Times New Roman" w:eastAsia="仿宋_GB2312"/>
                <w:sz w:val="24"/>
              </w:rPr>
            </w:pPr>
            <w:r>
              <w:rPr>
                <w:rFonts w:ascii="Times New Roman" w:hAnsi="Times New Roman" w:eastAsia="仿宋_GB2312"/>
                <w:sz w:val="24"/>
              </w:rPr>
              <w:t>100.00</w:t>
            </w:r>
          </w:p>
        </w:tc>
        <w:tc>
          <w:tcPr>
            <w:tcW w:w="1116" w:type="dxa"/>
          </w:tcPr>
          <w:p w14:paraId="624F9FC1">
            <w:pPr>
              <w:rPr>
                <w:rFonts w:ascii="Times New Roman" w:hAnsi="Times New Roman" w:eastAsia="仿宋_GB2312"/>
                <w:sz w:val="24"/>
              </w:rPr>
            </w:pPr>
            <w:r>
              <w:rPr>
                <w:rFonts w:ascii="Times New Roman" w:hAnsi="Times New Roman" w:eastAsia="仿宋_GB2312"/>
                <w:sz w:val="24"/>
              </w:rPr>
              <w:t>900.00</w:t>
            </w:r>
          </w:p>
        </w:tc>
      </w:tr>
      <w:tr w14:paraId="2C91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56" w:type="dxa"/>
            <w:vMerge w:val="continue"/>
          </w:tcPr>
          <w:p w14:paraId="2C687C1D">
            <w:pPr>
              <w:rPr>
                <w:rFonts w:ascii="Times New Roman" w:hAnsi="Times New Roman" w:eastAsia="仿宋_GB2312"/>
                <w:sz w:val="24"/>
              </w:rPr>
            </w:pPr>
          </w:p>
        </w:tc>
        <w:tc>
          <w:tcPr>
            <w:tcW w:w="786" w:type="dxa"/>
            <w:vMerge w:val="continue"/>
          </w:tcPr>
          <w:p w14:paraId="25E4C195">
            <w:pPr>
              <w:rPr>
                <w:rFonts w:ascii="Times New Roman" w:hAnsi="Times New Roman" w:eastAsia="仿宋_GB2312"/>
                <w:sz w:val="24"/>
              </w:rPr>
            </w:pPr>
          </w:p>
        </w:tc>
        <w:tc>
          <w:tcPr>
            <w:tcW w:w="1134" w:type="dxa"/>
            <w:vMerge w:val="continue"/>
          </w:tcPr>
          <w:p w14:paraId="6DD97C3F">
            <w:pPr>
              <w:rPr>
                <w:rFonts w:ascii="Times New Roman" w:hAnsi="Times New Roman" w:eastAsia="仿宋_GB2312"/>
                <w:sz w:val="24"/>
              </w:rPr>
            </w:pPr>
          </w:p>
        </w:tc>
        <w:tc>
          <w:tcPr>
            <w:tcW w:w="709" w:type="dxa"/>
            <w:vMerge w:val="continue"/>
          </w:tcPr>
          <w:p w14:paraId="6E489B5B">
            <w:pPr>
              <w:rPr>
                <w:rFonts w:ascii="Times New Roman" w:hAnsi="Times New Roman" w:eastAsia="仿宋_GB2312"/>
                <w:sz w:val="24"/>
              </w:rPr>
            </w:pPr>
          </w:p>
        </w:tc>
        <w:tc>
          <w:tcPr>
            <w:tcW w:w="968" w:type="dxa"/>
            <w:vMerge w:val="continue"/>
          </w:tcPr>
          <w:p w14:paraId="781167AE">
            <w:pPr>
              <w:rPr>
                <w:rFonts w:ascii="Times New Roman" w:hAnsi="Times New Roman" w:eastAsia="仿宋_GB2312"/>
                <w:sz w:val="24"/>
              </w:rPr>
            </w:pPr>
          </w:p>
        </w:tc>
        <w:tc>
          <w:tcPr>
            <w:tcW w:w="1121" w:type="dxa"/>
            <w:tcBorders>
              <w:right w:val="single" w:color="auto" w:sz="4" w:space="0"/>
            </w:tcBorders>
          </w:tcPr>
          <w:p w14:paraId="33BEA09E">
            <w:pPr>
              <w:rPr>
                <w:rFonts w:ascii="Times New Roman" w:hAnsi="Times New Roman" w:eastAsia="仿宋_GB2312"/>
                <w:sz w:val="24"/>
              </w:rPr>
            </w:pPr>
            <w:r>
              <w:rPr>
                <w:rFonts w:ascii="Times New Roman" w:hAnsi="Times New Roman" w:eastAsia="仿宋_GB2312"/>
                <w:sz w:val="24"/>
              </w:rPr>
              <w:t>2017年</w:t>
            </w:r>
          </w:p>
        </w:tc>
        <w:tc>
          <w:tcPr>
            <w:tcW w:w="1116" w:type="dxa"/>
            <w:tcBorders>
              <w:left w:val="single" w:color="auto" w:sz="4" w:space="0"/>
            </w:tcBorders>
          </w:tcPr>
          <w:p w14:paraId="7DD22714">
            <w:pPr>
              <w:rPr>
                <w:rFonts w:ascii="Times New Roman" w:hAnsi="Times New Roman" w:eastAsia="仿宋_GB2312"/>
                <w:sz w:val="24"/>
              </w:rPr>
            </w:pPr>
            <w:r>
              <w:rPr>
                <w:rFonts w:ascii="Times New Roman" w:hAnsi="Times New Roman" w:eastAsia="仿宋_GB2312"/>
                <w:sz w:val="24"/>
              </w:rPr>
              <w:t>810.00</w:t>
            </w:r>
          </w:p>
        </w:tc>
        <w:tc>
          <w:tcPr>
            <w:tcW w:w="1116" w:type="dxa"/>
          </w:tcPr>
          <w:p w14:paraId="0D2FB9C6">
            <w:pPr>
              <w:rPr>
                <w:rFonts w:ascii="Times New Roman" w:hAnsi="Times New Roman" w:eastAsia="仿宋_GB2312"/>
                <w:sz w:val="24"/>
              </w:rPr>
            </w:pPr>
            <w:r>
              <w:rPr>
                <w:rFonts w:ascii="Times New Roman" w:hAnsi="Times New Roman" w:eastAsia="仿宋_GB2312"/>
                <w:sz w:val="24"/>
              </w:rPr>
              <w:t>102.00</w:t>
            </w:r>
          </w:p>
        </w:tc>
        <w:tc>
          <w:tcPr>
            <w:tcW w:w="1116" w:type="dxa"/>
          </w:tcPr>
          <w:p w14:paraId="6D1589E1">
            <w:pPr>
              <w:rPr>
                <w:rFonts w:ascii="Times New Roman" w:hAnsi="Times New Roman" w:eastAsia="仿宋_GB2312"/>
                <w:sz w:val="24"/>
              </w:rPr>
            </w:pPr>
            <w:r>
              <w:rPr>
                <w:rFonts w:ascii="Times New Roman" w:hAnsi="Times New Roman" w:eastAsia="仿宋_GB2312"/>
                <w:sz w:val="24"/>
              </w:rPr>
              <w:t>912.00</w:t>
            </w:r>
          </w:p>
        </w:tc>
      </w:tr>
      <w:tr w14:paraId="78114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56" w:type="dxa"/>
            <w:vMerge w:val="continue"/>
          </w:tcPr>
          <w:p w14:paraId="47AB8919">
            <w:pPr>
              <w:rPr>
                <w:rFonts w:ascii="Times New Roman" w:hAnsi="Times New Roman" w:eastAsia="仿宋_GB2312"/>
                <w:sz w:val="24"/>
              </w:rPr>
            </w:pPr>
          </w:p>
        </w:tc>
        <w:tc>
          <w:tcPr>
            <w:tcW w:w="786" w:type="dxa"/>
            <w:vMerge w:val="continue"/>
          </w:tcPr>
          <w:p w14:paraId="3E330DD8">
            <w:pPr>
              <w:rPr>
                <w:rFonts w:ascii="Times New Roman" w:hAnsi="Times New Roman" w:eastAsia="仿宋_GB2312"/>
                <w:sz w:val="24"/>
              </w:rPr>
            </w:pPr>
          </w:p>
        </w:tc>
        <w:tc>
          <w:tcPr>
            <w:tcW w:w="1134" w:type="dxa"/>
            <w:vMerge w:val="continue"/>
          </w:tcPr>
          <w:p w14:paraId="47D9906C">
            <w:pPr>
              <w:rPr>
                <w:rFonts w:ascii="Times New Roman" w:hAnsi="Times New Roman" w:eastAsia="仿宋_GB2312"/>
                <w:sz w:val="24"/>
              </w:rPr>
            </w:pPr>
          </w:p>
        </w:tc>
        <w:tc>
          <w:tcPr>
            <w:tcW w:w="709" w:type="dxa"/>
            <w:vMerge w:val="continue"/>
          </w:tcPr>
          <w:p w14:paraId="2FC99B3C">
            <w:pPr>
              <w:rPr>
                <w:rFonts w:ascii="Times New Roman" w:hAnsi="Times New Roman" w:eastAsia="仿宋_GB2312"/>
                <w:sz w:val="24"/>
              </w:rPr>
            </w:pPr>
          </w:p>
        </w:tc>
        <w:tc>
          <w:tcPr>
            <w:tcW w:w="968" w:type="dxa"/>
            <w:vMerge w:val="continue"/>
          </w:tcPr>
          <w:p w14:paraId="6E34E156">
            <w:pPr>
              <w:rPr>
                <w:rFonts w:ascii="Times New Roman" w:hAnsi="Times New Roman" w:eastAsia="仿宋_GB2312"/>
                <w:sz w:val="24"/>
              </w:rPr>
            </w:pPr>
          </w:p>
        </w:tc>
        <w:tc>
          <w:tcPr>
            <w:tcW w:w="1121" w:type="dxa"/>
            <w:tcBorders>
              <w:right w:val="single" w:color="auto" w:sz="4" w:space="0"/>
            </w:tcBorders>
          </w:tcPr>
          <w:p w14:paraId="3756511E">
            <w:pPr>
              <w:rPr>
                <w:rFonts w:ascii="Times New Roman" w:hAnsi="Times New Roman" w:eastAsia="仿宋_GB2312"/>
                <w:sz w:val="24"/>
              </w:rPr>
            </w:pPr>
            <w:r>
              <w:rPr>
                <w:rFonts w:ascii="Times New Roman" w:hAnsi="Times New Roman" w:eastAsia="仿宋_GB2312"/>
                <w:sz w:val="24"/>
              </w:rPr>
              <w:t>2018年</w:t>
            </w:r>
          </w:p>
        </w:tc>
        <w:tc>
          <w:tcPr>
            <w:tcW w:w="1116" w:type="dxa"/>
            <w:tcBorders>
              <w:left w:val="single" w:color="auto" w:sz="4" w:space="0"/>
            </w:tcBorders>
          </w:tcPr>
          <w:p w14:paraId="6E855FDC">
            <w:pPr>
              <w:rPr>
                <w:rFonts w:ascii="Times New Roman" w:hAnsi="Times New Roman" w:eastAsia="仿宋_GB2312"/>
                <w:sz w:val="24"/>
              </w:rPr>
            </w:pPr>
            <w:r>
              <w:rPr>
                <w:rFonts w:ascii="Times New Roman" w:hAnsi="Times New Roman" w:eastAsia="仿宋_GB2312"/>
                <w:sz w:val="24"/>
              </w:rPr>
              <w:t>130.00</w:t>
            </w:r>
          </w:p>
        </w:tc>
        <w:tc>
          <w:tcPr>
            <w:tcW w:w="1116" w:type="dxa"/>
          </w:tcPr>
          <w:p w14:paraId="655A2460">
            <w:pPr>
              <w:rPr>
                <w:rFonts w:ascii="Times New Roman" w:hAnsi="Times New Roman" w:eastAsia="仿宋_GB2312"/>
                <w:sz w:val="24"/>
              </w:rPr>
            </w:pPr>
            <w:r>
              <w:rPr>
                <w:rFonts w:ascii="Times New Roman" w:hAnsi="Times New Roman" w:eastAsia="仿宋_GB2312"/>
                <w:sz w:val="24"/>
              </w:rPr>
              <w:t>10.00</w:t>
            </w:r>
          </w:p>
        </w:tc>
        <w:tc>
          <w:tcPr>
            <w:tcW w:w="1116" w:type="dxa"/>
          </w:tcPr>
          <w:p w14:paraId="030BBE92">
            <w:pPr>
              <w:rPr>
                <w:rFonts w:ascii="Times New Roman" w:hAnsi="Times New Roman" w:eastAsia="仿宋_GB2312"/>
                <w:sz w:val="24"/>
              </w:rPr>
            </w:pPr>
            <w:r>
              <w:rPr>
                <w:rFonts w:ascii="Times New Roman" w:hAnsi="Times New Roman" w:eastAsia="仿宋_GB2312"/>
                <w:sz w:val="24"/>
              </w:rPr>
              <w:t>140.00</w:t>
            </w:r>
          </w:p>
        </w:tc>
      </w:tr>
    </w:tbl>
    <w:p w14:paraId="05087DDD">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排放单位新增设施主要包括xxx发生器及生产用电设备，其排放量信息见下表：</w:t>
      </w:r>
    </w:p>
    <w:p w14:paraId="6328E7F4">
      <w:pPr>
        <w:spacing w:after="0" w:line="560" w:lineRule="exact"/>
        <w:jc w:val="center"/>
        <w:rPr>
          <w:rFonts w:ascii="Times New Roman" w:hAnsi="Times New Roman" w:eastAsia="仿宋_GB2312"/>
          <w:sz w:val="32"/>
          <w:szCs w:val="32"/>
        </w:rPr>
      </w:pPr>
      <w:r>
        <w:rPr>
          <w:rFonts w:hint="eastAsia" w:ascii="Times New Roman" w:hAnsi="Times New Roman" w:eastAsia="仿宋_GB2312"/>
          <w:sz w:val="24"/>
        </w:rPr>
        <w:t>表</w:t>
      </w:r>
      <w:r>
        <w:rPr>
          <w:rFonts w:ascii="Times New Roman" w:hAnsi="Times New Roman" w:eastAsia="仿宋_GB2312"/>
          <w:sz w:val="24"/>
        </w:rPr>
        <w:t xml:space="preserve">XX  </w:t>
      </w:r>
      <w:r>
        <w:rPr>
          <w:rFonts w:hint="eastAsia" w:ascii="Times New Roman" w:hAnsi="Times New Roman" w:eastAsia="仿宋_GB2312"/>
          <w:sz w:val="24"/>
        </w:rPr>
        <w:t>新增设施信息表</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1293"/>
        <w:gridCol w:w="2333"/>
        <w:gridCol w:w="1650"/>
        <w:gridCol w:w="1268"/>
        <w:gridCol w:w="1515"/>
      </w:tblGrid>
      <w:tr w14:paraId="3B92B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vAlign w:val="center"/>
          </w:tcPr>
          <w:p w14:paraId="255FD379">
            <w:pPr>
              <w:tabs>
                <w:tab w:val="left" w:pos="1701"/>
              </w:tabs>
              <w:jc w:val="center"/>
              <w:rPr>
                <w:rFonts w:ascii="Times New Roman" w:hAnsi="Times New Roman" w:eastAsia="仿宋_GB2312"/>
                <w:sz w:val="24"/>
              </w:rPr>
            </w:pPr>
            <w:r>
              <w:rPr>
                <w:rFonts w:hint="eastAsia" w:ascii="Times New Roman" w:hAnsi="Times New Roman" w:eastAsia="仿宋_GB2312"/>
                <w:sz w:val="24"/>
              </w:rPr>
              <w:t>序号</w:t>
            </w:r>
          </w:p>
        </w:tc>
        <w:tc>
          <w:tcPr>
            <w:tcW w:w="714" w:type="pct"/>
            <w:vAlign w:val="center"/>
          </w:tcPr>
          <w:p w14:paraId="0BD10642">
            <w:pPr>
              <w:tabs>
                <w:tab w:val="left" w:pos="1701"/>
              </w:tabs>
              <w:jc w:val="center"/>
              <w:rPr>
                <w:rFonts w:ascii="Times New Roman" w:hAnsi="Times New Roman" w:eastAsia="仿宋_GB2312"/>
                <w:sz w:val="24"/>
              </w:rPr>
            </w:pPr>
            <w:r>
              <w:rPr>
                <w:rFonts w:hint="eastAsia" w:ascii="Times New Roman" w:hAnsi="Times New Roman" w:eastAsia="仿宋_GB2312"/>
                <w:sz w:val="24"/>
              </w:rPr>
              <w:t>设施新增年份</w:t>
            </w:r>
          </w:p>
        </w:tc>
        <w:tc>
          <w:tcPr>
            <w:tcW w:w="1288" w:type="pct"/>
            <w:vAlign w:val="center"/>
          </w:tcPr>
          <w:p w14:paraId="61D76DF9">
            <w:pPr>
              <w:tabs>
                <w:tab w:val="left" w:pos="1701"/>
              </w:tabs>
              <w:jc w:val="center"/>
              <w:rPr>
                <w:rFonts w:ascii="Times New Roman" w:hAnsi="Times New Roman" w:eastAsia="仿宋_GB2312"/>
                <w:sz w:val="24"/>
              </w:rPr>
            </w:pPr>
            <w:r>
              <w:rPr>
                <w:rFonts w:hint="eastAsia" w:ascii="Times New Roman" w:hAnsi="Times New Roman" w:eastAsia="仿宋_GB2312"/>
                <w:sz w:val="24"/>
              </w:rPr>
              <w:t>新增设施类型</w:t>
            </w:r>
          </w:p>
        </w:tc>
        <w:tc>
          <w:tcPr>
            <w:tcW w:w="911" w:type="pct"/>
            <w:vAlign w:val="center"/>
          </w:tcPr>
          <w:p w14:paraId="7EEDD956">
            <w:pPr>
              <w:tabs>
                <w:tab w:val="left" w:pos="1701"/>
              </w:tabs>
              <w:jc w:val="center"/>
              <w:rPr>
                <w:rFonts w:ascii="Times New Roman" w:hAnsi="Times New Roman" w:eastAsia="仿宋_GB2312"/>
                <w:sz w:val="24"/>
              </w:rPr>
            </w:pPr>
            <w:r>
              <w:rPr>
                <w:rFonts w:hint="eastAsia" w:ascii="Times New Roman" w:hAnsi="Times New Roman" w:eastAsia="仿宋_GB2312"/>
                <w:sz w:val="24"/>
              </w:rPr>
              <w:t>是否替代既有设施，被替代既有设施类型</w:t>
            </w:r>
          </w:p>
        </w:tc>
        <w:tc>
          <w:tcPr>
            <w:tcW w:w="700" w:type="pct"/>
            <w:vAlign w:val="center"/>
          </w:tcPr>
          <w:p w14:paraId="35E0AB42">
            <w:pPr>
              <w:tabs>
                <w:tab w:val="left" w:pos="1701"/>
              </w:tabs>
              <w:jc w:val="center"/>
              <w:rPr>
                <w:rFonts w:ascii="Times New Roman" w:hAnsi="Times New Roman" w:eastAsia="仿宋_GB2312"/>
                <w:sz w:val="24"/>
              </w:rPr>
            </w:pPr>
            <w:r>
              <w:rPr>
                <w:rFonts w:hint="eastAsia" w:ascii="Times New Roman" w:hAnsi="Times New Roman" w:eastAsia="仿宋_GB2312"/>
                <w:sz w:val="24"/>
              </w:rPr>
              <w:t>新增设施排放量（吨）</w:t>
            </w:r>
          </w:p>
        </w:tc>
        <w:tc>
          <w:tcPr>
            <w:tcW w:w="836" w:type="pct"/>
            <w:vAlign w:val="center"/>
          </w:tcPr>
          <w:p w14:paraId="31031130">
            <w:pPr>
              <w:tabs>
                <w:tab w:val="left" w:pos="1701"/>
              </w:tabs>
              <w:jc w:val="center"/>
              <w:rPr>
                <w:rFonts w:ascii="Times New Roman" w:hAnsi="Times New Roman" w:eastAsia="仿宋_GB2312"/>
                <w:sz w:val="24"/>
              </w:rPr>
            </w:pPr>
            <w:r>
              <w:rPr>
                <w:rFonts w:hint="eastAsia" w:ascii="Times New Roman" w:hAnsi="Times New Roman" w:eastAsia="仿宋_GB2312"/>
                <w:sz w:val="24"/>
              </w:rPr>
              <w:t>替代既有设施的新增排放量</w:t>
            </w:r>
            <w:r>
              <w:rPr>
                <w:rFonts w:ascii="Times New Roman" w:hAnsi="Times New Roman" w:eastAsia="仿宋_GB2312"/>
                <w:sz w:val="24"/>
              </w:rPr>
              <w:t>(</w:t>
            </w:r>
            <w:r>
              <w:rPr>
                <w:rFonts w:hint="eastAsia" w:ascii="Times New Roman" w:hAnsi="Times New Roman" w:eastAsia="仿宋_GB2312"/>
                <w:sz w:val="24"/>
              </w:rPr>
              <w:t>吨</w:t>
            </w:r>
            <w:r>
              <w:rPr>
                <w:rFonts w:ascii="Times New Roman" w:hAnsi="Times New Roman" w:eastAsia="仿宋_GB2312"/>
                <w:sz w:val="24"/>
              </w:rPr>
              <w:t>)</w:t>
            </w:r>
          </w:p>
        </w:tc>
      </w:tr>
      <w:tr w14:paraId="3BEAC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vAlign w:val="center"/>
          </w:tcPr>
          <w:p w14:paraId="2AA6D0F1">
            <w:pPr>
              <w:tabs>
                <w:tab w:val="left" w:pos="1701"/>
              </w:tabs>
              <w:jc w:val="center"/>
              <w:rPr>
                <w:rFonts w:ascii="Times New Roman" w:hAnsi="Times New Roman" w:eastAsia="仿宋_GB2312"/>
                <w:sz w:val="24"/>
              </w:rPr>
            </w:pPr>
            <w:r>
              <w:rPr>
                <w:rFonts w:ascii="Times New Roman" w:hAnsi="Times New Roman" w:eastAsia="仿宋_GB2312"/>
                <w:sz w:val="24"/>
              </w:rPr>
              <w:t>1</w:t>
            </w:r>
          </w:p>
        </w:tc>
        <w:tc>
          <w:tcPr>
            <w:tcW w:w="714" w:type="pct"/>
            <w:vAlign w:val="center"/>
          </w:tcPr>
          <w:p w14:paraId="1D52190F">
            <w:pPr>
              <w:tabs>
                <w:tab w:val="left" w:pos="1701"/>
              </w:tabs>
              <w:jc w:val="center"/>
              <w:rPr>
                <w:rFonts w:ascii="Times New Roman" w:hAnsi="Times New Roman" w:eastAsia="仿宋_GB2312"/>
                <w:sz w:val="24"/>
              </w:rPr>
            </w:pPr>
            <w:r>
              <w:rPr>
                <w:rFonts w:ascii="Times New Roman" w:hAnsi="Times New Roman" w:eastAsia="仿宋_GB2312"/>
                <w:sz w:val="24"/>
              </w:rPr>
              <w:t>2019</w:t>
            </w:r>
          </w:p>
        </w:tc>
        <w:tc>
          <w:tcPr>
            <w:tcW w:w="1288" w:type="pct"/>
            <w:vAlign w:val="center"/>
          </w:tcPr>
          <w:p w14:paraId="46E1534A">
            <w:pPr>
              <w:tabs>
                <w:tab w:val="left" w:pos="1701"/>
              </w:tabs>
              <w:jc w:val="center"/>
              <w:rPr>
                <w:rFonts w:ascii="Times New Roman" w:hAnsi="Times New Roman" w:eastAsia="仿宋_GB2312"/>
                <w:sz w:val="24"/>
              </w:rPr>
            </w:pPr>
            <w:r>
              <w:rPr>
                <w:rFonts w:ascii="Times New Roman" w:hAnsi="Times New Roman" w:eastAsia="仿宋_GB2312"/>
                <w:sz w:val="24"/>
              </w:rPr>
              <w:t>xxx</w:t>
            </w:r>
            <w:r>
              <w:rPr>
                <w:rFonts w:hint="eastAsia" w:ascii="Times New Roman" w:hAnsi="Times New Roman" w:eastAsia="仿宋_GB2312"/>
                <w:sz w:val="24"/>
              </w:rPr>
              <w:t>发生器</w:t>
            </w:r>
          </w:p>
        </w:tc>
        <w:tc>
          <w:tcPr>
            <w:tcW w:w="911" w:type="pct"/>
            <w:vAlign w:val="center"/>
          </w:tcPr>
          <w:p w14:paraId="7E1F1102">
            <w:pPr>
              <w:tabs>
                <w:tab w:val="left" w:pos="1701"/>
              </w:tabs>
              <w:jc w:val="center"/>
              <w:rPr>
                <w:rFonts w:ascii="Times New Roman" w:hAnsi="Times New Roman" w:eastAsia="仿宋_GB2312"/>
                <w:sz w:val="24"/>
              </w:rPr>
            </w:pPr>
            <w:r>
              <w:rPr>
                <w:rFonts w:hint="eastAsia" w:ascii="Times New Roman" w:hAnsi="Times New Roman" w:eastAsia="仿宋_GB2312"/>
                <w:sz w:val="24"/>
              </w:rPr>
              <w:t>否</w:t>
            </w:r>
          </w:p>
        </w:tc>
        <w:tc>
          <w:tcPr>
            <w:tcW w:w="700" w:type="pct"/>
            <w:vAlign w:val="center"/>
          </w:tcPr>
          <w:p w14:paraId="6616CD2B">
            <w:pPr>
              <w:tabs>
                <w:tab w:val="left" w:pos="1701"/>
              </w:tabs>
              <w:jc w:val="center"/>
              <w:rPr>
                <w:rFonts w:ascii="Times New Roman" w:hAnsi="Times New Roman" w:eastAsia="仿宋_GB2312"/>
                <w:sz w:val="24"/>
              </w:rPr>
            </w:pPr>
            <w:bookmarkStart w:id="29" w:name="_Hlk34834187"/>
            <w:r>
              <w:rPr>
                <w:rFonts w:ascii="Times New Roman" w:hAnsi="Times New Roman" w:eastAsia="仿宋_GB2312"/>
                <w:sz w:val="24"/>
              </w:rPr>
              <w:t>1590.36</w:t>
            </w:r>
            <w:bookmarkEnd w:id="29"/>
          </w:p>
        </w:tc>
        <w:tc>
          <w:tcPr>
            <w:tcW w:w="836" w:type="pct"/>
            <w:vAlign w:val="center"/>
          </w:tcPr>
          <w:p w14:paraId="3D62B5AC">
            <w:pPr>
              <w:tabs>
                <w:tab w:val="left" w:pos="1701"/>
              </w:tabs>
              <w:jc w:val="center"/>
              <w:rPr>
                <w:rFonts w:ascii="Times New Roman" w:hAnsi="Times New Roman" w:eastAsia="仿宋_GB2312"/>
                <w:sz w:val="24"/>
              </w:rPr>
            </w:pPr>
            <w:r>
              <w:rPr>
                <w:rFonts w:ascii="Times New Roman" w:hAnsi="Times New Roman" w:eastAsia="仿宋_GB2312"/>
                <w:sz w:val="24"/>
              </w:rPr>
              <w:t>/</w:t>
            </w:r>
          </w:p>
        </w:tc>
      </w:tr>
      <w:tr w14:paraId="528FD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vAlign w:val="center"/>
          </w:tcPr>
          <w:p w14:paraId="72C1459F">
            <w:pPr>
              <w:jc w:val="center"/>
              <w:rPr>
                <w:rFonts w:ascii="Times New Roman" w:hAnsi="Times New Roman" w:eastAsia="仿宋_GB2312"/>
                <w:sz w:val="24"/>
              </w:rPr>
            </w:pPr>
            <w:r>
              <w:rPr>
                <w:rFonts w:ascii="Times New Roman" w:hAnsi="Times New Roman" w:eastAsia="仿宋_GB2312"/>
                <w:sz w:val="24"/>
              </w:rPr>
              <w:t>2</w:t>
            </w:r>
          </w:p>
        </w:tc>
        <w:tc>
          <w:tcPr>
            <w:tcW w:w="714" w:type="pct"/>
            <w:vAlign w:val="center"/>
          </w:tcPr>
          <w:p w14:paraId="6DFB9E36">
            <w:pPr>
              <w:jc w:val="center"/>
              <w:rPr>
                <w:rFonts w:ascii="Times New Roman" w:hAnsi="Times New Roman" w:eastAsia="仿宋_GB2312"/>
                <w:sz w:val="24"/>
              </w:rPr>
            </w:pPr>
            <w:r>
              <w:rPr>
                <w:rFonts w:ascii="Times New Roman" w:hAnsi="Times New Roman" w:eastAsia="仿宋_GB2312"/>
                <w:sz w:val="24"/>
              </w:rPr>
              <w:t>2020</w:t>
            </w:r>
          </w:p>
        </w:tc>
        <w:tc>
          <w:tcPr>
            <w:tcW w:w="1288" w:type="pct"/>
            <w:vAlign w:val="center"/>
          </w:tcPr>
          <w:p w14:paraId="7CFDE452">
            <w:pPr>
              <w:rPr>
                <w:rFonts w:ascii="Times New Roman" w:hAnsi="Times New Roman" w:eastAsia="仿宋_GB2312"/>
                <w:sz w:val="24"/>
              </w:rPr>
            </w:pPr>
            <w:r>
              <w:rPr>
                <w:rFonts w:ascii="Times New Roman" w:hAnsi="Times New Roman" w:eastAsia="仿宋_GB2312"/>
                <w:sz w:val="24"/>
              </w:rPr>
              <w:t>2</w:t>
            </w:r>
            <w:r>
              <w:rPr>
                <w:rFonts w:hint="eastAsia" w:ascii="Times New Roman" w:hAnsi="Times New Roman" w:eastAsia="仿宋_GB2312"/>
                <w:sz w:val="24"/>
              </w:rPr>
              <w:t>套</w:t>
            </w:r>
            <w:r>
              <w:rPr>
                <w:rFonts w:ascii="Times New Roman" w:hAnsi="Times New Roman" w:eastAsia="仿宋_GB2312"/>
                <w:sz w:val="24"/>
              </w:rPr>
              <w:t>1#</w:t>
            </w:r>
            <w:r>
              <w:rPr>
                <w:rFonts w:hint="eastAsia" w:ascii="Times New Roman" w:hAnsi="Times New Roman" w:eastAsia="仿宋_GB2312"/>
                <w:sz w:val="24"/>
              </w:rPr>
              <w:t>楼</w:t>
            </w:r>
            <w:r>
              <w:rPr>
                <w:rFonts w:ascii="Times New Roman" w:hAnsi="Times New Roman" w:eastAsia="仿宋_GB2312"/>
                <w:sz w:val="24"/>
              </w:rPr>
              <w:t>1</w:t>
            </w:r>
            <w:r>
              <w:rPr>
                <w:rFonts w:hint="eastAsia" w:ascii="Times New Roman" w:hAnsi="Times New Roman" w:eastAsia="仿宋_GB2312"/>
                <w:sz w:val="24"/>
              </w:rPr>
              <w:t>层空调机房新增冷冻机组、</w:t>
            </w:r>
            <w:r>
              <w:rPr>
                <w:rFonts w:ascii="Times New Roman" w:hAnsi="Times New Roman" w:eastAsia="仿宋_GB2312"/>
                <w:sz w:val="24"/>
              </w:rPr>
              <w:t>2</w:t>
            </w:r>
            <w:r>
              <w:rPr>
                <w:rFonts w:hint="eastAsia" w:ascii="Times New Roman" w:hAnsi="Times New Roman" w:eastAsia="仿宋_GB2312"/>
                <w:sz w:val="24"/>
              </w:rPr>
              <w:t>套液体发酵系统等生产用电设备</w:t>
            </w:r>
          </w:p>
        </w:tc>
        <w:tc>
          <w:tcPr>
            <w:tcW w:w="911" w:type="pct"/>
            <w:vAlign w:val="center"/>
          </w:tcPr>
          <w:p w14:paraId="66AADE7F">
            <w:pPr>
              <w:jc w:val="center"/>
              <w:rPr>
                <w:rFonts w:ascii="Times New Roman" w:hAnsi="Times New Roman" w:eastAsia="仿宋_GB2312"/>
                <w:sz w:val="24"/>
              </w:rPr>
            </w:pPr>
            <w:r>
              <w:rPr>
                <w:rFonts w:hint="eastAsia" w:ascii="Times New Roman" w:hAnsi="Times New Roman" w:eastAsia="仿宋_GB2312"/>
                <w:sz w:val="24"/>
              </w:rPr>
              <w:t>否</w:t>
            </w:r>
          </w:p>
        </w:tc>
        <w:tc>
          <w:tcPr>
            <w:tcW w:w="700" w:type="pct"/>
            <w:vAlign w:val="center"/>
          </w:tcPr>
          <w:p w14:paraId="3FA8E135">
            <w:pPr>
              <w:tabs>
                <w:tab w:val="left" w:pos="1701"/>
              </w:tabs>
              <w:jc w:val="center"/>
              <w:rPr>
                <w:rFonts w:ascii="Times New Roman" w:hAnsi="Times New Roman" w:eastAsia="仿宋_GB2312"/>
                <w:sz w:val="24"/>
              </w:rPr>
            </w:pPr>
            <w:r>
              <w:rPr>
                <w:rFonts w:ascii="Times New Roman" w:hAnsi="Times New Roman" w:eastAsia="仿宋_GB2312"/>
                <w:sz w:val="24"/>
              </w:rPr>
              <w:t>1917.90</w:t>
            </w:r>
          </w:p>
        </w:tc>
        <w:tc>
          <w:tcPr>
            <w:tcW w:w="836" w:type="pct"/>
            <w:vAlign w:val="center"/>
          </w:tcPr>
          <w:p w14:paraId="465F8936">
            <w:pPr>
              <w:tabs>
                <w:tab w:val="left" w:pos="1701"/>
              </w:tabs>
              <w:jc w:val="center"/>
              <w:rPr>
                <w:rFonts w:ascii="Times New Roman" w:hAnsi="Times New Roman" w:eastAsia="仿宋_GB2312"/>
                <w:sz w:val="24"/>
              </w:rPr>
            </w:pPr>
            <w:r>
              <w:rPr>
                <w:rFonts w:ascii="Times New Roman" w:hAnsi="Times New Roman" w:eastAsia="仿宋_GB2312"/>
                <w:sz w:val="24"/>
              </w:rPr>
              <w:t>/</w:t>
            </w:r>
          </w:p>
        </w:tc>
      </w:tr>
      <w:tr w14:paraId="55C87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tcPr>
          <w:p w14:paraId="53085825">
            <w:pPr>
              <w:jc w:val="center"/>
              <w:rPr>
                <w:rFonts w:ascii="Times New Roman" w:hAnsi="Times New Roman" w:eastAsia="仿宋_GB2312"/>
                <w:sz w:val="24"/>
              </w:rPr>
            </w:pPr>
            <w:r>
              <w:rPr>
                <w:rFonts w:hint="eastAsia" w:ascii="Times New Roman" w:hAnsi="Times New Roman" w:eastAsia="仿宋_GB2312"/>
                <w:sz w:val="24"/>
              </w:rPr>
              <w:t>合计</w:t>
            </w:r>
          </w:p>
        </w:tc>
        <w:tc>
          <w:tcPr>
            <w:tcW w:w="714" w:type="pct"/>
          </w:tcPr>
          <w:p w14:paraId="413BA457">
            <w:pPr>
              <w:rPr>
                <w:rFonts w:ascii="Times New Roman" w:hAnsi="Times New Roman" w:eastAsia="仿宋_GB2312"/>
                <w:sz w:val="24"/>
              </w:rPr>
            </w:pPr>
          </w:p>
        </w:tc>
        <w:tc>
          <w:tcPr>
            <w:tcW w:w="1288" w:type="pct"/>
          </w:tcPr>
          <w:p w14:paraId="332A3C31">
            <w:pPr>
              <w:rPr>
                <w:rFonts w:ascii="Times New Roman" w:hAnsi="Times New Roman" w:eastAsia="仿宋_GB2312"/>
                <w:sz w:val="24"/>
              </w:rPr>
            </w:pPr>
          </w:p>
        </w:tc>
        <w:tc>
          <w:tcPr>
            <w:tcW w:w="911" w:type="pct"/>
          </w:tcPr>
          <w:p w14:paraId="6972C59D">
            <w:pPr>
              <w:rPr>
                <w:rFonts w:ascii="Times New Roman" w:hAnsi="Times New Roman" w:eastAsia="仿宋_GB2312"/>
                <w:sz w:val="24"/>
              </w:rPr>
            </w:pPr>
          </w:p>
        </w:tc>
        <w:tc>
          <w:tcPr>
            <w:tcW w:w="700" w:type="pct"/>
            <w:vAlign w:val="center"/>
          </w:tcPr>
          <w:p w14:paraId="54BEE32E">
            <w:pPr>
              <w:tabs>
                <w:tab w:val="left" w:pos="1701"/>
              </w:tabs>
              <w:jc w:val="center"/>
              <w:rPr>
                <w:rFonts w:ascii="Times New Roman" w:hAnsi="Times New Roman" w:eastAsia="仿宋_GB2312"/>
                <w:sz w:val="24"/>
              </w:rPr>
            </w:pPr>
            <w:bookmarkStart w:id="30" w:name="_Hlk34834123"/>
            <w:r>
              <w:rPr>
                <w:rFonts w:ascii="Times New Roman" w:hAnsi="Times New Roman" w:eastAsia="仿宋_GB2312"/>
                <w:sz w:val="24"/>
              </w:rPr>
              <w:t>3508.26</w:t>
            </w:r>
            <w:bookmarkEnd w:id="30"/>
          </w:p>
        </w:tc>
        <w:tc>
          <w:tcPr>
            <w:tcW w:w="836" w:type="pct"/>
            <w:vAlign w:val="center"/>
          </w:tcPr>
          <w:p w14:paraId="3FBF0B52">
            <w:pPr>
              <w:tabs>
                <w:tab w:val="left" w:pos="1701"/>
              </w:tabs>
              <w:jc w:val="center"/>
              <w:rPr>
                <w:rFonts w:ascii="Times New Roman" w:hAnsi="Times New Roman" w:eastAsia="仿宋_GB2312"/>
                <w:sz w:val="24"/>
              </w:rPr>
            </w:pPr>
          </w:p>
        </w:tc>
      </w:tr>
    </w:tbl>
    <w:p w14:paraId="06F59410">
      <w:pPr>
        <w:spacing w:after="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排放单位新增设施导致的总排放量为</w:t>
      </w:r>
      <w:r>
        <w:rPr>
          <w:rFonts w:ascii="Times New Roman" w:hAnsi="Times New Roman" w:eastAsia="仿宋_GB2312"/>
          <w:sz w:val="32"/>
          <w:szCs w:val="32"/>
        </w:rPr>
        <w:t>3508.26</w:t>
      </w:r>
      <w:r>
        <w:rPr>
          <w:rFonts w:hint="eastAsia" w:ascii="Times New Roman" w:hAnsi="Times New Roman" w:eastAsia="仿宋_GB2312"/>
          <w:sz w:val="32"/>
          <w:szCs w:val="32"/>
        </w:rPr>
        <w:t>吨，是基准年年排放量的</w:t>
      </w:r>
      <w:r>
        <w:rPr>
          <w:rFonts w:ascii="Times New Roman" w:hAnsi="Times New Roman" w:eastAsia="仿宋_GB2312"/>
          <w:sz w:val="32"/>
          <w:szCs w:val="32"/>
        </w:rPr>
        <w:t>43.52%</w:t>
      </w:r>
      <w:r>
        <w:rPr>
          <w:rFonts w:hint="eastAsia" w:ascii="Times New Roman" w:hAnsi="Times New Roman" w:eastAsia="仿宋_GB2312"/>
          <w:sz w:val="32"/>
          <w:szCs w:val="32"/>
        </w:rPr>
        <w:t>，新增设施对应的产值为</w:t>
      </w:r>
      <w:r>
        <w:rPr>
          <w:rFonts w:ascii="Times New Roman" w:hAnsi="Times New Roman" w:eastAsia="仿宋_GB2312"/>
          <w:sz w:val="32"/>
          <w:szCs w:val="32"/>
        </w:rPr>
        <w:t>xx</w:t>
      </w:r>
      <w:r>
        <w:rPr>
          <w:rFonts w:hint="eastAsia" w:ascii="Times New Roman" w:hAnsi="Times New Roman" w:eastAsia="仿宋_GB2312"/>
          <w:sz w:val="32"/>
          <w:szCs w:val="32"/>
        </w:rPr>
        <w:t>万元。此信息供新增设施发放配额参考。</w:t>
      </w:r>
    </w:p>
    <w:p w14:paraId="0B7CF155">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5. 核查过程未覆盖的问题描述</w:t>
      </w:r>
    </w:p>
    <w:p w14:paraId="3D552B4A">
      <w:pPr>
        <w:spacing w:after="0" w:line="560" w:lineRule="exact"/>
        <w:ind w:firstLine="640" w:firstLineChars="200"/>
        <w:jc w:val="both"/>
        <w:rPr>
          <w:rFonts w:ascii="仿宋_GB2312" w:hAnsi="仿宋" w:eastAsia="仿宋_GB2312"/>
          <w:sz w:val="32"/>
          <w:szCs w:val="32"/>
        </w:rPr>
      </w:pPr>
      <w:r>
        <w:rPr>
          <w:rFonts w:ascii="Times New Roman" w:hAnsi="Times New Roman" w:eastAsia="仿宋_GB2312"/>
          <w:sz w:val="32"/>
          <w:szCs w:val="32"/>
        </w:rPr>
        <w:t>由于天然气表和电表分别为燃气公司及电力公司管控，因此未能核查这些仪表的检定信息。</w:t>
      </w:r>
    </w:p>
    <w:sectPr>
      <w:footerReference r:id="rId15" w:type="default"/>
      <w:footerReference r:id="rId16" w:type="even"/>
      <w:pgSz w:w="11906" w:h="16838"/>
      <w:pgMar w:top="2098" w:right="1474" w:bottom="1984" w:left="1587" w:header="709" w:footer="1587" w:gutter="0"/>
      <w:pgNumType w:fmt="decimal"/>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Wide Latin">
    <w:altName w:val="Segoe Print"/>
    <w:panose1 w:val="020A0A070505050204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F9897">
    <w:pPr>
      <w:pStyle w:val="22"/>
    </w:pPr>
    <w:r>
      <w:rPr>
        <w:sz w:val="20"/>
      </w:rPr>
      <w:pict>
        <v:shape id="_x0000_s4097" o:spid="_x0000_s4097" o:spt="202" type="#_x0000_t202" style="position:absolute;left:0pt;margin-left:377.55pt;margin-top:0pt;height:18.15pt;width:64.7pt;mso-position-horizontal-relative:margin;z-index:251659264;mso-width-relative:page;mso-height-relative:page;" filled="f" stroked="f" coordsize="21600,21600">
          <v:path/>
          <v:fill on="f" focussize="0,0"/>
          <v:stroke on="f"/>
          <v:imagedata o:title=""/>
          <o:lock v:ext="edit" aspectratio="f"/>
          <v:textbox inset="0mm,0mm,0mm,0mm">
            <w:txbxContent>
              <w:p w14:paraId="1BF4D0B7">
                <w:pPr>
                  <w:pStyle w:val="2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F67AC">
    <w:pPr>
      <w:pStyle w:val="22"/>
    </w:pPr>
    <w:r>
      <w:rPr>
        <w:sz w:val="20"/>
      </w:rPr>
      <w:pict>
        <v:shape id="_x0000_s4106" o:spid="_x0000_s4106" o:spt="202" type="#_x0000_t202" style="position:absolute;left:0pt;margin-left:0pt;margin-top:0pt;height:36.3pt;width:86.7pt;mso-position-horizontal-relative:margin;z-index:251670528;mso-width-relative:page;mso-height-relative:page;" filled="f" stroked="f" coordsize="21600,21600">
          <v:path/>
          <v:fill on="f" focussize="0,0"/>
          <v:stroke on="f"/>
          <v:imagedata o:title=""/>
          <o:lock v:ext="edit" aspectratio="f"/>
          <v:textbox inset="0mm,0mm,0mm,0mm">
            <w:txbxContent>
              <w:p w14:paraId="63A37261">
                <w:pPr>
                  <w:pStyle w:val="22"/>
                  <w:rPr>
                    <w:rFonts w:hint="eastAsia" w:ascii="宋体" w:hAnsi="宋体" w:eastAsia="宋体" w:cs="宋体"/>
                    <w:sz w:val="28"/>
                    <w:szCs w:val="28"/>
                    <w:lang w:val="en-US" w:eastAsia="zh-CN"/>
                  </w:rPr>
                </w:pPr>
                <w:r>
                  <w:rPr>
                    <w:rFonts w:hint="eastAsia" w:ascii="宋体" w:hAnsi="宋体" w:cs="宋体"/>
                    <w:sz w:val="28"/>
                    <w:szCs w:val="28"/>
                    <w:lang w:eastAsia="zh-CN"/>
                  </w:rPr>
                  <w:t>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64FE4">
    <w:pPr>
      <w:pStyle w:val="22"/>
    </w:pPr>
    <w:r>
      <w:rPr>
        <w:sz w:val="20"/>
      </w:rPr>
      <w:pict>
        <v:shape id="_x0000_s4107" o:spid="_x0000_s4107"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02B5750E">
                <w:pPr>
                  <w:pStyle w:val="22"/>
                  <w:rPr>
                    <w:rStyle w:val="38"/>
                    <w:rFonts w:hint="eastAsia" w:ascii="宋体" w:hAnsi="宋体" w:eastAsia="宋体" w:cs="宋体"/>
                    <w:sz w:val="28"/>
                    <w:szCs w:val="28"/>
                    <w:lang w:val="en-US" w:eastAsia="zh-CN"/>
                  </w:rPr>
                </w:pPr>
                <w:r>
                  <w:rPr>
                    <w:rStyle w:val="38"/>
                    <w:rFonts w:hint="eastAsia" w:ascii="宋体" w:hAnsi="宋体" w:eastAsia="宋体" w:cs="宋体"/>
                    <w:sz w:val="28"/>
                    <w:szCs w:val="28"/>
                    <w:lang w:eastAsia="zh-CN"/>
                  </w:rPr>
                  <w:t>－</w:t>
                </w:r>
                <w:r>
                  <w:rPr>
                    <w:rStyle w:val="38"/>
                    <w:rFonts w:hint="eastAsia" w:ascii="宋体" w:hAnsi="宋体" w:eastAsia="宋体" w:cs="宋体"/>
                    <w:sz w:val="28"/>
                    <w:szCs w:val="28"/>
                    <w:lang w:val="en-US" w:eastAsia="zh-CN"/>
                  </w:rPr>
                  <w:t xml:space="preserve"> </w:t>
                </w:r>
                <w:r>
                  <w:rPr>
                    <w:rStyle w:val="38"/>
                    <w:rFonts w:hint="eastAsia" w:ascii="宋体" w:hAnsi="宋体" w:eastAsia="宋体" w:cs="宋体"/>
                    <w:sz w:val="28"/>
                    <w:szCs w:val="28"/>
                  </w:rPr>
                  <w:fldChar w:fldCharType="begin"/>
                </w:r>
                <w:r>
                  <w:rPr>
                    <w:rStyle w:val="38"/>
                    <w:rFonts w:hint="eastAsia" w:ascii="宋体" w:hAnsi="宋体" w:eastAsia="宋体" w:cs="宋体"/>
                    <w:sz w:val="28"/>
                    <w:szCs w:val="28"/>
                  </w:rPr>
                  <w:instrText xml:space="preserve">PAGE  </w:instrText>
                </w:r>
                <w:r>
                  <w:rPr>
                    <w:rStyle w:val="38"/>
                    <w:rFonts w:hint="eastAsia" w:ascii="宋体" w:hAnsi="宋体" w:eastAsia="宋体" w:cs="宋体"/>
                    <w:sz w:val="28"/>
                    <w:szCs w:val="28"/>
                  </w:rPr>
                  <w:fldChar w:fldCharType="separate"/>
                </w:r>
                <w:r>
                  <w:rPr>
                    <w:rStyle w:val="38"/>
                    <w:rFonts w:hint="eastAsia" w:ascii="宋体" w:hAnsi="宋体" w:eastAsia="宋体" w:cs="宋体"/>
                    <w:sz w:val="28"/>
                    <w:szCs w:val="28"/>
                  </w:rPr>
                  <w:t>102</w:t>
                </w:r>
                <w:r>
                  <w:rPr>
                    <w:rStyle w:val="38"/>
                    <w:rFonts w:hint="eastAsia" w:ascii="宋体" w:hAnsi="宋体" w:eastAsia="宋体" w:cs="宋体"/>
                    <w:sz w:val="28"/>
                    <w:szCs w:val="28"/>
                  </w:rPr>
                  <w:fldChar w:fldCharType="end"/>
                </w:r>
                <w:r>
                  <w:rPr>
                    <w:rStyle w:val="38"/>
                    <w:rFonts w:hint="eastAsia" w:ascii="宋体" w:hAnsi="宋体" w:eastAsia="宋体" w:cs="宋体"/>
                    <w:sz w:val="28"/>
                    <w:szCs w:val="28"/>
                    <w:lang w:val="en-US" w:eastAsia="zh-CN"/>
                  </w:rPr>
                  <w:t xml:space="preserve"> －</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77499">
    <w:pPr>
      <w:pStyle w:val="22"/>
    </w:pPr>
    <w:r>
      <w:rPr>
        <w:sz w:val="20"/>
      </w:rPr>
      <w:pict>
        <v:shape id="_x0000_s4108" o:spid="_x0000_s4108"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2A19ED2C">
                <w:pPr>
                  <w:pStyle w:val="22"/>
                  <w:rPr>
                    <w:rStyle w:val="38"/>
                    <w:rFonts w:hint="eastAsia" w:ascii="宋体" w:hAnsi="宋体" w:eastAsia="宋体" w:cs="宋体"/>
                    <w:sz w:val="28"/>
                    <w:szCs w:val="28"/>
                    <w:lang w:eastAsia="zh-CN"/>
                  </w:rPr>
                </w:pPr>
                <w:r>
                  <w:rPr>
                    <w:rStyle w:val="38"/>
                    <w:rFonts w:hint="eastAsia" w:ascii="宋体" w:hAnsi="宋体" w:eastAsia="宋体" w:cs="宋体"/>
                    <w:sz w:val="28"/>
                    <w:szCs w:val="28"/>
                    <w:lang w:eastAsia="zh-CN"/>
                  </w:rPr>
                  <w:t>－</w:t>
                </w:r>
                <w:r>
                  <w:rPr>
                    <w:rStyle w:val="38"/>
                    <w:rFonts w:hint="eastAsia" w:ascii="宋体" w:hAnsi="宋体" w:eastAsia="宋体" w:cs="宋体"/>
                    <w:sz w:val="28"/>
                    <w:szCs w:val="28"/>
                    <w:lang w:val="en-US" w:eastAsia="zh-CN"/>
                  </w:rPr>
                  <w:t xml:space="preserve"> </w:t>
                </w:r>
                <w:r>
                  <w:rPr>
                    <w:rStyle w:val="38"/>
                    <w:rFonts w:hint="eastAsia" w:ascii="宋体" w:hAnsi="宋体" w:eastAsia="宋体" w:cs="宋体"/>
                    <w:sz w:val="28"/>
                    <w:szCs w:val="28"/>
                  </w:rPr>
                  <w:fldChar w:fldCharType="begin"/>
                </w:r>
                <w:r>
                  <w:rPr>
                    <w:rStyle w:val="38"/>
                    <w:rFonts w:hint="eastAsia" w:ascii="宋体" w:hAnsi="宋体" w:eastAsia="宋体" w:cs="宋体"/>
                    <w:sz w:val="28"/>
                    <w:szCs w:val="28"/>
                  </w:rPr>
                  <w:instrText xml:space="preserve">PAGE  </w:instrText>
                </w:r>
                <w:r>
                  <w:rPr>
                    <w:rStyle w:val="38"/>
                    <w:rFonts w:hint="eastAsia" w:ascii="宋体" w:hAnsi="宋体" w:eastAsia="宋体" w:cs="宋体"/>
                    <w:sz w:val="28"/>
                    <w:szCs w:val="28"/>
                  </w:rPr>
                  <w:fldChar w:fldCharType="end"/>
                </w:r>
                <w:r>
                  <w:rPr>
                    <w:rStyle w:val="38"/>
                    <w:rFonts w:hint="eastAsia" w:ascii="宋体" w:hAnsi="宋体" w:eastAsia="宋体" w:cs="宋体"/>
                    <w:sz w:val="28"/>
                    <w:szCs w:val="28"/>
                    <w:lang w:val="en-US" w:eastAsia="zh-CN"/>
                  </w:rPr>
                  <w:t xml:space="preserve"> </w:t>
                </w:r>
                <w:r>
                  <w:rPr>
                    <w:rStyle w:val="38"/>
                    <w:rFonts w:hint="eastAsia" w:ascii="宋体" w:hAnsi="宋体" w:eastAsia="宋体" w:cs="宋体"/>
                    <w:sz w:val="28"/>
                    <w:szCs w:val="28"/>
                    <w:lang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BAC5C">
    <w:pPr>
      <w:pStyle w:val="22"/>
    </w:pPr>
    <w:r>
      <w:rPr>
        <w:sz w:val="20"/>
      </w:rPr>
      <w:pict>
        <v:shape id="_x0000_s4098" o:spid="_x0000_s4098" o:spt="202" type="#_x0000_t202" style="position:absolute;left:0pt;margin-top:0pt;height:144pt;width:70.7pt;mso-position-horizontal:outside;mso-position-horizontal-relative:margin;z-index:251660288;mso-width-relative:page;mso-height-relative:page;" filled="f" stroked="f" coordsize="21600,21600">
          <v:path/>
          <v:fill on="f" focussize="0,0"/>
          <v:stroke on="f"/>
          <v:imagedata o:title=""/>
          <o:lock v:ext="edit" aspectratio="f"/>
          <v:textbox inset="0mm,0mm,0mm,0mm" style="mso-fit-shape-to-text:t;">
            <w:txbxContent>
              <w:p w14:paraId="04A49BB0">
                <w:pPr>
                  <w:pStyle w:val="22"/>
                  <w:rPr>
                    <w:rFonts w:hint="eastAsia" w:ascii="宋体" w:hAnsi="宋体" w:eastAsia="宋体" w:cs="宋体"/>
                    <w:sz w:val="28"/>
                    <w:szCs w:val="28"/>
                    <w:lang w:val="en-US" w:eastAsia="zh-CN"/>
                  </w:rPr>
                </w:pPr>
                <w:r>
                  <w:rPr>
                    <w:rFonts w:hint="eastAsia" w:ascii="宋体" w:hAnsi="宋体" w:cs="宋体"/>
                    <w:sz w:val="28"/>
                    <w:szCs w:val="28"/>
                    <w:lang w:eastAsia="zh-CN"/>
                  </w:rPr>
                  <w:t>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BFD8E">
    <w:pPr>
      <w:pStyle w:val="22"/>
    </w:pPr>
    <w:r>
      <w:rPr>
        <w:sz w:val="20"/>
      </w:rPr>
      <w:pict>
        <v:shape id="_x0000_s4099" o:spid="_x0000_s4099" o:spt="202" type="#_x0000_t202" style="position:absolute;left:0pt;margin-top:0pt;height:18.15pt;width:64.7pt;mso-position-horizontal:center;mso-position-horizontal-relative:margin;z-index:251665408;mso-width-relative:page;mso-height-relative:page;" filled="f" stroked="f" coordsize="21600,21600">
          <v:path/>
          <v:fill on="f" focussize="0,0"/>
          <v:stroke on="f"/>
          <v:imagedata o:title=""/>
          <o:lock v:ext="edit" aspectratio="f"/>
          <v:textbox inset="0mm,0mm,0mm,0mm">
            <w:txbxContent>
              <w:p w14:paraId="20BA3EFB">
                <w:pPr>
                  <w:pStyle w:val="2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96DBE">
    <w:pPr>
      <w:pStyle w:val="22"/>
    </w:pPr>
    <w:r>
      <w:rPr>
        <w:sz w:val="20"/>
      </w:rPr>
      <w:pict>
        <v:shape id="_x0000_s4100" o:spid="_x0000_s4100" o:spt="202" type="#_x0000_t202" style="position:absolute;left:0pt;margin-top:0pt;height:144pt;width:70.7pt;mso-position-horizontal:center;mso-position-horizontal-relative:margin;z-index:251666432;mso-width-relative:page;mso-height-relative:page;" filled="f" stroked="f" coordsize="21600,21600">
          <v:path/>
          <v:fill on="f" focussize="0,0"/>
          <v:stroke on="f"/>
          <v:imagedata o:title=""/>
          <o:lock v:ext="edit" aspectratio="f"/>
          <v:textbox inset="0mm,0mm,0mm,0mm" style="mso-fit-shape-to-text:t;">
            <w:txbxContent>
              <w:p w14:paraId="152335DD">
                <w:pPr>
                  <w:pStyle w:val="22"/>
                  <w:rPr>
                    <w:rFonts w:hint="eastAsia" w:ascii="宋体" w:hAnsi="宋体" w:eastAsia="宋体" w:cs="宋体"/>
                    <w:sz w:val="28"/>
                    <w:szCs w:val="28"/>
                    <w:lang w:val="en-US" w:eastAsia="zh-CN"/>
                  </w:rPr>
                </w:pPr>
                <w:r>
                  <w:rPr>
                    <w:rFonts w:hint="eastAsia" w:ascii="宋体" w:hAnsi="宋体" w:cs="宋体"/>
                    <w:sz w:val="28"/>
                    <w:szCs w:val="28"/>
                    <w:lang w:eastAsia="zh-CN"/>
                  </w:rPr>
                  <w:t>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E8723">
    <w:pPr>
      <w:pStyle w:val="22"/>
    </w:pPr>
    <w:r>
      <w:rPr>
        <w:sz w:val="20"/>
      </w:rPr>
      <w:pict>
        <v:shape id="_x0000_s4101" o:spid="_x0000_s4101" o:spt="202" type="#_x0000_t202" style="position:absolute;left:0pt;margin-top:0pt;height:18.15pt;width:64.7pt;mso-position-horizontal:center;mso-position-horizontal-relative:margin;z-index:251663360;mso-width-relative:page;mso-height-relative:page;" filled="f" stroked="f" coordsize="21600,21600">
          <v:path/>
          <v:fill on="f" focussize="0,0"/>
          <v:stroke on="f"/>
          <v:imagedata o:title=""/>
          <o:lock v:ext="edit" aspectratio="f"/>
          <v:textbox inset="0mm,0mm,0mm,0mm">
            <w:txbxContent>
              <w:p w14:paraId="421CF145">
                <w:pPr>
                  <w:pStyle w:val="2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58E0C">
    <w:pPr>
      <w:pStyle w:val="22"/>
    </w:pPr>
    <w:r>
      <w:rPr>
        <w:sz w:val="20"/>
      </w:rPr>
      <w:pict>
        <v:shape id="_x0000_s4102" o:spid="_x0000_s4102" o:spt="202" type="#_x0000_t202" style="position:absolute;left:0pt;margin-top:0pt;height:144pt;width:70.7pt;mso-position-horizontal:center;mso-position-horizontal-relative:margin;z-index:251664384;mso-width-relative:page;mso-height-relative:page;" filled="f" stroked="f" coordsize="21600,21600">
          <v:path/>
          <v:fill on="f" focussize="0,0"/>
          <v:stroke on="f"/>
          <v:imagedata o:title=""/>
          <o:lock v:ext="edit" aspectratio="f"/>
          <v:textbox inset="0mm,0mm,0mm,0mm" style="mso-fit-shape-to-text:t;">
            <w:txbxContent>
              <w:p w14:paraId="1F509CFF">
                <w:pPr>
                  <w:pStyle w:val="22"/>
                  <w:rPr>
                    <w:rFonts w:hint="eastAsia" w:ascii="宋体" w:hAnsi="宋体" w:eastAsia="宋体" w:cs="宋体"/>
                    <w:sz w:val="28"/>
                    <w:szCs w:val="28"/>
                    <w:lang w:val="en-US" w:eastAsia="zh-CN"/>
                  </w:rPr>
                </w:pPr>
                <w:r>
                  <w:rPr>
                    <w:rFonts w:hint="eastAsia" w:ascii="宋体" w:hAnsi="宋体" w:cs="宋体"/>
                    <w:sz w:val="28"/>
                    <w:szCs w:val="28"/>
                    <w:lang w:eastAsia="zh-CN"/>
                  </w:rPr>
                  <w:t>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0EDFB">
    <w:pPr>
      <w:pStyle w:val="22"/>
    </w:pPr>
    <w:r>
      <w:rPr>
        <w:sz w:val="20"/>
      </w:rPr>
      <w:pict>
        <v:shape id="_x0000_s4103" o:spid="_x0000_s4103" o:spt="202" type="#_x0000_t202" style="position:absolute;left:0pt;margin-top:0pt;height:18.15pt;width:64.7pt;mso-position-horizontal:center;mso-position-horizontal-relative:margin;z-index:251667456;mso-width-relative:page;mso-height-relative:page;" filled="f" stroked="f" coordsize="21600,21600">
          <v:path/>
          <v:fill on="f" focussize="0,0"/>
          <v:stroke on="f"/>
          <v:imagedata o:title=""/>
          <o:lock v:ext="edit" aspectratio="f"/>
          <v:textbox inset="0mm,0mm,0mm,0mm">
            <w:txbxContent>
              <w:p w14:paraId="428B9844">
                <w:pPr>
                  <w:pStyle w:val="2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41532">
    <w:pPr>
      <w:pStyle w:val="22"/>
    </w:pPr>
    <w:r>
      <w:rPr>
        <w:sz w:val="20"/>
      </w:rPr>
      <w:pict>
        <v:shape id="_x0000_s4104" o:spid="_x0000_s4104" o:spt="202" type="#_x0000_t202" style="position:absolute;left:0pt;margin-top:0pt;height:144pt;width:70.7pt;mso-position-horizontal:center;mso-position-horizontal-relative:margin;z-index:251668480;mso-width-relative:page;mso-height-relative:page;" filled="f" stroked="f" coordsize="21600,21600">
          <v:path/>
          <v:fill on="f" focussize="0,0"/>
          <v:stroke on="f"/>
          <v:imagedata o:title=""/>
          <o:lock v:ext="edit" aspectratio="f"/>
          <v:textbox inset="0mm,0mm,0mm,0mm" style="mso-fit-shape-to-text:t;">
            <w:txbxContent>
              <w:p w14:paraId="51ED957B">
                <w:pPr>
                  <w:pStyle w:val="22"/>
                  <w:rPr>
                    <w:rFonts w:hint="eastAsia" w:ascii="宋体" w:hAnsi="宋体" w:eastAsia="宋体" w:cs="宋体"/>
                    <w:sz w:val="28"/>
                    <w:szCs w:val="28"/>
                    <w:lang w:val="en-US" w:eastAsia="zh-CN"/>
                  </w:rPr>
                </w:pPr>
                <w:r>
                  <w:rPr>
                    <w:rFonts w:hint="eastAsia" w:ascii="宋体" w:hAnsi="宋体" w:cs="宋体"/>
                    <w:sz w:val="28"/>
                    <w:szCs w:val="28"/>
                    <w:lang w:eastAsia="zh-CN"/>
                  </w:rPr>
                  <w:t>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BDCDC">
    <w:pPr>
      <w:pStyle w:val="22"/>
    </w:pPr>
    <w:r>
      <w:rPr>
        <w:sz w:val="20"/>
      </w:rPr>
      <w:pict>
        <v:shape id="_x0000_s4105" o:spid="_x0000_s4105" o:spt="202" type="#_x0000_t202" style="position:absolute;left:0pt;margin-left:377.55pt;margin-top:0pt;height:18.15pt;width:64.7pt;mso-position-horizontal-relative:margin;z-index:251669504;mso-width-relative:page;mso-height-relative:page;" filled="f" stroked="f" coordsize="21600,21600">
          <v:path/>
          <v:fill on="f" focussize="0,0"/>
          <v:stroke on="f"/>
          <v:imagedata o:title=""/>
          <o:lock v:ext="edit" aspectratio="f"/>
          <v:textbox inset="0mm,0mm,0mm,0mm">
            <w:txbxContent>
              <w:p w14:paraId="57BFA28C">
                <w:pPr>
                  <w:pStyle w:val="2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14:paraId="3BF09A35">
      <w:pPr>
        <w:pStyle w:val="27"/>
      </w:pPr>
      <w:r>
        <w:rPr>
          <w:rStyle w:val="40"/>
        </w:rPr>
        <w:footnoteRef/>
      </w:r>
      <w:r>
        <w:rPr>
          <w:rFonts w:hint="eastAsia"/>
        </w:rPr>
        <w:t>投入规模中已统计了退出的设备，即新增规模为净新增规模。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512CD"/>
    <w:multiLevelType w:val="multilevel"/>
    <w:tmpl w:val="052512CD"/>
    <w:lvl w:ilvl="0" w:tentative="0">
      <w:start w:val="1"/>
      <w:numFmt w:val="lowerLetter"/>
      <w:lvlText w:val="%1)"/>
      <w:lvlJc w:val="left"/>
      <w:pPr>
        <w:ind w:left="980" w:hanging="420"/>
      </w:pPr>
      <w:rPr>
        <w:rFonts w:hint="default"/>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
    <w:nsid w:val="058D22A4"/>
    <w:multiLevelType w:val="multilevel"/>
    <w:tmpl w:val="058D22A4"/>
    <w:lvl w:ilvl="0" w:tentative="0">
      <w:start w:val="1"/>
      <w:numFmt w:val="bullet"/>
      <w:lvlText w:val="-"/>
      <w:lvlJc w:val="left"/>
      <w:pPr>
        <w:ind w:left="840" w:hanging="420"/>
      </w:pPr>
      <w:rPr>
        <w:rFonts w:hint="default" w:ascii="Wide Latin" w:hAnsi="Wide Lati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126B3718"/>
    <w:multiLevelType w:val="multilevel"/>
    <w:tmpl w:val="126B3718"/>
    <w:lvl w:ilvl="0" w:tentative="0">
      <w:start w:val="1"/>
      <w:numFmt w:val="bullet"/>
      <w:lvlText w:val="-"/>
      <w:lvlJc w:val="left"/>
      <w:pPr>
        <w:ind w:left="980" w:hanging="420"/>
      </w:pPr>
      <w:rPr>
        <w:rFonts w:hint="default" w:ascii="Wide Latin" w:hAnsi="Wide Latin"/>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3">
    <w:nsid w:val="138055A0"/>
    <w:multiLevelType w:val="multilevel"/>
    <w:tmpl w:val="138055A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89B3A93"/>
    <w:multiLevelType w:val="multilevel"/>
    <w:tmpl w:val="189B3A93"/>
    <w:lvl w:ilvl="0" w:tentative="0">
      <w:start w:val="1"/>
      <w:numFmt w:val="bullet"/>
      <w:lvlText w:val="-"/>
      <w:lvlJc w:val="left"/>
      <w:pPr>
        <w:ind w:left="987" w:hanging="420"/>
      </w:pPr>
      <w:rPr>
        <w:rFonts w:hint="default" w:ascii="Wide Latin" w:hAnsi="Wide Latin"/>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5">
    <w:nsid w:val="198A09AC"/>
    <w:multiLevelType w:val="multilevel"/>
    <w:tmpl w:val="198A09AC"/>
    <w:lvl w:ilvl="0" w:tentative="0">
      <w:start w:val="1"/>
      <w:numFmt w:val="bullet"/>
      <w:lvlText w:val="-"/>
      <w:lvlJc w:val="left"/>
      <w:pPr>
        <w:ind w:left="840" w:hanging="420"/>
      </w:pPr>
      <w:rPr>
        <w:rFonts w:hint="default" w:ascii="Wide Latin" w:hAnsi="Wide Lati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19B44F7B"/>
    <w:multiLevelType w:val="multilevel"/>
    <w:tmpl w:val="19B44F7B"/>
    <w:lvl w:ilvl="0" w:tentative="0">
      <w:start w:val="1"/>
      <w:numFmt w:val="bullet"/>
      <w:lvlText w:val="-"/>
      <w:lvlJc w:val="left"/>
      <w:pPr>
        <w:ind w:left="840" w:hanging="420"/>
      </w:pPr>
      <w:rPr>
        <w:rFonts w:hint="default" w:ascii="Wide Latin" w:hAnsi="Wide Lati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218D521B"/>
    <w:multiLevelType w:val="multilevel"/>
    <w:tmpl w:val="218D521B"/>
    <w:lvl w:ilvl="0" w:tentative="0">
      <w:start w:val="1"/>
      <w:numFmt w:val="bullet"/>
      <w:lvlText w:val="-"/>
      <w:lvlJc w:val="left"/>
      <w:pPr>
        <w:ind w:left="1260" w:hanging="420"/>
      </w:pPr>
      <w:rPr>
        <w:rFonts w:hint="default" w:ascii="Wide Latin" w:hAnsi="Wide Latin"/>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22F953BD"/>
    <w:multiLevelType w:val="multilevel"/>
    <w:tmpl w:val="22F953BD"/>
    <w:lvl w:ilvl="0" w:tentative="0">
      <w:start w:val="1"/>
      <w:numFmt w:val="bullet"/>
      <w:lvlText w:val="-"/>
      <w:lvlJc w:val="left"/>
      <w:pPr>
        <w:ind w:left="984" w:hanging="420"/>
      </w:pPr>
      <w:rPr>
        <w:rFonts w:hint="default" w:ascii="Wide Latin" w:hAnsi="Wide Latin"/>
      </w:rPr>
    </w:lvl>
    <w:lvl w:ilvl="1" w:tentative="0">
      <w:start w:val="1"/>
      <w:numFmt w:val="bullet"/>
      <w:lvlText w:val=""/>
      <w:lvlJc w:val="left"/>
      <w:pPr>
        <w:ind w:left="1404" w:hanging="420"/>
      </w:pPr>
      <w:rPr>
        <w:rFonts w:hint="default" w:ascii="Wingdings" w:hAnsi="Wingdings"/>
      </w:rPr>
    </w:lvl>
    <w:lvl w:ilvl="2" w:tentative="0">
      <w:start w:val="1"/>
      <w:numFmt w:val="bullet"/>
      <w:lvlText w:val=""/>
      <w:lvlJc w:val="left"/>
      <w:pPr>
        <w:ind w:left="1824" w:hanging="420"/>
      </w:pPr>
      <w:rPr>
        <w:rFonts w:hint="default" w:ascii="Wingdings" w:hAnsi="Wingdings"/>
      </w:rPr>
    </w:lvl>
    <w:lvl w:ilvl="3" w:tentative="0">
      <w:start w:val="1"/>
      <w:numFmt w:val="bullet"/>
      <w:lvlText w:val=""/>
      <w:lvlJc w:val="left"/>
      <w:pPr>
        <w:ind w:left="2244" w:hanging="420"/>
      </w:pPr>
      <w:rPr>
        <w:rFonts w:hint="default" w:ascii="Wingdings" w:hAnsi="Wingdings"/>
      </w:rPr>
    </w:lvl>
    <w:lvl w:ilvl="4" w:tentative="0">
      <w:start w:val="1"/>
      <w:numFmt w:val="bullet"/>
      <w:lvlText w:val=""/>
      <w:lvlJc w:val="left"/>
      <w:pPr>
        <w:ind w:left="2664" w:hanging="420"/>
      </w:pPr>
      <w:rPr>
        <w:rFonts w:hint="default" w:ascii="Wingdings" w:hAnsi="Wingdings"/>
      </w:rPr>
    </w:lvl>
    <w:lvl w:ilvl="5" w:tentative="0">
      <w:start w:val="1"/>
      <w:numFmt w:val="bullet"/>
      <w:lvlText w:val=""/>
      <w:lvlJc w:val="left"/>
      <w:pPr>
        <w:ind w:left="3084" w:hanging="420"/>
      </w:pPr>
      <w:rPr>
        <w:rFonts w:hint="default" w:ascii="Wingdings" w:hAnsi="Wingdings"/>
      </w:rPr>
    </w:lvl>
    <w:lvl w:ilvl="6" w:tentative="0">
      <w:start w:val="1"/>
      <w:numFmt w:val="bullet"/>
      <w:lvlText w:val=""/>
      <w:lvlJc w:val="left"/>
      <w:pPr>
        <w:ind w:left="3504" w:hanging="420"/>
      </w:pPr>
      <w:rPr>
        <w:rFonts w:hint="default" w:ascii="Wingdings" w:hAnsi="Wingdings"/>
      </w:rPr>
    </w:lvl>
    <w:lvl w:ilvl="7" w:tentative="0">
      <w:start w:val="1"/>
      <w:numFmt w:val="bullet"/>
      <w:lvlText w:val=""/>
      <w:lvlJc w:val="left"/>
      <w:pPr>
        <w:ind w:left="3924" w:hanging="420"/>
      </w:pPr>
      <w:rPr>
        <w:rFonts w:hint="default" w:ascii="Wingdings" w:hAnsi="Wingdings"/>
      </w:rPr>
    </w:lvl>
    <w:lvl w:ilvl="8" w:tentative="0">
      <w:start w:val="1"/>
      <w:numFmt w:val="bullet"/>
      <w:lvlText w:val=""/>
      <w:lvlJc w:val="left"/>
      <w:pPr>
        <w:ind w:left="4344" w:hanging="420"/>
      </w:pPr>
      <w:rPr>
        <w:rFonts w:hint="default" w:ascii="Wingdings" w:hAnsi="Wingdings"/>
      </w:rPr>
    </w:lvl>
  </w:abstractNum>
  <w:abstractNum w:abstractNumId="9">
    <w:nsid w:val="2A3851F0"/>
    <w:multiLevelType w:val="multilevel"/>
    <w:tmpl w:val="2A3851F0"/>
    <w:lvl w:ilvl="0" w:tentative="0">
      <w:start w:val="1"/>
      <w:numFmt w:val="bullet"/>
      <w:lvlText w:val="-"/>
      <w:lvlJc w:val="left"/>
      <w:pPr>
        <w:ind w:left="982" w:hanging="420"/>
      </w:pPr>
      <w:rPr>
        <w:rFonts w:hint="default" w:ascii="Wide Latin" w:hAnsi="Wide Latin"/>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10">
    <w:nsid w:val="2D9C7E16"/>
    <w:multiLevelType w:val="multilevel"/>
    <w:tmpl w:val="2D9C7E1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31110727"/>
    <w:multiLevelType w:val="multilevel"/>
    <w:tmpl w:val="31110727"/>
    <w:lvl w:ilvl="0" w:tentative="0">
      <w:start w:val="1"/>
      <w:numFmt w:val="bullet"/>
      <w:lvlText w:val="-"/>
      <w:lvlJc w:val="left"/>
      <w:pPr>
        <w:ind w:left="840" w:hanging="420"/>
      </w:pPr>
      <w:rPr>
        <w:rFonts w:hint="default" w:ascii="Wide Latin" w:hAnsi="Wide Lati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2">
    <w:nsid w:val="32552D3B"/>
    <w:multiLevelType w:val="multilevel"/>
    <w:tmpl w:val="32552D3B"/>
    <w:lvl w:ilvl="0" w:tentative="0">
      <w:start w:val="1"/>
      <w:numFmt w:val="lowerLetter"/>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
    <w:nsid w:val="32AF19ED"/>
    <w:multiLevelType w:val="multilevel"/>
    <w:tmpl w:val="32AF19ED"/>
    <w:lvl w:ilvl="0" w:tentative="0">
      <w:start w:val="1"/>
      <w:numFmt w:val="bullet"/>
      <w:lvlText w:val="-"/>
      <w:lvlJc w:val="left"/>
      <w:pPr>
        <w:ind w:left="840" w:hanging="420"/>
      </w:pPr>
      <w:rPr>
        <w:rFonts w:hint="default" w:ascii="Wide Latin" w:hAnsi="Wide Lati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4">
    <w:nsid w:val="33114887"/>
    <w:multiLevelType w:val="multilevel"/>
    <w:tmpl w:val="33114887"/>
    <w:lvl w:ilvl="0" w:tentative="0">
      <w:start w:val="1"/>
      <w:numFmt w:val="bullet"/>
      <w:lvlText w:val="-"/>
      <w:lvlJc w:val="left"/>
      <w:pPr>
        <w:ind w:left="900" w:hanging="420"/>
      </w:pPr>
      <w:rPr>
        <w:rFonts w:hint="default" w:ascii="Wide Latin" w:hAnsi="Wide Latin"/>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
    <w:nsid w:val="412A29EC"/>
    <w:multiLevelType w:val="multilevel"/>
    <w:tmpl w:val="412A29E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432223E3"/>
    <w:multiLevelType w:val="multilevel"/>
    <w:tmpl w:val="432223E3"/>
    <w:lvl w:ilvl="0" w:tentative="0">
      <w:start w:val="1"/>
      <w:numFmt w:val="bullet"/>
      <w:lvlText w:val="-"/>
      <w:lvlJc w:val="left"/>
      <w:pPr>
        <w:ind w:left="1260" w:hanging="420"/>
      </w:pPr>
      <w:rPr>
        <w:rFonts w:hint="default" w:ascii="Wide Latin" w:hAnsi="Wide Latin"/>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7">
    <w:nsid w:val="45D957EB"/>
    <w:multiLevelType w:val="multilevel"/>
    <w:tmpl w:val="45D957EB"/>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8">
    <w:nsid w:val="485234A7"/>
    <w:multiLevelType w:val="multilevel"/>
    <w:tmpl w:val="485234A7"/>
    <w:lvl w:ilvl="0" w:tentative="0">
      <w:start w:val="1"/>
      <w:numFmt w:val="bullet"/>
      <w:lvlText w:val="-"/>
      <w:lvlJc w:val="left"/>
      <w:pPr>
        <w:ind w:left="900" w:hanging="420"/>
      </w:pPr>
      <w:rPr>
        <w:rFonts w:hint="default" w:ascii="Wide Latin" w:hAnsi="Wide Latin"/>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9">
    <w:nsid w:val="4C150647"/>
    <w:multiLevelType w:val="multilevel"/>
    <w:tmpl w:val="4C150647"/>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0">
    <w:nsid w:val="4F635FB4"/>
    <w:multiLevelType w:val="multilevel"/>
    <w:tmpl w:val="4F635FB4"/>
    <w:lvl w:ilvl="0" w:tentative="0">
      <w:start w:val="1"/>
      <w:numFmt w:val="bullet"/>
      <w:lvlText w:val="-"/>
      <w:lvlJc w:val="left"/>
      <w:pPr>
        <w:ind w:left="840" w:hanging="420"/>
      </w:pPr>
      <w:rPr>
        <w:rFonts w:hint="default" w:ascii="Wide Latin" w:hAnsi="Wide Lati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1">
    <w:nsid w:val="5B8A176C"/>
    <w:multiLevelType w:val="multilevel"/>
    <w:tmpl w:val="5B8A176C"/>
    <w:lvl w:ilvl="0" w:tentative="0">
      <w:start w:val="3"/>
      <w:numFmt w:val="decimal"/>
      <w:lvlText w:val="%1"/>
      <w:lvlJc w:val="left"/>
      <w:pPr>
        <w:ind w:left="456" w:hanging="45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22">
    <w:nsid w:val="61123ECD"/>
    <w:multiLevelType w:val="multilevel"/>
    <w:tmpl w:val="61123ECD"/>
    <w:lvl w:ilvl="0" w:tentative="0">
      <w:start w:val="1"/>
      <w:numFmt w:val="bullet"/>
      <w:lvlText w:val="-"/>
      <w:lvlJc w:val="left"/>
      <w:pPr>
        <w:ind w:left="980" w:hanging="420"/>
      </w:pPr>
      <w:rPr>
        <w:rFonts w:hint="default" w:ascii="Wide Latin" w:hAnsi="Wide Latin"/>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23">
    <w:nsid w:val="63230C11"/>
    <w:multiLevelType w:val="multilevel"/>
    <w:tmpl w:val="63230C11"/>
    <w:lvl w:ilvl="0" w:tentative="0">
      <w:start w:val="1"/>
      <w:numFmt w:val="bullet"/>
      <w:lvlText w:val="-"/>
      <w:lvlJc w:val="left"/>
      <w:pPr>
        <w:ind w:left="987" w:hanging="420"/>
      </w:pPr>
      <w:rPr>
        <w:rFonts w:hint="default" w:ascii="Wide Latin" w:hAnsi="Wide Latin"/>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24">
    <w:nsid w:val="64A131F4"/>
    <w:multiLevelType w:val="multilevel"/>
    <w:tmpl w:val="64A131F4"/>
    <w:lvl w:ilvl="0" w:tentative="0">
      <w:start w:val="1"/>
      <w:numFmt w:val="bullet"/>
      <w:lvlText w:val="-"/>
      <w:lvlJc w:val="left"/>
      <w:pPr>
        <w:ind w:left="972" w:hanging="420"/>
      </w:pPr>
      <w:rPr>
        <w:rFonts w:hint="default" w:ascii="Wide Latin" w:hAnsi="Wide Latin"/>
      </w:rPr>
    </w:lvl>
    <w:lvl w:ilvl="1" w:tentative="0">
      <w:start w:val="1"/>
      <w:numFmt w:val="bullet"/>
      <w:lvlText w:val=""/>
      <w:lvlJc w:val="left"/>
      <w:pPr>
        <w:ind w:left="1392" w:hanging="420"/>
      </w:pPr>
      <w:rPr>
        <w:rFonts w:hint="default" w:ascii="Wingdings" w:hAnsi="Wingdings"/>
      </w:rPr>
    </w:lvl>
    <w:lvl w:ilvl="2" w:tentative="0">
      <w:start w:val="1"/>
      <w:numFmt w:val="bullet"/>
      <w:lvlText w:val=""/>
      <w:lvlJc w:val="left"/>
      <w:pPr>
        <w:ind w:left="1812" w:hanging="420"/>
      </w:pPr>
      <w:rPr>
        <w:rFonts w:hint="default" w:ascii="Wingdings" w:hAnsi="Wingdings"/>
      </w:rPr>
    </w:lvl>
    <w:lvl w:ilvl="3" w:tentative="0">
      <w:start w:val="1"/>
      <w:numFmt w:val="bullet"/>
      <w:lvlText w:val=""/>
      <w:lvlJc w:val="left"/>
      <w:pPr>
        <w:ind w:left="2232" w:hanging="420"/>
      </w:pPr>
      <w:rPr>
        <w:rFonts w:hint="default" w:ascii="Wingdings" w:hAnsi="Wingdings"/>
      </w:rPr>
    </w:lvl>
    <w:lvl w:ilvl="4" w:tentative="0">
      <w:start w:val="1"/>
      <w:numFmt w:val="bullet"/>
      <w:lvlText w:val=""/>
      <w:lvlJc w:val="left"/>
      <w:pPr>
        <w:ind w:left="2652" w:hanging="420"/>
      </w:pPr>
      <w:rPr>
        <w:rFonts w:hint="default" w:ascii="Wingdings" w:hAnsi="Wingdings"/>
      </w:rPr>
    </w:lvl>
    <w:lvl w:ilvl="5" w:tentative="0">
      <w:start w:val="1"/>
      <w:numFmt w:val="bullet"/>
      <w:lvlText w:val=""/>
      <w:lvlJc w:val="left"/>
      <w:pPr>
        <w:ind w:left="3072" w:hanging="420"/>
      </w:pPr>
      <w:rPr>
        <w:rFonts w:hint="default" w:ascii="Wingdings" w:hAnsi="Wingdings"/>
      </w:rPr>
    </w:lvl>
    <w:lvl w:ilvl="6" w:tentative="0">
      <w:start w:val="1"/>
      <w:numFmt w:val="bullet"/>
      <w:lvlText w:val=""/>
      <w:lvlJc w:val="left"/>
      <w:pPr>
        <w:ind w:left="3492" w:hanging="420"/>
      </w:pPr>
      <w:rPr>
        <w:rFonts w:hint="default" w:ascii="Wingdings" w:hAnsi="Wingdings"/>
      </w:rPr>
    </w:lvl>
    <w:lvl w:ilvl="7" w:tentative="0">
      <w:start w:val="1"/>
      <w:numFmt w:val="bullet"/>
      <w:lvlText w:val=""/>
      <w:lvlJc w:val="left"/>
      <w:pPr>
        <w:ind w:left="3912" w:hanging="420"/>
      </w:pPr>
      <w:rPr>
        <w:rFonts w:hint="default" w:ascii="Wingdings" w:hAnsi="Wingdings"/>
      </w:rPr>
    </w:lvl>
    <w:lvl w:ilvl="8" w:tentative="0">
      <w:start w:val="1"/>
      <w:numFmt w:val="bullet"/>
      <w:lvlText w:val=""/>
      <w:lvlJc w:val="left"/>
      <w:pPr>
        <w:ind w:left="4332" w:hanging="420"/>
      </w:pPr>
      <w:rPr>
        <w:rFonts w:hint="default" w:ascii="Wingdings" w:hAnsi="Wingdings"/>
      </w:rPr>
    </w:lvl>
  </w:abstractNum>
  <w:abstractNum w:abstractNumId="25">
    <w:nsid w:val="657D285C"/>
    <w:multiLevelType w:val="multilevel"/>
    <w:tmpl w:val="657D285C"/>
    <w:lvl w:ilvl="0" w:tentative="0">
      <w:start w:val="1"/>
      <w:numFmt w:val="bullet"/>
      <w:lvlText w:val="-"/>
      <w:lvlJc w:val="left"/>
      <w:pPr>
        <w:ind w:left="840" w:hanging="420"/>
      </w:pPr>
      <w:rPr>
        <w:rFonts w:hint="default" w:ascii="Wide Latin" w:hAnsi="Wide Lati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6">
    <w:nsid w:val="6F4B5286"/>
    <w:multiLevelType w:val="multilevel"/>
    <w:tmpl w:val="6F4B5286"/>
    <w:lvl w:ilvl="0" w:tentative="0">
      <w:start w:val="1"/>
      <w:numFmt w:val="decimal"/>
      <w:lvlText w:val="（%1）"/>
      <w:lvlJc w:val="left"/>
      <w:pPr>
        <w:ind w:left="2705" w:hanging="720"/>
      </w:pPr>
      <w:rPr>
        <w:rFonts w:hint="default"/>
      </w:rPr>
    </w:lvl>
    <w:lvl w:ilvl="1" w:tentative="0">
      <w:start w:val="1"/>
      <w:numFmt w:val="lowerLetter"/>
      <w:lvlText w:val="%2)"/>
      <w:lvlJc w:val="left"/>
      <w:pPr>
        <w:ind w:left="2825" w:hanging="420"/>
      </w:pPr>
    </w:lvl>
    <w:lvl w:ilvl="2" w:tentative="0">
      <w:start w:val="1"/>
      <w:numFmt w:val="lowerRoman"/>
      <w:lvlText w:val="%3."/>
      <w:lvlJc w:val="right"/>
      <w:pPr>
        <w:ind w:left="3245" w:hanging="420"/>
      </w:pPr>
    </w:lvl>
    <w:lvl w:ilvl="3" w:tentative="0">
      <w:start w:val="1"/>
      <w:numFmt w:val="decimal"/>
      <w:lvlText w:val="%4."/>
      <w:lvlJc w:val="left"/>
      <w:pPr>
        <w:ind w:left="3665" w:hanging="420"/>
      </w:pPr>
    </w:lvl>
    <w:lvl w:ilvl="4" w:tentative="0">
      <w:start w:val="1"/>
      <w:numFmt w:val="lowerLetter"/>
      <w:lvlText w:val="%5)"/>
      <w:lvlJc w:val="left"/>
      <w:pPr>
        <w:ind w:left="4085" w:hanging="420"/>
      </w:pPr>
    </w:lvl>
    <w:lvl w:ilvl="5" w:tentative="0">
      <w:start w:val="1"/>
      <w:numFmt w:val="lowerRoman"/>
      <w:lvlText w:val="%6."/>
      <w:lvlJc w:val="right"/>
      <w:pPr>
        <w:ind w:left="4505" w:hanging="420"/>
      </w:pPr>
    </w:lvl>
    <w:lvl w:ilvl="6" w:tentative="0">
      <w:start w:val="1"/>
      <w:numFmt w:val="decimal"/>
      <w:lvlText w:val="%7."/>
      <w:lvlJc w:val="left"/>
      <w:pPr>
        <w:ind w:left="4925" w:hanging="420"/>
      </w:pPr>
    </w:lvl>
    <w:lvl w:ilvl="7" w:tentative="0">
      <w:start w:val="1"/>
      <w:numFmt w:val="lowerLetter"/>
      <w:lvlText w:val="%8)"/>
      <w:lvlJc w:val="left"/>
      <w:pPr>
        <w:ind w:left="5345" w:hanging="420"/>
      </w:pPr>
    </w:lvl>
    <w:lvl w:ilvl="8" w:tentative="0">
      <w:start w:val="1"/>
      <w:numFmt w:val="lowerRoman"/>
      <w:lvlText w:val="%9."/>
      <w:lvlJc w:val="right"/>
      <w:pPr>
        <w:ind w:left="5765" w:hanging="420"/>
      </w:pPr>
    </w:lvl>
  </w:abstractNum>
  <w:abstractNum w:abstractNumId="27">
    <w:nsid w:val="7B8617B2"/>
    <w:multiLevelType w:val="multilevel"/>
    <w:tmpl w:val="7B8617B2"/>
    <w:lvl w:ilvl="0" w:tentative="0">
      <w:start w:val="1"/>
      <w:numFmt w:val="bullet"/>
      <w:lvlText w:val="-"/>
      <w:lvlJc w:val="left"/>
      <w:pPr>
        <w:ind w:left="840" w:hanging="420"/>
      </w:pPr>
      <w:rPr>
        <w:rFonts w:hint="default" w:ascii="Wide Latin" w:hAnsi="Wide Lati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8">
    <w:nsid w:val="7E474D71"/>
    <w:multiLevelType w:val="multilevel"/>
    <w:tmpl w:val="7E474D71"/>
    <w:lvl w:ilvl="0" w:tentative="0">
      <w:start w:val="1"/>
      <w:numFmt w:val="bullet"/>
      <w:lvlText w:val="-"/>
      <w:lvlJc w:val="left"/>
      <w:pPr>
        <w:ind w:left="1400" w:hanging="420"/>
      </w:pPr>
      <w:rPr>
        <w:rFonts w:hint="default" w:ascii="Wide Latin" w:hAnsi="Wide Latin"/>
      </w:rPr>
    </w:lvl>
    <w:lvl w:ilvl="1" w:tentative="0">
      <w:start w:val="1"/>
      <w:numFmt w:val="bullet"/>
      <w:lvlText w:val=""/>
      <w:lvlJc w:val="left"/>
      <w:pPr>
        <w:ind w:left="1820" w:hanging="420"/>
      </w:pPr>
      <w:rPr>
        <w:rFonts w:hint="default" w:ascii="Wingdings" w:hAnsi="Wingdings"/>
      </w:rPr>
    </w:lvl>
    <w:lvl w:ilvl="2" w:tentative="0">
      <w:start w:val="1"/>
      <w:numFmt w:val="bullet"/>
      <w:lvlText w:val=""/>
      <w:lvlJc w:val="left"/>
      <w:pPr>
        <w:ind w:left="2240" w:hanging="420"/>
      </w:pPr>
      <w:rPr>
        <w:rFonts w:hint="default" w:ascii="Wingdings" w:hAnsi="Wingdings"/>
      </w:rPr>
    </w:lvl>
    <w:lvl w:ilvl="3" w:tentative="0">
      <w:start w:val="1"/>
      <w:numFmt w:val="bullet"/>
      <w:lvlText w:val=""/>
      <w:lvlJc w:val="left"/>
      <w:pPr>
        <w:ind w:left="2660" w:hanging="420"/>
      </w:pPr>
      <w:rPr>
        <w:rFonts w:hint="default" w:ascii="Wingdings" w:hAnsi="Wingdings"/>
      </w:rPr>
    </w:lvl>
    <w:lvl w:ilvl="4" w:tentative="0">
      <w:start w:val="1"/>
      <w:numFmt w:val="bullet"/>
      <w:lvlText w:val=""/>
      <w:lvlJc w:val="left"/>
      <w:pPr>
        <w:ind w:left="3080" w:hanging="420"/>
      </w:pPr>
      <w:rPr>
        <w:rFonts w:hint="default" w:ascii="Wingdings" w:hAnsi="Wingdings"/>
      </w:rPr>
    </w:lvl>
    <w:lvl w:ilvl="5" w:tentative="0">
      <w:start w:val="1"/>
      <w:numFmt w:val="bullet"/>
      <w:lvlText w:val=""/>
      <w:lvlJc w:val="left"/>
      <w:pPr>
        <w:ind w:left="3500" w:hanging="420"/>
      </w:pPr>
      <w:rPr>
        <w:rFonts w:hint="default" w:ascii="Wingdings" w:hAnsi="Wingdings"/>
      </w:rPr>
    </w:lvl>
    <w:lvl w:ilvl="6" w:tentative="0">
      <w:start w:val="1"/>
      <w:numFmt w:val="bullet"/>
      <w:lvlText w:val=""/>
      <w:lvlJc w:val="left"/>
      <w:pPr>
        <w:ind w:left="3920" w:hanging="420"/>
      </w:pPr>
      <w:rPr>
        <w:rFonts w:hint="default" w:ascii="Wingdings" w:hAnsi="Wingdings"/>
      </w:rPr>
    </w:lvl>
    <w:lvl w:ilvl="7" w:tentative="0">
      <w:start w:val="1"/>
      <w:numFmt w:val="bullet"/>
      <w:lvlText w:val=""/>
      <w:lvlJc w:val="left"/>
      <w:pPr>
        <w:ind w:left="4340" w:hanging="420"/>
      </w:pPr>
      <w:rPr>
        <w:rFonts w:hint="default" w:ascii="Wingdings" w:hAnsi="Wingdings"/>
      </w:rPr>
    </w:lvl>
    <w:lvl w:ilvl="8" w:tentative="0">
      <w:start w:val="1"/>
      <w:numFmt w:val="bullet"/>
      <w:lvlText w:val=""/>
      <w:lvlJc w:val="left"/>
      <w:pPr>
        <w:ind w:left="4760" w:hanging="420"/>
      </w:pPr>
      <w:rPr>
        <w:rFonts w:hint="default" w:ascii="Wingdings" w:hAnsi="Wingdings"/>
      </w:rPr>
    </w:lvl>
  </w:abstractNum>
  <w:abstractNum w:abstractNumId="29">
    <w:nsid w:val="7E8C17C4"/>
    <w:multiLevelType w:val="multilevel"/>
    <w:tmpl w:val="7E8C17C4"/>
    <w:lvl w:ilvl="0" w:tentative="0">
      <w:start w:val="1"/>
      <w:numFmt w:val="bullet"/>
      <w:lvlText w:val="-"/>
      <w:lvlJc w:val="left"/>
      <w:pPr>
        <w:ind w:left="704" w:hanging="420"/>
      </w:pPr>
      <w:rPr>
        <w:rFonts w:hint="default" w:ascii="Wide Latin" w:hAnsi="Wide Latin"/>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de Latin" w:hAnsi="Wide Latin"/>
      </w:rPr>
    </w:lvl>
    <w:lvl w:ilvl="3" w:tentative="0">
      <w:start w:val="1"/>
      <w:numFmt w:val="bullet"/>
      <w:lvlText w:val="-"/>
      <w:lvlJc w:val="left"/>
      <w:pPr>
        <w:ind w:left="1964" w:hanging="420"/>
      </w:pPr>
      <w:rPr>
        <w:rFonts w:hint="default" w:ascii="Wide Latin" w:hAnsi="Wide Latin"/>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num w:numId="1">
    <w:abstractNumId w:val="10"/>
  </w:num>
  <w:num w:numId="2">
    <w:abstractNumId w:val="14"/>
  </w:num>
  <w:num w:numId="3">
    <w:abstractNumId w:val="18"/>
  </w:num>
  <w:num w:numId="4">
    <w:abstractNumId w:val="3"/>
  </w:num>
  <w:num w:numId="5">
    <w:abstractNumId w:val="15"/>
  </w:num>
  <w:num w:numId="6">
    <w:abstractNumId w:val="13"/>
  </w:num>
  <w:num w:numId="7">
    <w:abstractNumId w:val="26"/>
  </w:num>
  <w:num w:numId="8">
    <w:abstractNumId w:val="0"/>
  </w:num>
  <w:num w:numId="9">
    <w:abstractNumId w:val="28"/>
  </w:num>
  <w:num w:numId="10">
    <w:abstractNumId w:val="24"/>
  </w:num>
  <w:num w:numId="11">
    <w:abstractNumId w:val="21"/>
  </w:num>
  <w:num w:numId="12">
    <w:abstractNumId w:val="16"/>
  </w:num>
  <w:num w:numId="13">
    <w:abstractNumId w:val="7"/>
  </w:num>
  <w:num w:numId="14">
    <w:abstractNumId w:val="27"/>
  </w:num>
  <w:num w:numId="15">
    <w:abstractNumId w:val="9"/>
  </w:num>
  <w:num w:numId="16">
    <w:abstractNumId w:val="11"/>
  </w:num>
  <w:num w:numId="17">
    <w:abstractNumId w:val="12"/>
  </w:num>
  <w:num w:numId="18">
    <w:abstractNumId w:val="17"/>
  </w:num>
  <w:num w:numId="19">
    <w:abstractNumId w:val="5"/>
  </w:num>
  <w:num w:numId="20">
    <w:abstractNumId w:val="8"/>
  </w:num>
  <w:num w:numId="21">
    <w:abstractNumId w:val="2"/>
  </w:num>
  <w:num w:numId="22">
    <w:abstractNumId w:val="6"/>
  </w:num>
  <w:num w:numId="23">
    <w:abstractNumId w:val="22"/>
  </w:num>
  <w:num w:numId="24">
    <w:abstractNumId w:val="20"/>
  </w:num>
  <w:num w:numId="25">
    <w:abstractNumId w:val="4"/>
  </w:num>
  <w:num w:numId="26">
    <w:abstractNumId w:val="23"/>
  </w:num>
  <w:num w:numId="27">
    <w:abstractNumId w:val="25"/>
  </w:num>
  <w:num w:numId="28">
    <w:abstractNumId w:val="1"/>
  </w:num>
  <w:num w:numId="29">
    <w:abstractNumId w:val="29"/>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drawingGridHorizontalSpacing w:val="110"/>
  <w:drawingGridVerticalSpacing w:val="156"/>
  <w:displayHorizontalDrawingGridEvery w:val="2"/>
  <w:displayVerticalDrawingGridEvery w:val="2"/>
  <w:characterSpacingControl w:val="doNotCompress"/>
  <w:hdrShapeDefaults>
    <o:shapelayout v:ext="edit">
      <o:idmap v:ext="edit" data="3,4"/>
    </o:shapelayout>
  </w:hdrShapeDefaults>
  <w:footnotePr>
    <w:footnote w:id="2"/>
    <w:footnote w:id="3"/>
  </w:footnotePr>
  <w:endnotePr>
    <w:endnote w:id="0"/>
    <w:endnote w:id="1"/>
  </w:endnotePr>
  <w:compat>
    <w:useFELayout/>
    <w:compatSetting w:name="compatibilityMode" w:uri="http://schemas.microsoft.com/office/word" w:val="12"/>
  </w:compat>
  <w:docVars>
    <w:docVar w:name="commondata" w:val="eyJoZGlkIjoiZWE1Y2ZkZDEyNDk4YzJhZWU3MDY5Y2I3NDFmZDNlODQifQ=="/>
  </w:docVars>
  <w:rsids>
    <w:rsidRoot w:val="00841FE8"/>
    <w:rsid w:val="000008B2"/>
    <w:rsid w:val="00002506"/>
    <w:rsid w:val="00003113"/>
    <w:rsid w:val="00003C80"/>
    <w:rsid w:val="0000475F"/>
    <w:rsid w:val="00005605"/>
    <w:rsid w:val="000066CF"/>
    <w:rsid w:val="000070C4"/>
    <w:rsid w:val="000109EA"/>
    <w:rsid w:val="00010B21"/>
    <w:rsid w:val="00010F86"/>
    <w:rsid w:val="00011218"/>
    <w:rsid w:val="000122DF"/>
    <w:rsid w:val="00012C63"/>
    <w:rsid w:val="00012E4F"/>
    <w:rsid w:val="00015580"/>
    <w:rsid w:val="00015DBD"/>
    <w:rsid w:val="0001652C"/>
    <w:rsid w:val="00016FD5"/>
    <w:rsid w:val="0002041B"/>
    <w:rsid w:val="000209BF"/>
    <w:rsid w:val="00021653"/>
    <w:rsid w:val="0002263C"/>
    <w:rsid w:val="000247F3"/>
    <w:rsid w:val="000249E3"/>
    <w:rsid w:val="00024D94"/>
    <w:rsid w:val="00024F4D"/>
    <w:rsid w:val="00025143"/>
    <w:rsid w:val="00026837"/>
    <w:rsid w:val="00030E6B"/>
    <w:rsid w:val="000332CA"/>
    <w:rsid w:val="0003432B"/>
    <w:rsid w:val="00035836"/>
    <w:rsid w:val="00037A17"/>
    <w:rsid w:val="00037CC7"/>
    <w:rsid w:val="00037E7B"/>
    <w:rsid w:val="000419F6"/>
    <w:rsid w:val="00043319"/>
    <w:rsid w:val="00043C46"/>
    <w:rsid w:val="0004491D"/>
    <w:rsid w:val="00045DA9"/>
    <w:rsid w:val="00045F59"/>
    <w:rsid w:val="0005029B"/>
    <w:rsid w:val="0005045B"/>
    <w:rsid w:val="0005299B"/>
    <w:rsid w:val="00053E2E"/>
    <w:rsid w:val="00053FC2"/>
    <w:rsid w:val="00054322"/>
    <w:rsid w:val="00054586"/>
    <w:rsid w:val="00054BF7"/>
    <w:rsid w:val="00056189"/>
    <w:rsid w:val="0005786B"/>
    <w:rsid w:val="00060615"/>
    <w:rsid w:val="00064C13"/>
    <w:rsid w:val="0006712A"/>
    <w:rsid w:val="000674B5"/>
    <w:rsid w:val="00067D6A"/>
    <w:rsid w:val="00071B9C"/>
    <w:rsid w:val="00072146"/>
    <w:rsid w:val="00072E43"/>
    <w:rsid w:val="00073F92"/>
    <w:rsid w:val="00074D48"/>
    <w:rsid w:val="00076593"/>
    <w:rsid w:val="00076957"/>
    <w:rsid w:val="00077E77"/>
    <w:rsid w:val="00080D11"/>
    <w:rsid w:val="00081644"/>
    <w:rsid w:val="00082E24"/>
    <w:rsid w:val="00083140"/>
    <w:rsid w:val="00084A48"/>
    <w:rsid w:val="00087C2F"/>
    <w:rsid w:val="00087FD9"/>
    <w:rsid w:val="000904D0"/>
    <w:rsid w:val="00092DE8"/>
    <w:rsid w:val="00095874"/>
    <w:rsid w:val="000969F8"/>
    <w:rsid w:val="00096A9D"/>
    <w:rsid w:val="0009794C"/>
    <w:rsid w:val="000A0447"/>
    <w:rsid w:val="000A0645"/>
    <w:rsid w:val="000A1BAC"/>
    <w:rsid w:val="000A2019"/>
    <w:rsid w:val="000A204A"/>
    <w:rsid w:val="000A231D"/>
    <w:rsid w:val="000A27E5"/>
    <w:rsid w:val="000A2923"/>
    <w:rsid w:val="000A31DB"/>
    <w:rsid w:val="000B0330"/>
    <w:rsid w:val="000B0CD6"/>
    <w:rsid w:val="000B0D79"/>
    <w:rsid w:val="000B1642"/>
    <w:rsid w:val="000B1737"/>
    <w:rsid w:val="000B182C"/>
    <w:rsid w:val="000B2422"/>
    <w:rsid w:val="000B3620"/>
    <w:rsid w:val="000B4714"/>
    <w:rsid w:val="000B4BD1"/>
    <w:rsid w:val="000B4E97"/>
    <w:rsid w:val="000B509A"/>
    <w:rsid w:val="000B5DA9"/>
    <w:rsid w:val="000B7683"/>
    <w:rsid w:val="000B7A05"/>
    <w:rsid w:val="000C0953"/>
    <w:rsid w:val="000C26C8"/>
    <w:rsid w:val="000C316C"/>
    <w:rsid w:val="000C438E"/>
    <w:rsid w:val="000C4690"/>
    <w:rsid w:val="000C4D0B"/>
    <w:rsid w:val="000C4E10"/>
    <w:rsid w:val="000C661E"/>
    <w:rsid w:val="000D24C4"/>
    <w:rsid w:val="000D25BA"/>
    <w:rsid w:val="000D2CDE"/>
    <w:rsid w:val="000D3753"/>
    <w:rsid w:val="000D4BE6"/>
    <w:rsid w:val="000D5705"/>
    <w:rsid w:val="000D6E4A"/>
    <w:rsid w:val="000D72DA"/>
    <w:rsid w:val="000E19B9"/>
    <w:rsid w:val="000E21BA"/>
    <w:rsid w:val="000E2BDF"/>
    <w:rsid w:val="000E64F0"/>
    <w:rsid w:val="000E7410"/>
    <w:rsid w:val="000F00F6"/>
    <w:rsid w:val="000F0D8D"/>
    <w:rsid w:val="000F0E0C"/>
    <w:rsid w:val="000F1785"/>
    <w:rsid w:val="000F20D0"/>
    <w:rsid w:val="000F2659"/>
    <w:rsid w:val="000F3408"/>
    <w:rsid w:val="000F39B9"/>
    <w:rsid w:val="000F4FCC"/>
    <w:rsid w:val="000F6DC8"/>
    <w:rsid w:val="000F6F8B"/>
    <w:rsid w:val="00100FEE"/>
    <w:rsid w:val="0010198F"/>
    <w:rsid w:val="00101D73"/>
    <w:rsid w:val="00102831"/>
    <w:rsid w:val="001032D0"/>
    <w:rsid w:val="00104933"/>
    <w:rsid w:val="00105C91"/>
    <w:rsid w:val="00106FD3"/>
    <w:rsid w:val="00107A66"/>
    <w:rsid w:val="00107DA6"/>
    <w:rsid w:val="00110DD3"/>
    <w:rsid w:val="00111618"/>
    <w:rsid w:val="00111C9A"/>
    <w:rsid w:val="00112605"/>
    <w:rsid w:val="00113142"/>
    <w:rsid w:val="0011497D"/>
    <w:rsid w:val="00114F0A"/>
    <w:rsid w:val="00115B75"/>
    <w:rsid w:val="001177EF"/>
    <w:rsid w:val="00117F60"/>
    <w:rsid w:val="0012442E"/>
    <w:rsid w:val="00124882"/>
    <w:rsid w:val="00125E3A"/>
    <w:rsid w:val="0012612B"/>
    <w:rsid w:val="001263CC"/>
    <w:rsid w:val="001266FA"/>
    <w:rsid w:val="00127D41"/>
    <w:rsid w:val="00127E7C"/>
    <w:rsid w:val="001313D5"/>
    <w:rsid w:val="00131DAA"/>
    <w:rsid w:val="0013264C"/>
    <w:rsid w:val="00132977"/>
    <w:rsid w:val="00132FF6"/>
    <w:rsid w:val="0013404A"/>
    <w:rsid w:val="00137051"/>
    <w:rsid w:val="0013791D"/>
    <w:rsid w:val="00140348"/>
    <w:rsid w:val="0014135D"/>
    <w:rsid w:val="001413D0"/>
    <w:rsid w:val="00142001"/>
    <w:rsid w:val="001422DC"/>
    <w:rsid w:val="00142749"/>
    <w:rsid w:val="0014315B"/>
    <w:rsid w:val="00143434"/>
    <w:rsid w:val="001447DA"/>
    <w:rsid w:val="0014579F"/>
    <w:rsid w:val="00145DA5"/>
    <w:rsid w:val="00145E92"/>
    <w:rsid w:val="001460D1"/>
    <w:rsid w:val="001473DC"/>
    <w:rsid w:val="001476A5"/>
    <w:rsid w:val="00150992"/>
    <w:rsid w:val="00150AD0"/>
    <w:rsid w:val="00150B9D"/>
    <w:rsid w:val="0015132A"/>
    <w:rsid w:val="00152FE6"/>
    <w:rsid w:val="00154367"/>
    <w:rsid w:val="001553BD"/>
    <w:rsid w:val="00155B21"/>
    <w:rsid w:val="00155BD9"/>
    <w:rsid w:val="001567D6"/>
    <w:rsid w:val="00161223"/>
    <w:rsid w:val="001614BA"/>
    <w:rsid w:val="00161CAC"/>
    <w:rsid w:val="00162259"/>
    <w:rsid w:val="00162555"/>
    <w:rsid w:val="00162A37"/>
    <w:rsid w:val="00164B59"/>
    <w:rsid w:val="00165A80"/>
    <w:rsid w:val="00165CAB"/>
    <w:rsid w:val="00170589"/>
    <w:rsid w:val="00173F07"/>
    <w:rsid w:val="001772A1"/>
    <w:rsid w:val="00180897"/>
    <w:rsid w:val="00181953"/>
    <w:rsid w:val="00181E09"/>
    <w:rsid w:val="00181F00"/>
    <w:rsid w:val="001831C7"/>
    <w:rsid w:val="00183668"/>
    <w:rsid w:val="00183B98"/>
    <w:rsid w:val="00183FF3"/>
    <w:rsid w:val="00184C34"/>
    <w:rsid w:val="00185DA3"/>
    <w:rsid w:val="00186BC3"/>
    <w:rsid w:val="001873F3"/>
    <w:rsid w:val="00193062"/>
    <w:rsid w:val="00194435"/>
    <w:rsid w:val="0019677B"/>
    <w:rsid w:val="00196A72"/>
    <w:rsid w:val="00196BE4"/>
    <w:rsid w:val="001976FF"/>
    <w:rsid w:val="001A072A"/>
    <w:rsid w:val="001A074E"/>
    <w:rsid w:val="001A2735"/>
    <w:rsid w:val="001A2813"/>
    <w:rsid w:val="001A4C3D"/>
    <w:rsid w:val="001A52E1"/>
    <w:rsid w:val="001A5976"/>
    <w:rsid w:val="001A751F"/>
    <w:rsid w:val="001B28BE"/>
    <w:rsid w:val="001B3E13"/>
    <w:rsid w:val="001B7AC0"/>
    <w:rsid w:val="001C04F9"/>
    <w:rsid w:val="001C2147"/>
    <w:rsid w:val="001C4566"/>
    <w:rsid w:val="001C4A44"/>
    <w:rsid w:val="001D0219"/>
    <w:rsid w:val="001D1BCA"/>
    <w:rsid w:val="001D293B"/>
    <w:rsid w:val="001D2C0C"/>
    <w:rsid w:val="001D4DD2"/>
    <w:rsid w:val="001D5ABA"/>
    <w:rsid w:val="001D5BE8"/>
    <w:rsid w:val="001D6C35"/>
    <w:rsid w:val="001D704D"/>
    <w:rsid w:val="001D70B6"/>
    <w:rsid w:val="001D7632"/>
    <w:rsid w:val="001E01E0"/>
    <w:rsid w:val="001E0B9D"/>
    <w:rsid w:val="001E2A67"/>
    <w:rsid w:val="001E33A9"/>
    <w:rsid w:val="001E3688"/>
    <w:rsid w:val="001E4C4F"/>
    <w:rsid w:val="001E4E51"/>
    <w:rsid w:val="001E53BB"/>
    <w:rsid w:val="001E5798"/>
    <w:rsid w:val="001E638E"/>
    <w:rsid w:val="001F18B4"/>
    <w:rsid w:val="001F2334"/>
    <w:rsid w:val="001F52C9"/>
    <w:rsid w:val="001F5895"/>
    <w:rsid w:val="001F6024"/>
    <w:rsid w:val="001F6A37"/>
    <w:rsid w:val="001F6D21"/>
    <w:rsid w:val="001F7635"/>
    <w:rsid w:val="001F7A55"/>
    <w:rsid w:val="001F7C96"/>
    <w:rsid w:val="001F7F96"/>
    <w:rsid w:val="002017D0"/>
    <w:rsid w:val="00202B33"/>
    <w:rsid w:val="0020461B"/>
    <w:rsid w:val="00205EA5"/>
    <w:rsid w:val="00206394"/>
    <w:rsid w:val="002079F5"/>
    <w:rsid w:val="00210FBF"/>
    <w:rsid w:val="00211C5B"/>
    <w:rsid w:val="00212223"/>
    <w:rsid w:val="00212D20"/>
    <w:rsid w:val="00213327"/>
    <w:rsid w:val="00213340"/>
    <w:rsid w:val="00213D78"/>
    <w:rsid w:val="00216D92"/>
    <w:rsid w:val="00217C5B"/>
    <w:rsid w:val="00220A6E"/>
    <w:rsid w:val="00223360"/>
    <w:rsid w:val="00224191"/>
    <w:rsid w:val="00226A4B"/>
    <w:rsid w:val="00226FFF"/>
    <w:rsid w:val="0022745F"/>
    <w:rsid w:val="002304B7"/>
    <w:rsid w:val="00230666"/>
    <w:rsid w:val="00230FC4"/>
    <w:rsid w:val="0023252B"/>
    <w:rsid w:val="0023290F"/>
    <w:rsid w:val="00233829"/>
    <w:rsid w:val="00235AFC"/>
    <w:rsid w:val="00236A7B"/>
    <w:rsid w:val="0024038C"/>
    <w:rsid w:val="002403F5"/>
    <w:rsid w:val="00241BAF"/>
    <w:rsid w:val="00245DC5"/>
    <w:rsid w:val="00247A46"/>
    <w:rsid w:val="00251800"/>
    <w:rsid w:val="00251F5E"/>
    <w:rsid w:val="00252363"/>
    <w:rsid w:val="00252BA3"/>
    <w:rsid w:val="00252D3C"/>
    <w:rsid w:val="00254945"/>
    <w:rsid w:val="00255AB6"/>
    <w:rsid w:val="00257948"/>
    <w:rsid w:val="00257F40"/>
    <w:rsid w:val="002605D5"/>
    <w:rsid w:val="00260727"/>
    <w:rsid w:val="00261ABF"/>
    <w:rsid w:val="0026202D"/>
    <w:rsid w:val="002632FF"/>
    <w:rsid w:val="00263A80"/>
    <w:rsid w:val="00264173"/>
    <w:rsid w:val="00264ACA"/>
    <w:rsid w:val="00265D02"/>
    <w:rsid w:val="002666FE"/>
    <w:rsid w:val="002672B1"/>
    <w:rsid w:val="002672E0"/>
    <w:rsid w:val="0027110F"/>
    <w:rsid w:val="00272BAC"/>
    <w:rsid w:val="00273288"/>
    <w:rsid w:val="00275C6C"/>
    <w:rsid w:val="002827BE"/>
    <w:rsid w:val="002833D3"/>
    <w:rsid w:val="00283495"/>
    <w:rsid w:val="002835B1"/>
    <w:rsid w:val="002837A4"/>
    <w:rsid w:val="00286795"/>
    <w:rsid w:val="0029165D"/>
    <w:rsid w:val="00292DD3"/>
    <w:rsid w:val="00293B3A"/>
    <w:rsid w:val="00294BB3"/>
    <w:rsid w:val="0029567F"/>
    <w:rsid w:val="00295E43"/>
    <w:rsid w:val="00295E5D"/>
    <w:rsid w:val="002965B5"/>
    <w:rsid w:val="002969AA"/>
    <w:rsid w:val="00297E5A"/>
    <w:rsid w:val="002A3655"/>
    <w:rsid w:val="002A38AE"/>
    <w:rsid w:val="002A59F0"/>
    <w:rsid w:val="002A5CDC"/>
    <w:rsid w:val="002A7F60"/>
    <w:rsid w:val="002B00C3"/>
    <w:rsid w:val="002B3877"/>
    <w:rsid w:val="002B4595"/>
    <w:rsid w:val="002B5B3B"/>
    <w:rsid w:val="002B704E"/>
    <w:rsid w:val="002B725C"/>
    <w:rsid w:val="002B74D7"/>
    <w:rsid w:val="002B78E0"/>
    <w:rsid w:val="002B79D3"/>
    <w:rsid w:val="002B7B4B"/>
    <w:rsid w:val="002B7D89"/>
    <w:rsid w:val="002C050A"/>
    <w:rsid w:val="002C064A"/>
    <w:rsid w:val="002C26A4"/>
    <w:rsid w:val="002C39C9"/>
    <w:rsid w:val="002C401D"/>
    <w:rsid w:val="002C403E"/>
    <w:rsid w:val="002C4CAB"/>
    <w:rsid w:val="002C50AD"/>
    <w:rsid w:val="002C5E26"/>
    <w:rsid w:val="002C61CE"/>
    <w:rsid w:val="002C6535"/>
    <w:rsid w:val="002C6B58"/>
    <w:rsid w:val="002C7BBA"/>
    <w:rsid w:val="002D008B"/>
    <w:rsid w:val="002D00A7"/>
    <w:rsid w:val="002D3551"/>
    <w:rsid w:val="002D3667"/>
    <w:rsid w:val="002D4010"/>
    <w:rsid w:val="002D4CA9"/>
    <w:rsid w:val="002D7099"/>
    <w:rsid w:val="002E12B1"/>
    <w:rsid w:val="002E489D"/>
    <w:rsid w:val="002E48CE"/>
    <w:rsid w:val="002E4ADF"/>
    <w:rsid w:val="002E6F74"/>
    <w:rsid w:val="002E6F7E"/>
    <w:rsid w:val="002E7EA7"/>
    <w:rsid w:val="002F1455"/>
    <w:rsid w:val="002F312A"/>
    <w:rsid w:val="002F6EB9"/>
    <w:rsid w:val="002F7060"/>
    <w:rsid w:val="00300A2F"/>
    <w:rsid w:val="00302A98"/>
    <w:rsid w:val="00303EBD"/>
    <w:rsid w:val="00303FE1"/>
    <w:rsid w:val="00304EB0"/>
    <w:rsid w:val="00305E9F"/>
    <w:rsid w:val="003063F7"/>
    <w:rsid w:val="00306550"/>
    <w:rsid w:val="00306AF1"/>
    <w:rsid w:val="00306B87"/>
    <w:rsid w:val="0031053B"/>
    <w:rsid w:val="00315095"/>
    <w:rsid w:val="00315695"/>
    <w:rsid w:val="00315736"/>
    <w:rsid w:val="00316CA4"/>
    <w:rsid w:val="00317612"/>
    <w:rsid w:val="00317AE9"/>
    <w:rsid w:val="00320FDF"/>
    <w:rsid w:val="003217BF"/>
    <w:rsid w:val="0032183F"/>
    <w:rsid w:val="003226E1"/>
    <w:rsid w:val="00324421"/>
    <w:rsid w:val="0032570D"/>
    <w:rsid w:val="00326595"/>
    <w:rsid w:val="00333002"/>
    <w:rsid w:val="003330AD"/>
    <w:rsid w:val="00334275"/>
    <w:rsid w:val="003364B4"/>
    <w:rsid w:val="00337A4F"/>
    <w:rsid w:val="003403CA"/>
    <w:rsid w:val="0034188A"/>
    <w:rsid w:val="003419B8"/>
    <w:rsid w:val="003431B7"/>
    <w:rsid w:val="003433DB"/>
    <w:rsid w:val="00343BBC"/>
    <w:rsid w:val="00344E27"/>
    <w:rsid w:val="00345657"/>
    <w:rsid w:val="0034621D"/>
    <w:rsid w:val="003463B7"/>
    <w:rsid w:val="00347C50"/>
    <w:rsid w:val="003510FE"/>
    <w:rsid w:val="0035183D"/>
    <w:rsid w:val="0035378F"/>
    <w:rsid w:val="00355E9C"/>
    <w:rsid w:val="00356004"/>
    <w:rsid w:val="00356CC6"/>
    <w:rsid w:val="0036004F"/>
    <w:rsid w:val="00361FF8"/>
    <w:rsid w:val="00362013"/>
    <w:rsid w:val="0036617D"/>
    <w:rsid w:val="00366ACD"/>
    <w:rsid w:val="0036757B"/>
    <w:rsid w:val="00370198"/>
    <w:rsid w:val="003716AC"/>
    <w:rsid w:val="003730D5"/>
    <w:rsid w:val="0037376C"/>
    <w:rsid w:val="0037648A"/>
    <w:rsid w:val="0037754D"/>
    <w:rsid w:val="00377D45"/>
    <w:rsid w:val="00377E92"/>
    <w:rsid w:val="00377EFE"/>
    <w:rsid w:val="00380447"/>
    <w:rsid w:val="003813EE"/>
    <w:rsid w:val="00382825"/>
    <w:rsid w:val="00382D4D"/>
    <w:rsid w:val="003843CC"/>
    <w:rsid w:val="00384C56"/>
    <w:rsid w:val="00386FDB"/>
    <w:rsid w:val="00387C79"/>
    <w:rsid w:val="00390FDD"/>
    <w:rsid w:val="0039342D"/>
    <w:rsid w:val="00394C73"/>
    <w:rsid w:val="00394D2D"/>
    <w:rsid w:val="00395B25"/>
    <w:rsid w:val="003971C3"/>
    <w:rsid w:val="00397371"/>
    <w:rsid w:val="003A0382"/>
    <w:rsid w:val="003A11CD"/>
    <w:rsid w:val="003A1897"/>
    <w:rsid w:val="003A1F81"/>
    <w:rsid w:val="003A2494"/>
    <w:rsid w:val="003A2768"/>
    <w:rsid w:val="003A2C08"/>
    <w:rsid w:val="003A3D09"/>
    <w:rsid w:val="003A4164"/>
    <w:rsid w:val="003A43B2"/>
    <w:rsid w:val="003A4419"/>
    <w:rsid w:val="003A5145"/>
    <w:rsid w:val="003A5247"/>
    <w:rsid w:val="003A5BDF"/>
    <w:rsid w:val="003A5D62"/>
    <w:rsid w:val="003A7300"/>
    <w:rsid w:val="003A75D3"/>
    <w:rsid w:val="003B3415"/>
    <w:rsid w:val="003B35AC"/>
    <w:rsid w:val="003B4105"/>
    <w:rsid w:val="003B4BF9"/>
    <w:rsid w:val="003B4DEE"/>
    <w:rsid w:val="003B6C5E"/>
    <w:rsid w:val="003B6E0A"/>
    <w:rsid w:val="003B6FF4"/>
    <w:rsid w:val="003B77AB"/>
    <w:rsid w:val="003C0B03"/>
    <w:rsid w:val="003C38BA"/>
    <w:rsid w:val="003C395B"/>
    <w:rsid w:val="003C3F20"/>
    <w:rsid w:val="003C4903"/>
    <w:rsid w:val="003C49A0"/>
    <w:rsid w:val="003C6D84"/>
    <w:rsid w:val="003C6DA0"/>
    <w:rsid w:val="003C7402"/>
    <w:rsid w:val="003D0DEA"/>
    <w:rsid w:val="003D187E"/>
    <w:rsid w:val="003D2F63"/>
    <w:rsid w:val="003D5AE9"/>
    <w:rsid w:val="003D5B27"/>
    <w:rsid w:val="003E0BAB"/>
    <w:rsid w:val="003E2392"/>
    <w:rsid w:val="003E2C28"/>
    <w:rsid w:val="003E2E76"/>
    <w:rsid w:val="003E2F3C"/>
    <w:rsid w:val="003E3DC9"/>
    <w:rsid w:val="003E4D50"/>
    <w:rsid w:val="003E5B25"/>
    <w:rsid w:val="003E5C1D"/>
    <w:rsid w:val="003E7866"/>
    <w:rsid w:val="003F2BE0"/>
    <w:rsid w:val="003F5524"/>
    <w:rsid w:val="003F7CA6"/>
    <w:rsid w:val="0040032E"/>
    <w:rsid w:val="004005E4"/>
    <w:rsid w:val="00400689"/>
    <w:rsid w:val="00401596"/>
    <w:rsid w:val="004026A3"/>
    <w:rsid w:val="00402C4A"/>
    <w:rsid w:val="0040393B"/>
    <w:rsid w:val="0040406D"/>
    <w:rsid w:val="00405006"/>
    <w:rsid w:val="0040566E"/>
    <w:rsid w:val="00407AD9"/>
    <w:rsid w:val="00410B53"/>
    <w:rsid w:val="00411A0E"/>
    <w:rsid w:val="00411F44"/>
    <w:rsid w:val="00412BB0"/>
    <w:rsid w:val="0041351C"/>
    <w:rsid w:val="00413739"/>
    <w:rsid w:val="004147E1"/>
    <w:rsid w:val="00414FBA"/>
    <w:rsid w:val="004163E1"/>
    <w:rsid w:val="004206C5"/>
    <w:rsid w:val="004222DF"/>
    <w:rsid w:val="00422AB8"/>
    <w:rsid w:val="00423DF7"/>
    <w:rsid w:val="00423DFB"/>
    <w:rsid w:val="00424173"/>
    <w:rsid w:val="0042567F"/>
    <w:rsid w:val="00427CCD"/>
    <w:rsid w:val="00430054"/>
    <w:rsid w:val="004302AD"/>
    <w:rsid w:val="00431344"/>
    <w:rsid w:val="004313EE"/>
    <w:rsid w:val="00432009"/>
    <w:rsid w:val="00432214"/>
    <w:rsid w:val="004332B4"/>
    <w:rsid w:val="0043435B"/>
    <w:rsid w:val="004347E7"/>
    <w:rsid w:val="00435B8E"/>
    <w:rsid w:val="00435D9B"/>
    <w:rsid w:val="00435E47"/>
    <w:rsid w:val="0043683D"/>
    <w:rsid w:val="004374A5"/>
    <w:rsid w:val="00440F86"/>
    <w:rsid w:val="00441734"/>
    <w:rsid w:val="00442EB0"/>
    <w:rsid w:val="004466A2"/>
    <w:rsid w:val="00446C9A"/>
    <w:rsid w:val="00446CDD"/>
    <w:rsid w:val="0045014B"/>
    <w:rsid w:val="00450862"/>
    <w:rsid w:val="00451BD4"/>
    <w:rsid w:val="0045228B"/>
    <w:rsid w:val="00452416"/>
    <w:rsid w:val="00452567"/>
    <w:rsid w:val="004529F3"/>
    <w:rsid w:val="004563D9"/>
    <w:rsid w:val="0045660C"/>
    <w:rsid w:val="00456895"/>
    <w:rsid w:val="0045739B"/>
    <w:rsid w:val="00457DFF"/>
    <w:rsid w:val="00460331"/>
    <w:rsid w:val="00461931"/>
    <w:rsid w:val="004640CD"/>
    <w:rsid w:val="00464F0C"/>
    <w:rsid w:val="00465D30"/>
    <w:rsid w:val="0046739A"/>
    <w:rsid w:val="004673BE"/>
    <w:rsid w:val="004674CE"/>
    <w:rsid w:val="004708BA"/>
    <w:rsid w:val="004719DA"/>
    <w:rsid w:val="004737E7"/>
    <w:rsid w:val="00473913"/>
    <w:rsid w:val="00474842"/>
    <w:rsid w:val="00477A02"/>
    <w:rsid w:val="004819A0"/>
    <w:rsid w:val="00481DA8"/>
    <w:rsid w:val="00481EEE"/>
    <w:rsid w:val="0048262E"/>
    <w:rsid w:val="00482CBF"/>
    <w:rsid w:val="004843B1"/>
    <w:rsid w:val="00484F57"/>
    <w:rsid w:val="0048636A"/>
    <w:rsid w:val="00486624"/>
    <w:rsid w:val="00486A4B"/>
    <w:rsid w:val="00487E50"/>
    <w:rsid w:val="00490938"/>
    <w:rsid w:val="00492AB0"/>
    <w:rsid w:val="00493A88"/>
    <w:rsid w:val="00494299"/>
    <w:rsid w:val="00494922"/>
    <w:rsid w:val="0049560D"/>
    <w:rsid w:val="00495A9C"/>
    <w:rsid w:val="00496401"/>
    <w:rsid w:val="00496809"/>
    <w:rsid w:val="004A080F"/>
    <w:rsid w:val="004A1CDB"/>
    <w:rsid w:val="004A2216"/>
    <w:rsid w:val="004A3BC4"/>
    <w:rsid w:val="004A3D7F"/>
    <w:rsid w:val="004A4C1F"/>
    <w:rsid w:val="004A5126"/>
    <w:rsid w:val="004A61BD"/>
    <w:rsid w:val="004B029A"/>
    <w:rsid w:val="004B0AC9"/>
    <w:rsid w:val="004B5014"/>
    <w:rsid w:val="004B519A"/>
    <w:rsid w:val="004B5854"/>
    <w:rsid w:val="004B6412"/>
    <w:rsid w:val="004B64A9"/>
    <w:rsid w:val="004B690E"/>
    <w:rsid w:val="004B6F6F"/>
    <w:rsid w:val="004C13C1"/>
    <w:rsid w:val="004C513D"/>
    <w:rsid w:val="004C56F5"/>
    <w:rsid w:val="004C5AEC"/>
    <w:rsid w:val="004C6401"/>
    <w:rsid w:val="004C7EA5"/>
    <w:rsid w:val="004D05F5"/>
    <w:rsid w:val="004D24AF"/>
    <w:rsid w:val="004D25CF"/>
    <w:rsid w:val="004D2B26"/>
    <w:rsid w:val="004D2DEF"/>
    <w:rsid w:val="004D3135"/>
    <w:rsid w:val="004D396D"/>
    <w:rsid w:val="004D570C"/>
    <w:rsid w:val="004D77A1"/>
    <w:rsid w:val="004D7DCC"/>
    <w:rsid w:val="004E1CD4"/>
    <w:rsid w:val="004E2A09"/>
    <w:rsid w:val="004E2BD7"/>
    <w:rsid w:val="004E2BDE"/>
    <w:rsid w:val="004E2F1C"/>
    <w:rsid w:val="004E3049"/>
    <w:rsid w:val="004E3DAD"/>
    <w:rsid w:val="004E4524"/>
    <w:rsid w:val="004E4AC0"/>
    <w:rsid w:val="004E56CC"/>
    <w:rsid w:val="004E5F41"/>
    <w:rsid w:val="004E602E"/>
    <w:rsid w:val="004E796B"/>
    <w:rsid w:val="004F141B"/>
    <w:rsid w:val="004F272F"/>
    <w:rsid w:val="004F3979"/>
    <w:rsid w:val="004F3C4C"/>
    <w:rsid w:val="004F3F4C"/>
    <w:rsid w:val="004F5B2E"/>
    <w:rsid w:val="004F63FD"/>
    <w:rsid w:val="00500516"/>
    <w:rsid w:val="0050422B"/>
    <w:rsid w:val="00504264"/>
    <w:rsid w:val="00504961"/>
    <w:rsid w:val="005068F8"/>
    <w:rsid w:val="00510607"/>
    <w:rsid w:val="00512055"/>
    <w:rsid w:val="005120C0"/>
    <w:rsid w:val="005122A1"/>
    <w:rsid w:val="00513D28"/>
    <w:rsid w:val="00514536"/>
    <w:rsid w:val="005145DF"/>
    <w:rsid w:val="00516B98"/>
    <w:rsid w:val="005202DE"/>
    <w:rsid w:val="0052150B"/>
    <w:rsid w:val="00522AAE"/>
    <w:rsid w:val="00524069"/>
    <w:rsid w:val="00524A4A"/>
    <w:rsid w:val="00525083"/>
    <w:rsid w:val="005252FC"/>
    <w:rsid w:val="00526D2B"/>
    <w:rsid w:val="00530062"/>
    <w:rsid w:val="0053012B"/>
    <w:rsid w:val="00530B90"/>
    <w:rsid w:val="005311DD"/>
    <w:rsid w:val="005321A4"/>
    <w:rsid w:val="00533360"/>
    <w:rsid w:val="00533743"/>
    <w:rsid w:val="00536CEF"/>
    <w:rsid w:val="00536F60"/>
    <w:rsid w:val="00537B4E"/>
    <w:rsid w:val="00537CF4"/>
    <w:rsid w:val="005408B1"/>
    <w:rsid w:val="005421A7"/>
    <w:rsid w:val="005429B8"/>
    <w:rsid w:val="005432F0"/>
    <w:rsid w:val="00544D5B"/>
    <w:rsid w:val="00545B64"/>
    <w:rsid w:val="00547C2A"/>
    <w:rsid w:val="00550C15"/>
    <w:rsid w:val="005513FB"/>
    <w:rsid w:val="005521A8"/>
    <w:rsid w:val="005528F3"/>
    <w:rsid w:val="00552E26"/>
    <w:rsid w:val="00560543"/>
    <w:rsid w:val="0056159F"/>
    <w:rsid w:val="005637C0"/>
    <w:rsid w:val="0056473B"/>
    <w:rsid w:val="00564D9D"/>
    <w:rsid w:val="00565156"/>
    <w:rsid w:val="005651CC"/>
    <w:rsid w:val="005652C2"/>
    <w:rsid w:val="00565856"/>
    <w:rsid w:val="005665B2"/>
    <w:rsid w:val="00566948"/>
    <w:rsid w:val="00570868"/>
    <w:rsid w:val="00570B9C"/>
    <w:rsid w:val="00571354"/>
    <w:rsid w:val="00571878"/>
    <w:rsid w:val="00571C98"/>
    <w:rsid w:val="00571E4E"/>
    <w:rsid w:val="00573921"/>
    <w:rsid w:val="00575C84"/>
    <w:rsid w:val="00576552"/>
    <w:rsid w:val="00576B92"/>
    <w:rsid w:val="00581788"/>
    <w:rsid w:val="00581D49"/>
    <w:rsid w:val="00582E5F"/>
    <w:rsid w:val="00583B4E"/>
    <w:rsid w:val="00583FE9"/>
    <w:rsid w:val="005840B8"/>
    <w:rsid w:val="0058540C"/>
    <w:rsid w:val="00585C86"/>
    <w:rsid w:val="00586A4A"/>
    <w:rsid w:val="00586E87"/>
    <w:rsid w:val="005876A2"/>
    <w:rsid w:val="00587A83"/>
    <w:rsid w:val="00587AC1"/>
    <w:rsid w:val="005924DC"/>
    <w:rsid w:val="00592B4D"/>
    <w:rsid w:val="00593B47"/>
    <w:rsid w:val="00593DAD"/>
    <w:rsid w:val="00594DC6"/>
    <w:rsid w:val="00595270"/>
    <w:rsid w:val="005953D1"/>
    <w:rsid w:val="00596937"/>
    <w:rsid w:val="00596CB7"/>
    <w:rsid w:val="005A005D"/>
    <w:rsid w:val="005A0E11"/>
    <w:rsid w:val="005A1013"/>
    <w:rsid w:val="005A362B"/>
    <w:rsid w:val="005A4084"/>
    <w:rsid w:val="005A4943"/>
    <w:rsid w:val="005A4B36"/>
    <w:rsid w:val="005A537C"/>
    <w:rsid w:val="005A5BB5"/>
    <w:rsid w:val="005A5EAE"/>
    <w:rsid w:val="005B16FF"/>
    <w:rsid w:val="005B1741"/>
    <w:rsid w:val="005B1A3C"/>
    <w:rsid w:val="005B3F4C"/>
    <w:rsid w:val="005B4BA1"/>
    <w:rsid w:val="005B5783"/>
    <w:rsid w:val="005B5D3C"/>
    <w:rsid w:val="005B6935"/>
    <w:rsid w:val="005B6C32"/>
    <w:rsid w:val="005B7AC2"/>
    <w:rsid w:val="005B7E4F"/>
    <w:rsid w:val="005C10C7"/>
    <w:rsid w:val="005C1737"/>
    <w:rsid w:val="005C1A4D"/>
    <w:rsid w:val="005C2D17"/>
    <w:rsid w:val="005C50A7"/>
    <w:rsid w:val="005C54F2"/>
    <w:rsid w:val="005C7CB7"/>
    <w:rsid w:val="005C7E76"/>
    <w:rsid w:val="005D0E61"/>
    <w:rsid w:val="005D2932"/>
    <w:rsid w:val="005D33E2"/>
    <w:rsid w:val="005D3821"/>
    <w:rsid w:val="005D4160"/>
    <w:rsid w:val="005D4682"/>
    <w:rsid w:val="005D49FF"/>
    <w:rsid w:val="005D5868"/>
    <w:rsid w:val="005D6152"/>
    <w:rsid w:val="005D683B"/>
    <w:rsid w:val="005D72CD"/>
    <w:rsid w:val="005E2637"/>
    <w:rsid w:val="005E2B75"/>
    <w:rsid w:val="005E33EF"/>
    <w:rsid w:val="005E36B0"/>
    <w:rsid w:val="005E4F67"/>
    <w:rsid w:val="005E56AD"/>
    <w:rsid w:val="005E678C"/>
    <w:rsid w:val="005F0CF5"/>
    <w:rsid w:val="005F0FF5"/>
    <w:rsid w:val="005F2365"/>
    <w:rsid w:val="005F238C"/>
    <w:rsid w:val="005F355D"/>
    <w:rsid w:val="005F632A"/>
    <w:rsid w:val="005F7424"/>
    <w:rsid w:val="006009B5"/>
    <w:rsid w:val="00600DED"/>
    <w:rsid w:val="006022A4"/>
    <w:rsid w:val="00603098"/>
    <w:rsid w:val="00603531"/>
    <w:rsid w:val="006039F1"/>
    <w:rsid w:val="0060560A"/>
    <w:rsid w:val="00606BC6"/>
    <w:rsid w:val="00606DEF"/>
    <w:rsid w:val="0061097E"/>
    <w:rsid w:val="006113E3"/>
    <w:rsid w:val="00615BB3"/>
    <w:rsid w:val="00615E17"/>
    <w:rsid w:val="006174CC"/>
    <w:rsid w:val="00617636"/>
    <w:rsid w:val="00620808"/>
    <w:rsid w:val="006228E5"/>
    <w:rsid w:val="00623238"/>
    <w:rsid w:val="00623BD7"/>
    <w:rsid w:val="00624ED2"/>
    <w:rsid w:val="00626A5A"/>
    <w:rsid w:val="00627ED1"/>
    <w:rsid w:val="00630C99"/>
    <w:rsid w:val="00631541"/>
    <w:rsid w:val="006316C9"/>
    <w:rsid w:val="00633168"/>
    <w:rsid w:val="00633E5A"/>
    <w:rsid w:val="006350B6"/>
    <w:rsid w:val="0063557D"/>
    <w:rsid w:val="00636469"/>
    <w:rsid w:val="0064100D"/>
    <w:rsid w:val="0064181F"/>
    <w:rsid w:val="00644A2F"/>
    <w:rsid w:val="00644CEB"/>
    <w:rsid w:val="00647082"/>
    <w:rsid w:val="00647918"/>
    <w:rsid w:val="00647CFD"/>
    <w:rsid w:val="0065192B"/>
    <w:rsid w:val="00651A9F"/>
    <w:rsid w:val="00651BB1"/>
    <w:rsid w:val="00652702"/>
    <w:rsid w:val="00652928"/>
    <w:rsid w:val="00652F11"/>
    <w:rsid w:val="006533D1"/>
    <w:rsid w:val="00653F87"/>
    <w:rsid w:val="00655217"/>
    <w:rsid w:val="0065659D"/>
    <w:rsid w:val="00656B8A"/>
    <w:rsid w:val="00656D45"/>
    <w:rsid w:val="006607E5"/>
    <w:rsid w:val="006621A1"/>
    <w:rsid w:val="0066261B"/>
    <w:rsid w:val="00662FEF"/>
    <w:rsid w:val="006630D7"/>
    <w:rsid w:val="006643CA"/>
    <w:rsid w:val="00664A6F"/>
    <w:rsid w:val="00664B82"/>
    <w:rsid w:val="006661E9"/>
    <w:rsid w:val="00666730"/>
    <w:rsid w:val="00667377"/>
    <w:rsid w:val="006704CE"/>
    <w:rsid w:val="00671911"/>
    <w:rsid w:val="00672766"/>
    <w:rsid w:val="00674BB7"/>
    <w:rsid w:val="00676000"/>
    <w:rsid w:val="006762AF"/>
    <w:rsid w:val="00676794"/>
    <w:rsid w:val="00676CD9"/>
    <w:rsid w:val="00677700"/>
    <w:rsid w:val="0067775F"/>
    <w:rsid w:val="00677EFE"/>
    <w:rsid w:val="00680238"/>
    <w:rsid w:val="00680FD2"/>
    <w:rsid w:val="00681D73"/>
    <w:rsid w:val="00684515"/>
    <w:rsid w:val="00684AB6"/>
    <w:rsid w:val="00686065"/>
    <w:rsid w:val="006864A6"/>
    <w:rsid w:val="00686AF5"/>
    <w:rsid w:val="00690C44"/>
    <w:rsid w:val="0069133B"/>
    <w:rsid w:val="006916A3"/>
    <w:rsid w:val="00692128"/>
    <w:rsid w:val="0069261C"/>
    <w:rsid w:val="006A0772"/>
    <w:rsid w:val="006A1403"/>
    <w:rsid w:val="006A1E35"/>
    <w:rsid w:val="006A26D3"/>
    <w:rsid w:val="006A2739"/>
    <w:rsid w:val="006A2909"/>
    <w:rsid w:val="006A3EEB"/>
    <w:rsid w:val="006A4983"/>
    <w:rsid w:val="006A5E94"/>
    <w:rsid w:val="006A6E34"/>
    <w:rsid w:val="006A72AE"/>
    <w:rsid w:val="006A7953"/>
    <w:rsid w:val="006B2474"/>
    <w:rsid w:val="006B52A1"/>
    <w:rsid w:val="006B5C0C"/>
    <w:rsid w:val="006B7803"/>
    <w:rsid w:val="006C01CC"/>
    <w:rsid w:val="006C19FB"/>
    <w:rsid w:val="006C2AAA"/>
    <w:rsid w:val="006C33B2"/>
    <w:rsid w:val="006C4DAF"/>
    <w:rsid w:val="006C4E17"/>
    <w:rsid w:val="006C5814"/>
    <w:rsid w:val="006C67D7"/>
    <w:rsid w:val="006C6E87"/>
    <w:rsid w:val="006D16C7"/>
    <w:rsid w:val="006D3C07"/>
    <w:rsid w:val="006D40C6"/>
    <w:rsid w:val="006D4103"/>
    <w:rsid w:val="006D430C"/>
    <w:rsid w:val="006D4B17"/>
    <w:rsid w:val="006D629A"/>
    <w:rsid w:val="006D6703"/>
    <w:rsid w:val="006D6A1F"/>
    <w:rsid w:val="006D6BD8"/>
    <w:rsid w:val="006D6CB9"/>
    <w:rsid w:val="006E07DD"/>
    <w:rsid w:val="006E1847"/>
    <w:rsid w:val="006E1B87"/>
    <w:rsid w:val="006E29DB"/>
    <w:rsid w:val="006E315F"/>
    <w:rsid w:val="006E39DC"/>
    <w:rsid w:val="006E3D37"/>
    <w:rsid w:val="006E59BB"/>
    <w:rsid w:val="006E6168"/>
    <w:rsid w:val="006F19DF"/>
    <w:rsid w:val="006F1D38"/>
    <w:rsid w:val="006F5521"/>
    <w:rsid w:val="006F5666"/>
    <w:rsid w:val="006F62E8"/>
    <w:rsid w:val="006F641B"/>
    <w:rsid w:val="006F6DC8"/>
    <w:rsid w:val="006F77D5"/>
    <w:rsid w:val="006F7A12"/>
    <w:rsid w:val="006F7AF2"/>
    <w:rsid w:val="0070059A"/>
    <w:rsid w:val="00700F6B"/>
    <w:rsid w:val="007012A0"/>
    <w:rsid w:val="00701716"/>
    <w:rsid w:val="00701F3B"/>
    <w:rsid w:val="00702750"/>
    <w:rsid w:val="007041D2"/>
    <w:rsid w:val="007043AF"/>
    <w:rsid w:val="007045CD"/>
    <w:rsid w:val="00705010"/>
    <w:rsid w:val="00705FE4"/>
    <w:rsid w:val="007062DD"/>
    <w:rsid w:val="00707213"/>
    <w:rsid w:val="00707BD5"/>
    <w:rsid w:val="0071031C"/>
    <w:rsid w:val="00711014"/>
    <w:rsid w:val="0071391E"/>
    <w:rsid w:val="00713EFB"/>
    <w:rsid w:val="00714D5A"/>
    <w:rsid w:val="00716FDE"/>
    <w:rsid w:val="00722F45"/>
    <w:rsid w:val="007239EB"/>
    <w:rsid w:val="00723BD1"/>
    <w:rsid w:val="007279E1"/>
    <w:rsid w:val="00731DD5"/>
    <w:rsid w:val="00732891"/>
    <w:rsid w:val="00732CC3"/>
    <w:rsid w:val="007350B5"/>
    <w:rsid w:val="00736578"/>
    <w:rsid w:val="00736855"/>
    <w:rsid w:val="00736E7B"/>
    <w:rsid w:val="007414FE"/>
    <w:rsid w:val="00741CD1"/>
    <w:rsid w:val="00742A90"/>
    <w:rsid w:val="00743B25"/>
    <w:rsid w:val="00743ECC"/>
    <w:rsid w:val="00745773"/>
    <w:rsid w:val="007458FD"/>
    <w:rsid w:val="007463CE"/>
    <w:rsid w:val="007466D7"/>
    <w:rsid w:val="00747DB3"/>
    <w:rsid w:val="00751ECF"/>
    <w:rsid w:val="00752B20"/>
    <w:rsid w:val="00752E0A"/>
    <w:rsid w:val="0075524B"/>
    <w:rsid w:val="00755FDB"/>
    <w:rsid w:val="0075665E"/>
    <w:rsid w:val="0075687F"/>
    <w:rsid w:val="007578E2"/>
    <w:rsid w:val="00760476"/>
    <w:rsid w:val="00760EBB"/>
    <w:rsid w:val="007626BD"/>
    <w:rsid w:val="00762A7C"/>
    <w:rsid w:val="00762CF4"/>
    <w:rsid w:val="00763516"/>
    <w:rsid w:val="007645ED"/>
    <w:rsid w:val="00764AFC"/>
    <w:rsid w:val="0076565E"/>
    <w:rsid w:val="00765995"/>
    <w:rsid w:val="00767C56"/>
    <w:rsid w:val="00767EA0"/>
    <w:rsid w:val="0077067C"/>
    <w:rsid w:val="00770928"/>
    <w:rsid w:val="00771025"/>
    <w:rsid w:val="007715ED"/>
    <w:rsid w:val="00771D70"/>
    <w:rsid w:val="00771F3A"/>
    <w:rsid w:val="00775E15"/>
    <w:rsid w:val="0077738F"/>
    <w:rsid w:val="007773C5"/>
    <w:rsid w:val="007777CB"/>
    <w:rsid w:val="00777859"/>
    <w:rsid w:val="007825E8"/>
    <w:rsid w:val="00783C1E"/>
    <w:rsid w:val="00790ACD"/>
    <w:rsid w:val="007941AF"/>
    <w:rsid w:val="00794868"/>
    <w:rsid w:val="00795027"/>
    <w:rsid w:val="00796691"/>
    <w:rsid w:val="007A19F2"/>
    <w:rsid w:val="007A1A4A"/>
    <w:rsid w:val="007A30F1"/>
    <w:rsid w:val="007A3C7A"/>
    <w:rsid w:val="007A426D"/>
    <w:rsid w:val="007A442E"/>
    <w:rsid w:val="007A453E"/>
    <w:rsid w:val="007A498E"/>
    <w:rsid w:val="007A4AE2"/>
    <w:rsid w:val="007A4C03"/>
    <w:rsid w:val="007A4C40"/>
    <w:rsid w:val="007A604C"/>
    <w:rsid w:val="007A7430"/>
    <w:rsid w:val="007A7C60"/>
    <w:rsid w:val="007B38AE"/>
    <w:rsid w:val="007B4922"/>
    <w:rsid w:val="007B4A56"/>
    <w:rsid w:val="007B5658"/>
    <w:rsid w:val="007B6DAD"/>
    <w:rsid w:val="007B71FA"/>
    <w:rsid w:val="007B7461"/>
    <w:rsid w:val="007B79A0"/>
    <w:rsid w:val="007C0040"/>
    <w:rsid w:val="007C074D"/>
    <w:rsid w:val="007C0948"/>
    <w:rsid w:val="007C0AF9"/>
    <w:rsid w:val="007C2521"/>
    <w:rsid w:val="007C3DF1"/>
    <w:rsid w:val="007C6AD5"/>
    <w:rsid w:val="007C79B5"/>
    <w:rsid w:val="007D2016"/>
    <w:rsid w:val="007D2417"/>
    <w:rsid w:val="007D35A3"/>
    <w:rsid w:val="007D5AF4"/>
    <w:rsid w:val="007E165E"/>
    <w:rsid w:val="007E2DAF"/>
    <w:rsid w:val="007E3B88"/>
    <w:rsid w:val="007E4428"/>
    <w:rsid w:val="007E4431"/>
    <w:rsid w:val="007E4AA1"/>
    <w:rsid w:val="007E534C"/>
    <w:rsid w:val="007E5953"/>
    <w:rsid w:val="007E5A1C"/>
    <w:rsid w:val="007E6C1D"/>
    <w:rsid w:val="007E6C3E"/>
    <w:rsid w:val="007E7056"/>
    <w:rsid w:val="007E7ED2"/>
    <w:rsid w:val="007F0195"/>
    <w:rsid w:val="007F216D"/>
    <w:rsid w:val="007F2DD2"/>
    <w:rsid w:val="007F2FD9"/>
    <w:rsid w:val="007F33BB"/>
    <w:rsid w:val="007F451B"/>
    <w:rsid w:val="007F5525"/>
    <w:rsid w:val="00800D7B"/>
    <w:rsid w:val="008010AD"/>
    <w:rsid w:val="00802849"/>
    <w:rsid w:val="0080324F"/>
    <w:rsid w:val="00803AF7"/>
    <w:rsid w:val="0080549D"/>
    <w:rsid w:val="00805C33"/>
    <w:rsid w:val="008061D4"/>
    <w:rsid w:val="00807A43"/>
    <w:rsid w:val="00807BDE"/>
    <w:rsid w:val="008112CE"/>
    <w:rsid w:val="008117D9"/>
    <w:rsid w:val="00812592"/>
    <w:rsid w:val="00813F46"/>
    <w:rsid w:val="00815844"/>
    <w:rsid w:val="0081716C"/>
    <w:rsid w:val="008177BE"/>
    <w:rsid w:val="00817E7A"/>
    <w:rsid w:val="0082065B"/>
    <w:rsid w:val="00820D81"/>
    <w:rsid w:val="00820EA2"/>
    <w:rsid w:val="00821124"/>
    <w:rsid w:val="008212E4"/>
    <w:rsid w:val="00822D1D"/>
    <w:rsid w:val="00823B03"/>
    <w:rsid w:val="008246E2"/>
    <w:rsid w:val="008264E6"/>
    <w:rsid w:val="00826705"/>
    <w:rsid w:val="008278BA"/>
    <w:rsid w:val="00832A69"/>
    <w:rsid w:val="00832A80"/>
    <w:rsid w:val="00834557"/>
    <w:rsid w:val="00834A08"/>
    <w:rsid w:val="0083532B"/>
    <w:rsid w:val="008355B9"/>
    <w:rsid w:val="008362D8"/>
    <w:rsid w:val="0083739D"/>
    <w:rsid w:val="00837534"/>
    <w:rsid w:val="008404D5"/>
    <w:rsid w:val="00840BCF"/>
    <w:rsid w:val="00840C55"/>
    <w:rsid w:val="00840F0E"/>
    <w:rsid w:val="00841FE8"/>
    <w:rsid w:val="0084245F"/>
    <w:rsid w:val="00842605"/>
    <w:rsid w:val="00842B60"/>
    <w:rsid w:val="008433FD"/>
    <w:rsid w:val="008439C8"/>
    <w:rsid w:val="008440F7"/>
    <w:rsid w:val="00844C83"/>
    <w:rsid w:val="00845E69"/>
    <w:rsid w:val="00846FCB"/>
    <w:rsid w:val="008470D8"/>
    <w:rsid w:val="0085190A"/>
    <w:rsid w:val="00851B81"/>
    <w:rsid w:val="008536CA"/>
    <w:rsid w:val="008571EC"/>
    <w:rsid w:val="00860A8E"/>
    <w:rsid w:val="00862816"/>
    <w:rsid w:val="00862D5E"/>
    <w:rsid w:val="00863463"/>
    <w:rsid w:val="00863C14"/>
    <w:rsid w:val="008652A1"/>
    <w:rsid w:val="00865F5B"/>
    <w:rsid w:val="00866119"/>
    <w:rsid w:val="008673C8"/>
    <w:rsid w:val="00867915"/>
    <w:rsid w:val="0087163F"/>
    <w:rsid w:val="0087211F"/>
    <w:rsid w:val="00872AC5"/>
    <w:rsid w:val="008738F8"/>
    <w:rsid w:val="00873ED3"/>
    <w:rsid w:val="0087443E"/>
    <w:rsid w:val="00874E1C"/>
    <w:rsid w:val="00877510"/>
    <w:rsid w:val="0088237F"/>
    <w:rsid w:val="008828D5"/>
    <w:rsid w:val="008836C1"/>
    <w:rsid w:val="00883C43"/>
    <w:rsid w:val="00883D87"/>
    <w:rsid w:val="008848DC"/>
    <w:rsid w:val="00885555"/>
    <w:rsid w:val="00885A5B"/>
    <w:rsid w:val="00885E00"/>
    <w:rsid w:val="008867F3"/>
    <w:rsid w:val="00887B8C"/>
    <w:rsid w:val="00887F46"/>
    <w:rsid w:val="00887F69"/>
    <w:rsid w:val="008931F8"/>
    <w:rsid w:val="00893AF3"/>
    <w:rsid w:val="0089419E"/>
    <w:rsid w:val="0089462E"/>
    <w:rsid w:val="0089497C"/>
    <w:rsid w:val="00894A97"/>
    <w:rsid w:val="00895346"/>
    <w:rsid w:val="008A0903"/>
    <w:rsid w:val="008A184C"/>
    <w:rsid w:val="008A2D2A"/>
    <w:rsid w:val="008A3E04"/>
    <w:rsid w:val="008A452E"/>
    <w:rsid w:val="008A507F"/>
    <w:rsid w:val="008A55C1"/>
    <w:rsid w:val="008B06ED"/>
    <w:rsid w:val="008B1853"/>
    <w:rsid w:val="008B1A26"/>
    <w:rsid w:val="008B279D"/>
    <w:rsid w:val="008B3339"/>
    <w:rsid w:val="008B5ADC"/>
    <w:rsid w:val="008B647D"/>
    <w:rsid w:val="008B78C1"/>
    <w:rsid w:val="008B7D2B"/>
    <w:rsid w:val="008C1ADD"/>
    <w:rsid w:val="008C2C58"/>
    <w:rsid w:val="008C3150"/>
    <w:rsid w:val="008C31AA"/>
    <w:rsid w:val="008D0F40"/>
    <w:rsid w:val="008D1885"/>
    <w:rsid w:val="008D1FAD"/>
    <w:rsid w:val="008D30B9"/>
    <w:rsid w:val="008D3D90"/>
    <w:rsid w:val="008D63A7"/>
    <w:rsid w:val="008D6447"/>
    <w:rsid w:val="008D68F3"/>
    <w:rsid w:val="008D6C61"/>
    <w:rsid w:val="008D76DF"/>
    <w:rsid w:val="008E007D"/>
    <w:rsid w:val="008E00BB"/>
    <w:rsid w:val="008E0DC2"/>
    <w:rsid w:val="008E173E"/>
    <w:rsid w:val="008E1B75"/>
    <w:rsid w:val="008E1FC1"/>
    <w:rsid w:val="008E2BBE"/>
    <w:rsid w:val="008E2EBF"/>
    <w:rsid w:val="008E3216"/>
    <w:rsid w:val="008E3930"/>
    <w:rsid w:val="008E3CE3"/>
    <w:rsid w:val="008E3D49"/>
    <w:rsid w:val="008E63E5"/>
    <w:rsid w:val="008E640C"/>
    <w:rsid w:val="008E7FF1"/>
    <w:rsid w:val="008F041B"/>
    <w:rsid w:val="008F1472"/>
    <w:rsid w:val="008F233D"/>
    <w:rsid w:val="008F27A1"/>
    <w:rsid w:val="008F2FD0"/>
    <w:rsid w:val="008F46B0"/>
    <w:rsid w:val="008F4BBB"/>
    <w:rsid w:val="008F68C0"/>
    <w:rsid w:val="00901C7A"/>
    <w:rsid w:val="00901CFB"/>
    <w:rsid w:val="00902432"/>
    <w:rsid w:val="009025F0"/>
    <w:rsid w:val="009028B2"/>
    <w:rsid w:val="00903F13"/>
    <w:rsid w:val="0090419F"/>
    <w:rsid w:val="0090475C"/>
    <w:rsid w:val="00904D9A"/>
    <w:rsid w:val="009058BB"/>
    <w:rsid w:val="00905C45"/>
    <w:rsid w:val="0090699B"/>
    <w:rsid w:val="00906A0B"/>
    <w:rsid w:val="00906DA4"/>
    <w:rsid w:val="009077BB"/>
    <w:rsid w:val="00907DAE"/>
    <w:rsid w:val="00912400"/>
    <w:rsid w:val="00912BBD"/>
    <w:rsid w:val="009133FB"/>
    <w:rsid w:val="0091397E"/>
    <w:rsid w:val="009159EB"/>
    <w:rsid w:val="0091669A"/>
    <w:rsid w:val="00916F5B"/>
    <w:rsid w:val="0091744C"/>
    <w:rsid w:val="00920499"/>
    <w:rsid w:val="00920E9C"/>
    <w:rsid w:val="00925107"/>
    <w:rsid w:val="00925333"/>
    <w:rsid w:val="0092626F"/>
    <w:rsid w:val="009279D0"/>
    <w:rsid w:val="0093010C"/>
    <w:rsid w:val="0093174A"/>
    <w:rsid w:val="0093266F"/>
    <w:rsid w:val="00933550"/>
    <w:rsid w:val="00934343"/>
    <w:rsid w:val="0093490D"/>
    <w:rsid w:val="00935027"/>
    <w:rsid w:val="00936B13"/>
    <w:rsid w:val="009371B1"/>
    <w:rsid w:val="0093795E"/>
    <w:rsid w:val="0094066A"/>
    <w:rsid w:val="0094097B"/>
    <w:rsid w:val="00940C24"/>
    <w:rsid w:val="00941CFC"/>
    <w:rsid w:val="0094253E"/>
    <w:rsid w:val="0094342E"/>
    <w:rsid w:val="0094434A"/>
    <w:rsid w:val="009463C7"/>
    <w:rsid w:val="0094786E"/>
    <w:rsid w:val="0095119C"/>
    <w:rsid w:val="00952F01"/>
    <w:rsid w:val="00955192"/>
    <w:rsid w:val="009551A6"/>
    <w:rsid w:val="00955FC6"/>
    <w:rsid w:val="00955FDD"/>
    <w:rsid w:val="00960023"/>
    <w:rsid w:val="0096061C"/>
    <w:rsid w:val="00960BF3"/>
    <w:rsid w:val="00961830"/>
    <w:rsid w:val="00962E35"/>
    <w:rsid w:val="00965266"/>
    <w:rsid w:val="00965A03"/>
    <w:rsid w:val="00965E58"/>
    <w:rsid w:val="00966BA2"/>
    <w:rsid w:val="00967063"/>
    <w:rsid w:val="009701F0"/>
    <w:rsid w:val="0097023D"/>
    <w:rsid w:val="00970901"/>
    <w:rsid w:val="009722F6"/>
    <w:rsid w:val="00972CD2"/>
    <w:rsid w:val="009735E5"/>
    <w:rsid w:val="009759B6"/>
    <w:rsid w:val="009759ED"/>
    <w:rsid w:val="0097738E"/>
    <w:rsid w:val="00980C13"/>
    <w:rsid w:val="00980FB7"/>
    <w:rsid w:val="009812B1"/>
    <w:rsid w:val="00981FE0"/>
    <w:rsid w:val="009837D7"/>
    <w:rsid w:val="00984554"/>
    <w:rsid w:val="00986D4D"/>
    <w:rsid w:val="00986D92"/>
    <w:rsid w:val="00986E4F"/>
    <w:rsid w:val="00990108"/>
    <w:rsid w:val="00991E14"/>
    <w:rsid w:val="009936E9"/>
    <w:rsid w:val="0099415D"/>
    <w:rsid w:val="0099426B"/>
    <w:rsid w:val="00995A14"/>
    <w:rsid w:val="00995D94"/>
    <w:rsid w:val="00995E31"/>
    <w:rsid w:val="009963F7"/>
    <w:rsid w:val="009970B3"/>
    <w:rsid w:val="009975A9"/>
    <w:rsid w:val="00997D30"/>
    <w:rsid w:val="009A1618"/>
    <w:rsid w:val="009A1AE4"/>
    <w:rsid w:val="009A2DBB"/>
    <w:rsid w:val="009A3F0E"/>
    <w:rsid w:val="009A4999"/>
    <w:rsid w:val="009A6F32"/>
    <w:rsid w:val="009A71F2"/>
    <w:rsid w:val="009B021F"/>
    <w:rsid w:val="009B1832"/>
    <w:rsid w:val="009B3CB6"/>
    <w:rsid w:val="009B47BB"/>
    <w:rsid w:val="009B48A7"/>
    <w:rsid w:val="009B5E65"/>
    <w:rsid w:val="009B60D8"/>
    <w:rsid w:val="009B6744"/>
    <w:rsid w:val="009B6E30"/>
    <w:rsid w:val="009B7C26"/>
    <w:rsid w:val="009C08ED"/>
    <w:rsid w:val="009C2948"/>
    <w:rsid w:val="009C2F3E"/>
    <w:rsid w:val="009C2FB5"/>
    <w:rsid w:val="009C5A6A"/>
    <w:rsid w:val="009C5FDC"/>
    <w:rsid w:val="009C66FC"/>
    <w:rsid w:val="009D0AD4"/>
    <w:rsid w:val="009D0F47"/>
    <w:rsid w:val="009D27E2"/>
    <w:rsid w:val="009D281E"/>
    <w:rsid w:val="009D400C"/>
    <w:rsid w:val="009D49E1"/>
    <w:rsid w:val="009D5DC8"/>
    <w:rsid w:val="009E08C7"/>
    <w:rsid w:val="009E10F3"/>
    <w:rsid w:val="009E253D"/>
    <w:rsid w:val="009E2C84"/>
    <w:rsid w:val="009E3969"/>
    <w:rsid w:val="009E436A"/>
    <w:rsid w:val="009E4C07"/>
    <w:rsid w:val="009E5F4A"/>
    <w:rsid w:val="009E619D"/>
    <w:rsid w:val="009E66CD"/>
    <w:rsid w:val="009E76FB"/>
    <w:rsid w:val="009E7905"/>
    <w:rsid w:val="009F0636"/>
    <w:rsid w:val="009F1FE3"/>
    <w:rsid w:val="009F308E"/>
    <w:rsid w:val="009F36AD"/>
    <w:rsid w:val="009F4681"/>
    <w:rsid w:val="009F5D63"/>
    <w:rsid w:val="009F678A"/>
    <w:rsid w:val="00A03262"/>
    <w:rsid w:val="00A04259"/>
    <w:rsid w:val="00A045DE"/>
    <w:rsid w:val="00A05C44"/>
    <w:rsid w:val="00A06AB7"/>
    <w:rsid w:val="00A07C7A"/>
    <w:rsid w:val="00A07CDA"/>
    <w:rsid w:val="00A100BD"/>
    <w:rsid w:val="00A12249"/>
    <w:rsid w:val="00A1233F"/>
    <w:rsid w:val="00A1464C"/>
    <w:rsid w:val="00A14D63"/>
    <w:rsid w:val="00A15448"/>
    <w:rsid w:val="00A161A1"/>
    <w:rsid w:val="00A16E93"/>
    <w:rsid w:val="00A17878"/>
    <w:rsid w:val="00A2177F"/>
    <w:rsid w:val="00A21FE3"/>
    <w:rsid w:val="00A2287F"/>
    <w:rsid w:val="00A22BAD"/>
    <w:rsid w:val="00A23529"/>
    <w:rsid w:val="00A23E6C"/>
    <w:rsid w:val="00A2577E"/>
    <w:rsid w:val="00A2784C"/>
    <w:rsid w:val="00A27F1B"/>
    <w:rsid w:val="00A3052E"/>
    <w:rsid w:val="00A30BFA"/>
    <w:rsid w:val="00A30CA5"/>
    <w:rsid w:val="00A30CFE"/>
    <w:rsid w:val="00A3334D"/>
    <w:rsid w:val="00A35DAC"/>
    <w:rsid w:val="00A36060"/>
    <w:rsid w:val="00A3798A"/>
    <w:rsid w:val="00A4022C"/>
    <w:rsid w:val="00A43265"/>
    <w:rsid w:val="00A435A7"/>
    <w:rsid w:val="00A43D1A"/>
    <w:rsid w:val="00A44789"/>
    <w:rsid w:val="00A44D62"/>
    <w:rsid w:val="00A45A74"/>
    <w:rsid w:val="00A514C5"/>
    <w:rsid w:val="00A51D45"/>
    <w:rsid w:val="00A52460"/>
    <w:rsid w:val="00A52FAC"/>
    <w:rsid w:val="00A52FF7"/>
    <w:rsid w:val="00A533A5"/>
    <w:rsid w:val="00A53E4A"/>
    <w:rsid w:val="00A54B2F"/>
    <w:rsid w:val="00A5519D"/>
    <w:rsid w:val="00A55D45"/>
    <w:rsid w:val="00A5716C"/>
    <w:rsid w:val="00A572F1"/>
    <w:rsid w:val="00A574EB"/>
    <w:rsid w:val="00A57FDE"/>
    <w:rsid w:val="00A60749"/>
    <w:rsid w:val="00A6084A"/>
    <w:rsid w:val="00A60D48"/>
    <w:rsid w:val="00A6242F"/>
    <w:rsid w:val="00A63881"/>
    <w:rsid w:val="00A648D0"/>
    <w:rsid w:val="00A64AEE"/>
    <w:rsid w:val="00A64E0F"/>
    <w:rsid w:val="00A65812"/>
    <w:rsid w:val="00A669AC"/>
    <w:rsid w:val="00A66AAA"/>
    <w:rsid w:val="00A66D79"/>
    <w:rsid w:val="00A67709"/>
    <w:rsid w:val="00A70039"/>
    <w:rsid w:val="00A71CD3"/>
    <w:rsid w:val="00A73485"/>
    <w:rsid w:val="00A742F3"/>
    <w:rsid w:val="00A75E6A"/>
    <w:rsid w:val="00A76942"/>
    <w:rsid w:val="00A76C37"/>
    <w:rsid w:val="00A76D14"/>
    <w:rsid w:val="00A76D56"/>
    <w:rsid w:val="00A77785"/>
    <w:rsid w:val="00A80296"/>
    <w:rsid w:val="00A80782"/>
    <w:rsid w:val="00A81547"/>
    <w:rsid w:val="00A82630"/>
    <w:rsid w:val="00A85805"/>
    <w:rsid w:val="00A85EE7"/>
    <w:rsid w:val="00A86C71"/>
    <w:rsid w:val="00A90F9D"/>
    <w:rsid w:val="00A9127C"/>
    <w:rsid w:val="00A91B9D"/>
    <w:rsid w:val="00A92106"/>
    <w:rsid w:val="00A94E6C"/>
    <w:rsid w:val="00A95E6C"/>
    <w:rsid w:val="00A964D4"/>
    <w:rsid w:val="00A96D47"/>
    <w:rsid w:val="00A96EB6"/>
    <w:rsid w:val="00A97F40"/>
    <w:rsid w:val="00AA09A7"/>
    <w:rsid w:val="00AA2274"/>
    <w:rsid w:val="00AA23CE"/>
    <w:rsid w:val="00AA2DE5"/>
    <w:rsid w:val="00AA3BE2"/>
    <w:rsid w:val="00AA4060"/>
    <w:rsid w:val="00AA4C6D"/>
    <w:rsid w:val="00AA6F6B"/>
    <w:rsid w:val="00AA78C5"/>
    <w:rsid w:val="00AA7CF9"/>
    <w:rsid w:val="00AB2297"/>
    <w:rsid w:val="00AB35A1"/>
    <w:rsid w:val="00AB56B9"/>
    <w:rsid w:val="00AB5DCD"/>
    <w:rsid w:val="00AB7228"/>
    <w:rsid w:val="00AB7BAE"/>
    <w:rsid w:val="00AC0B6C"/>
    <w:rsid w:val="00AC0FAC"/>
    <w:rsid w:val="00AC14E4"/>
    <w:rsid w:val="00AC17F8"/>
    <w:rsid w:val="00AC1BD5"/>
    <w:rsid w:val="00AC214F"/>
    <w:rsid w:val="00AC228B"/>
    <w:rsid w:val="00AC29DA"/>
    <w:rsid w:val="00AC31DD"/>
    <w:rsid w:val="00AC53D8"/>
    <w:rsid w:val="00AC5A9B"/>
    <w:rsid w:val="00AC7542"/>
    <w:rsid w:val="00AD0A9A"/>
    <w:rsid w:val="00AD0C46"/>
    <w:rsid w:val="00AD13B5"/>
    <w:rsid w:val="00AD1A9D"/>
    <w:rsid w:val="00AD1AD8"/>
    <w:rsid w:val="00AD1CF1"/>
    <w:rsid w:val="00AD3B4F"/>
    <w:rsid w:val="00AD3FFE"/>
    <w:rsid w:val="00AD4E42"/>
    <w:rsid w:val="00AD6E97"/>
    <w:rsid w:val="00AD7B9C"/>
    <w:rsid w:val="00AE15B6"/>
    <w:rsid w:val="00AE1BF2"/>
    <w:rsid w:val="00AE24FD"/>
    <w:rsid w:val="00AE3A08"/>
    <w:rsid w:val="00AE4B05"/>
    <w:rsid w:val="00AE546F"/>
    <w:rsid w:val="00AE58AB"/>
    <w:rsid w:val="00AE6CFC"/>
    <w:rsid w:val="00AE6D90"/>
    <w:rsid w:val="00AE6F09"/>
    <w:rsid w:val="00AE7809"/>
    <w:rsid w:val="00AF0252"/>
    <w:rsid w:val="00AF08D2"/>
    <w:rsid w:val="00AF1947"/>
    <w:rsid w:val="00AF1DEF"/>
    <w:rsid w:val="00AF2286"/>
    <w:rsid w:val="00AF2C43"/>
    <w:rsid w:val="00AF51CE"/>
    <w:rsid w:val="00AF60D8"/>
    <w:rsid w:val="00AF60DC"/>
    <w:rsid w:val="00AF6228"/>
    <w:rsid w:val="00AF66DF"/>
    <w:rsid w:val="00B00523"/>
    <w:rsid w:val="00B00630"/>
    <w:rsid w:val="00B0094F"/>
    <w:rsid w:val="00B0442E"/>
    <w:rsid w:val="00B06C5B"/>
    <w:rsid w:val="00B06D97"/>
    <w:rsid w:val="00B12916"/>
    <w:rsid w:val="00B1357E"/>
    <w:rsid w:val="00B13B73"/>
    <w:rsid w:val="00B141CB"/>
    <w:rsid w:val="00B149BB"/>
    <w:rsid w:val="00B155CC"/>
    <w:rsid w:val="00B17764"/>
    <w:rsid w:val="00B2142C"/>
    <w:rsid w:val="00B22C7B"/>
    <w:rsid w:val="00B258B4"/>
    <w:rsid w:val="00B25DE9"/>
    <w:rsid w:val="00B2766A"/>
    <w:rsid w:val="00B30A9F"/>
    <w:rsid w:val="00B30C1A"/>
    <w:rsid w:val="00B31D90"/>
    <w:rsid w:val="00B33AA6"/>
    <w:rsid w:val="00B340E9"/>
    <w:rsid w:val="00B358BE"/>
    <w:rsid w:val="00B3729C"/>
    <w:rsid w:val="00B3768B"/>
    <w:rsid w:val="00B413BB"/>
    <w:rsid w:val="00B4268D"/>
    <w:rsid w:val="00B42782"/>
    <w:rsid w:val="00B44DCD"/>
    <w:rsid w:val="00B4594C"/>
    <w:rsid w:val="00B46CEF"/>
    <w:rsid w:val="00B52394"/>
    <w:rsid w:val="00B53671"/>
    <w:rsid w:val="00B53861"/>
    <w:rsid w:val="00B54B6A"/>
    <w:rsid w:val="00B54E5F"/>
    <w:rsid w:val="00B552B3"/>
    <w:rsid w:val="00B55563"/>
    <w:rsid w:val="00B5622D"/>
    <w:rsid w:val="00B604DB"/>
    <w:rsid w:val="00B60FD0"/>
    <w:rsid w:val="00B6210A"/>
    <w:rsid w:val="00B63B6E"/>
    <w:rsid w:val="00B63C8A"/>
    <w:rsid w:val="00B641A8"/>
    <w:rsid w:val="00B64ECF"/>
    <w:rsid w:val="00B6524B"/>
    <w:rsid w:val="00B653EB"/>
    <w:rsid w:val="00B6587E"/>
    <w:rsid w:val="00B67944"/>
    <w:rsid w:val="00B67DBE"/>
    <w:rsid w:val="00B72E15"/>
    <w:rsid w:val="00B72F98"/>
    <w:rsid w:val="00B73878"/>
    <w:rsid w:val="00B73B71"/>
    <w:rsid w:val="00B73D14"/>
    <w:rsid w:val="00B746FB"/>
    <w:rsid w:val="00B74723"/>
    <w:rsid w:val="00B74DBB"/>
    <w:rsid w:val="00B764BE"/>
    <w:rsid w:val="00B7666E"/>
    <w:rsid w:val="00B7747B"/>
    <w:rsid w:val="00B8168D"/>
    <w:rsid w:val="00B822A4"/>
    <w:rsid w:val="00B83525"/>
    <w:rsid w:val="00B8452A"/>
    <w:rsid w:val="00B84FA6"/>
    <w:rsid w:val="00B851EC"/>
    <w:rsid w:val="00B86B1D"/>
    <w:rsid w:val="00B874E9"/>
    <w:rsid w:val="00B879A0"/>
    <w:rsid w:val="00B87DD9"/>
    <w:rsid w:val="00B910A4"/>
    <w:rsid w:val="00B92D22"/>
    <w:rsid w:val="00B92DC1"/>
    <w:rsid w:val="00B92E26"/>
    <w:rsid w:val="00B93045"/>
    <w:rsid w:val="00B951AC"/>
    <w:rsid w:val="00B965C7"/>
    <w:rsid w:val="00B977C3"/>
    <w:rsid w:val="00B97DDF"/>
    <w:rsid w:val="00BA0581"/>
    <w:rsid w:val="00BA1C8B"/>
    <w:rsid w:val="00BA28B6"/>
    <w:rsid w:val="00BA28D4"/>
    <w:rsid w:val="00BA2B4E"/>
    <w:rsid w:val="00BA2D9B"/>
    <w:rsid w:val="00BA3E09"/>
    <w:rsid w:val="00BA5A40"/>
    <w:rsid w:val="00BA63DF"/>
    <w:rsid w:val="00BA70C3"/>
    <w:rsid w:val="00BA7214"/>
    <w:rsid w:val="00BA7577"/>
    <w:rsid w:val="00BB00D3"/>
    <w:rsid w:val="00BB019F"/>
    <w:rsid w:val="00BB0FFD"/>
    <w:rsid w:val="00BB23E3"/>
    <w:rsid w:val="00BB2D67"/>
    <w:rsid w:val="00BB4612"/>
    <w:rsid w:val="00BB49AE"/>
    <w:rsid w:val="00BB6C00"/>
    <w:rsid w:val="00BB72F8"/>
    <w:rsid w:val="00BB7673"/>
    <w:rsid w:val="00BC0024"/>
    <w:rsid w:val="00BC0FAD"/>
    <w:rsid w:val="00BC1B02"/>
    <w:rsid w:val="00BC235C"/>
    <w:rsid w:val="00BC3597"/>
    <w:rsid w:val="00BC3A41"/>
    <w:rsid w:val="00BC3CF1"/>
    <w:rsid w:val="00BC4E3C"/>
    <w:rsid w:val="00BC4FB9"/>
    <w:rsid w:val="00BC68B9"/>
    <w:rsid w:val="00BC6AC9"/>
    <w:rsid w:val="00BC7855"/>
    <w:rsid w:val="00BD191C"/>
    <w:rsid w:val="00BD2E12"/>
    <w:rsid w:val="00BD2E6B"/>
    <w:rsid w:val="00BD3D52"/>
    <w:rsid w:val="00BD4C10"/>
    <w:rsid w:val="00BD4F3C"/>
    <w:rsid w:val="00BD5188"/>
    <w:rsid w:val="00BD56E1"/>
    <w:rsid w:val="00BD785C"/>
    <w:rsid w:val="00BE021F"/>
    <w:rsid w:val="00BE2169"/>
    <w:rsid w:val="00BE2CB4"/>
    <w:rsid w:val="00BE35D2"/>
    <w:rsid w:val="00BE4271"/>
    <w:rsid w:val="00BE7466"/>
    <w:rsid w:val="00BE76F9"/>
    <w:rsid w:val="00BE7C9A"/>
    <w:rsid w:val="00BF04C6"/>
    <w:rsid w:val="00BF11B8"/>
    <w:rsid w:val="00BF13FB"/>
    <w:rsid w:val="00BF22EE"/>
    <w:rsid w:val="00BF2819"/>
    <w:rsid w:val="00BF380E"/>
    <w:rsid w:val="00BF497B"/>
    <w:rsid w:val="00BF4A3A"/>
    <w:rsid w:val="00BF4C98"/>
    <w:rsid w:val="00BF578A"/>
    <w:rsid w:val="00BF6124"/>
    <w:rsid w:val="00BF77E2"/>
    <w:rsid w:val="00C013AA"/>
    <w:rsid w:val="00C03E5C"/>
    <w:rsid w:val="00C04B86"/>
    <w:rsid w:val="00C04C5A"/>
    <w:rsid w:val="00C06E4A"/>
    <w:rsid w:val="00C1268B"/>
    <w:rsid w:val="00C12BAA"/>
    <w:rsid w:val="00C1432F"/>
    <w:rsid w:val="00C15571"/>
    <w:rsid w:val="00C1758C"/>
    <w:rsid w:val="00C17DBD"/>
    <w:rsid w:val="00C20D73"/>
    <w:rsid w:val="00C224BB"/>
    <w:rsid w:val="00C246DD"/>
    <w:rsid w:val="00C24A02"/>
    <w:rsid w:val="00C26E47"/>
    <w:rsid w:val="00C27518"/>
    <w:rsid w:val="00C3029B"/>
    <w:rsid w:val="00C30321"/>
    <w:rsid w:val="00C32021"/>
    <w:rsid w:val="00C332D1"/>
    <w:rsid w:val="00C33AD4"/>
    <w:rsid w:val="00C34661"/>
    <w:rsid w:val="00C348B2"/>
    <w:rsid w:val="00C34BD6"/>
    <w:rsid w:val="00C34F4F"/>
    <w:rsid w:val="00C35D16"/>
    <w:rsid w:val="00C40003"/>
    <w:rsid w:val="00C40553"/>
    <w:rsid w:val="00C41323"/>
    <w:rsid w:val="00C416FE"/>
    <w:rsid w:val="00C422CC"/>
    <w:rsid w:val="00C42C0C"/>
    <w:rsid w:val="00C43772"/>
    <w:rsid w:val="00C4564D"/>
    <w:rsid w:val="00C45941"/>
    <w:rsid w:val="00C46E8D"/>
    <w:rsid w:val="00C47120"/>
    <w:rsid w:val="00C4774F"/>
    <w:rsid w:val="00C47E6A"/>
    <w:rsid w:val="00C50223"/>
    <w:rsid w:val="00C502A7"/>
    <w:rsid w:val="00C50F49"/>
    <w:rsid w:val="00C54E4F"/>
    <w:rsid w:val="00C5600C"/>
    <w:rsid w:val="00C5650F"/>
    <w:rsid w:val="00C56E88"/>
    <w:rsid w:val="00C61617"/>
    <w:rsid w:val="00C63047"/>
    <w:rsid w:val="00C63B99"/>
    <w:rsid w:val="00C64EC8"/>
    <w:rsid w:val="00C654F5"/>
    <w:rsid w:val="00C65C67"/>
    <w:rsid w:val="00C66409"/>
    <w:rsid w:val="00C678AA"/>
    <w:rsid w:val="00C703FB"/>
    <w:rsid w:val="00C71E29"/>
    <w:rsid w:val="00C73E4D"/>
    <w:rsid w:val="00C74E44"/>
    <w:rsid w:val="00C74E62"/>
    <w:rsid w:val="00C75245"/>
    <w:rsid w:val="00C757DB"/>
    <w:rsid w:val="00C75A99"/>
    <w:rsid w:val="00C7655E"/>
    <w:rsid w:val="00C773ED"/>
    <w:rsid w:val="00C80E93"/>
    <w:rsid w:val="00C8147C"/>
    <w:rsid w:val="00C827BE"/>
    <w:rsid w:val="00C827F9"/>
    <w:rsid w:val="00C85F31"/>
    <w:rsid w:val="00C86E82"/>
    <w:rsid w:val="00C87494"/>
    <w:rsid w:val="00C87D11"/>
    <w:rsid w:val="00C87ED9"/>
    <w:rsid w:val="00C92610"/>
    <w:rsid w:val="00C93FC6"/>
    <w:rsid w:val="00C94C12"/>
    <w:rsid w:val="00C95930"/>
    <w:rsid w:val="00C95A1D"/>
    <w:rsid w:val="00C972D7"/>
    <w:rsid w:val="00C975D8"/>
    <w:rsid w:val="00CA00A0"/>
    <w:rsid w:val="00CA0243"/>
    <w:rsid w:val="00CA030D"/>
    <w:rsid w:val="00CA1BDF"/>
    <w:rsid w:val="00CA2BFC"/>
    <w:rsid w:val="00CA41CE"/>
    <w:rsid w:val="00CA4C12"/>
    <w:rsid w:val="00CA555C"/>
    <w:rsid w:val="00CA5CE8"/>
    <w:rsid w:val="00CA5D2C"/>
    <w:rsid w:val="00CA65F4"/>
    <w:rsid w:val="00CA695D"/>
    <w:rsid w:val="00CB0BA8"/>
    <w:rsid w:val="00CB0FB2"/>
    <w:rsid w:val="00CB2B74"/>
    <w:rsid w:val="00CB39F6"/>
    <w:rsid w:val="00CB3CCC"/>
    <w:rsid w:val="00CB494F"/>
    <w:rsid w:val="00CB4BCA"/>
    <w:rsid w:val="00CC0615"/>
    <w:rsid w:val="00CC0FAE"/>
    <w:rsid w:val="00CC2F66"/>
    <w:rsid w:val="00CC447E"/>
    <w:rsid w:val="00CC4DE1"/>
    <w:rsid w:val="00CC5820"/>
    <w:rsid w:val="00CC696A"/>
    <w:rsid w:val="00CC797C"/>
    <w:rsid w:val="00CD37A8"/>
    <w:rsid w:val="00CD37BC"/>
    <w:rsid w:val="00CD5016"/>
    <w:rsid w:val="00CE092E"/>
    <w:rsid w:val="00CE428D"/>
    <w:rsid w:val="00CE6800"/>
    <w:rsid w:val="00CE685A"/>
    <w:rsid w:val="00CE6FF7"/>
    <w:rsid w:val="00CE76E8"/>
    <w:rsid w:val="00CF0458"/>
    <w:rsid w:val="00CF16CB"/>
    <w:rsid w:val="00CF1ABE"/>
    <w:rsid w:val="00CF2471"/>
    <w:rsid w:val="00CF2497"/>
    <w:rsid w:val="00CF3100"/>
    <w:rsid w:val="00CF32BF"/>
    <w:rsid w:val="00CF352B"/>
    <w:rsid w:val="00CF3878"/>
    <w:rsid w:val="00CF4BFC"/>
    <w:rsid w:val="00CF4D0E"/>
    <w:rsid w:val="00CF4D4F"/>
    <w:rsid w:val="00CF5FBE"/>
    <w:rsid w:val="00CF6A1A"/>
    <w:rsid w:val="00CF7EF7"/>
    <w:rsid w:val="00D00FFE"/>
    <w:rsid w:val="00D01847"/>
    <w:rsid w:val="00D02798"/>
    <w:rsid w:val="00D030BD"/>
    <w:rsid w:val="00D03344"/>
    <w:rsid w:val="00D037D5"/>
    <w:rsid w:val="00D053B9"/>
    <w:rsid w:val="00D059FA"/>
    <w:rsid w:val="00D05A7A"/>
    <w:rsid w:val="00D06370"/>
    <w:rsid w:val="00D06385"/>
    <w:rsid w:val="00D10429"/>
    <w:rsid w:val="00D10E8C"/>
    <w:rsid w:val="00D1199C"/>
    <w:rsid w:val="00D11CC7"/>
    <w:rsid w:val="00D139BE"/>
    <w:rsid w:val="00D147A5"/>
    <w:rsid w:val="00D159FA"/>
    <w:rsid w:val="00D2133B"/>
    <w:rsid w:val="00D21B86"/>
    <w:rsid w:val="00D21D5C"/>
    <w:rsid w:val="00D22102"/>
    <w:rsid w:val="00D2247B"/>
    <w:rsid w:val="00D22973"/>
    <w:rsid w:val="00D24B10"/>
    <w:rsid w:val="00D251CD"/>
    <w:rsid w:val="00D26538"/>
    <w:rsid w:val="00D26ADA"/>
    <w:rsid w:val="00D26CB2"/>
    <w:rsid w:val="00D26E53"/>
    <w:rsid w:val="00D26E81"/>
    <w:rsid w:val="00D27F5B"/>
    <w:rsid w:val="00D32E59"/>
    <w:rsid w:val="00D330D2"/>
    <w:rsid w:val="00D33F3F"/>
    <w:rsid w:val="00D34ACC"/>
    <w:rsid w:val="00D3525A"/>
    <w:rsid w:val="00D35A13"/>
    <w:rsid w:val="00D36A17"/>
    <w:rsid w:val="00D36D41"/>
    <w:rsid w:val="00D372A7"/>
    <w:rsid w:val="00D41D3A"/>
    <w:rsid w:val="00D421EE"/>
    <w:rsid w:val="00D42A8E"/>
    <w:rsid w:val="00D4387F"/>
    <w:rsid w:val="00D43C9B"/>
    <w:rsid w:val="00D5056D"/>
    <w:rsid w:val="00D534F9"/>
    <w:rsid w:val="00D53AE5"/>
    <w:rsid w:val="00D53D07"/>
    <w:rsid w:val="00D541C0"/>
    <w:rsid w:val="00D550A0"/>
    <w:rsid w:val="00D550A8"/>
    <w:rsid w:val="00D55A0F"/>
    <w:rsid w:val="00D57BB6"/>
    <w:rsid w:val="00D57D27"/>
    <w:rsid w:val="00D6108C"/>
    <w:rsid w:val="00D61F93"/>
    <w:rsid w:val="00D623C1"/>
    <w:rsid w:val="00D625D0"/>
    <w:rsid w:val="00D62C5F"/>
    <w:rsid w:val="00D62CFD"/>
    <w:rsid w:val="00D66389"/>
    <w:rsid w:val="00D66672"/>
    <w:rsid w:val="00D66E6E"/>
    <w:rsid w:val="00D70CFE"/>
    <w:rsid w:val="00D73D99"/>
    <w:rsid w:val="00D74A03"/>
    <w:rsid w:val="00D75346"/>
    <w:rsid w:val="00D753BC"/>
    <w:rsid w:val="00D80B68"/>
    <w:rsid w:val="00D814BB"/>
    <w:rsid w:val="00D81773"/>
    <w:rsid w:val="00D8292F"/>
    <w:rsid w:val="00D851A1"/>
    <w:rsid w:val="00D85C6F"/>
    <w:rsid w:val="00D900F2"/>
    <w:rsid w:val="00D90658"/>
    <w:rsid w:val="00D94BD8"/>
    <w:rsid w:val="00D96D52"/>
    <w:rsid w:val="00D975B9"/>
    <w:rsid w:val="00DA015B"/>
    <w:rsid w:val="00DA0AF7"/>
    <w:rsid w:val="00DA35E3"/>
    <w:rsid w:val="00DA5C46"/>
    <w:rsid w:val="00DA7372"/>
    <w:rsid w:val="00DB07B6"/>
    <w:rsid w:val="00DB0B74"/>
    <w:rsid w:val="00DB147F"/>
    <w:rsid w:val="00DB214E"/>
    <w:rsid w:val="00DB32FE"/>
    <w:rsid w:val="00DB40FA"/>
    <w:rsid w:val="00DB4FCB"/>
    <w:rsid w:val="00DB5B6E"/>
    <w:rsid w:val="00DB6E2B"/>
    <w:rsid w:val="00DB7137"/>
    <w:rsid w:val="00DB783C"/>
    <w:rsid w:val="00DB7859"/>
    <w:rsid w:val="00DC03F3"/>
    <w:rsid w:val="00DC237E"/>
    <w:rsid w:val="00DC2A2F"/>
    <w:rsid w:val="00DC2AA2"/>
    <w:rsid w:val="00DC2DB8"/>
    <w:rsid w:val="00DC38D9"/>
    <w:rsid w:val="00DC3C8E"/>
    <w:rsid w:val="00DC423C"/>
    <w:rsid w:val="00DC5D69"/>
    <w:rsid w:val="00DC7EE9"/>
    <w:rsid w:val="00DD0295"/>
    <w:rsid w:val="00DD0739"/>
    <w:rsid w:val="00DD0B41"/>
    <w:rsid w:val="00DD1AC0"/>
    <w:rsid w:val="00DD26F4"/>
    <w:rsid w:val="00DD3C8E"/>
    <w:rsid w:val="00DD4D0A"/>
    <w:rsid w:val="00DD503A"/>
    <w:rsid w:val="00DD5834"/>
    <w:rsid w:val="00DE005C"/>
    <w:rsid w:val="00DE00B7"/>
    <w:rsid w:val="00DE0758"/>
    <w:rsid w:val="00DE1338"/>
    <w:rsid w:val="00DE2491"/>
    <w:rsid w:val="00DE25E6"/>
    <w:rsid w:val="00DE2CD1"/>
    <w:rsid w:val="00DE2F0F"/>
    <w:rsid w:val="00DE3928"/>
    <w:rsid w:val="00DE3ED3"/>
    <w:rsid w:val="00DE4592"/>
    <w:rsid w:val="00DE4991"/>
    <w:rsid w:val="00DE4BCF"/>
    <w:rsid w:val="00DE66FA"/>
    <w:rsid w:val="00DE7E3F"/>
    <w:rsid w:val="00DF060C"/>
    <w:rsid w:val="00DF0A40"/>
    <w:rsid w:val="00DF0B52"/>
    <w:rsid w:val="00DF1F32"/>
    <w:rsid w:val="00DF46A4"/>
    <w:rsid w:val="00DF63A7"/>
    <w:rsid w:val="00E003BB"/>
    <w:rsid w:val="00E01C06"/>
    <w:rsid w:val="00E02D18"/>
    <w:rsid w:val="00E037DC"/>
    <w:rsid w:val="00E04DBC"/>
    <w:rsid w:val="00E10984"/>
    <w:rsid w:val="00E11CB3"/>
    <w:rsid w:val="00E129E4"/>
    <w:rsid w:val="00E12B66"/>
    <w:rsid w:val="00E1604D"/>
    <w:rsid w:val="00E16749"/>
    <w:rsid w:val="00E169FF"/>
    <w:rsid w:val="00E17384"/>
    <w:rsid w:val="00E17E04"/>
    <w:rsid w:val="00E17F9F"/>
    <w:rsid w:val="00E21C3B"/>
    <w:rsid w:val="00E24839"/>
    <w:rsid w:val="00E24FB9"/>
    <w:rsid w:val="00E24FFB"/>
    <w:rsid w:val="00E254EF"/>
    <w:rsid w:val="00E2552F"/>
    <w:rsid w:val="00E26B77"/>
    <w:rsid w:val="00E26E41"/>
    <w:rsid w:val="00E27E3C"/>
    <w:rsid w:val="00E30567"/>
    <w:rsid w:val="00E306E6"/>
    <w:rsid w:val="00E30DF4"/>
    <w:rsid w:val="00E32983"/>
    <w:rsid w:val="00E33EAA"/>
    <w:rsid w:val="00E353C5"/>
    <w:rsid w:val="00E357C1"/>
    <w:rsid w:val="00E405EB"/>
    <w:rsid w:val="00E428B8"/>
    <w:rsid w:val="00E43C1F"/>
    <w:rsid w:val="00E44294"/>
    <w:rsid w:val="00E4457B"/>
    <w:rsid w:val="00E44787"/>
    <w:rsid w:val="00E45632"/>
    <w:rsid w:val="00E51672"/>
    <w:rsid w:val="00E53242"/>
    <w:rsid w:val="00E539C0"/>
    <w:rsid w:val="00E53C44"/>
    <w:rsid w:val="00E5403D"/>
    <w:rsid w:val="00E540FD"/>
    <w:rsid w:val="00E5433A"/>
    <w:rsid w:val="00E550D5"/>
    <w:rsid w:val="00E5591D"/>
    <w:rsid w:val="00E564C9"/>
    <w:rsid w:val="00E56A18"/>
    <w:rsid w:val="00E56E86"/>
    <w:rsid w:val="00E5768A"/>
    <w:rsid w:val="00E579DB"/>
    <w:rsid w:val="00E57BE5"/>
    <w:rsid w:val="00E61762"/>
    <w:rsid w:val="00E61E30"/>
    <w:rsid w:val="00E626F5"/>
    <w:rsid w:val="00E62C03"/>
    <w:rsid w:val="00E62F81"/>
    <w:rsid w:val="00E63234"/>
    <w:rsid w:val="00E64A32"/>
    <w:rsid w:val="00E6610E"/>
    <w:rsid w:val="00E700A8"/>
    <w:rsid w:val="00E70F1A"/>
    <w:rsid w:val="00E71273"/>
    <w:rsid w:val="00E71364"/>
    <w:rsid w:val="00E724B2"/>
    <w:rsid w:val="00E72561"/>
    <w:rsid w:val="00E72D8B"/>
    <w:rsid w:val="00E731A7"/>
    <w:rsid w:val="00E74C0C"/>
    <w:rsid w:val="00E80BE7"/>
    <w:rsid w:val="00E812BB"/>
    <w:rsid w:val="00E82653"/>
    <w:rsid w:val="00E82F41"/>
    <w:rsid w:val="00E83339"/>
    <w:rsid w:val="00E8339D"/>
    <w:rsid w:val="00E8583D"/>
    <w:rsid w:val="00E860C6"/>
    <w:rsid w:val="00E87967"/>
    <w:rsid w:val="00E90015"/>
    <w:rsid w:val="00E90408"/>
    <w:rsid w:val="00E90BEE"/>
    <w:rsid w:val="00E91C77"/>
    <w:rsid w:val="00E92273"/>
    <w:rsid w:val="00E928FD"/>
    <w:rsid w:val="00E9354B"/>
    <w:rsid w:val="00E9416B"/>
    <w:rsid w:val="00E946F5"/>
    <w:rsid w:val="00E95AF9"/>
    <w:rsid w:val="00E95C39"/>
    <w:rsid w:val="00E961AD"/>
    <w:rsid w:val="00E965F5"/>
    <w:rsid w:val="00E96AC4"/>
    <w:rsid w:val="00E96BB5"/>
    <w:rsid w:val="00E96EBF"/>
    <w:rsid w:val="00E96F84"/>
    <w:rsid w:val="00E973EA"/>
    <w:rsid w:val="00EA132F"/>
    <w:rsid w:val="00EA2682"/>
    <w:rsid w:val="00EB01C7"/>
    <w:rsid w:val="00EB05AD"/>
    <w:rsid w:val="00EB0B9B"/>
    <w:rsid w:val="00EB2A59"/>
    <w:rsid w:val="00EB343A"/>
    <w:rsid w:val="00EB4260"/>
    <w:rsid w:val="00EB5A4D"/>
    <w:rsid w:val="00EC0360"/>
    <w:rsid w:val="00EC079D"/>
    <w:rsid w:val="00EC09FE"/>
    <w:rsid w:val="00EC0DF5"/>
    <w:rsid w:val="00EC5EAB"/>
    <w:rsid w:val="00EC62B6"/>
    <w:rsid w:val="00EC7394"/>
    <w:rsid w:val="00EC7F08"/>
    <w:rsid w:val="00ED01C5"/>
    <w:rsid w:val="00ED113F"/>
    <w:rsid w:val="00ED2AFC"/>
    <w:rsid w:val="00ED45F2"/>
    <w:rsid w:val="00ED4715"/>
    <w:rsid w:val="00ED4926"/>
    <w:rsid w:val="00ED4E99"/>
    <w:rsid w:val="00EE1197"/>
    <w:rsid w:val="00EE30D4"/>
    <w:rsid w:val="00EE4002"/>
    <w:rsid w:val="00EE5DAD"/>
    <w:rsid w:val="00EE61EF"/>
    <w:rsid w:val="00EE6A86"/>
    <w:rsid w:val="00EF1618"/>
    <w:rsid w:val="00EF2AAB"/>
    <w:rsid w:val="00EF33E1"/>
    <w:rsid w:val="00EF46C7"/>
    <w:rsid w:val="00EF495C"/>
    <w:rsid w:val="00EF66B5"/>
    <w:rsid w:val="00EF718C"/>
    <w:rsid w:val="00F00083"/>
    <w:rsid w:val="00F00F9B"/>
    <w:rsid w:val="00F014F0"/>
    <w:rsid w:val="00F015C4"/>
    <w:rsid w:val="00F0177F"/>
    <w:rsid w:val="00F021B1"/>
    <w:rsid w:val="00F0383E"/>
    <w:rsid w:val="00F042AC"/>
    <w:rsid w:val="00F056A4"/>
    <w:rsid w:val="00F056DA"/>
    <w:rsid w:val="00F067C7"/>
    <w:rsid w:val="00F068AA"/>
    <w:rsid w:val="00F10312"/>
    <w:rsid w:val="00F10988"/>
    <w:rsid w:val="00F11218"/>
    <w:rsid w:val="00F11BAC"/>
    <w:rsid w:val="00F12346"/>
    <w:rsid w:val="00F1322D"/>
    <w:rsid w:val="00F15D61"/>
    <w:rsid w:val="00F166D6"/>
    <w:rsid w:val="00F17FF4"/>
    <w:rsid w:val="00F20647"/>
    <w:rsid w:val="00F207A0"/>
    <w:rsid w:val="00F215CE"/>
    <w:rsid w:val="00F22AE0"/>
    <w:rsid w:val="00F234B8"/>
    <w:rsid w:val="00F2352F"/>
    <w:rsid w:val="00F23663"/>
    <w:rsid w:val="00F2369C"/>
    <w:rsid w:val="00F2505F"/>
    <w:rsid w:val="00F27E2D"/>
    <w:rsid w:val="00F27F5E"/>
    <w:rsid w:val="00F33965"/>
    <w:rsid w:val="00F33F72"/>
    <w:rsid w:val="00F34086"/>
    <w:rsid w:val="00F34990"/>
    <w:rsid w:val="00F34FD5"/>
    <w:rsid w:val="00F355E1"/>
    <w:rsid w:val="00F35851"/>
    <w:rsid w:val="00F36832"/>
    <w:rsid w:val="00F36AAB"/>
    <w:rsid w:val="00F4010C"/>
    <w:rsid w:val="00F412E0"/>
    <w:rsid w:val="00F414BE"/>
    <w:rsid w:val="00F421A9"/>
    <w:rsid w:val="00F441A6"/>
    <w:rsid w:val="00F447A1"/>
    <w:rsid w:val="00F45023"/>
    <w:rsid w:val="00F458ED"/>
    <w:rsid w:val="00F502B1"/>
    <w:rsid w:val="00F50D23"/>
    <w:rsid w:val="00F52C70"/>
    <w:rsid w:val="00F537EC"/>
    <w:rsid w:val="00F53FA4"/>
    <w:rsid w:val="00F54B1E"/>
    <w:rsid w:val="00F562DF"/>
    <w:rsid w:val="00F5697E"/>
    <w:rsid w:val="00F61E4C"/>
    <w:rsid w:val="00F66E48"/>
    <w:rsid w:val="00F67DC1"/>
    <w:rsid w:val="00F7002E"/>
    <w:rsid w:val="00F70E09"/>
    <w:rsid w:val="00F71425"/>
    <w:rsid w:val="00F73CBC"/>
    <w:rsid w:val="00F7497A"/>
    <w:rsid w:val="00F77D18"/>
    <w:rsid w:val="00F81941"/>
    <w:rsid w:val="00F82024"/>
    <w:rsid w:val="00F82337"/>
    <w:rsid w:val="00F829AE"/>
    <w:rsid w:val="00F838CC"/>
    <w:rsid w:val="00F84FA0"/>
    <w:rsid w:val="00F9046D"/>
    <w:rsid w:val="00F925B9"/>
    <w:rsid w:val="00F929EC"/>
    <w:rsid w:val="00F92A76"/>
    <w:rsid w:val="00F95816"/>
    <w:rsid w:val="00F97BE2"/>
    <w:rsid w:val="00FA0BB5"/>
    <w:rsid w:val="00FA117C"/>
    <w:rsid w:val="00FA156F"/>
    <w:rsid w:val="00FA223B"/>
    <w:rsid w:val="00FA3076"/>
    <w:rsid w:val="00FA3CCA"/>
    <w:rsid w:val="00FA3DE5"/>
    <w:rsid w:val="00FA426B"/>
    <w:rsid w:val="00FA4A96"/>
    <w:rsid w:val="00FA6670"/>
    <w:rsid w:val="00FA6AC8"/>
    <w:rsid w:val="00FB0818"/>
    <w:rsid w:val="00FB1123"/>
    <w:rsid w:val="00FB1563"/>
    <w:rsid w:val="00FB16DF"/>
    <w:rsid w:val="00FB1CAF"/>
    <w:rsid w:val="00FB1ED7"/>
    <w:rsid w:val="00FB1F63"/>
    <w:rsid w:val="00FB47C8"/>
    <w:rsid w:val="00FB4ADE"/>
    <w:rsid w:val="00FB5345"/>
    <w:rsid w:val="00FB6254"/>
    <w:rsid w:val="00FB667A"/>
    <w:rsid w:val="00FB6704"/>
    <w:rsid w:val="00FB6C47"/>
    <w:rsid w:val="00FB74AE"/>
    <w:rsid w:val="00FC01CF"/>
    <w:rsid w:val="00FC0956"/>
    <w:rsid w:val="00FC0C29"/>
    <w:rsid w:val="00FC2F52"/>
    <w:rsid w:val="00FC4620"/>
    <w:rsid w:val="00FC4A36"/>
    <w:rsid w:val="00FC4CB4"/>
    <w:rsid w:val="00FC70F1"/>
    <w:rsid w:val="00FC73D7"/>
    <w:rsid w:val="00FC79FC"/>
    <w:rsid w:val="00FD1E9B"/>
    <w:rsid w:val="00FD39DC"/>
    <w:rsid w:val="00FD4C84"/>
    <w:rsid w:val="00FD4CD1"/>
    <w:rsid w:val="00FD691A"/>
    <w:rsid w:val="00FD6F11"/>
    <w:rsid w:val="00FD72FD"/>
    <w:rsid w:val="00FD7E85"/>
    <w:rsid w:val="00FE0F7C"/>
    <w:rsid w:val="00FE18B9"/>
    <w:rsid w:val="00FE1B4E"/>
    <w:rsid w:val="00FE1BE0"/>
    <w:rsid w:val="00FE26B3"/>
    <w:rsid w:val="00FE313E"/>
    <w:rsid w:val="00FE3276"/>
    <w:rsid w:val="00FE5782"/>
    <w:rsid w:val="00FE5818"/>
    <w:rsid w:val="00FE5FD1"/>
    <w:rsid w:val="00FF0005"/>
    <w:rsid w:val="00FF05A0"/>
    <w:rsid w:val="00FF3BEC"/>
    <w:rsid w:val="00FF4429"/>
    <w:rsid w:val="00FF5A70"/>
    <w:rsid w:val="00FF6387"/>
    <w:rsid w:val="00FF6ADA"/>
    <w:rsid w:val="00FF6E81"/>
    <w:rsid w:val="00FF7499"/>
    <w:rsid w:val="183F08FF"/>
    <w:rsid w:val="5EE673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iPriority="0" w:semiHidden="0"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0" w:name="Message Header"/>
    <w:lsdException w:qFormat="1" w:unhideWhenUsed="0" w:uiPriority="0" w:semiHidden="0" w:name="Subtitle"/>
    <w:lsdException w:uiPriority="99" w:name="Salutation"/>
    <w:lsdException w:qFormat="1" w:uiPriority="0" w:name="Date"/>
    <w:lsdException w:qFormat="1" w:uiPriority="0" w:name="Body Text First Indent"/>
    <w:lsdException w:qFormat="1" w:uiPriority="0" w:name="Body Text First Indent 2"/>
    <w:lsdException w:uiPriority="99" w:name="Note Heading"/>
    <w:lsdException w:qFormat="1" w:uiPriority="0" w:name="Body Text 2"/>
    <w:lsdException w:qFormat="1" w:uiPriority="0" w:name="Body Text 3"/>
    <w:lsdException w:qFormat="1" w:uiPriority="0" w:name="Body Text Indent 2"/>
    <w:lsdException w:qFormat="1" w:uiPriority="0" w:name="Body Text Indent 3"/>
    <w:lsdException w:uiPriority="99" w:name="Block Text"/>
    <w:lsdException w:uiPriority="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Times New Roman"/>
      <w:sz w:val="22"/>
      <w:szCs w:val="22"/>
      <w:lang w:val="en-IE" w:eastAsia="zh-CN" w:bidi="ar-SA"/>
    </w:rPr>
  </w:style>
  <w:style w:type="paragraph" w:styleId="2">
    <w:name w:val="heading 1"/>
    <w:basedOn w:val="1"/>
    <w:next w:val="1"/>
    <w:link w:val="41"/>
    <w:qFormat/>
    <w:uiPriority w:val="0"/>
    <w:pPr>
      <w:keepNext/>
      <w:keepLines/>
      <w:widowControl w:val="0"/>
      <w:spacing w:before="340" w:after="330" w:line="576" w:lineRule="auto"/>
      <w:jc w:val="both"/>
      <w:outlineLvl w:val="0"/>
    </w:pPr>
    <w:rPr>
      <w:rFonts w:ascii="Times New Roman" w:hAnsi="Times New Roman"/>
      <w:b/>
      <w:bCs/>
      <w:kern w:val="44"/>
      <w:sz w:val="44"/>
      <w:szCs w:val="44"/>
    </w:rPr>
  </w:style>
  <w:style w:type="paragraph" w:styleId="3">
    <w:name w:val="heading 2"/>
    <w:basedOn w:val="1"/>
    <w:next w:val="1"/>
    <w:link w:val="42"/>
    <w:qFormat/>
    <w:uiPriority w:val="0"/>
    <w:pPr>
      <w:keepNext/>
      <w:keepLines/>
      <w:widowControl w:val="0"/>
      <w:spacing w:before="260" w:after="260" w:line="412" w:lineRule="auto"/>
      <w:jc w:val="both"/>
      <w:outlineLvl w:val="1"/>
    </w:pPr>
    <w:rPr>
      <w:rFonts w:ascii="Arial" w:hAnsi="Arial" w:eastAsia="黑体"/>
      <w:b/>
      <w:bCs/>
      <w:kern w:val="2"/>
      <w:sz w:val="32"/>
      <w:szCs w:val="32"/>
    </w:rPr>
  </w:style>
  <w:style w:type="paragraph" w:styleId="4">
    <w:name w:val="heading 3"/>
    <w:basedOn w:val="1"/>
    <w:next w:val="1"/>
    <w:link w:val="43"/>
    <w:qFormat/>
    <w:uiPriority w:val="0"/>
    <w:pPr>
      <w:keepNext/>
      <w:spacing w:before="240" w:after="60"/>
      <w:outlineLvl w:val="2"/>
    </w:pPr>
    <w:rPr>
      <w:rFonts w:ascii="Cambria" w:hAnsi="Cambria"/>
      <w:b/>
      <w:bCs/>
      <w:sz w:val="26"/>
      <w:szCs w:val="26"/>
    </w:rPr>
  </w:style>
  <w:style w:type="paragraph" w:styleId="5">
    <w:name w:val="heading 4"/>
    <w:basedOn w:val="1"/>
    <w:next w:val="1"/>
    <w:link w:val="44"/>
    <w:qFormat/>
    <w:uiPriority w:val="0"/>
    <w:pPr>
      <w:keepNext/>
      <w:spacing w:before="240" w:after="60"/>
      <w:outlineLvl w:val="3"/>
    </w:pPr>
    <w:rPr>
      <w:b/>
      <w:bCs/>
      <w:sz w:val="28"/>
      <w:szCs w:val="28"/>
    </w:rPr>
  </w:style>
  <w:style w:type="paragraph" w:styleId="6">
    <w:name w:val="heading 5"/>
    <w:basedOn w:val="1"/>
    <w:next w:val="1"/>
    <w:link w:val="45"/>
    <w:qFormat/>
    <w:uiPriority w:val="0"/>
    <w:pPr>
      <w:keepNext/>
      <w:keepLines/>
      <w:spacing w:before="200" w:after="0"/>
      <w:outlineLvl w:val="4"/>
    </w:pPr>
    <w:rPr>
      <w:rFonts w:ascii="Cambria" w:hAnsi="Cambria"/>
      <w:color w:val="243F60"/>
      <w:sz w:val="20"/>
      <w:szCs w:val="20"/>
    </w:rPr>
  </w:style>
  <w:style w:type="paragraph" w:styleId="7">
    <w:name w:val="heading 6"/>
    <w:basedOn w:val="1"/>
    <w:next w:val="1"/>
    <w:link w:val="46"/>
    <w:qFormat/>
    <w:uiPriority w:val="0"/>
    <w:pPr>
      <w:keepNext/>
      <w:keepLines/>
      <w:spacing w:before="200" w:after="0"/>
      <w:outlineLvl w:val="5"/>
    </w:pPr>
    <w:rPr>
      <w:rFonts w:ascii="Cambria" w:hAnsi="Cambria"/>
      <w:i/>
      <w:iCs/>
      <w:color w:val="243F60"/>
      <w:sz w:val="20"/>
      <w:szCs w:val="20"/>
    </w:rPr>
  </w:style>
  <w:style w:type="paragraph" w:styleId="8">
    <w:name w:val="heading 7"/>
    <w:basedOn w:val="1"/>
    <w:next w:val="1"/>
    <w:link w:val="47"/>
    <w:qFormat/>
    <w:uiPriority w:val="0"/>
    <w:pPr>
      <w:keepNext/>
      <w:keepLines/>
      <w:spacing w:before="200" w:after="0"/>
      <w:outlineLvl w:val="6"/>
    </w:pPr>
    <w:rPr>
      <w:rFonts w:ascii="Cambria" w:hAnsi="Cambria"/>
      <w:i/>
      <w:iCs/>
      <w:color w:val="404040"/>
      <w:sz w:val="20"/>
      <w:szCs w:val="20"/>
    </w:rPr>
  </w:style>
  <w:style w:type="paragraph" w:styleId="9">
    <w:name w:val="heading 8"/>
    <w:basedOn w:val="1"/>
    <w:next w:val="1"/>
    <w:link w:val="48"/>
    <w:qFormat/>
    <w:uiPriority w:val="0"/>
    <w:pPr>
      <w:keepNext/>
      <w:keepLines/>
      <w:spacing w:before="200" w:after="0"/>
      <w:outlineLvl w:val="7"/>
    </w:pPr>
    <w:rPr>
      <w:rFonts w:ascii="Cambria" w:hAnsi="Cambria"/>
      <w:color w:val="4F81BD"/>
      <w:sz w:val="20"/>
      <w:szCs w:val="20"/>
    </w:rPr>
  </w:style>
  <w:style w:type="paragraph" w:styleId="10">
    <w:name w:val="heading 9"/>
    <w:basedOn w:val="1"/>
    <w:next w:val="1"/>
    <w:link w:val="49"/>
    <w:qFormat/>
    <w:uiPriority w:val="0"/>
    <w:pPr>
      <w:keepNext/>
      <w:keepLines/>
      <w:spacing w:before="200" w:after="0"/>
      <w:outlineLvl w:val="8"/>
    </w:pPr>
    <w:rPr>
      <w:rFonts w:ascii="Cambria" w:hAnsi="Cambria"/>
      <w:i/>
      <w:iCs/>
      <w:color w:val="404040"/>
      <w:sz w:val="20"/>
      <w:szCs w:val="20"/>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0"/>
    <w:pPr>
      <w:spacing w:line="240" w:lineRule="auto"/>
    </w:pPr>
    <w:rPr>
      <w:b/>
      <w:bCs/>
      <w:color w:val="4F81BD"/>
      <w:sz w:val="18"/>
      <w:szCs w:val="18"/>
      <w:lang w:val="en-US" w:eastAsia="en-US" w:bidi="en-US"/>
    </w:rPr>
  </w:style>
  <w:style w:type="paragraph" w:styleId="12">
    <w:name w:val="Document Map"/>
    <w:basedOn w:val="1"/>
    <w:link w:val="57"/>
    <w:semiHidden/>
    <w:qFormat/>
    <w:uiPriority w:val="0"/>
    <w:pPr>
      <w:shd w:val="clear" w:color="auto" w:fill="000080"/>
    </w:pPr>
  </w:style>
  <w:style w:type="paragraph" w:styleId="13">
    <w:name w:val="annotation text"/>
    <w:basedOn w:val="1"/>
    <w:link w:val="53"/>
    <w:unhideWhenUsed/>
    <w:qFormat/>
    <w:uiPriority w:val="99"/>
    <w:rPr>
      <w:sz w:val="20"/>
      <w:szCs w:val="20"/>
    </w:rPr>
  </w:style>
  <w:style w:type="paragraph" w:styleId="14">
    <w:name w:val="Body Text 3"/>
    <w:basedOn w:val="1"/>
    <w:link w:val="71"/>
    <w:semiHidden/>
    <w:unhideWhenUsed/>
    <w:qFormat/>
    <w:uiPriority w:val="0"/>
    <w:pPr>
      <w:widowControl w:val="0"/>
      <w:spacing w:after="0" w:line="360" w:lineRule="auto"/>
      <w:jc w:val="both"/>
    </w:pPr>
    <w:rPr>
      <w:rFonts w:ascii="Times New Roman" w:hAnsi="Times New Roman"/>
      <w:kern w:val="2"/>
      <w:sz w:val="18"/>
      <w:szCs w:val="24"/>
    </w:rPr>
  </w:style>
  <w:style w:type="paragraph" w:styleId="15">
    <w:name w:val="Body Text"/>
    <w:basedOn w:val="1"/>
    <w:link w:val="61"/>
    <w:unhideWhenUsed/>
    <w:qFormat/>
    <w:uiPriority w:val="0"/>
    <w:pPr>
      <w:widowControl w:val="0"/>
      <w:tabs>
        <w:tab w:val="left" w:pos="2415"/>
      </w:tabs>
      <w:spacing w:after="0" w:line="600" w:lineRule="exact"/>
      <w:jc w:val="both"/>
    </w:pPr>
    <w:rPr>
      <w:rFonts w:ascii="宋体" w:hAnsi="宋体"/>
      <w:sz w:val="28"/>
      <w:szCs w:val="28"/>
    </w:rPr>
  </w:style>
  <w:style w:type="paragraph" w:styleId="16">
    <w:name w:val="Body Text Indent"/>
    <w:basedOn w:val="1"/>
    <w:link w:val="63"/>
    <w:semiHidden/>
    <w:unhideWhenUsed/>
    <w:qFormat/>
    <w:uiPriority w:val="0"/>
    <w:pPr>
      <w:widowControl w:val="0"/>
      <w:spacing w:after="120" w:line="240" w:lineRule="auto"/>
      <w:ind w:left="420" w:leftChars="200"/>
      <w:jc w:val="both"/>
    </w:pPr>
    <w:rPr>
      <w:sz w:val="20"/>
      <w:szCs w:val="24"/>
    </w:rPr>
  </w:style>
  <w:style w:type="paragraph" w:styleId="17">
    <w:name w:val="toc 3"/>
    <w:basedOn w:val="1"/>
    <w:next w:val="1"/>
    <w:unhideWhenUsed/>
    <w:qFormat/>
    <w:uiPriority w:val="0"/>
    <w:pPr>
      <w:spacing w:after="100"/>
      <w:ind w:left="720" w:hanging="578"/>
    </w:pPr>
  </w:style>
  <w:style w:type="paragraph" w:styleId="18">
    <w:name w:val="Plain Text"/>
    <w:basedOn w:val="1"/>
    <w:link w:val="74"/>
    <w:unhideWhenUsed/>
    <w:qFormat/>
    <w:uiPriority w:val="0"/>
    <w:pPr>
      <w:widowControl w:val="0"/>
      <w:spacing w:after="0" w:line="240" w:lineRule="auto"/>
      <w:jc w:val="both"/>
    </w:pPr>
    <w:rPr>
      <w:rFonts w:ascii="宋体" w:hAnsi="Courier New"/>
      <w:sz w:val="20"/>
      <w:szCs w:val="21"/>
    </w:rPr>
  </w:style>
  <w:style w:type="paragraph" w:styleId="19">
    <w:name w:val="Date"/>
    <w:basedOn w:val="1"/>
    <w:next w:val="1"/>
    <w:link w:val="67"/>
    <w:semiHidden/>
    <w:unhideWhenUsed/>
    <w:qFormat/>
    <w:uiPriority w:val="0"/>
    <w:pPr>
      <w:widowControl w:val="0"/>
      <w:spacing w:after="0" w:line="240" w:lineRule="auto"/>
      <w:jc w:val="both"/>
    </w:pPr>
    <w:rPr>
      <w:rFonts w:ascii="Times New Roman" w:hAnsi="Times New Roman"/>
      <w:kern w:val="2"/>
      <w:sz w:val="21"/>
      <w:szCs w:val="20"/>
    </w:rPr>
  </w:style>
  <w:style w:type="paragraph" w:styleId="20">
    <w:name w:val="Body Text Indent 2"/>
    <w:basedOn w:val="1"/>
    <w:link w:val="72"/>
    <w:semiHidden/>
    <w:unhideWhenUsed/>
    <w:qFormat/>
    <w:uiPriority w:val="0"/>
    <w:pPr>
      <w:widowControl w:val="0"/>
      <w:spacing w:after="120" w:line="480" w:lineRule="auto"/>
      <w:ind w:left="420" w:leftChars="200"/>
      <w:jc w:val="both"/>
    </w:pPr>
    <w:rPr>
      <w:rFonts w:ascii="Times New Roman" w:hAnsi="Times New Roman"/>
      <w:kern w:val="2"/>
      <w:sz w:val="21"/>
      <w:szCs w:val="20"/>
    </w:rPr>
  </w:style>
  <w:style w:type="paragraph" w:styleId="21">
    <w:name w:val="Balloon Text"/>
    <w:basedOn w:val="1"/>
    <w:link w:val="54"/>
    <w:unhideWhenUsed/>
    <w:qFormat/>
    <w:uiPriority w:val="0"/>
    <w:pPr>
      <w:spacing w:after="0" w:line="240" w:lineRule="auto"/>
    </w:pPr>
    <w:rPr>
      <w:rFonts w:ascii="宋体"/>
      <w:sz w:val="18"/>
      <w:szCs w:val="18"/>
    </w:rPr>
  </w:style>
  <w:style w:type="paragraph" w:styleId="22">
    <w:name w:val="footer"/>
    <w:basedOn w:val="1"/>
    <w:link w:val="52"/>
    <w:unhideWhenUsed/>
    <w:qFormat/>
    <w:uiPriority w:val="0"/>
    <w:pPr>
      <w:tabs>
        <w:tab w:val="center" w:pos="4153"/>
        <w:tab w:val="right" w:pos="8306"/>
      </w:tabs>
      <w:spacing w:after="0" w:line="240" w:lineRule="auto"/>
    </w:pPr>
    <w:rPr>
      <w:sz w:val="20"/>
      <w:szCs w:val="20"/>
    </w:rPr>
  </w:style>
  <w:style w:type="paragraph" w:styleId="23">
    <w:name w:val="header"/>
    <w:basedOn w:val="1"/>
    <w:link w:val="51"/>
    <w:unhideWhenUsed/>
    <w:qFormat/>
    <w:uiPriority w:val="0"/>
    <w:pPr>
      <w:tabs>
        <w:tab w:val="center" w:pos="4153"/>
        <w:tab w:val="right" w:pos="8306"/>
      </w:tabs>
      <w:spacing w:after="0" w:line="240" w:lineRule="auto"/>
    </w:pPr>
    <w:rPr>
      <w:sz w:val="20"/>
      <w:szCs w:val="20"/>
    </w:rPr>
  </w:style>
  <w:style w:type="paragraph" w:styleId="24">
    <w:name w:val="toc 1"/>
    <w:basedOn w:val="1"/>
    <w:next w:val="25"/>
    <w:qFormat/>
    <w:uiPriority w:val="0"/>
    <w:pPr>
      <w:tabs>
        <w:tab w:val="right" w:leader="dot" w:pos="9072"/>
        <w:tab w:val="right" w:pos="9355"/>
      </w:tabs>
      <w:spacing w:before="240" w:after="0" w:line="240" w:lineRule="auto"/>
      <w:ind w:left="851" w:right="850" w:hanging="851"/>
      <w:jc w:val="both"/>
    </w:pPr>
    <w:rPr>
      <w:rFonts w:ascii="Arial" w:hAnsi="Arial"/>
      <w:caps/>
      <w:lang w:val="en-US"/>
    </w:rPr>
  </w:style>
  <w:style w:type="paragraph" w:styleId="25">
    <w:name w:val="toc 2"/>
    <w:basedOn w:val="24"/>
    <w:next w:val="17"/>
    <w:qFormat/>
    <w:uiPriority w:val="0"/>
    <w:pPr>
      <w:tabs>
        <w:tab w:val="right" w:pos="9072"/>
      </w:tabs>
      <w:spacing w:before="60"/>
      <w:ind w:right="851"/>
    </w:pPr>
    <w:rPr>
      <w:caps w:val="0"/>
    </w:rPr>
  </w:style>
  <w:style w:type="paragraph" w:styleId="26">
    <w:name w:val="Subtitle"/>
    <w:basedOn w:val="1"/>
    <w:next w:val="1"/>
    <w:link w:val="66"/>
    <w:qFormat/>
    <w:uiPriority w:val="0"/>
    <w:rPr>
      <w:rFonts w:ascii="Cambria" w:hAnsi="Cambria"/>
      <w:i/>
      <w:iCs/>
      <w:color w:val="4F81BD"/>
      <w:spacing w:val="15"/>
      <w:sz w:val="24"/>
      <w:szCs w:val="24"/>
    </w:rPr>
  </w:style>
  <w:style w:type="paragraph" w:styleId="27">
    <w:name w:val="footnote text"/>
    <w:basedOn w:val="1"/>
    <w:link w:val="151"/>
    <w:unhideWhenUsed/>
    <w:qFormat/>
    <w:uiPriority w:val="0"/>
    <w:pPr>
      <w:widowControl w:val="0"/>
      <w:spacing w:after="0" w:line="240" w:lineRule="auto"/>
      <w:jc w:val="both"/>
    </w:pPr>
    <w:rPr>
      <w:kern w:val="2"/>
      <w:sz w:val="20"/>
      <w:szCs w:val="20"/>
      <w:lang w:val="en-US"/>
    </w:rPr>
  </w:style>
  <w:style w:type="paragraph" w:styleId="28">
    <w:name w:val="Body Text Indent 3"/>
    <w:basedOn w:val="1"/>
    <w:link w:val="73"/>
    <w:semiHidden/>
    <w:unhideWhenUsed/>
    <w:qFormat/>
    <w:uiPriority w:val="0"/>
    <w:pPr>
      <w:widowControl w:val="0"/>
      <w:spacing w:after="120" w:line="240" w:lineRule="auto"/>
      <w:ind w:left="420" w:leftChars="200"/>
      <w:jc w:val="both"/>
    </w:pPr>
    <w:rPr>
      <w:rFonts w:ascii="Times New Roman" w:hAnsi="Times New Roman"/>
      <w:kern w:val="2"/>
      <w:sz w:val="16"/>
      <w:szCs w:val="16"/>
    </w:rPr>
  </w:style>
  <w:style w:type="paragraph" w:styleId="29">
    <w:name w:val="Body Text 2"/>
    <w:basedOn w:val="1"/>
    <w:link w:val="70"/>
    <w:semiHidden/>
    <w:unhideWhenUsed/>
    <w:qFormat/>
    <w:uiPriority w:val="0"/>
    <w:pPr>
      <w:widowControl w:val="0"/>
      <w:spacing w:before="120" w:after="120" w:line="240" w:lineRule="auto"/>
      <w:jc w:val="center"/>
    </w:pPr>
    <w:rPr>
      <w:rFonts w:ascii="Times New Roman" w:hAnsi="Times New Roman"/>
      <w:sz w:val="18"/>
      <w:szCs w:val="18"/>
    </w:rPr>
  </w:style>
  <w:style w:type="paragraph" w:styleId="30">
    <w:name w:val="Message Header"/>
    <w:basedOn w:val="1"/>
    <w:link w:val="65"/>
    <w:semiHidden/>
    <w:unhideWhenUsed/>
    <w:qFormat/>
    <w:uiPriority w:val="0"/>
    <w:pPr>
      <w:widowControl w:val="0"/>
      <w:pBdr>
        <w:top w:val="single" w:color="auto" w:sz="6" w:space="1"/>
        <w:left w:val="single" w:color="auto" w:sz="6" w:space="1"/>
        <w:bottom w:val="single" w:color="auto" w:sz="6" w:space="1"/>
        <w:right w:val="single" w:color="auto" w:sz="6" w:space="1"/>
      </w:pBdr>
      <w:shd w:val="pct20" w:color="auto" w:fill="auto"/>
      <w:spacing w:after="0" w:line="360" w:lineRule="auto"/>
      <w:ind w:left="1080" w:leftChars="500" w:hanging="1080" w:hangingChars="500"/>
      <w:jc w:val="both"/>
    </w:pPr>
    <w:rPr>
      <w:rFonts w:ascii="Arial" w:hAnsi="Arial"/>
      <w:kern w:val="2"/>
      <w:sz w:val="24"/>
      <w:szCs w:val="24"/>
    </w:rPr>
  </w:style>
  <w:style w:type="paragraph" w:styleId="31">
    <w:name w:val="Title"/>
    <w:basedOn w:val="1"/>
    <w:next w:val="1"/>
    <w:link w:val="60"/>
    <w:qFormat/>
    <w:uiPriority w:val="0"/>
    <w:pPr>
      <w:pBdr>
        <w:bottom w:val="single" w:color="4F81BD" w:sz="8" w:space="4"/>
      </w:pBdr>
      <w:spacing w:after="300" w:line="240" w:lineRule="auto"/>
      <w:contextualSpacing/>
    </w:pPr>
    <w:rPr>
      <w:rFonts w:ascii="Cambria" w:hAnsi="Cambria"/>
      <w:color w:val="17365D"/>
      <w:spacing w:val="5"/>
      <w:kern w:val="28"/>
      <w:sz w:val="52"/>
      <w:szCs w:val="52"/>
    </w:rPr>
  </w:style>
  <w:style w:type="paragraph" w:styleId="32">
    <w:name w:val="annotation subject"/>
    <w:basedOn w:val="13"/>
    <w:next w:val="13"/>
    <w:link w:val="55"/>
    <w:unhideWhenUsed/>
    <w:qFormat/>
    <w:uiPriority w:val="0"/>
    <w:rPr>
      <w:b/>
      <w:bCs/>
      <w:sz w:val="22"/>
      <w:szCs w:val="22"/>
    </w:rPr>
  </w:style>
  <w:style w:type="paragraph" w:styleId="33">
    <w:name w:val="Body Text First Indent"/>
    <w:basedOn w:val="15"/>
    <w:link w:val="68"/>
    <w:semiHidden/>
    <w:unhideWhenUsed/>
    <w:qFormat/>
    <w:uiPriority w:val="0"/>
    <w:pPr>
      <w:widowControl/>
      <w:tabs>
        <w:tab w:val="clear" w:pos="2415"/>
      </w:tabs>
      <w:spacing w:after="120" w:line="360" w:lineRule="auto"/>
      <w:ind w:firstLine="420" w:firstLineChars="100"/>
    </w:pPr>
    <w:rPr>
      <w:rFonts w:ascii="Times New Roman" w:hAnsi="Times New Roman"/>
      <w:sz w:val="24"/>
      <w:szCs w:val="24"/>
    </w:rPr>
  </w:style>
  <w:style w:type="paragraph" w:styleId="34">
    <w:name w:val="Body Text First Indent 2"/>
    <w:basedOn w:val="16"/>
    <w:link w:val="69"/>
    <w:semiHidden/>
    <w:unhideWhenUsed/>
    <w:qFormat/>
    <w:uiPriority w:val="0"/>
    <w:pPr>
      <w:widowControl/>
      <w:spacing w:line="360" w:lineRule="auto"/>
      <w:ind w:firstLine="420" w:firstLineChars="200"/>
    </w:pPr>
    <w:rPr>
      <w:rFonts w:ascii="仿宋_GB2312" w:eastAsia="仿宋_GB2312"/>
      <w:sz w:val="24"/>
    </w:rPr>
  </w:style>
  <w:style w:type="table" w:styleId="36">
    <w:name w:val="Table Grid"/>
    <w:basedOn w:val="3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page number"/>
    <w:basedOn w:val="37"/>
    <w:qFormat/>
    <w:uiPriority w:val="0"/>
  </w:style>
  <w:style w:type="character" w:styleId="39">
    <w:name w:val="annotation reference"/>
    <w:unhideWhenUsed/>
    <w:qFormat/>
    <w:uiPriority w:val="99"/>
    <w:rPr>
      <w:sz w:val="16"/>
      <w:szCs w:val="16"/>
    </w:rPr>
  </w:style>
  <w:style w:type="character" w:styleId="40">
    <w:name w:val="footnote reference"/>
    <w:unhideWhenUsed/>
    <w:qFormat/>
    <w:uiPriority w:val="99"/>
    <w:rPr>
      <w:vertAlign w:val="superscript"/>
    </w:rPr>
  </w:style>
  <w:style w:type="character" w:customStyle="1" w:styleId="41">
    <w:name w:val="标题 1 Char"/>
    <w:link w:val="2"/>
    <w:qFormat/>
    <w:uiPriority w:val="0"/>
    <w:rPr>
      <w:rFonts w:ascii="Times New Roman" w:hAnsi="Times New Roman"/>
      <w:b/>
      <w:bCs/>
      <w:kern w:val="44"/>
      <w:sz w:val="44"/>
      <w:szCs w:val="44"/>
    </w:rPr>
  </w:style>
  <w:style w:type="character" w:customStyle="1" w:styleId="42">
    <w:name w:val="标题 2 Char"/>
    <w:link w:val="3"/>
    <w:qFormat/>
    <w:uiPriority w:val="0"/>
    <w:rPr>
      <w:rFonts w:ascii="Arial" w:hAnsi="Arial" w:eastAsia="黑体"/>
      <w:b/>
      <w:bCs/>
      <w:kern w:val="2"/>
      <w:sz w:val="32"/>
      <w:szCs w:val="32"/>
    </w:rPr>
  </w:style>
  <w:style w:type="character" w:customStyle="1" w:styleId="43">
    <w:name w:val="标题 3 Char"/>
    <w:link w:val="4"/>
    <w:qFormat/>
    <w:uiPriority w:val="0"/>
    <w:rPr>
      <w:rFonts w:ascii="Cambria" w:hAnsi="Cambria" w:eastAsia="宋体" w:cs="Times New Roman"/>
      <w:b/>
      <w:bCs/>
      <w:sz w:val="26"/>
      <w:szCs w:val="26"/>
      <w:lang w:val="en-IE"/>
    </w:rPr>
  </w:style>
  <w:style w:type="character" w:customStyle="1" w:styleId="44">
    <w:name w:val="标题 4 Char"/>
    <w:link w:val="5"/>
    <w:qFormat/>
    <w:uiPriority w:val="0"/>
    <w:rPr>
      <w:rFonts w:ascii="Calibri" w:hAnsi="Calibri" w:eastAsia="宋体" w:cs="Times New Roman"/>
      <w:b/>
      <w:bCs/>
      <w:sz w:val="28"/>
      <w:szCs w:val="28"/>
      <w:lang w:val="en-IE"/>
    </w:rPr>
  </w:style>
  <w:style w:type="character" w:customStyle="1" w:styleId="45">
    <w:name w:val="标题 5 Char"/>
    <w:link w:val="6"/>
    <w:qFormat/>
    <w:uiPriority w:val="0"/>
    <w:rPr>
      <w:rFonts w:ascii="Cambria" w:hAnsi="Cambria"/>
      <w:color w:val="243F60"/>
    </w:rPr>
  </w:style>
  <w:style w:type="character" w:customStyle="1" w:styleId="46">
    <w:name w:val="标题 6 Char"/>
    <w:link w:val="7"/>
    <w:qFormat/>
    <w:uiPriority w:val="0"/>
    <w:rPr>
      <w:rFonts w:ascii="Cambria" w:hAnsi="Cambria"/>
      <w:i/>
      <w:iCs/>
      <w:color w:val="243F60"/>
    </w:rPr>
  </w:style>
  <w:style w:type="character" w:customStyle="1" w:styleId="47">
    <w:name w:val="标题 7 Char"/>
    <w:link w:val="8"/>
    <w:qFormat/>
    <w:uiPriority w:val="0"/>
    <w:rPr>
      <w:rFonts w:ascii="Cambria" w:hAnsi="Cambria"/>
      <w:i/>
      <w:iCs/>
      <w:color w:val="404040"/>
    </w:rPr>
  </w:style>
  <w:style w:type="character" w:customStyle="1" w:styleId="48">
    <w:name w:val="标题 8 Char"/>
    <w:link w:val="9"/>
    <w:qFormat/>
    <w:uiPriority w:val="0"/>
    <w:rPr>
      <w:rFonts w:ascii="Cambria" w:hAnsi="Cambria"/>
      <w:color w:val="4F81BD"/>
    </w:rPr>
  </w:style>
  <w:style w:type="character" w:customStyle="1" w:styleId="49">
    <w:name w:val="标题 9 Char"/>
    <w:link w:val="10"/>
    <w:qFormat/>
    <w:uiPriority w:val="0"/>
    <w:rPr>
      <w:rFonts w:ascii="Cambria" w:hAnsi="Cambria"/>
      <w:i/>
      <w:iCs/>
      <w:color w:val="404040"/>
    </w:rPr>
  </w:style>
  <w:style w:type="paragraph" w:styleId="50">
    <w:name w:val="List Paragraph"/>
    <w:basedOn w:val="1"/>
    <w:qFormat/>
    <w:uiPriority w:val="34"/>
    <w:pPr>
      <w:ind w:left="720"/>
      <w:contextualSpacing/>
    </w:pPr>
  </w:style>
  <w:style w:type="character" w:customStyle="1" w:styleId="51">
    <w:name w:val="页眉 Char"/>
    <w:link w:val="23"/>
    <w:qFormat/>
    <w:uiPriority w:val="0"/>
    <w:rPr>
      <w:rFonts w:ascii="Calibri" w:hAnsi="Calibri" w:eastAsia="宋体" w:cs="Times New Roman"/>
      <w:lang w:val="en-IE"/>
    </w:rPr>
  </w:style>
  <w:style w:type="character" w:customStyle="1" w:styleId="52">
    <w:name w:val="页脚 Char"/>
    <w:link w:val="22"/>
    <w:qFormat/>
    <w:uiPriority w:val="0"/>
    <w:rPr>
      <w:rFonts w:ascii="Calibri" w:hAnsi="Calibri" w:eastAsia="宋体" w:cs="Times New Roman"/>
      <w:lang w:val="en-IE"/>
    </w:rPr>
  </w:style>
  <w:style w:type="character" w:customStyle="1" w:styleId="53">
    <w:name w:val="批注文字 Char"/>
    <w:link w:val="13"/>
    <w:qFormat/>
    <w:uiPriority w:val="99"/>
    <w:rPr>
      <w:rFonts w:ascii="Calibri" w:hAnsi="Calibri" w:eastAsia="宋体" w:cs="Times New Roman"/>
      <w:sz w:val="20"/>
      <w:szCs w:val="20"/>
      <w:lang w:val="en-IE"/>
    </w:rPr>
  </w:style>
  <w:style w:type="character" w:customStyle="1" w:styleId="54">
    <w:name w:val="批注框文本 Char"/>
    <w:link w:val="21"/>
    <w:qFormat/>
    <w:uiPriority w:val="0"/>
    <w:rPr>
      <w:rFonts w:ascii="宋体" w:hAnsi="Calibri" w:eastAsia="宋体" w:cs="Times New Roman"/>
      <w:sz w:val="18"/>
      <w:szCs w:val="18"/>
      <w:lang w:val="en-IE"/>
    </w:rPr>
  </w:style>
  <w:style w:type="character" w:customStyle="1" w:styleId="55">
    <w:name w:val="批注主题 Char"/>
    <w:link w:val="32"/>
    <w:qFormat/>
    <w:uiPriority w:val="0"/>
    <w:rPr>
      <w:rFonts w:ascii="Calibri" w:hAnsi="Calibri" w:eastAsia="宋体" w:cs="Times New Roman"/>
      <w:b/>
      <w:bCs/>
      <w:sz w:val="22"/>
      <w:szCs w:val="22"/>
      <w:lang w:val="en-IE"/>
    </w:rPr>
  </w:style>
  <w:style w:type="paragraph" w:customStyle="1" w:styleId="56">
    <w:name w:val="Revision"/>
    <w:hidden/>
    <w:qFormat/>
    <w:uiPriority w:val="99"/>
    <w:rPr>
      <w:rFonts w:ascii="Calibri" w:hAnsi="Calibri" w:eastAsia="宋体" w:cs="Times New Roman"/>
      <w:sz w:val="22"/>
      <w:szCs w:val="22"/>
      <w:lang w:val="en-IE" w:eastAsia="zh-CN" w:bidi="ar-SA"/>
    </w:rPr>
  </w:style>
  <w:style w:type="character" w:customStyle="1" w:styleId="57">
    <w:name w:val="文档结构图 Char"/>
    <w:link w:val="12"/>
    <w:semiHidden/>
    <w:qFormat/>
    <w:uiPriority w:val="0"/>
    <w:rPr>
      <w:sz w:val="22"/>
      <w:szCs w:val="22"/>
      <w:shd w:val="clear" w:color="auto" w:fill="000080"/>
      <w:lang w:val="en-IE"/>
    </w:rPr>
  </w:style>
  <w:style w:type="paragraph" w:customStyle="1" w:styleId="58">
    <w:name w:val="p0"/>
    <w:basedOn w:val="1"/>
    <w:qFormat/>
    <w:uiPriority w:val="0"/>
    <w:pPr>
      <w:spacing w:after="0" w:line="240" w:lineRule="auto"/>
      <w:jc w:val="both"/>
    </w:pPr>
    <w:rPr>
      <w:rFonts w:ascii="Times New Roman" w:hAnsi="Times New Roman"/>
      <w:sz w:val="21"/>
      <w:szCs w:val="21"/>
      <w:lang w:val="en-US"/>
    </w:rPr>
  </w:style>
  <w:style w:type="character" w:customStyle="1" w:styleId="59">
    <w:name w:val="标题 1 Char1"/>
    <w:qFormat/>
    <w:uiPriority w:val="0"/>
    <w:rPr>
      <w:b/>
      <w:bCs/>
      <w:kern w:val="44"/>
      <w:sz w:val="44"/>
      <w:szCs w:val="44"/>
    </w:rPr>
  </w:style>
  <w:style w:type="character" w:customStyle="1" w:styleId="60">
    <w:name w:val="标题 Char"/>
    <w:link w:val="31"/>
    <w:qFormat/>
    <w:uiPriority w:val="0"/>
    <w:rPr>
      <w:rFonts w:ascii="Cambria" w:hAnsi="Cambria"/>
      <w:color w:val="17365D"/>
      <w:spacing w:val="5"/>
      <w:kern w:val="28"/>
      <w:sz w:val="52"/>
      <w:szCs w:val="52"/>
    </w:rPr>
  </w:style>
  <w:style w:type="character" w:customStyle="1" w:styleId="61">
    <w:name w:val="正文文本 Char"/>
    <w:link w:val="15"/>
    <w:qFormat/>
    <w:locked/>
    <w:uiPriority w:val="0"/>
    <w:rPr>
      <w:rFonts w:ascii="宋体" w:hAnsi="宋体"/>
      <w:sz w:val="28"/>
      <w:szCs w:val="28"/>
    </w:rPr>
  </w:style>
  <w:style w:type="character" w:customStyle="1" w:styleId="62">
    <w:name w:val="正文文本 Char1"/>
    <w:semiHidden/>
    <w:qFormat/>
    <w:uiPriority w:val="0"/>
    <w:rPr>
      <w:sz w:val="22"/>
      <w:szCs w:val="22"/>
      <w:lang w:val="en-IE"/>
    </w:rPr>
  </w:style>
  <w:style w:type="character" w:customStyle="1" w:styleId="63">
    <w:name w:val="正文文本缩进 Char"/>
    <w:link w:val="16"/>
    <w:semiHidden/>
    <w:qFormat/>
    <w:locked/>
    <w:uiPriority w:val="0"/>
    <w:rPr>
      <w:szCs w:val="24"/>
    </w:rPr>
  </w:style>
  <w:style w:type="character" w:customStyle="1" w:styleId="64">
    <w:name w:val="正文文本缩进 Char1"/>
    <w:semiHidden/>
    <w:qFormat/>
    <w:uiPriority w:val="99"/>
    <w:rPr>
      <w:sz w:val="22"/>
      <w:szCs w:val="22"/>
      <w:lang w:val="en-IE"/>
    </w:rPr>
  </w:style>
  <w:style w:type="character" w:customStyle="1" w:styleId="65">
    <w:name w:val="信息标题 Char"/>
    <w:link w:val="30"/>
    <w:semiHidden/>
    <w:qFormat/>
    <w:uiPriority w:val="0"/>
    <w:rPr>
      <w:rFonts w:ascii="Arial" w:hAnsi="Arial"/>
      <w:kern w:val="2"/>
      <w:sz w:val="24"/>
      <w:szCs w:val="24"/>
      <w:shd w:val="pct20" w:color="auto" w:fill="auto"/>
    </w:rPr>
  </w:style>
  <w:style w:type="character" w:customStyle="1" w:styleId="66">
    <w:name w:val="副标题 Char"/>
    <w:link w:val="26"/>
    <w:qFormat/>
    <w:uiPriority w:val="0"/>
    <w:rPr>
      <w:rFonts w:ascii="Cambria" w:hAnsi="Cambria"/>
      <w:i/>
      <w:iCs/>
      <w:color w:val="4F81BD"/>
      <w:spacing w:val="15"/>
      <w:sz w:val="24"/>
      <w:szCs w:val="24"/>
    </w:rPr>
  </w:style>
  <w:style w:type="character" w:customStyle="1" w:styleId="67">
    <w:name w:val="日期 Char"/>
    <w:link w:val="19"/>
    <w:semiHidden/>
    <w:qFormat/>
    <w:uiPriority w:val="0"/>
    <w:rPr>
      <w:rFonts w:ascii="Times New Roman" w:hAnsi="Times New Roman"/>
      <w:kern w:val="2"/>
      <w:sz w:val="21"/>
    </w:rPr>
  </w:style>
  <w:style w:type="character" w:customStyle="1" w:styleId="68">
    <w:name w:val="正文首行缩进 Char"/>
    <w:link w:val="33"/>
    <w:semiHidden/>
    <w:qFormat/>
    <w:uiPriority w:val="0"/>
    <w:rPr>
      <w:rFonts w:ascii="Times New Roman" w:hAnsi="Times New Roman"/>
      <w:sz w:val="24"/>
      <w:szCs w:val="24"/>
      <w:lang w:val="en-IE"/>
    </w:rPr>
  </w:style>
  <w:style w:type="character" w:customStyle="1" w:styleId="69">
    <w:name w:val="正文首行缩进 2 Char"/>
    <w:link w:val="34"/>
    <w:semiHidden/>
    <w:qFormat/>
    <w:uiPriority w:val="0"/>
    <w:rPr>
      <w:rFonts w:ascii="仿宋_GB2312" w:eastAsia="仿宋_GB2312"/>
      <w:sz w:val="24"/>
      <w:szCs w:val="24"/>
      <w:lang w:val="en-IE"/>
    </w:rPr>
  </w:style>
  <w:style w:type="character" w:customStyle="1" w:styleId="70">
    <w:name w:val="正文文本 2 Char"/>
    <w:link w:val="29"/>
    <w:semiHidden/>
    <w:qFormat/>
    <w:uiPriority w:val="0"/>
    <w:rPr>
      <w:rFonts w:ascii="Times New Roman" w:hAnsi="Times New Roman"/>
      <w:sz w:val="18"/>
      <w:szCs w:val="18"/>
    </w:rPr>
  </w:style>
  <w:style w:type="character" w:customStyle="1" w:styleId="71">
    <w:name w:val="正文文本 3 Char"/>
    <w:link w:val="14"/>
    <w:semiHidden/>
    <w:qFormat/>
    <w:uiPriority w:val="0"/>
    <w:rPr>
      <w:rFonts w:ascii="Times New Roman" w:hAnsi="Times New Roman"/>
      <w:kern w:val="2"/>
      <w:sz w:val="18"/>
      <w:szCs w:val="24"/>
    </w:rPr>
  </w:style>
  <w:style w:type="character" w:customStyle="1" w:styleId="72">
    <w:name w:val="正文文本缩进 2 Char"/>
    <w:link w:val="20"/>
    <w:semiHidden/>
    <w:qFormat/>
    <w:uiPriority w:val="0"/>
    <w:rPr>
      <w:rFonts w:ascii="Times New Roman" w:hAnsi="Times New Roman"/>
      <w:kern w:val="2"/>
      <w:sz w:val="21"/>
    </w:rPr>
  </w:style>
  <w:style w:type="character" w:customStyle="1" w:styleId="73">
    <w:name w:val="正文文本缩进 3 Char"/>
    <w:link w:val="28"/>
    <w:semiHidden/>
    <w:qFormat/>
    <w:uiPriority w:val="0"/>
    <w:rPr>
      <w:rFonts w:ascii="Times New Roman" w:hAnsi="Times New Roman"/>
      <w:kern w:val="2"/>
      <w:sz w:val="16"/>
      <w:szCs w:val="16"/>
    </w:rPr>
  </w:style>
  <w:style w:type="character" w:customStyle="1" w:styleId="74">
    <w:name w:val="纯文本 Char"/>
    <w:link w:val="18"/>
    <w:qFormat/>
    <w:locked/>
    <w:uiPriority w:val="0"/>
    <w:rPr>
      <w:rFonts w:ascii="宋体" w:hAnsi="Courier New"/>
      <w:szCs w:val="21"/>
    </w:rPr>
  </w:style>
  <w:style w:type="character" w:customStyle="1" w:styleId="75">
    <w:name w:val="纯文本 Char1"/>
    <w:semiHidden/>
    <w:qFormat/>
    <w:uiPriority w:val="0"/>
    <w:rPr>
      <w:rFonts w:ascii="宋体" w:hAnsi="Courier New" w:cs="Courier New"/>
      <w:sz w:val="21"/>
      <w:szCs w:val="21"/>
      <w:lang w:val="en-IE"/>
    </w:rPr>
  </w:style>
  <w:style w:type="paragraph" w:styleId="76">
    <w:name w:val="No Spacing"/>
    <w:qFormat/>
    <w:uiPriority w:val="0"/>
    <w:rPr>
      <w:rFonts w:ascii="Calibri" w:hAnsi="Calibri" w:eastAsia="宋体" w:cs="Times New Roman"/>
      <w:sz w:val="22"/>
      <w:szCs w:val="22"/>
      <w:lang w:val="en-US" w:eastAsia="en-US" w:bidi="en-US"/>
    </w:rPr>
  </w:style>
  <w:style w:type="paragraph" w:styleId="77">
    <w:name w:val="Quote"/>
    <w:basedOn w:val="1"/>
    <w:next w:val="1"/>
    <w:link w:val="78"/>
    <w:qFormat/>
    <w:uiPriority w:val="0"/>
    <w:rPr>
      <w:i/>
      <w:iCs/>
      <w:color w:val="000000"/>
      <w:sz w:val="20"/>
      <w:szCs w:val="20"/>
    </w:rPr>
  </w:style>
  <w:style w:type="character" w:customStyle="1" w:styleId="78">
    <w:name w:val="引用 Char"/>
    <w:link w:val="77"/>
    <w:qFormat/>
    <w:uiPriority w:val="0"/>
    <w:rPr>
      <w:i/>
      <w:iCs/>
      <w:color w:val="000000"/>
    </w:rPr>
  </w:style>
  <w:style w:type="paragraph" w:styleId="79">
    <w:name w:val="Intense Quote"/>
    <w:basedOn w:val="1"/>
    <w:next w:val="1"/>
    <w:link w:val="80"/>
    <w:qFormat/>
    <w:uiPriority w:val="0"/>
    <w:pPr>
      <w:pBdr>
        <w:bottom w:val="single" w:color="4F81BD" w:sz="4" w:space="4"/>
      </w:pBdr>
      <w:spacing w:before="200" w:after="280"/>
      <w:ind w:left="936" w:right="936"/>
    </w:pPr>
    <w:rPr>
      <w:b/>
      <w:bCs/>
      <w:i/>
      <w:iCs/>
      <w:color w:val="4F81BD"/>
      <w:sz w:val="20"/>
      <w:szCs w:val="20"/>
    </w:rPr>
  </w:style>
  <w:style w:type="character" w:customStyle="1" w:styleId="80">
    <w:name w:val="明显引用 Char"/>
    <w:link w:val="79"/>
    <w:qFormat/>
    <w:uiPriority w:val="0"/>
    <w:rPr>
      <w:b/>
      <w:bCs/>
      <w:i/>
      <w:iCs/>
      <w:color w:val="4F81BD"/>
    </w:rPr>
  </w:style>
  <w:style w:type="paragraph" w:customStyle="1" w:styleId="81">
    <w:name w:val="TOC Heading"/>
    <w:basedOn w:val="2"/>
    <w:next w:val="1"/>
    <w:qFormat/>
    <w:uiPriority w:val="0"/>
    <w:pPr>
      <w:widowControl/>
      <w:spacing w:before="240" w:after="240" w:line="276" w:lineRule="auto"/>
      <w:jc w:val="left"/>
      <w:outlineLvl w:val="9"/>
    </w:pPr>
    <w:rPr>
      <w:kern w:val="0"/>
      <w:sz w:val="28"/>
      <w:szCs w:val="28"/>
    </w:rPr>
  </w:style>
  <w:style w:type="paragraph" w:customStyle="1" w:styleId="82">
    <w:name w:val="Char3 Char Char Char Char Char Char"/>
    <w:basedOn w:val="1"/>
    <w:qFormat/>
    <w:uiPriority w:val="0"/>
    <w:pPr>
      <w:widowControl w:val="0"/>
      <w:spacing w:after="0" w:line="240" w:lineRule="auto"/>
      <w:jc w:val="both"/>
    </w:pPr>
    <w:rPr>
      <w:rFonts w:ascii="宋体" w:hAnsi="宋体" w:cs="Courier New"/>
      <w:kern w:val="2"/>
      <w:sz w:val="32"/>
      <w:szCs w:val="32"/>
      <w:lang w:val="en-US"/>
    </w:rPr>
  </w:style>
  <w:style w:type="paragraph" w:customStyle="1" w:styleId="83">
    <w:name w:val="Char Char Char Char Char Char Char Char Char"/>
    <w:basedOn w:val="1"/>
    <w:qFormat/>
    <w:uiPriority w:val="0"/>
    <w:pPr>
      <w:widowControl w:val="0"/>
      <w:spacing w:after="0" w:line="240" w:lineRule="auto"/>
      <w:jc w:val="both"/>
    </w:pPr>
    <w:rPr>
      <w:rFonts w:ascii="宋体" w:hAnsi="宋体" w:cs="Courier New"/>
      <w:kern w:val="2"/>
      <w:sz w:val="32"/>
      <w:szCs w:val="32"/>
      <w:lang w:val="en-US"/>
    </w:rPr>
  </w:style>
  <w:style w:type="paragraph" w:customStyle="1" w:styleId="84">
    <w:name w:val="默认段落字体 Para Char Char Char Char"/>
    <w:basedOn w:val="1"/>
    <w:qFormat/>
    <w:uiPriority w:val="0"/>
    <w:pPr>
      <w:widowControl w:val="0"/>
      <w:spacing w:after="0" w:line="240" w:lineRule="auto"/>
      <w:jc w:val="both"/>
    </w:pPr>
    <w:rPr>
      <w:rFonts w:ascii="Times New Roman" w:hAnsi="Times New Roman"/>
      <w:kern w:val="2"/>
      <w:sz w:val="32"/>
      <w:szCs w:val="32"/>
      <w:lang w:val="en-US"/>
    </w:rPr>
  </w:style>
  <w:style w:type="paragraph" w:customStyle="1" w:styleId="85">
    <w:name w:val="Char"/>
    <w:basedOn w:val="1"/>
    <w:qFormat/>
    <w:uiPriority w:val="0"/>
    <w:pPr>
      <w:spacing w:after="160" w:line="240" w:lineRule="exact"/>
    </w:pPr>
    <w:rPr>
      <w:rFonts w:ascii="Verdana" w:hAnsi="Verdana"/>
      <w:sz w:val="20"/>
      <w:szCs w:val="20"/>
      <w:lang w:val="en-US" w:eastAsia="en-US"/>
    </w:rPr>
  </w:style>
  <w:style w:type="paragraph" w:customStyle="1" w:styleId="86">
    <w:name w:val="Char Char16 Char Char Char Char Char Char Char Char Char Char Char Char1"/>
    <w:basedOn w:val="1"/>
    <w:qFormat/>
    <w:uiPriority w:val="0"/>
    <w:pPr>
      <w:widowControl w:val="0"/>
      <w:spacing w:after="0" w:line="240" w:lineRule="auto"/>
      <w:jc w:val="both"/>
    </w:pPr>
    <w:rPr>
      <w:rFonts w:ascii="Tahoma" w:hAnsi="Tahoma" w:cs="Tahoma"/>
      <w:kern w:val="2"/>
      <w:sz w:val="24"/>
      <w:szCs w:val="24"/>
      <w:lang w:val="en-US"/>
    </w:rPr>
  </w:style>
  <w:style w:type="paragraph" w:customStyle="1" w:styleId="87">
    <w:name w:val="font5"/>
    <w:basedOn w:val="1"/>
    <w:qFormat/>
    <w:uiPriority w:val="0"/>
    <w:pPr>
      <w:spacing w:before="100" w:beforeAutospacing="1" w:after="100" w:afterAutospacing="1" w:line="240" w:lineRule="auto"/>
    </w:pPr>
    <w:rPr>
      <w:rFonts w:ascii="宋体" w:hAnsi="宋体" w:cs="宋体"/>
      <w:sz w:val="18"/>
      <w:szCs w:val="18"/>
      <w:lang w:val="en-US"/>
    </w:rPr>
  </w:style>
  <w:style w:type="paragraph" w:customStyle="1" w:styleId="88">
    <w:name w:val="font6"/>
    <w:basedOn w:val="1"/>
    <w:qFormat/>
    <w:uiPriority w:val="0"/>
    <w:pPr>
      <w:spacing w:before="100" w:beforeAutospacing="1" w:after="100" w:afterAutospacing="1" w:line="240" w:lineRule="auto"/>
    </w:pPr>
    <w:rPr>
      <w:rFonts w:ascii="仿宋_GB2312" w:hAnsi="宋体" w:eastAsia="仿宋_GB2312" w:cs="宋体"/>
      <w:sz w:val="20"/>
      <w:szCs w:val="20"/>
      <w:lang w:val="en-US"/>
    </w:rPr>
  </w:style>
  <w:style w:type="paragraph" w:customStyle="1" w:styleId="89">
    <w:name w:val="font7"/>
    <w:basedOn w:val="1"/>
    <w:qFormat/>
    <w:uiPriority w:val="0"/>
    <w:pPr>
      <w:spacing w:before="100" w:beforeAutospacing="1" w:after="100" w:afterAutospacing="1" w:line="240" w:lineRule="auto"/>
    </w:pPr>
    <w:rPr>
      <w:rFonts w:ascii="仿宋_GB2312" w:hAnsi="宋体" w:eastAsia="仿宋_GB2312" w:cs="宋体"/>
      <w:b/>
      <w:bCs/>
      <w:sz w:val="28"/>
      <w:szCs w:val="28"/>
      <w:lang w:val="en-US"/>
    </w:rPr>
  </w:style>
  <w:style w:type="paragraph" w:customStyle="1" w:styleId="90">
    <w:name w:val="font8"/>
    <w:basedOn w:val="1"/>
    <w:qFormat/>
    <w:uiPriority w:val="0"/>
    <w:pPr>
      <w:spacing w:before="100" w:beforeAutospacing="1" w:after="100" w:afterAutospacing="1" w:line="240" w:lineRule="auto"/>
    </w:pPr>
    <w:rPr>
      <w:rFonts w:ascii="Times New Roman" w:hAnsi="Times New Roman"/>
      <w:sz w:val="20"/>
      <w:szCs w:val="20"/>
      <w:lang w:val="en-US"/>
    </w:rPr>
  </w:style>
  <w:style w:type="paragraph" w:customStyle="1" w:styleId="91">
    <w:name w:val="font9"/>
    <w:basedOn w:val="1"/>
    <w:qFormat/>
    <w:uiPriority w:val="0"/>
    <w:pPr>
      <w:spacing w:before="100" w:beforeAutospacing="1" w:after="100" w:afterAutospacing="1" w:line="240" w:lineRule="auto"/>
    </w:pPr>
    <w:rPr>
      <w:rFonts w:ascii="仿宋_GB2312" w:hAnsi="宋体" w:eastAsia="仿宋_GB2312" w:cs="宋体"/>
      <w:color w:val="000000"/>
      <w:sz w:val="20"/>
      <w:szCs w:val="20"/>
      <w:lang w:val="en-US"/>
    </w:rPr>
  </w:style>
  <w:style w:type="paragraph" w:customStyle="1" w:styleId="92">
    <w:name w:val="font10"/>
    <w:basedOn w:val="1"/>
    <w:qFormat/>
    <w:uiPriority w:val="0"/>
    <w:pPr>
      <w:spacing w:before="100" w:beforeAutospacing="1" w:after="100" w:afterAutospacing="1" w:line="240" w:lineRule="auto"/>
    </w:pPr>
    <w:rPr>
      <w:rFonts w:ascii="Times New Roman" w:hAnsi="Times New Roman"/>
      <w:b/>
      <w:bCs/>
      <w:sz w:val="28"/>
      <w:szCs w:val="28"/>
      <w:lang w:val="en-US"/>
    </w:rPr>
  </w:style>
  <w:style w:type="paragraph" w:customStyle="1" w:styleId="93">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sz w:val="20"/>
      <w:szCs w:val="20"/>
      <w:lang w:val="en-US"/>
    </w:rPr>
  </w:style>
  <w:style w:type="paragraph" w:customStyle="1" w:styleId="94">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olor w:val="000000"/>
      <w:sz w:val="20"/>
      <w:szCs w:val="20"/>
      <w:lang w:val="en-US"/>
    </w:rPr>
  </w:style>
  <w:style w:type="paragraph" w:customStyle="1" w:styleId="95">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sz w:val="20"/>
      <w:szCs w:val="20"/>
      <w:lang w:val="en-US"/>
    </w:rPr>
  </w:style>
  <w:style w:type="paragraph" w:customStyle="1" w:styleId="96">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sz w:val="20"/>
      <w:szCs w:val="20"/>
      <w:lang w:val="en-US"/>
    </w:rPr>
  </w:style>
  <w:style w:type="paragraph" w:customStyle="1" w:styleId="97">
    <w:name w:val="xl71"/>
    <w:basedOn w:val="1"/>
    <w:qFormat/>
    <w:uiPriority w:val="0"/>
    <w:pPr>
      <w:spacing w:before="100" w:beforeAutospacing="1" w:after="100" w:afterAutospacing="1" w:line="240" w:lineRule="auto"/>
    </w:pPr>
    <w:rPr>
      <w:rFonts w:ascii="仿宋_GB2312" w:hAnsi="宋体" w:eastAsia="仿宋_GB2312" w:cs="宋体"/>
      <w:sz w:val="24"/>
      <w:szCs w:val="24"/>
      <w:lang w:val="en-US"/>
    </w:rPr>
  </w:style>
  <w:style w:type="paragraph" w:customStyle="1" w:styleId="98">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sz w:val="20"/>
      <w:szCs w:val="20"/>
      <w:lang w:val="en-US"/>
    </w:rPr>
  </w:style>
  <w:style w:type="paragraph" w:customStyle="1" w:styleId="99">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b/>
      <w:bCs/>
      <w:sz w:val="28"/>
      <w:szCs w:val="28"/>
      <w:lang w:val="en-US"/>
    </w:rPr>
  </w:style>
  <w:style w:type="paragraph" w:customStyle="1" w:styleId="100">
    <w:name w:val="font11"/>
    <w:basedOn w:val="1"/>
    <w:qFormat/>
    <w:uiPriority w:val="0"/>
    <w:pPr>
      <w:spacing w:before="100" w:beforeAutospacing="1" w:after="100" w:afterAutospacing="1" w:line="240" w:lineRule="auto"/>
    </w:pPr>
    <w:rPr>
      <w:rFonts w:ascii="Times New Roman" w:hAnsi="Times New Roman"/>
      <w:b/>
      <w:bCs/>
      <w:color w:val="000000"/>
      <w:sz w:val="24"/>
      <w:szCs w:val="24"/>
      <w:lang w:val="en-US"/>
    </w:rPr>
  </w:style>
  <w:style w:type="paragraph" w:customStyle="1" w:styleId="101">
    <w:name w:val="font12"/>
    <w:basedOn w:val="1"/>
    <w:qFormat/>
    <w:uiPriority w:val="0"/>
    <w:pPr>
      <w:spacing w:before="100" w:beforeAutospacing="1" w:after="100" w:afterAutospacing="1" w:line="240" w:lineRule="auto"/>
    </w:pPr>
    <w:rPr>
      <w:rFonts w:ascii="宋体" w:hAnsi="宋体" w:cs="宋体"/>
      <w:sz w:val="18"/>
      <w:szCs w:val="18"/>
      <w:lang w:val="en-US"/>
    </w:rPr>
  </w:style>
  <w:style w:type="paragraph" w:customStyle="1" w:styleId="102">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sz w:val="20"/>
      <w:szCs w:val="20"/>
      <w:lang w:val="en-US"/>
    </w:rPr>
  </w:style>
  <w:style w:type="paragraph" w:customStyle="1" w:styleId="103">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olor w:val="000000"/>
      <w:sz w:val="20"/>
      <w:szCs w:val="20"/>
      <w:lang w:val="en-US"/>
    </w:rPr>
  </w:style>
  <w:style w:type="paragraph" w:customStyle="1" w:styleId="104">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sz w:val="20"/>
      <w:szCs w:val="20"/>
      <w:lang w:val="en-US"/>
    </w:rPr>
  </w:style>
  <w:style w:type="paragraph" w:customStyle="1" w:styleId="105">
    <w:name w:val="xl70"/>
    <w:basedOn w:val="1"/>
    <w:qFormat/>
    <w:uiPriority w:val="0"/>
    <w:pPr>
      <w:pBdr>
        <w:top w:val="single" w:color="auto" w:sz="4" w:space="0"/>
        <w:left w:val="single" w:color="auto" w:sz="4" w:space="0"/>
        <w:bottom w:val="single" w:color="auto" w:sz="4" w:space="0"/>
      </w:pBdr>
      <w:spacing w:before="100" w:beforeAutospacing="1" w:after="100" w:afterAutospacing="1" w:line="240" w:lineRule="auto"/>
    </w:pPr>
    <w:rPr>
      <w:rFonts w:ascii="Times New Roman" w:hAnsi="Times New Roman"/>
      <w:b/>
      <w:bCs/>
      <w:sz w:val="28"/>
      <w:szCs w:val="28"/>
      <w:lang w:val="en-US"/>
    </w:rPr>
  </w:style>
  <w:style w:type="paragraph" w:customStyle="1" w:styleId="106">
    <w:name w:val="xl74"/>
    <w:basedOn w:val="1"/>
    <w:qFormat/>
    <w:uiPriority w:val="0"/>
    <w:pPr>
      <w:pBdr>
        <w:left w:val="single" w:color="auto" w:sz="4" w:space="0"/>
        <w:right w:val="single" w:color="auto" w:sz="4" w:space="0"/>
      </w:pBdr>
      <w:spacing w:before="100" w:beforeAutospacing="1" w:after="100" w:afterAutospacing="1" w:line="240" w:lineRule="auto"/>
      <w:jc w:val="center"/>
    </w:pPr>
    <w:rPr>
      <w:rFonts w:ascii="Times New Roman" w:hAnsi="Times New Roman"/>
      <w:sz w:val="20"/>
      <w:szCs w:val="20"/>
      <w:lang w:val="en-US"/>
    </w:rPr>
  </w:style>
  <w:style w:type="paragraph" w:customStyle="1" w:styleId="107">
    <w:name w:val="xl75"/>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sz w:val="20"/>
      <w:szCs w:val="20"/>
      <w:lang w:val="en-US"/>
    </w:rPr>
  </w:style>
  <w:style w:type="paragraph" w:customStyle="1" w:styleId="108">
    <w:name w:val="xl76"/>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仿宋_GB2312" w:hAnsi="宋体" w:eastAsia="仿宋_GB2312" w:cs="宋体"/>
      <w:color w:val="000000"/>
      <w:sz w:val="20"/>
      <w:szCs w:val="20"/>
      <w:lang w:val="en-US"/>
    </w:rPr>
  </w:style>
  <w:style w:type="character" w:customStyle="1" w:styleId="109">
    <w:name w:val="标书正文格式 Char Char Char"/>
    <w:link w:val="110"/>
    <w:qFormat/>
    <w:locked/>
    <w:uiPriority w:val="0"/>
    <w:rPr>
      <w:rFonts w:ascii="楷体_GB2312" w:eastAsia="楷体_GB2312"/>
      <w:kern w:val="2"/>
      <w:sz w:val="24"/>
      <w:szCs w:val="22"/>
      <w:lang w:val="en-US" w:eastAsia="zh-CN" w:bidi="ar-SA"/>
    </w:rPr>
  </w:style>
  <w:style w:type="paragraph" w:customStyle="1" w:styleId="110">
    <w:name w:val="标书正文格式 Char Char"/>
    <w:link w:val="109"/>
    <w:qFormat/>
    <w:uiPriority w:val="0"/>
    <w:pPr>
      <w:spacing w:line="360" w:lineRule="auto"/>
      <w:ind w:firstLine="200" w:firstLineChars="200"/>
    </w:pPr>
    <w:rPr>
      <w:rFonts w:ascii="楷体_GB2312" w:hAnsi="Calibri" w:eastAsia="楷体_GB2312" w:cs="Times New Roman"/>
      <w:kern w:val="2"/>
      <w:sz w:val="24"/>
      <w:szCs w:val="22"/>
      <w:lang w:val="en-US" w:eastAsia="zh-CN" w:bidi="ar-SA"/>
    </w:rPr>
  </w:style>
  <w:style w:type="character" w:customStyle="1" w:styleId="111">
    <w:name w:val="段 Char"/>
    <w:link w:val="112"/>
    <w:qFormat/>
    <w:locked/>
    <w:uiPriority w:val="0"/>
    <w:rPr>
      <w:rFonts w:ascii="Arial" w:hAnsi="Arial" w:cs="Arial"/>
      <w:spacing w:val="20"/>
      <w:sz w:val="24"/>
    </w:rPr>
  </w:style>
  <w:style w:type="paragraph" w:customStyle="1" w:styleId="112">
    <w:name w:val="段"/>
    <w:basedOn w:val="1"/>
    <w:link w:val="111"/>
    <w:qFormat/>
    <w:uiPriority w:val="0"/>
    <w:pPr>
      <w:widowControl w:val="0"/>
      <w:spacing w:after="120" w:line="360" w:lineRule="auto"/>
      <w:ind w:firstLine="480" w:firstLineChars="200"/>
      <w:jc w:val="both"/>
    </w:pPr>
    <w:rPr>
      <w:rFonts w:ascii="Arial" w:hAnsi="Arial"/>
      <w:spacing w:val="20"/>
      <w:sz w:val="24"/>
      <w:szCs w:val="20"/>
    </w:rPr>
  </w:style>
  <w:style w:type="character" w:customStyle="1" w:styleId="113">
    <w:name w:val="样式 段 + 黑色 Char"/>
    <w:link w:val="114"/>
    <w:qFormat/>
    <w:locked/>
    <w:uiPriority w:val="0"/>
    <w:rPr>
      <w:rFonts w:ascii="Arial" w:hAnsi="Arial" w:cs="Arial"/>
      <w:color w:val="000000"/>
      <w:spacing w:val="20"/>
      <w:sz w:val="24"/>
    </w:rPr>
  </w:style>
  <w:style w:type="paragraph" w:customStyle="1" w:styleId="114">
    <w:name w:val="样式 段 + 黑色"/>
    <w:basedOn w:val="112"/>
    <w:link w:val="113"/>
    <w:qFormat/>
    <w:uiPriority w:val="0"/>
    <w:pPr>
      <w:spacing w:after="0"/>
      <w:ind w:firstLine="200"/>
    </w:pPr>
    <w:rPr>
      <w:color w:val="000000"/>
    </w:rPr>
  </w:style>
  <w:style w:type="paragraph" w:customStyle="1" w:styleId="115">
    <w:name w:val="样式 段 + 首行缩进:  2 字符"/>
    <w:basedOn w:val="112"/>
    <w:qFormat/>
    <w:uiPriority w:val="0"/>
    <w:pPr>
      <w:spacing w:after="0"/>
      <w:ind w:firstLine="560"/>
    </w:pPr>
    <w:rPr>
      <w:rFonts w:cs="宋体"/>
    </w:rPr>
  </w:style>
  <w:style w:type="character" w:customStyle="1" w:styleId="116">
    <w:name w:val="科东_正文 Char"/>
    <w:link w:val="117"/>
    <w:qFormat/>
    <w:locked/>
    <w:uiPriority w:val="0"/>
    <w:rPr>
      <w:sz w:val="24"/>
      <w:szCs w:val="24"/>
    </w:rPr>
  </w:style>
  <w:style w:type="paragraph" w:customStyle="1" w:styleId="117">
    <w:name w:val="科东_正文"/>
    <w:basedOn w:val="1"/>
    <w:link w:val="116"/>
    <w:qFormat/>
    <w:uiPriority w:val="0"/>
    <w:pPr>
      <w:widowControl w:val="0"/>
      <w:spacing w:after="0" w:line="360" w:lineRule="auto"/>
      <w:ind w:firstLine="200" w:firstLineChars="200"/>
      <w:jc w:val="both"/>
    </w:pPr>
    <w:rPr>
      <w:sz w:val="24"/>
      <w:szCs w:val="24"/>
    </w:rPr>
  </w:style>
  <w:style w:type="character" w:customStyle="1" w:styleId="118">
    <w:name w:val="文字 Char"/>
    <w:link w:val="119"/>
    <w:qFormat/>
    <w:locked/>
    <w:uiPriority w:val="0"/>
    <w:rPr>
      <w:rFonts w:ascii="宋体" w:hAnsi="宋体"/>
      <w:sz w:val="28"/>
    </w:rPr>
  </w:style>
  <w:style w:type="paragraph" w:customStyle="1" w:styleId="119">
    <w:name w:val="文字"/>
    <w:basedOn w:val="1"/>
    <w:link w:val="118"/>
    <w:qFormat/>
    <w:uiPriority w:val="0"/>
    <w:pPr>
      <w:widowControl w:val="0"/>
      <w:tabs>
        <w:tab w:val="left" w:pos="8520"/>
      </w:tabs>
      <w:spacing w:after="0" w:line="312" w:lineRule="auto"/>
      <w:ind w:right="-210" w:firstLine="556"/>
      <w:jc w:val="both"/>
    </w:pPr>
    <w:rPr>
      <w:rFonts w:ascii="宋体" w:hAnsi="宋体"/>
      <w:sz w:val="28"/>
      <w:szCs w:val="20"/>
    </w:rPr>
  </w:style>
  <w:style w:type="character" w:customStyle="1" w:styleId="120">
    <w:name w:val="bb Char"/>
    <w:link w:val="121"/>
    <w:qFormat/>
    <w:locked/>
    <w:uiPriority w:val="0"/>
    <w:rPr>
      <w:rFonts w:ascii="宋体" w:hAnsi="宋体"/>
      <w:b/>
      <w:color w:val="000000"/>
      <w:szCs w:val="21"/>
    </w:rPr>
  </w:style>
  <w:style w:type="paragraph" w:customStyle="1" w:styleId="121">
    <w:name w:val="bb"/>
    <w:basedOn w:val="4"/>
    <w:link w:val="120"/>
    <w:qFormat/>
    <w:uiPriority w:val="0"/>
    <w:pPr>
      <w:keepLines/>
      <w:widowControl w:val="0"/>
      <w:spacing w:before="260" w:after="260" w:line="240" w:lineRule="auto"/>
      <w:jc w:val="both"/>
    </w:pPr>
    <w:rPr>
      <w:rFonts w:ascii="宋体" w:hAnsi="宋体"/>
      <w:bCs w:val="0"/>
      <w:color w:val="000000"/>
      <w:sz w:val="20"/>
      <w:szCs w:val="21"/>
    </w:rPr>
  </w:style>
  <w:style w:type="character" w:customStyle="1" w:styleId="122">
    <w:name w:val="文字 Char Char Char Char"/>
    <w:link w:val="123"/>
    <w:qFormat/>
    <w:locked/>
    <w:uiPriority w:val="0"/>
    <w:rPr>
      <w:rFonts w:ascii="宋体" w:hAnsi="宋体"/>
      <w:sz w:val="28"/>
    </w:rPr>
  </w:style>
  <w:style w:type="paragraph" w:customStyle="1" w:styleId="123">
    <w:name w:val="文字 Char Char Char"/>
    <w:basedOn w:val="1"/>
    <w:link w:val="122"/>
    <w:qFormat/>
    <w:uiPriority w:val="0"/>
    <w:pPr>
      <w:widowControl w:val="0"/>
      <w:tabs>
        <w:tab w:val="left" w:pos="8520"/>
      </w:tabs>
      <w:spacing w:after="0" w:line="312" w:lineRule="auto"/>
      <w:ind w:right="-210" w:firstLine="556"/>
      <w:jc w:val="both"/>
    </w:pPr>
    <w:rPr>
      <w:rFonts w:ascii="宋体" w:hAnsi="宋体"/>
      <w:sz w:val="28"/>
      <w:szCs w:val="20"/>
    </w:rPr>
  </w:style>
  <w:style w:type="character" w:customStyle="1" w:styleId="124">
    <w:name w:val="aaa Char"/>
    <w:link w:val="125"/>
    <w:qFormat/>
    <w:locked/>
    <w:uiPriority w:val="0"/>
    <w:rPr>
      <w:sz w:val="28"/>
      <w:szCs w:val="84"/>
    </w:rPr>
  </w:style>
  <w:style w:type="paragraph" w:customStyle="1" w:styleId="125">
    <w:name w:val="aaa"/>
    <w:basedOn w:val="1"/>
    <w:link w:val="124"/>
    <w:qFormat/>
    <w:uiPriority w:val="0"/>
    <w:pPr>
      <w:widowControl w:val="0"/>
      <w:spacing w:after="0" w:line="360" w:lineRule="auto"/>
      <w:jc w:val="both"/>
    </w:pPr>
    <w:rPr>
      <w:sz w:val="28"/>
      <w:szCs w:val="84"/>
    </w:rPr>
  </w:style>
  <w:style w:type="paragraph" w:customStyle="1" w:styleId="126">
    <w:name w:val="样式 行距: 1.5 倍行距"/>
    <w:basedOn w:val="1"/>
    <w:qFormat/>
    <w:uiPriority w:val="0"/>
    <w:pPr>
      <w:widowControl w:val="0"/>
      <w:spacing w:after="0" w:line="360" w:lineRule="auto"/>
      <w:ind w:firstLine="480" w:firstLineChars="200"/>
    </w:pPr>
    <w:rPr>
      <w:rFonts w:ascii="宋体" w:hAnsi="宋体" w:cs="宋体"/>
      <w:sz w:val="24"/>
      <w:szCs w:val="20"/>
      <w:lang w:val="en-US"/>
    </w:rPr>
  </w:style>
  <w:style w:type="paragraph" w:customStyle="1" w:styleId="127">
    <w:name w:val="Char1 Char Char Char Char Char1 Char Char Char Char"/>
    <w:basedOn w:val="1"/>
    <w:qFormat/>
    <w:uiPriority w:val="0"/>
    <w:pPr>
      <w:widowControl w:val="0"/>
      <w:spacing w:after="0" w:line="240" w:lineRule="auto"/>
      <w:jc w:val="both"/>
    </w:pPr>
    <w:rPr>
      <w:rFonts w:ascii="Times New Roman" w:hAnsi="Times New Roman"/>
      <w:kern w:val="2"/>
      <w:sz w:val="21"/>
      <w:szCs w:val="24"/>
      <w:lang w:val="en-US"/>
    </w:rPr>
  </w:style>
  <w:style w:type="paragraph" w:customStyle="1" w:styleId="128">
    <w:name w:val="样式1"/>
    <w:basedOn w:val="5"/>
    <w:next w:val="1"/>
    <w:qFormat/>
    <w:uiPriority w:val="0"/>
    <w:pPr>
      <w:keepLines/>
      <w:widowControl w:val="0"/>
      <w:spacing w:beforeLines="50" w:afterLines="50" w:line="360" w:lineRule="auto"/>
      <w:jc w:val="both"/>
    </w:pPr>
    <w:rPr>
      <w:rFonts w:ascii="Arial" w:hAnsi="Arial" w:eastAsia="黑体"/>
      <w:b w:val="0"/>
      <w:bCs w:val="0"/>
      <w:kern w:val="2"/>
      <w:sz w:val="24"/>
      <w:lang w:val="en-US"/>
    </w:rPr>
  </w:style>
  <w:style w:type="paragraph" w:customStyle="1" w:styleId="129">
    <w:name w:val="样式5"/>
    <w:basedOn w:val="1"/>
    <w:qFormat/>
    <w:uiPriority w:val="0"/>
    <w:pPr>
      <w:autoSpaceDE w:val="0"/>
      <w:autoSpaceDN w:val="0"/>
      <w:adjustRightInd w:val="0"/>
      <w:spacing w:before="120" w:after="120" w:line="240" w:lineRule="atLeast"/>
    </w:pPr>
    <w:rPr>
      <w:rFonts w:ascii="宋体" w:hAnsi="Times New Roman"/>
      <w:spacing w:val="14"/>
      <w:sz w:val="20"/>
      <w:szCs w:val="20"/>
      <w:lang w:val="en-US"/>
    </w:rPr>
  </w:style>
  <w:style w:type="paragraph" w:customStyle="1" w:styleId="130">
    <w:name w:val="Char Char Char"/>
    <w:basedOn w:val="1"/>
    <w:qFormat/>
    <w:uiPriority w:val="0"/>
    <w:pPr>
      <w:widowControl w:val="0"/>
      <w:spacing w:after="0" w:line="240" w:lineRule="auto"/>
      <w:jc w:val="both"/>
    </w:pPr>
    <w:rPr>
      <w:rFonts w:ascii="Times New Roman" w:hAnsi="Times New Roman"/>
      <w:kern w:val="2"/>
      <w:sz w:val="24"/>
      <w:szCs w:val="24"/>
      <w:lang w:val="en-US"/>
    </w:rPr>
  </w:style>
  <w:style w:type="paragraph" w:customStyle="1" w:styleId="131">
    <w:name w:val="样式3"/>
    <w:basedOn w:val="1"/>
    <w:qFormat/>
    <w:uiPriority w:val="0"/>
    <w:pPr>
      <w:autoSpaceDE w:val="0"/>
      <w:autoSpaceDN w:val="0"/>
      <w:adjustRightInd w:val="0"/>
      <w:spacing w:before="120" w:after="120" w:line="260" w:lineRule="exact"/>
    </w:pPr>
    <w:rPr>
      <w:rFonts w:ascii="宋体" w:hAnsi="Times New Roman"/>
      <w:spacing w:val="12"/>
      <w:sz w:val="20"/>
      <w:szCs w:val="20"/>
      <w:lang w:val="en-US"/>
    </w:rPr>
  </w:style>
  <w:style w:type="paragraph" w:customStyle="1" w:styleId="132">
    <w:name w:val="标准"/>
    <w:basedOn w:val="1"/>
    <w:qFormat/>
    <w:uiPriority w:val="0"/>
    <w:pPr>
      <w:widowControl w:val="0"/>
      <w:adjustRightInd w:val="0"/>
      <w:spacing w:after="0" w:line="312" w:lineRule="atLeast"/>
      <w:jc w:val="center"/>
    </w:pPr>
    <w:rPr>
      <w:rFonts w:ascii="Times New Roman" w:hAnsi="Times New Roman"/>
      <w:sz w:val="21"/>
      <w:szCs w:val="21"/>
      <w:lang w:val="en-US"/>
    </w:rPr>
  </w:style>
  <w:style w:type="character" w:customStyle="1" w:styleId="133">
    <w:name w:val="Subtle Emphasis"/>
    <w:qFormat/>
    <w:uiPriority w:val="0"/>
    <w:rPr>
      <w:i/>
      <w:iCs/>
      <w:color w:val="808080"/>
    </w:rPr>
  </w:style>
  <w:style w:type="character" w:customStyle="1" w:styleId="134">
    <w:name w:val="Intense Emphasis"/>
    <w:qFormat/>
    <w:uiPriority w:val="0"/>
    <w:rPr>
      <w:b/>
      <w:bCs/>
      <w:i/>
      <w:iCs/>
      <w:color w:val="4F81BD"/>
    </w:rPr>
  </w:style>
  <w:style w:type="character" w:customStyle="1" w:styleId="135">
    <w:name w:val="Subtle Reference"/>
    <w:qFormat/>
    <w:uiPriority w:val="0"/>
    <w:rPr>
      <w:smallCaps/>
      <w:color w:val="C0504D"/>
      <w:u w:val="single"/>
    </w:rPr>
  </w:style>
  <w:style w:type="character" w:customStyle="1" w:styleId="136">
    <w:name w:val="Intense Reference"/>
    <w:qFormat/>
    <w:uiPriority w:val="0"/>
    <w:rPr>
      <w:b/>
      <w:bCs/>
      <w:smallCaps/>
      <w:color w:val="C0504D"/>
      <w:spacing w:val="5"/>
      <w:u w:val="single"/>
    </w:rPr>
  </w:style>
  <w:style w:type="character" w:customStyle="1" w:styleId="137">
    <w:name w:val="Book Title"/>
    <w:qFormat/>
    <w:uiPriority w:val="0"/>
    <w:rPr>
      <w:b/>
      <w:bCs/>
      <w:smallCaps/>
      <w:spacing w:val="5"/>
    </w:rPr>
  </w:style>
  <w:style w:type="character" w:customStyle="1" w:styleId="138">
    <w:name w:val="Char Char17"/>
    <w:uiPriority w:val="0"/>
    <w:rPr>
      <w:rFonts w:hint="default" w:ascii="Times New Roman" w:hAnsi="Times New Roman" w:eastAsia="宋体" w:cs="Times New Roman"/>
      <w:b/>
      <w:bCs/>
      <w:sz w:val="24"/>
      <w:szCs w:val="26"/>
    </w:rPr>
  </w:style>
  <w:style w:type="character" w:customStyle="1" w:styleId="139">
    <w:name w:val="Char Char16"/>
    <w:uiPriority w:val="0"/>
    <w:rPr>
      <w:rFonts w:hint="default" w:ascii="Cambria" w:hAnsi="Cambria" w:eastAsia="宋体" w:cs="Times New Roman"/>
      <w:b/>
      <w:bCs/>
      <w:color w:val="000000"/>
    </w:rPr>
  </w:style>
  <w:style w:type="character" w:customStyle="1" w:styleId="140">
    <w:name w:val="Char Char15"/>
    <w:uiPriority w:val="0"/>
    <w:rPr>
      <w:rFonts w:hint="default" w:ascii="Cambria" w:hAnsi="Cambria" w:eastAsia="宋体" w:cs="Times New Roman"/>
      <w:b/>
      <w:bCs/>
      <w:i/>
      <w:iCs/>
      <w:color w:val="4F81BD"/>
    </w:rPr>
  </w:style>
  <w:style w:type="character" w:customStyle="1" w:styleId="141">
    <w:name w:val="red12"/>
    <w:basedOn w:val="37"/>
    <w:qFormat/>
    <w:uiPriority w:val="0"/>
  </w:style>
  <w:style w:type="character" w:customStyle="1" w:styleId="142">
    <w:name w:val="z-窗体顶端 Char"/>
    <w:link w:val="143"/>
    <w:semiHidden/>
    <w:qFormat/>
    <w:uiPriority w:val="0"/>
    <w:rPr>
      <w:rFonts w:ascii="Arial" w:hAnsi="Arial" w:cs="Arial"/>
      <w:vanish/>
      <w:kern w:val="2"/>
      <w:sz w:val="16"/>
      <w:szCs w:val="16"/>
    </w:rPr>
  </w:style>
  <w:style w:type="paragraph" w:customStyle="1" w:styleId="143">
    <w:name w:val="HTML Top of Form"/>
    <w:basedOn w:val="1"/>
    <w:next w:val="1"/>
    <w:link w:val="142"/>
    <w:semiHidden/>
    <w:unhideWhenUsed/>
    <w:qFormat/>
    <w:uiPriority w:val="0"/>
    <w:pPr>
      <w:widowControl w:val="0"/>
      <w:pBdr>
        <w:bottom w:val="single" w:color="auto" w:sz="6" w:space="1"/>
      </w:pBdr>
      <w:spacing w:after="0" w:line="240" w:lineRule="auto"/>
      <w:jc w:val="center"/>
    </w:pPr>
    <w:rPr>
      <w:rFonts w:ascii="Arial" w:hAnsi="Arial"/>
      <w:vanish/>
      <w:kern w:val="2"/>
      <w:sz w:val="16"/>
      <w:szCs w:val="16"/>
    </w:rPr>
  </w:style>
  <w:style w:type="character" w:customStyle="1" w:styleId="144">
    <w:name w:val="z-窗体底端 Char"/>
    <w:link w:val="145"/>
    <w:semiHidden/>
    <w:qFormat/>
    <w:uiPriority w:val="0"/>
    <w:rPr>
      <w:rFonts w:ascii="Arial" w:hAnsi="Arial" w:cs="Arial"/>
      <w:vanish/>
      <w:kern w:val="2"/>
      <w:sz w:val="16"/>
      <w:szCs w:val="16"/>
    </w:rPr>
  </w:style>
  <w:style w:type="paragraph" w:customStyle="1" w:styleId="145">
    <w:name w:val="HTML Bottom of Form"/>
    <w:basedOn w:val="1"/>
    <w:next w:val="1"/>
    <w:link w:val="144"/>
    <w:semiHidden/>
    <w:unhideWhenUsed/>
    <w:qFormat/>
    <w:uiPriority w:val="0"/>
    <w:pPr>
      <w:widowControl w:val="0"/>
      <w:pBdr>
        <w:top w:val="single" w:color="auto" w:sz="6" w:space="1"/>
      </w:pBdr>
      <w:spacing w:after="0" w:line="240" w:lineRule="auto"/>
      <w:jc w:val="center"/>
    </w:pPr>
    <w:rPr>
      <w:rFonts w:ascii="Arial" w:hAnsi="Arial"/>
      <w:vanish/>
      <w:kern w:val="2"/>
      <w:sz w:val="16"/>
      <w:szCs w:val="16"/>
    </w:rPr>
  </w:style>
  <w:style w:type="paragraph" w:customStyle="1" w:styleId="146">
    <w:name w:val="列表 a）"/>
    <w:basedOn w:val="112"/>
    <w:qFormat/>
    <w:uiPriority w:val="0"/>
    <w:pPr>
      <w:tabs>
        <w:tab w:val="left" w:pos="360"/>
        <w:tab w:val="left" w:pos="420"/>
      </w:tabs>
      <w:spacing w:line="240" w:lineRule="auto"/>
      <w:ind w:left="420" w:hanging="420" w:firstLineChars="0"/>
    </w:pPr>
    <w:rPr>
      <w:rFonts w:ascii="Times New Roman" w:hAnsi="Times New Roman"/>
      <w:sz w:val="18"/>
    </w:rPr>
  </w:style>
  <w:style w:type="paragraph" w:customStyle="1" w:styleId="14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8">
    <w:name w:val="p16"/>
    <w:basedOn w:val="1"/>
    <w:qFormat/>
    <w:uiPriority w:val="0"/>
    <w:pPr>
      <w:spacing w:before="156" w:after="0" w:line="240" w:lineRule="auto"/>
      <w:jc w:val="both"/>
    </w:pPr>
    <w:rPr>
      <w:rFonts w:cs="宋体"/>
      <w:sz w:val="21"/>
      <w:szCs w:val="21"/>
      <w:lang w:val="en-US"/>
    </w:rPr>
  </w:style>
  <w:style w:type="paragraph" w:customStyle="1" w:styleId="149">
    <w:name w:val="p17"/>
    <w:basedOn w:val="1"/>
    <w:qFormat/>
    <w:uiPriority w:val="0"/>
    <w:pPr>
      <w:spacing w:before="240" w:after="0" w:line="240" w:lineRule="auto"/>
      <w:ind w:left="851" w:right="850" w:hanging="851"/>
      <w:jc w:val="both"/>
    </w:pPr>
    <w:rPr>
      <w:rFonts w:ascii="Arial" w:hAnsi="Arial" w:cs="Arial"/>
      <w:caps/>
      <w:lang w:val="en-US"/>
    </w:rPr>
  </w:style>
  <w:style w:type="paragraph" w:customStyle="1" w:styleId="150">
    <w:name w:val="p20"/>
    <w:basedOn w:val="1"/>
    <w:qFormat/>
    <w:uiPriority w:val="0"/>
    <w:pPr>
      <w:spacing w:line="273" w:lineRule="auto"/>
      <w:ind w:left="720"/>
    </w:pPr>
    <w:rPr>
      <w:rFonts w:cs="宋体"/>
      <w:lang w:val="en-US"/>
    </w:rPr>
  </w:style>
  <w:style w:type="character" w:customStyle="1" w:styleId="151">
    <w:name w:val="脚注文本 Char"/>
    <w:basedOn w:val="37"/>
    <w:link w:val="27"/>
    <w:qFormat/>
    <w:uiPriority w:val="0"/>
    <w:rPr>
      <w:kern w:val="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chart" Target="charts/chart10.xml"/><Relationship Id="rId30" Type="http://schemas.openxmlformats.org/officeDocument/2006/relationships/chart" Target="charts/chart9.xml"/><Relationship Id="rId3" Type="http://schemas.openxmlformats.org/officeDocument/2006/relationships/footnotes" Target="footnotes.xml"/><Relationship Id="rId29" Type="http://schemas.openxmlformats.org/officeDocument/2006/relationships/chart" Target="charts/chart8.xml"/><Relationship Id="rId28" Type="http://schemas.openxmlformats.org/officeDocument/2006/relationships/chart" Target="charts/chart7.xml"/><Relationship Id="rId27" Type="http://schemas.openxmlformats.org/officeDocument/2006/relationships/chart" Target="charts/chart6.xml"/><Relationship Id="rId26" Type="http://schemas.openxmlformats.org/officeDocument/2006/relationships/chart" Target="charts/chart5.xml"/><Relationship Id="rId25" Type="http://schemas.openxmlformats.org/officeDocument/2006/relationships/chart" Target="charts/chart4.xml"/><Relationship Id="rId24" Type="http://schemas.openxmlformats.org/officeDocument/2006/relationships/chart" Target="charts/chart3.xml"/><Relationship Id="rId23" Type="http://schemas.openxmlformats.org/officeDocument/2006/relationships/chart" Target="charts/chart2.xml"/><Relationship Id="rId22" Type="http://schemas.openxmlformats.org/officeDocument/2006/relationships/chart" Target="charts/chart1.xml"/><Relationship Id="rId21" Type="http://schemas.openxmlformats.org/officeDocument/2006/relationships/image" Target="media/image2.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1.wmf"/><Relationship Id="rId18" Type="http://schemas.openxmlformats.org/officeDocument/2006/relationships/oleObject" Target="embeddings/oleObject1.bin"/><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26032;&#24314;%20XLS%20&#24037;&#20316;&#34920;.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in\Desktop\&#26032;&#24314;%20XLS%20&#24037;&#20316;&#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26032;&#24314;%20XLS%20&#24037;&#20316;&#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26032;&#24314;%20XLS%20&#24037;&#20316;&#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esktop\&#26032;&#24314;%20XLS%20&#24037;&#20316;&#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esktop\&#26032;&#24314;%20XLS%20&#24037;&#20316;&#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esktop\&#26032;&#24314;%20XLS%20&#24037;&#20316;&#3492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Desktop\&#26032;&#24314;%20XLS%20&#24037;&#20316;&#34920;.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Desktop\&#26032;&#24314;%20XLS%20&#24037;&#20316;&#34920;.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 工作表.xls]Sheet1'!$D$53</c:f>
              <c:strCache>
                <c:ptCount val="1"/>
                <c:pt idx="0">
                  <c:v>直接排放量（tCO2）</c:v>
                </c:pt>
              </c:strCache>
            </c:strRef>
          </c:tx>
          <c:spPr>
            <a:ln w="28575" cap="rnd" cmpd="sng" algn="ctr">
              <a:solidFill>
                <a:srgbClr val="4F81B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500</c:v>
                </c:pt>
                <c:pt idx="1">
                  <c:v>3000</c:v>
                </c:pt>
                <c:pt idx="2">
                  <c:v>3500</c:v>
                </c:pt>
                <c:pt idx="3">
                  <c:v>4500</c:v>
                </c:pt>
              </c:numCache>
            </c:numRef>
          </c:val>
          <c:smooth val="0"/>
        </c:ser>
        <c:ser>
          <c:idx val="1"/>
          <c:order val="1"/>
          <c:tx>
            <c:strRef>
              <c:f>'[新建 XLS 工作表.xls]Sheet1'!$E$53</c:f>
              <c:strCache>
                <c:ptCount val="1"/>
                <c:pt idx="0">
                  <c:v>间接排放量（tCO2）</c:v>
                </c:pt>
              </c:strCache>
            </c:strRef>
          </c:tx>
          <c:spPr>
            <a:ln w="28575" cap="rnd" cmpd="sng" algn="ctr">
              <a:solidFill>
                <a:srgbClr val="C0504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14297</c:v>
                </c:pt>
                <c:pt idx="1">
                  <c:v>13643</c:v>
                </c:pt>
                <c:pt idx="2">
                  <c:v>13500</c:v>
                </c:pt>
                <c:pt idx="3">
                  <c:v>13600</c:v>
                </c:pt>
              </c:numCache>
            </c:numRef>
          </c:val>
          <c:smooth val="0"/>
        </c:ser>
        <c:ser>
          <c:idx val="2"/>
          <c:order val="2"/>
          <c:tx>
            <c:strRef>
              <c:f>'[新建 XLS 工作表.xls]Sheet1'!$F$53</c:f>
              <c:strCache>
                <c:ptCount val="1"/>
                <c:pt idx="0">
                  <c:v>排放总量（tCO2）</c:v>
                </c:pt>
              </c:strCache>
            </c:strRef>
          </c:tx>
          <c:spPr>
            <a:ln w="28575" cap="rnd" cmpd="sng" algn="ctr">
              <a:solidFill>
                <a:srgbClr val="9BBB59"/>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General</c:formatCode>
                <c:ptCount val="4"/>
                <c:pt idx="0">
                  <c:v>14797</c:v>
                </c:pt>
                <c:pt idx="1">
                  <c:v>16643</c:v>
                </c:pt>
                <c:pt idx="2">
                  <c:v>17000</c:v>
                </c:pt>
                <c:pt idx="3">
                  <c:v>18100</c:v>
                </c:pt>
              </c:numCache>
            </c:numRef>
          </c:val>
          <c:smooth val="0"/>
        </c:ser>
        <c:dLbls>
          <c:showLegendKey val="0"/>
          <c:showVal val="0"/>
          <c:showCatName val="0"/>
          <c:showSerName val="0"/>
          <c:showPercent val="0"/>
          <c:showBubbleSize val="0"/>
        </c:dLbls>
        <c:marker val="0"/>
        <c:smooth val="0"/>
        <c:axId val="716362000"/>
        <c:axId val="716362392"/>
      </c:lineChart>
      <c:catAx>
        <c:axId val="716362000"/>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716362392"/>
        <c:crosses val="autoZero"/>
        <c:auto val="1"/>
        <c:lblAlgn val="ctr"/>
        <c:lblOffset val="100"/>
        <c:noMultiLvlLbl val="0"/>
      </c:catAx>
      <c:valAx>
        <c:axId val="716362392"/>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71636200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extLst>
      <c:ext uri="{0b15fc19-7d7d-44ad-8c2d-2c3a37ce22c3}">
        <chartProps xmlns="https://web.wps.cn/et/2018/main" chartId="{e17c94cb-3a69-48d0-9ce7-e130802f4398}"/>
      </c:ext>
    </c:extLst>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 工作表.xls]Sheet1'!$D$53</c:f>
              <c:strCache>
                <c:ptCount val="1"/>
                <c:pt idx="0">
                  <c:v>直接排放量（tCO2）</c:v>
                </c:pt>
              </c:strCache>
            </c:strRef>
          </c:tx>
          <c:spPr>
            <a:ln w="28575" cap="rnd" cmpd="sng" algn="ctr">
              <a:solidFill>
                <a:srgbClr val="4F81B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3442.68</c:v>
                </c:pt>
                <c:pt idx="1">
                  <c:v>3522.33</c:v>
                </c:pt>
                <c:pt idx="2">
                  <c:v>3657.33</c:v>
                </c:pt>
                <c:pt idx="3">
                  <c:v>4306.14</c:v>
                </c:pt>
              </c:numCache>
            </c:numRef>
          </c:val>
          <c:smooth val="0"/>
        </c:ser>
        <c:ser>
          <c:idx val="1"/>
          <c:order val="1"/>
          <c:tx>
            <c:strRef>
              <c:f>'[新建 XLS 工作表.xls]Sheet1'!$E$53</c:f>
              <c:strCache>
                <c:ptCount val="1"/>
                <c:pt idx="0">
                  <c:v>间接排放量（tCO2）</c:v>
                </c:pt>
              </c:strCache>
            </c:strRef>
          </c:tx>
          <c:spPr>
            <a:ln w="28575" cap="rnd" cmpd="sng" algn="ctr">
              <a:solidFill>
                <a:srgbClr val="C0504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3824.26</c:v>
                </c:pt>
                <c:pt idx="1">
                  <c:v>4114.26</c:v>
                </c:pt>
                <c:pt idx="2">
                  <c:v>4404.26</c:v>
                </c:pt>
                <c:pt idx="3">
                  <c:v>5567.87</c:v>
                </c:pt>
              </c:numCache>
            </c:numRef>
          </c:val>
          <c:smooth val="0"/>
        </c:ser>
        <c:ser>
          <c:idx val="2"/>
          <c:order val="2"/>
          <c:tx>
            <c:strRef>
              <c:f>'[新建 XLS 工作表.xls]Sheet1'!$F$53</c:f>
              <c:strCache>
                <c:ptCount val="1"/>
                <c:pt idx="0">
                  <c:v>排放总量（tCO2）</c:v>
                </c:pt>
              </c:strCache>
            </c:strRef>
          </c:tx>
          <c:spPr>
            <a:ln w="28575" cap="rnd" cmpd="sng" algn="ctr">
              <a:solidFill>
                <a:srgbClr val="9BBB59"/>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General</c:formatCode>
                <c:ptCount val="4"/>
                <c:pt idx="0">
                  <c:v>7266.93</c:v>
                </c:pt>
                <c:pt idx="1">
                  <c:v>7636.58</c:v>
                </c:pt>
                <c:pt idx="2">
                  <c:v>8061.58</c:v>
                </c:pt>
                <c:pt idx="3">
                  <c:v>9874.01</c:v>
                </c:pt>
              </c:numCache>
            </c:numRef>
          </c:val>
          <c:smooth val="0"/>
        </c:ser>
        <c:dLbls>
          <c:showLegendKey val="0"/>
          <c:showVal val="0"/>
          <c:showCatName val="0"/>
          <c:showSerName val="0"/>
          <c:showPercent val="0"/>
          <c:showBubbleSize val="0"/>
        </c:dLbls>
        <c:marker val="0"/>
        <c:smooth val="0"/>
        <c:axId val="703486216"/>
        <c:axId val="703486608"/>
      </c:lineChart>
      <c:catAx>
        <c:axId val="703486216"/>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703486608"/>
        <c:crosses val="autoZero"/>
        <c:auto val="1"/>
        <c:lblAlgn val="ctr"/>
        <c:lblOffset val="100"/>
        <c:noMultiLvlLbl val="0"/>
      </c:catAx>
      <c:valAx>
        <c:axId val="703486608"/>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70348621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extLst>
      <c:ext uri="{0b15fc19-7d7d-44ad-8c2d-2c3a37ce22c3}">
        <chartProps xmlns="https://web.wps.cn/et/2018/main" chartId="{f7717218-36cf-4212-a8de-1e8119b5b305}"/>
      </c:ext>
    </c:extLst>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 工作表.xls]Sheet1'!$D$53</c:f>
              <c:strCache>
                <c:ptCount val="1"/>
                <c:pt idx="0">
                  <c:v>直接排放量（tCO2）</c:v>
                </c:pt>
              </c:strCache>
            </c:strRef>
          </c:tx>
          <c:spPr>
            <a:ln w="28575" cap="rnd" cmpd="sng" algn="ctr">
              <a:solidFill>
                <a:srgbClr val="4F81B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229417.49</c:v>
                </c:pt>
                <c:pt idx="1">
                  <c:v>234417.49</c:v>
                </c:pt>
                <c:pt idx="2">
                  <c:v>244417.49</c:v>
                </c:pt>
                <c:pt idx="3">
                  <c:v>310424.18</c:v>
                </c:pt>
              </c:numCache>
            </c:numRef>
          </c:val>
          <c:smooth val="0"/>
        </c:ser>
        <c:ser>
          <c:idx val="1"/>
          <c:order val="1"/>
          <c:tx>
            <c:strRef>
              <c:f>'[新建 XLS 工作表.xls]Sheet1'!$E$53</c:f>
              <c:strCache>
                <c:ptCount val="1"/>
                <c:pt idx="0">
                  <c:v>间接排放量（tCO2）</c:v>
                </c:pt>
              </c:strCache>
            </c:strRef>
          </c:tx>
          <c:spPr>
            <a:ln w="28575" cap="rnd" cmpd="sng" algn="ctr">
              <a:solidFill>
                <a:srgbClr val="C0504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29003.31</c:v>
                </c:pt>
                <c:pt idx="1">
                  <c:v>30203.31</c:v>
                </c:pt>
                <c:pt idx="2">
                  <c:v>31003.31</c:v>
                </c:pt>
                <c:pt idx="3">
                  <c:v>36779.13</c:v>
                </c:pt>
              </c:numCache>
            </c:numRef>
          </c:val>
          <c:smooth val="0"/>
        </c:ser>
        <c:ser>
          <c:idx val="2"/>
          <c:order val="2"/>
          <c:tx>
            <c:strRef>
              <c:f>'[新建 XLS 工作表.xls]Sheet1'!$F$53</c:f>
              <c:strCache>
                <c:ptCount val="1"/>
                <c:pt idx="0">
                  <c:v>排放总量（tCO2）</c:v>
                </c:pt>
              </c:strCache>
            </c:strRef>
          </c:tx>
          <c:spPr>
            <a:ln w="28575" cap="rnd" cmpd="sng" algn="ctr">
              <a:solidFill>
                <a:srgbClr val="9BBB59"/>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0.00_ </c:formatCode>
                <c:ptCount val="4"/>
                <c:pt idx="0">
                  <c:v>258420.8</c:v>
                </c:pt>
                <c:pt idx="1">
                  <c:v>264620.8</c:v>
                </c:pt>
                <c:pt idx="2">
                  <c:v>275420.8</c:v>
                </c:pt>
                <c:pt idx="3" c:formatCode="General">
                  <c:v>347203.31</c:v>
                </c:pt>
              </c:numCache>
            </c:numRef>
          </c:val>
          <c:smooth val="0"/>
        </c:ser>
        <c:dLbls>
          <c:showLegendKey val="0"/>
          <c:showVal val="0"/>
          <c:showCatName val="0"/>
          <c:showSerName val="0"/>
          <c:showPercent val="0"/>
          <c:showBubbleSize val="0"/>
        </c:dLbls>
        <c:marker val="0"/>
        <c:smooth val="0"/>
        <c:axId val="716363176"/>
        <c:axId val="716363568"/>
      </c:lineChart>
      <c:catAx>
        <c:axId val="716363176"/>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716363568"/>
        <c:crosses val="autoZero"/>
        <c:auto val="1"/>
        <c:lblAlgn val="ctr"/>
        <c:lblOffset val="100"/>
        <c:noMultiLvlLbl val="0"/>
      </c:catAx>
      <c:valAx>
        <c:axId val="716363568"/>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7163631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extLst>
      <c:ext uri="{0b15fc19-7d7d-44ad-8c2d-2c3a37ce22c3}">
        <chartProps xmlns="https://web.wps.cn/et/2018/main" chartId="{27c06562-1cf9-4508-a849-46bab2266277}"/>
      </c:ext>
    </c:extLst>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 工作表.xls]Sheet1'!$D$53</c:f>
              <c:strCache>
                <c:ptCount val="1"/>
                <c:pt idx="0">
                  <c:v>直接排放量（tCO2）</c:v>
                </c:pt>
              </c:strCache>
            </c:strRef>
          </c:tx>
          <c:spPr>
            <a:ln w="28575" cap="rnd" cmpd="sng" algn="ctr">
              <a:solidFill>
                <a:srgbClr val="4F81B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1571714.26</c:v>
                </c:pt>
                <c:pt idx="1">
                  <c:v>1619714.26</c:v>
                </c:pt>
                <c:pt idx="2">
                  <c:v>2557554.58</c:v>
                </c:pt>
                <c:pt idx="3">
                  <c:v>2799714.26</c:v>
                </c:pt>
              </c:numCache>
            </c:numRef>
          </c:val>
          <c:smooth val="0"/>
        </c:ser>
        <c:ser>
          <c:idx val="1"/>
          <c:order val="1"/>
          <c:tx>
            <c:strRef>
              <c:f>'[新建 XLS 工作表.xls]Sheet1'!$E$53</c:f>
              <c:strCache>
                <c:ptCount val="1"/>
                <c:pt idx="0">
                  <c:v>间接排放量（tCO2）</c:v>
                </c:pt>
              </c:strCache>
            </c:strRef>
          </c:tx>
          <c:spPr>
            <a:ln w="28575" cap="rnd" cmpd="sng" algn="ctr">
              <a:solidFill>
                <a:srgbClr val="C0504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2688.38</c:v>
                </c:pt>
                <c:pt idx="1">
                  <c:v>2988.38</c:v>
                </c:pt>
                <c:pt idx="2">
                  <c:v>3388.38</c:v>
                </c:pt>
                <c:pt idx="3">
                  <c:v>3888.38</c:v>
                </c:pt>
              </c:numCache>
            </c:numRef>
          </c:val>
          <c:smooth val="0"/>
        </c:ser>
        <c:ser>
          <c:idx val="2"/>
          <c:order val="2"/>
          <c:tx>
            <c:strRef>
              <c:f>'[新建 XLS 工作表.xls]Sheet1'!$F$53</c:f>
              <c:strCache>
                <c:ptCount val="1"/>
                <c:pt idx="0">
                  <c:v>排放总量（tCO2）</c:v>
                </c:pt>
              </c:strCache>
            </c:strRef>
          </c:tx>
          <c:spPr>
            <a:ln w="28575" cap="rnd" cmpd="sng" algn="ctr">
              <a:solidFill>
                <a:srgbClr val="9BBB59"/>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General</c:formatCode>
                <c:ptCount val="4"/>
                <c:pt idx="0">
                  <c:v>1574402.64</c:v>
                </c:pt>
                <c:pt idx="1">
                  <c:v>1622702.64</c:v>
                </c:pt>
                <c:pt idx="2">
                  <c:v>2560942.96</c:v>
                </c:pt>
                <c:pt idx="3">
                  <c:v>2803602.64</c:v>
                </c:pt>
              </c:numCache>
            </c:numRef>
          </c:val>
          <c:smooth val="0"/>
        </c:ser>
        <c:dLbls>
          <c:showLegendKey val="0"/>
          <c:showVal val="0"/>
          <c:showCatName val="0"/>
          <c:showSerName val="0"/>
          <c:showPercent val="0"/>
          <c:showBubbleSize val="0"/>
        </c:dLbls>
        <c:marker val="0"/>
        <c:smooth val="0"/>
        <c:axId val="242766608"/>
        <c:axId val="242767000"/>
      </c:lineChart>
      <c:catAx>
        <c:axId val="242766608"/>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42767000"/>
        <c:crosses val="autoZero"/>
        <c:auto val="1"/>
        <c:lblAlgn val="ctr"/>
        <c:lblOffset val="100"/>
        <c:noMultiLvlLbl val="0"/>
      </c:catAx>
      <c:valAx>
        <c:axId val="242767000"/>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427666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extLst>
      <c:ext uri="{0b15fc19-7d7d-44ad-8c2d-2c3a37ce22c3}">
        <chartProps xmlns="https://web.wps.cn/et/2018/main" chartId="{e88772ac-985c-4a1d-bcc7-dc23a957a66a}"/>
      </c:ext>
    </c:extLst>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 工作表.xls]Sheet1'!$D$53</c:f>
              <c:strCache>
                <c:ptCount val="1"/>
                <c:pt idx="0">
                  <c:v>直接排放量（tCO2）</c:v>
                </c:pt>
              </c:strCache>
            </c:strRef>
          </c:tx>
          <c:spPr>
            <a:ln w="28575" cap="rnd" cmpd="sng" algn="ctr">
              <a:solidFill>
                <a:srgbClr val="4F81B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1000</c:v>
                </c:pt>
                <c:pt idx="1">
                  <c:v>3000</c:v>
                </c:pt>
                <c:pt idx="2">
                  <c:v>3500</c:v>
                </c:pt>
                <c:pt idx="3">
                  <c:v>4500</c:v>
                </c:pt>
              </c:numCache>
            </c:numRef>
          </c:val>
          <c:smooth val="0"/>
        </c:ser>
        <c:ser>
          <c:idx val="1"/>
          <c:order val="1"/>
          <c:tx>
            <c:strRef>
              <c:f>'[新建 XLS 工作表.xls]Sheet1'!$E$53</c:f>
              <c:strCache>
                <c:ptCount val="1"/>
                <c:pt idx="0">
                  <c:v>间接排放量（tCO2）</c:v>
                </c:pt>
              </c:strCache>
            </c:strRef>
          </c:tx>
          <c:spPr>
            <a:ln w="28575" cap="rnd" cmpd="sng" algn="ctr">
              <a:solidFill>
                <a:srgbClr val="C0504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14000</c:v>
                </c:pt>
                <c:pt idx="1">
                  <c:v>13000</c:v>
                </c:pt>
                <c:pt idx="2">
                  <c:v>13500</c:v>
                </c:pt>
                <c:pt idx="3">
                  <c:v>13600</c:v>
                </c:pt>
              </c:numCache>
            </c:numRef>
          </c:val>
          <c:smooth val="0"/>
        </c:ser>
        <c:ser>
          <c:idx val="2"/>
          <c:order val="2"/>
          <c:tx>
            <c:strRef>
              <c:f>'[新建 XLS 工作表.xls]Sheet1'!$F$53</c:f>
              <c:strCache>
                <c:ptCount val="1"/>
                <c:pt idx="0">
                  <c:v>排放总量（tCO2）</c:v>
                </c:pt>
              </c:strCache>
            </c:strRef>
          </c:tx>
          <c:spPr>
            <a:ln w="28575" cap="rnd" cmpd="sng" algn="ctr">
              <a:solidFill>
                <a:srgbClr val="9BBB59"/>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General</c:formatCode>
                <c:ptCount val="4"/>
                <c:pt idx="0">
                  <c:v>15000</c:v>
                </c:pt>
                <c:pt idx="1">
                  <c:v>16000</c:v>
                </c:pt>
                <c:pt idx="2">
                  <c:v>17000</c:v>
                </c:pt>
                <c:pt idx="3">
                  <c:v>18100</c:v>
                </c:pt>
              </c:numCache>
            </c:numRef>
          </c:val>
          <c:smooth val="0"/>
        </c:ser>
        <c:dLbls>
          <c:showLegendKey val="0"/>
          <c:showVal val="0"/>
          <c:showCatName val="0"/>
          <c:showSerName val="0"/>
          <c:showPercent val="0"/>
          <c:showBubbleSize val="0"/>
        </c:dLbls>
        <c:marker val="0"/>
        <c:smooth val="0"/>
        <c:axId val="242767784"/>
        <c:axId val="706091256"/>
      </c:lineChart>
      <c:catAx>
        <c:axId val="242767784"/>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706091256"/>
        <c:crosses val="autoZero"/>
        <c:auto val="1"/>
        <c:lblAlgn val="ctr"/>
        <c:lblOffset val="100"/>
        <c:noMultiLvlLbl val="0"/>
      </c:catAx>
      <c:valAx>
        <c:axId val="706091256"/>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427677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extLst>
      <c:ext uri="{0b15fc19-7d7d-44ad-8c2d-2c3a37ce22c3}">
        <chartProps xmlns="https://web.wps.cn/et/2018/main" chartId="{77dc063b-b143-4a1f-b3e2-e11944b2f83e}"/>
      </c:ext>
    </c:extLst>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 工作表.xls]Sheet1'!$D$53</c:f>
              <c:strCache>
                <c:ptCount val="1"/>
                <c:pt idx="0">
                  <c:v>直接排放量（tCO2）</c:v>
                </c:pt>
              </c:strCache>
            </c:strRef>
          </c:tx>
          <c:spPr>
            <a:ln w="28575" cap="rnd" cmpd="sng" algn="ctr">
              <a:solidFill>
                <a:srgbClr val="4F81B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5000</c:v>
                </c:pt>
                <c:pt idx="1">
                  <c:v>3000</c:v>
                </c:pt>
                <c:pt idx="2">
                  <c:v>3500</c:v>
                </c:pt>
                <c:pt idx="3">
                  <c:v>2000</c:v>
                </c:pt>
              </c:numCache>
            </c:numRef>
          </c:val>
          <c:smooth val="0"/>
        </c:ser>
        <c:ser>
          <c:idx val="1"/>
          <c:order val="1"/>
          <c:tx>
            <c:strRef>
              <c:f>'[新建 XLS 工作表.xls]Sheet1'!$E$53</c:f>
              <c:strCache>
                <c:ptCount val="1"/>
                <c:pt idx="0">
                  <c:v>间接排放量（tCO2）</c:v>
                </c:pt>
              </c:strCache>
            </c:strRef>
          </c:tx>
          <c:spPr>
            <a:ln w="28575" cap="rnd" cmpd="sng" algn="ctr">
              <a:solidFill>
                <a:srgbClr val="C0504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14297</c:v>
                </c:pt>
                <c:pt idx="1">
                  <c:v>13643</c:v>
                </c:pt>
                <c:pt idx="2">
                  <c:v>13500</c:v>
                </c:pt>
                <c:pt idx="3">
                  <c:v>12000</c:v>
                </c:pt>
              </c:numCache>
            </c:numRef>
          </c:val>
          <c:smooth val="0"/>
        </c:ser>
        <c:ser>
          <c:idx val="2"/>
          <c:order val="2"/>
          <c:tx>
            <c:strRef>
              <c:f>'[新建 XLS 工作表.xls]Sheet1'!$F$53</c:f>
              <c:strCache>
                <c:ptCount val="1"/>
                <c:pt idx="0">
                  <c:v>排放总量（tCO2）</c:v>
                </c:pt>
              </c:strCache>
            </c:strRef>
          </c:tx>
          <c:spPr>
            <a:ln w="28575" cap="rnd" cmpd="sng" algn="ctr">
              <a:solidFill>
                <a:srgbClr val="9BBB59"/>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General</c:formatCode>
                <c:ptCount val="4"/>
                <c:pt idx="0">
                  <c:v>19297</c:v>
                </c:pt>
                <c:pt idx="1">
                  <c:v>16643</c:v>
                </c:pt>
                <c:pt idx="2">
                  <c:v>17000</c:v>
                </c:pt>
                <c:pt idx="3">
                  <c:v>14000</c:v>
                </c:pt>
              </c:numCache>
            </c:numRef>
          </c:val>
          <c:smooth val="0"/>
        </c:ser>
        <c:dLbls>
          <c:showLegendKey val="0"/>
          <c:showVal val="0"/>
          <c:showCatName val="0"/>
          <c:showSerName val="0"/>
          <c:showPercent val="0"/>
          <c:showBubbleSize val="0"/>
        </c:dLbls>
        <c:marker val="0"/>
        <c:smooth val="0"/>
        <c:axId val="790985280"/>
        <c:axId val="790985672"/>
      </c:lineChart>
      <c:catAx>
        <c:axId val="790985280"/>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790985672"/>
        <c:crosses val="autoZero"/>
        <c:auto val="1"/>
        <c:lblAlgn val="ctr"/>
        <c:lblOffset val="100"/>
        <c:noMultiLvlLbl val="0"/>
      </c:catAx>
      <c:valAx>
        <c:axId val="790985672"/>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7909852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extLst>
      <c:ext uri="{0b15fc19-7d7d-44ad-8c2d-2c3a37ce22c3}">
        <chartProps xmlns="https://web.wps.cn/et/2018/main" chartId="{4b7640d8-0030-4f48-82d2-78967361b757}"/>
      </c:ext>
    </c:extLst>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 工作表.xls]Sheet1'!$C$25</c:f>
              <c:strCache>
                <c:ptCount val="1"/>
                <c:pt idx="0">
                  <c:v>化石燃料燃烧排放量（tCO2）</c:v>
                </c:pt>
              </c:strCache>
            </c:strRef>
          </c:tx>
          <c:spPr>
            <a:ln w="28575" cap="rnd" cmpd="sng" algn="ctr">
              <a:solidFill>
                <a:srgbClr val="4F81BD"/>
              </a:solidFill>
              <a:prstDash val="solid"/>
              <a:round/>
            </a:ln>
            <a:effectLst/>
          </c:spPr>
          <c:marker>
            <c:symbol val="none"/>
          </c:marker>
          <c:dLbls>
            <c:delete val="1"/>
          </c:dLbls>
          <c:cat>
            <c:numRef>
              <c:f>'[新建 XLS 工作表.xls]Sheet1'!$B$26:$B$29</c:f>
              <c:numCache>
                <c:formatCode>General</c:formatCode>
                <c:ptCount val="4"/>
                <c:pt idx="0">
                  <c:v>2016</c:v>
                </c:pt>
                <c:pt idx="1">
                  <c:v>2017</c:v>
                </c:pt>
                <c:pt idx="2">
                  <c:v>2018</c:v>
                </c:pt>
                <c:pt idx="3">
                  <c:v>2019</c:v>
                </c:pt>
              </c:numCache>
            </c:numRef>
          </c:cat>
          <c:val>
            <c:numRef>
              <c:f>'[新建 XLS 工作表.xls]Sheet1'!$C$26:$C$29</c:f>
              <c:numCache>
                <c:formatCode>0.00_ </c:formatCode>
                <c:ptCount val="4"/>
                <c:pt idx="0">
                  <c:v>29000</c:v>
                </c:pt>
                <c:pt idx="1">
                  <c:v>29800</c:v>
                </c:pt>
                <c:pt idx="2">
                  <c:v>30200</c:v>
                </c:pt>
                <c:pt idx="3">
                  <c:v>34000</c:v>
                </c:pt>
              </c:numCache>
            </c:numRef>
          </c:val>
          <c:smooth val="0"/>
        </c:ser>
        <c:ser>
          <c:idx val="1"/>
          <c:order val="1"/>
          <c:tx>
            <c:strRef>
              <c:f>'[新建 XLS 工作表.xls]Sheet1'!$F$25</c:f>
              <c:strCache>
                <c:ptCount val="1"/>
                <c:pt idx="0">
                  <c:v> 过程排放量（tCO2）</c:v>
                </c:pt>
              </c:strCache>
            </c:strRef>
          </c:tx>
          <c:spPr>
            <a:ln w="28575" cap="rnd" cmpd="sng" algn="ctr">
              <a:solidFill>
                <a:srgbClr val="7030A0"/>
              </a:solidFill>
              <a:prstDash val="solid"/>
              <a:round/>
            </a:ln>
            <a:effectLst/>
          </c:spPr>
          <c:marker>
            <c:symbol val="none"/>
          </c:marker>
          <c:dLbls>
            <c:delete val="1"/>
          </c:dLbls>
          <c:cat>
            <c:numRef>
              <c:f>'[新建 XLS 工作表.xls]Sheet1'!$B$26:$B$29</c:f>
              <c:numCache>
                <c:formatCode>General</c:formatCode>
                <c:ptCount val="4"/>
                <c:pt idx="0">
                  <c:v>2016</c:v>
                </c:pt>
                <c:pt idx="1">
                  <c:v>2017</c:v>
                </c:pt>
                <c:pt idx="2">
                  <c:v>2018</c:v>
                </c:pt>
                <c:pt idx="3">
                  <c:v>2019</c:v>
                </c:pt>
              </c:numCache>
            </c:numRef>
          </c:cat>
          <c:val>
            <c:numRef>
              <c:f>'[新建 XLS 工作表.xls]Sheet1'!$F$26:$F$29</c:f>
              <c:numCache>
                <c:formatCode>0.00_ </c:formatCode>
                <c:ptCount val="4"/>
                <c:pt idx="0">
                  <c:v>4</c:v>
                </c:pt>
                <c:pt idx="1">
                  <c:v>5</c:v>
                </c:pt>
                <c:pt idx="2">
                  <c:v>12</c:v>
                </c:pt>
                <c:pt idx="3">
                  <c:v>20</c:v>
                </c:pt>
              </c:numCache>
            </c:numRef>
          </c:val>
          <c:smooth val="0"/>
        </c:ser>
        <c:ser>
          <c:idx val="2"/>
          <c:order val="2"/>
          <c:tx>
            <c:strRef>
              <c:f>'[新建 XLS 工作表.xls]Sheet1'!$D$25</c:f>
              <c:strCache>
                <c:ptCount val="1"/>
                <c:pt idx="0">
                  <c:v>间接排放量（tCO2）</c:v>
                </c:pt>
              </c:strCache>
            </c:strRef>
          </c:tx>
          <c:spPr>
            <a:ln w="28575" cap="rnd" cmpd="sng" algn="ctr">
              <a:solidFill>
                <a:srgbClr val="C0504D"/>
              </a:solidFill>
              <a:prstDash val="solid"/>
              <a:round/>
            </a:ln>
            <a:effectLst/>
          </c:spPr>
          <c:marker>
            <c:symbol val="none"/>
          </c:marker>
          <c:dLbls>
            <c:delete val="1"/>
          </c:dLbls>
          <c:cat>
            <c:numRef>
              <c:f>'[新建 XLS 工作表.xls]Sheet1'!$B$26:$B$29</c:f>
              <c:numCache>
                <c:formatCode>General</c:formatCode>
                <c:ptCount val="4"/>
                <c:pt idx="0">
                  <c:v>2016</c:v>
                </c:pt>
                <c:pt idx="1">
                  <c:v>2017</c:v>
                </c:pt>
                <c:pt idx="2">
                  <c:v>2018</c:v>
                </c:pt>
                <c:pt idx="3">
                  <c:v>2019</c:v>
                </c:pt>
              </c:numCache>
            </c:numRef>
          </c:cat>
          <c:val>
            <c:numRef>
              <c:f>'[新建 XLS 工作表.xls]Sheet1'!$D$26:$D$29</c:f>
              <c:numCache>
                <c:formatCode>General</c:formatCode>
                <c:ptCount val="4"/>
                <c:pt idx="0">
                  <c:v>900</c:v>
                </c:pt>
                <c:pt idx="1">
                  <c:v>1000</c:v>
                </c:pt>
                <c:pt idx="2">
                  <c:v>1100</c:v>
                </c:pt>
                <c:pt idx="3">
                  <c:v>1300</c:v>
                </c:pt>
              </c:numCache>
            </c:numRef>
          </c:val>
          <c:smooth val="0"/>
        </c:ser>
        <c:ser>
          <c:idx val="3"/>
          <c:order val="3"/>
          <c:tx>
            <c:strRef>
              <c:f>'[新建 XLS 工作表.xls]Sheet1'!$E$25</c:f>
              <c:strCache>
                <c:ptCount val="1"/>
                <c:pt idx="0">
                  <c:v> 排放总量（tCO2）</c:v>
                </c:pt>
              </c:strCache>
            </c:strRef>
          </c:tx>
          <c:spPr>
            <a:ln w="28575" cap="rnd" cmpd="sng" algn="ctr">
              <a:solidFill>
                <a:srgbClr val="9BBB59"/>
              </a:solidFill>
              <a:prstDash val="solid"/>
              <a:round/>
            </a:ln>
            <a:effectLst/>
          </c:spPr>
          <c:marker>
            <c:symbol val="none"/>
          </c:marker>
          <c:dLbls>
            <c:delete val="1"/>
          </c:dLbls>
          <c:cat>
            <c:numRef>
              <c:f>'[新建 XLS 工作表.xls]Sheet1'!$B$26:$B$29</c:f>
              <c:numCache>
                <c:formatCode>General</c:formatCode>
                <c:ptCount val="4"/>
                <c:pt idx="0">
                  <c:v>2016</c:v>
                </c:pt>
                <c:pt idx="1">
                  <c:v>2017</c:v>
                </c:pt>
                <c:pt idx="2">
                  <c:v>2018</c:v>
                </c:pt>
                <c:pt idx="3">
                  <c:v>2019</c:v>
                </c:pt>
              </c:numCache>
            </c:numRef>
          </c:cat>
          <c:val>
            <c:numRef>
              <c:f>'[新建 XLS 工作表.xls]Sheet1'!$E$26:$E$29</c:f>
              <c:numCache>
                <c:formatCode>0.00_ </c:formatCode>
                <c:ptCount val="4"/>
                <c:pt idx="0">
                  <c:v>29904</c:v>
                </c:pt>
                <c:pt idx="1">
                  <c:v>30805</c:v>
                </c:pt>
                <c:pt idx="2">
                  <c:v>31312</c:v>
                </c:pt>
                <c:pt idx="3">
                  <c:v>35320</c:v>
                </c:pt>
              </c:numCache>
            </c:numRef>
          </c:val>
          <c:smooth val="0"/>
        </c:ser>
        <c:dLbls>
          <c:showLegendKey val="0"/>
          <c:showVal val="0"/>
          <c:showCatName val="0"/>
          <c:showSerName val="0"/>
          <c:showPercent val="0"/>
          <c:showBubbleSize val="0"/>
        </c:dLbls>
        <c:marker val="0"/>
        <c:smooth val="0"/>
        <c:axId val="709902480"/>
        <c:axId val="783126056"/>
      </c:lineChart>
      <c:catAx>
        <c:axId val="709902480"/>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783126056"/>
        <c:crosses val="autoZero"/>
        <c:auto val="1"/>
        <c:lblAlgn val="ctr"/>
        <c:lblOffset val="100"/>
        <c:noMultiLvlLbl val="0"/>
      </c:catAx>
      <c:valAx>
        <c:axId val="783126056"/>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0.00_ "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709902480"/>
        <c:crosses val="autoZero"/>
        <c:crossBetween val="between"/>
      </c:valAx>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extLst>
      <c:ext uri="{0b15fc19-7d7d-44ad-8c2d-2c3a37ce22c3}">
        <chartProps xmlns="https://web.wps.cn/et/2018/main" chartId="{faddc0c7-b3e7-4ca6-80dc-132f3b360c38}"/>
      </c:ext>
    </c:extLst>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 工作表.xls]Sheet1'!$D$53</c:f>
              <c:strCache>
                <c:ptCount val="1"/>
                <c:pt idx="0">
                  <c:v>直接排放量（tCO2）</c:v>
                </c:pt>
              </c:strCache>
            </c:strRef>
          </c:tx>
          <c:spPr>
            <a:ln w="28575" cap="rnd" cmpd="sng" algn="ctr">
              <a:solidFill>
                <a:srgbClr val="4F81B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8100</c:v>
                </c:pt>
                <c:pt idx="1">
                  <c:v>10125</c:v>
                </c:pt>
                <c:pt idx="2">
                  <c:v>10952.42</c:v>
                </c:pt>
                <c:pt idx="3">
                  <c:v>10616.72</c:v>
                </c:pt>
              </c:numCache>
            </c:numRef>
          </c:val>
          <c:smooth val="0"/>
        </c:ser>
        <c:ser>
          <c:idx val="1"/>
          <c:order val="1"/>
          <c:tx>
            <c:strRef>
              <c:f>'[新建 XLS 工作表.xls]Sheet1'!$E$53</c:f>
              <c:strCache>
                <c:ptCount val="1"/>
                <c:pt idx="0">
                  <c:v>间接排放量（tCO2）</c:v>
                </c:pt>
              </c:strCache>
            </c:strRef>
          </c:tx>
          <c:spPr>
            <a:ln w="28575" cap="rnd" cmpd="sng" algn="ctr">
              <a:solidFill>
                <a:srgbClr val="C0504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1145500</c:v>
                </c:pt>
                <c:pt idx="1">
                  <c:v>1152750</c:v>
                </c:pt>
                <c:pt idx="2">
                  <c:v>1163737.64</c:v>
                </c:pt>
                <c:pt idx="3">
                  <c:v>1192094.66</c:v>
                </c:pt>
              </c:numCache>
            </c:numRef>
          </c:val>
          <c:smooth val="0"/>
        </c:ser>
        <c:ser>
          <c:idx val="2"/>
          <c:order val="2"/>
          <c:tx>
            <c:strRef>
              <c:f>'[新建 XLS 工作表.xls]Sheet1'!$F$53</c:f>
              <c:strCache>
                <c:ptCount val="1"/>
                <c:pt idx="0">
                  <c:v>排放总量（tCO2）</c:v>
                </c:pt>
              </c:strCache>
            </c:strRef>
          </c:tx>
          <c:spPr>
            <a:ln w="28575" cap="rnd" cmpd="sng" algn="ctr">
              <a:solidFill>
                <a:srgbClr val="9BBB59"/>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General</c:formatCode>
                <c:ptCount val="4"/>
                <c:pt idx="0">
                  <c:v>1153600</c:v>
                </c:pt>
                <c:pt idx="1">
                  <c:v>1162875</c:v>
                </c:pt>
                <c:pt idx="2">
                  <c:v>1174690.05</c:v>
                </c:pt>
                <c:pt idx="3">
                  <c:v>1202711.39</c:v>
                </c:pt>
              </c:numCache>
            </c:numRef>
          </c:val>
          <c:smooth val="0"/>
        </c:ser>
        <c:dLbls>
          <c:showLegendKey val="0"/>
          <c:showVal val="0"/>
          <c:showCatName val="0"/>
          <c:showSerName val="0"/>
          <c:showPercent val="0"/>
          <c:showBubbleSize val="0"/>
        </c:dLbls>
        <c:marker val="0"/>
        <c:smooth val="0"/>
        <c:axId val="783126840"/>
        <c:axId val="783127232"/>
      </c:lineChart>
      <c:catAx>
        <c:axId val="783126840"/>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783127232"/>
        <c:crosses val="autoZero"/>
        <c:auto val="1"/>
        <c:lblAlgn val="ctr"/>
        <c:lblOffset val="100"/>
        <c:noMultiLvlLbl val="0"/>
      </c:catAx>
      <c:valAx>
        <c:axId val="783127232"/>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783126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extLst>
      <c:ext uri="{0b15fc19-7d7d-44ad-8c2d-2c3a37ce22c3}">
        <chartProps xmlns="https://web.wps.cn/et/2018/main" chartId="{40ada063-777a-481e-9be7-a09b50529e9f}"/>
      </c:ext>
    </c:extLst>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 工作表.xls]Sheet1'!$D$53</c:f>
              <c:strCache>
                <c:ptCount val="1"/>
                <c:pt idx="0">
                  <c:v>直接排放量（tCO2）</c:v>
                </c:pt>
              </c:strCache>
            </c:strRef>
          </c:tx>
          <c:spPr>
            <a:ln w="28575" cap="rnd" cmpd="sng" algn="ctr">
              <a:solidFill>
                <a:srgbClr val="4F81B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0</c:v>
                </c:pt>
                <c:pt idx="1">
                  <c:v>0</c:v>
                </c:pt>
                <c:pt idx="2">
                  <c:v>0</c:v>
                </c:pt>
                <c:pt idx="3">
                  <c:v>0</c:v>
                </c:pt>
              </c:numCache>
            </c:numRef>
          </c:val>
          <c:smooth val="0"/>
        </c:ser>
        <c:ser>
          <c:idx val="1"/>
          <c:order val="1"/>
          <c:tx>
            <c:strRef>
              <c:f>'[新建 XLS 工作表.xls]Sheet1'!$E$53</c:f>
              <c:strCache>
                <c:ptCount val="1"/>
                <c:pt idx="0">
                  <c:v>间接排放量（tCO2）</c:v>
                </c:pt>
              </c:strCache>
            </c:strRef>
          </c:tx>
          <c:spPr>
            <a:ln w="28575" cap="rnd" cmpd="sng" algn="ctr">
              <a:solidFill>
                <a:srgbClr val="C0504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8248.15</c:v>
                </c:pt>
                <c:pt idx="1">
                  <c:v>8683.15</c:v>
                </c:pt>
                <c:pt idx="2">
                  <c:v>10252.96</c:v>
                </c:pt>
                <c:pt idx="3">
                  <c:v>15256.41</c:v>
                </c:pt>
              </c:numCache>
            </c:numRef>
          </c:val>
          <c:smooth val="0"/>
        </c:ser>
        <c:ser>
          <c:idx val="2"/>
          <c:order val="2"/>
          <c:tx>
            <c:strRef>
              <c:f>'[新建 XLS 工作表.xls]Sheet1'!$F$53</c:f>
              <c:strCache>
                <c:ptCount val="1"/>
                <c:pt idx="0">
                  <c:v>排放总量（tCO2）</c:v>
                </c:pt>
              </c:strCache>
            </c:strRef>
          </c:tx>
          <c:spPr>
            <a:ln w="28575" cap="rnd" cmpd="sng" algn="ctr">
              <a:solidFill>
                <a:srgbClr val="9BBB59"/>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General</c:formatCode>
                <c:ptCount val="4"/>
                <c:pt idx="0">
                  <c:v>8248.15</c:v>
                </c:pt>
                <c:pt idx="1">
                  <c:v>8683.15</c:v>
                </c:pt>
                <c:pt idx="2">
                  <c:v>10252.96</c:v>
                </c:pt>
                <c:pt idx="3">
                  <c:v>15256.41</c:v>
                </c:pt>
              </c:numCache>
            </c:numRef>
          </c:val>
          <c:smooth val="0"/>
        </c:ser>
        <c:dLbls>
          <c:showLegendKey val="0"/>
          <c:showVal val="0"/>
          <c:showCatName val="0"/>
          <c:showSerName val="0"/>
          <c:showPercent val="0"/>
          <c:showBubbleSize val="0"/>
        </c:dLbls>
        <c:marker val="0"/>
        <c:smooth val="0"/>
        <c:axId val="788207456"/>
        <c:axId val="788207848"/>
      </c:lineChart>
      <c:catAx>
        <c:axId val="788207456"/>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788207848"/>
        <c:crosses val="autoZero"/>
        <c:auto val="1"/>
        <c:lblAlgn val="ctr"/>
        <c:lblOffset val="100"/>
        <c:noMultiLvlLbl val="0"/>
      </c:catAx>
      <c:valAx>
        <c:axId val="788207848"/>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78820745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extLst>
      <c:ext uri="{0b15fc19-7d7d-44ad-8c2d-2c3a37ce22c3}">
        <chartProps xmlns="https://web.wps.cn/et/2018/main" chartId="{9b3b68e3-0902-4f51-8e26-0a45741fd97f}"/>
      </c:ext>
    </c:extLst>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 工作表.xls]Sheet1'!$D$53</c:f>
              <c:strCache>
                <c:ptCount val="1"/>
                <c:pt idx="0">
                  <c:v>直接排放量（tCO2）</c:v>
                </c:pt>
              </c:strCache>
            </c:strRef>
          </c:tx>
          <c:spPr>
            <a:ln w="28575" cap="rnd" cmpd="sng" algn="ctr">
              <a:solidFill>
                <a:srgbClr val="4F81B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810</c:v>
                </c:pt>
                <c:pt idx="1">
                  <c:v>830.25</c:v>
                </c:pt>
                <c:pt idx="2">
                  <c:v>983.349999999999</c:v>
                </c:pt>
                <c:pt idx="3">
                  <c:v>950.56</c:v>
                </c:pt>
              </c:numCache>
            </c:numRef>
          </c:val>
          <c:smooth val="0"/>
        </c:ser>
        <c:ser>
          <c:idx val="1"/>
          <c:order val="1"/>
          <c:tx>
            <c:strRef>
              <c:f>'[新建 XLS 工作表.xls]Sheet1'!$E$53</c:f>
              <c:strCache>
                <c:ptCount val="1"/>
                <c:pt idx="0">
                  <c:v>间接排放量（tCO2）</c:v>
                </c:pt>
              </c:strCache>
            </c:strRef>
          </c:tx>
          <c:spPr>
            <a:ln w="28575" cap="rnd" cmpd="sng" algn="ctr">
              <a:solidFill>
                <a:srgbClr val="C0504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22067.8</c:v>
                </c:pt>
                <c:pt idx="1">
                  <c:v>22357.8</c:v>
                </c:pt>
                <c:pt idx="2">
                  <c:v>22647.8</c:v>
                </c:pt>
                <c:pt idx="3">
                  <c:v>24628.5</c:v>
                </c:pt>
              </c:numCache>
            </c:numRef>
          </c:val>
          <c:smooth val="0"/>
        </c:ser>
        <c:ser>
          <c:idx val="2"/>
          <c:order val="2"/>
          <c:tx>
            <c:strRef>
              <c:f>'[新建 XLS 工作表.xls]Sheet1'!$F$53</c:f>
              <c:strCache>
                <c:ptCount val="1"/>
                <c:pt idx="0">
                  <c:v>排放总量（tCO2）</c:v>
                </c:pt>
              </c:strCache>
            </c:strRef>
          </c:tx>
          <c:spPr>
            <a:ln w="28575" cap="rnd" cmpd="sng" algn="ctr">
              <a:solidFill>
                <a:srgbClr val="9BBB59"/>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General</c:formatCode>
                <c:ptCount val="4"/>
                <c:pt idx="0">
                  <c:v>22877.8</c:v>
                </c:pt>
                <c:pt idx="1">
                  <c:v>23188.05</c:v>
                </c:pt>
                <c:pt idx="2">
                  <c:v>23631.15</c:v>
                </c:pt>
                <c:pt idx="3">
                  <c:v>25579.06</c:v>
                </c:pt>
              </c:numCache>
            </c:numRef>
          </c:val>
          <c:smooth val="0"/>
        </c:ser>
        <c:dLbls>
          <c:showLegendKey val="0"/>
          <c:showVal val="0"/>
          <c:showCatName val="0"/>
          <c:showSerName val="0"/>
          <c:showPercent val="0"/>
          <c:showBubbleSize val="0"/>
        </c:dLbls>
        <c:marker val="0"/>
        <c:smooth val="0"/>
        <c:axId val="788208632"/>
        <c:axId val="788209024"/>
      </c:lineChart>
      <c:catAx>
        <c:axId val="788208632"/>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788209024"/>
        <c:crosses val="autoZero"/>
        <c:auto val="1"/>
        <c:lblAlgn val="ctr"/>
        <c:lblOffset val="100"/>
        <c:noMultiLvlLbl val="0"/>
      </c:catAx>
      <c:valAx>
        <c:axId val="788209024"/>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78820863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extLst>
      <c:ext uri="{0b15fc19-7d7d-44ad-8c2d-2c3a37ce22c3}">
        <chartProps xmlns="https://web.wps.cn/et/2018/main" chartId="{a1afef75-29ef-42fe-99e5-bb6dd853ab5d}"/>
      </c:ext>
    </c:extLst>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4B560D-8390-4A19-99A6-3919144291A4}">
  <ds:schemaRefs/>
</ds:datastoreItem>
</file>

<file path=docProps/app.xml><?xml version="1.0" encoding="utf-8"?>
<Properties xmlns="http://schemas.openxmlformats.org/officeDocument/2006/extended-properties" xmlns:vt="http://schemas.openxmlformats.org/officeDocument/2006/docPropsVTypes">
  <Template>Normal.dotm</Template>
  <Pages>106</Pages>
  <Words>2138</Words>
  <Characters>2248</Characters>
  <Lines>314</Lines>
  <Paragraphs>88</Paragraphs>
  <TotalTime>7</TotalTime>
  <ScaleCrop>false</ScaleCrop>
  <LinksUpToDate>false</LinksUpToDate>
  <CharactersWithSpaces>2251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2020-03-02T07:21:00Z</dcterms:created>
  <dc:creator>RW</dc:creator>
  <cp:lastModifiedBy>赵旭</cp:lastModifiedBy>
  <cp:lastPrinted>2015-12-25T08:13:00Z</cp:lastPrinted>
  <dcterms:modified xsi:type="dcterms:W3CDTF">2025-05-16T02:29:14Z</dcterms:modified>
  <dc:title>北京市碳排放权交易核查机构</dc:title>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769BB531D8B749EAAC7AAD76EBAD50C8</vt:lpwstr>
  </property>
  <property fmtid="{D5CDD505-2E9C-101B-9397-08002B2CF9AE}" pid="4" name="KSOTemplateDocerSaveRecord">
    <vt:lpwstr>eyJoZGlkIjoiYjQ4NmM3ZGU0MzFkYTQzMTExZDdhYTk5MDczNzcxNmUiLCJ1c2VySWQiOiIxMDgyMzM2MzI3In0=</vt:lpwstr>
  </property>
</Properties>
</file>