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E0050">
      <w:pPr>
        <w:pStyle w:val="25"/>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t>     </w:t>
      </w:r>
      <w:r>
        <w:fldChar w:fldCharType="end"/>
      </w:r>
      <w:bookmarkEnd w:id="0"/>
    </w:p>
    <w:p w14:paraId="4CEEF147">
      <w:pPr>
        <w:pStyle w:val="25"/>
        <w:framePr w:wrap="around"/>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点击此处添加中国标准文献分类号</w:t>
      </w:r>
      <w:r>
        <w:fldChar w:fldCharType="end"/>
      </w:r>
      <w:bookmarkEnd w:id="1"/>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0C314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05AB0025">
            <w:pPr>
              <w:pStyle w:val="25"/>
              <w:framePr w:wrap="around"/>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1" name="矩形 1"/>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D5&#10;6SK/sQEAAF4DAAAOAAAAAAAAAAEAIAAAACQBAABkcnMvZTJvRG9jLnhtbFBLBQYAAAAABgAGAFkB&#10;AABH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5A559760">
      <w:pPr>
        <w:pStyle w:val="26"/>
        <w:framePr w:wrap="around"/>
      </w:pPr>
      <w:r>
        <w:t>DB</w:t>
      </w:r>
      <w:bookmarkStart w:id="3" w:name="c3"/>
      <w:r>
        <w:fldChar w:fldCharType="begin">
          <w:ffData>
            <w:name w:val="c3"/>
            <w:enabled/>
            <w:calcOnExit w:val="0"/>
            <w:textInput>
              <w:default w:val="11"/>
              <w:maxLength w:val="2"/>
            </w:textInput>
          </w:ffData>
        </w:fldChar>
      </w:r>
      <w:r>
        <w:instrText xml:space="preserve">FORMTEXT</w:instrText>
      </w:r>
      <w:r>
        <w:fldChar w:fldCharType="separate"/>
      </w:r>
      <w:r>
        <w:t>11</w:t>
      </w:r>
      <w:r>
        <w:fldChar w:fldCharType="end"/>
      </w:r>
      <w:bookmarkEnd w:id="3"/>
    </w:p>
    <w:p w14:paraId="209D2461">
      <w:pPr>
        <w:pStyle w:val="28"/>
        <w:framePr w:wrap="around"/>
      </w:pPr>
      <w:r>
        <w:rPr>
          <w:rFonts w:hint="eastAsia"/>
        </w:rPr>
        <w:t>北京市地方标准</w:t>
      </w:r>
    </w:p>
    <w:p w14:paraId="4789634C">
      <w:pPr>
        <w:pStyle w:val="29"/>
        <w:framePr w:wrap="around"/>
        <w:rPr>
          <w:rFonts w:hAnsi="黑体"/>
        </w:rPr>
      </w:pPr>
      <w:r>
        <w:rPr>
          <w:rFonts w:ascii="Times New Roman"/>
        </w:rPr>
        <w:t>DB</w:t>
      </w:r>
      <w:bookmarkStart w:id="4" w:name="StdNo0"/>
      <w:r>
        <w:rPr>
          <w:rFonts w:hAnsi="黑体"/>
        </w:rPr>
        <w:fldChar w:fldCharType="begin">
          <w:ffData>
            <w:name w:val="StdNo0"/>
            <w:enabled/>
            <w:calcOnExit w:val="0"/>
            <w:textInput>
              <w:default w:val="11"/>
              <w:maxLength w:val="2"/>
            </w:textInput>
          </w:ffData>
        </w:fldChar>
      </w:r>
      <w:r>
        <w:rPr>
          <w:rFonts w:hAnsi="黑体"/>
        </w:rPr>
        <w:instrText xml:space="preserve">FORMTEXT</w:instrText>
      </w:r>
      <w:r>
        <w:rPr>
          <w:rFonts w:hAnsi="黑体"/>
        </w:rPr>
        <w:fldChar w:fldCharType="separate"/>
      </w:r>
      <w:r>
        <w:rPr>
          <w:rFonts w:hAnsi="黑体"/>
        </w:rPr>
        <w:t>11</w:t>
      </w:r>
      <w:r>
        <w:rPr>
          <w:rFonts w:hAnsi="黑体"/>
        </w:rPr>
        <w:fldChar w:fldCharType="end"/>
      </w:r>
      <w:bookmarkEnd w:id="4"/>
      <w:r>
        <w:rPr>
          <w:rFonts w:hAnsi="黑体"/>
        </w:rPr>
        <w:t xml:space="preserve">/ </w:t>
      </w:r>
      <w:r>
        <w:rPr>
          <w:rFonts w:hint="eastAsia" w:hAnsi="黑体"/>
        </w:rPr>
        <w:t>207</w:t>
      </w:r>
      <w:r>
        <w:rPr>
          <w:rFonts w:hAnsi="黑体"/>
        </w:rPr>
        <w:t>—</w:t>
      </w:r>
      <w:r>
        <w:rPr>
          <w:rFonts w:hint="eastAsia" w:hAnsi="黑体"/>
        </w:rPr>
        <w:t>202</w:t>
      </w:r>
      <w:r>
        <w:rPr>
          <w:rFonts w:hint="eastAsia" w:hAnsi="黑体"/>
        </w:rPr>
        <w:sym w:font="Wingdings 2" w:char="00A3"/>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0FB9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7CB32E13">
            <w:pPr>
              <w:pStyle w:val="30"/>
              <w:framePr w:wrap="around"/>
            </w:pPr>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 name="矩形 2"/>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eYPLL1gAA&#10;AAgBAAAPAAAAAAAAAAEAIAAAACIAAABkcnMvZG93bnJldi54bWxQSwECFAAUAAAACACHTuJA62H+&#10;Ma4BAABfAwAADgAAAAAAAAABACAAAAAlAQAAZHJzL2Uyb0RvYy54bWxQSwUGAAAAAAYABgBZAQAA&#10;RQUAAAAA&#10;">
                      <v:fill on="t" focussize="0,0"/>
                      <v:stroke on="f"/>
                      <v:imagedata o:title=""/>
                      <o:lock v:ext="edit" aspectratio="f"/>
                    </v:rect>
                  </w:pict>
                </mc:Fallback>
              </mc:AlternateContent>
            </w:r>
            <w:r>
              <w:fldChar w:fldCharType="begin">
                <w:ffData>
                  <w:name w:val="DT"/>
                  <w:enabled/>
                  <w:calcOnExit w:val="0"/>
                  <w:textInput>
                    <w:default w:val="代替DB11/ 207—2010"/>
                  </w:textInput>
                </w:ffData>
              </w:fldChar>
            </w:r>
            <w:bookmarkStart w:id="5" w:name="DT"/>
            <w:r>
              <w:instrText xml:space="preserve"> </w:instrText>
            </w:r>
            <w:r>
              <w:rPr>
                <w:rFonts w:hint="eastAsia"/>
              </w:rPr>
              <w:instrText xml:space="preserve">FORMTEXT</w:instrText>
            </w:r>
            <w:r>
              <w:instrText xml:space="preserve"> </w:instrText>
            </w:r>
            <w:r>
              <w:fldChar w:fldCharType="separate"/>
            </w:r>
            <w:r>
              <w:rPr>
                <w:rFonts w:hint="eastAsia"/>
              </w:rPr>
              <w:t>代替DB11/ 207—2010</w:t>
            </w:r>
            <w:r>
              <w:fldChar w:fldCharType="end"/>
            </w:r>
            <w:bookmarkEnd w:id="5"/>
          </w:p>
        </w:tc>
      </w:tr>
    </w:tbl>
    <w:p w14:paraId="4FAD7989">
      <w:pPr>
        <w:pStyle w:val="29"/>
        <w:framePr w:wrap="around"/>
        <w:rPr>
          <w:rFonts w:hAnsi="黑体"/>
        </w:rPr>
      </w:pPr>
    </w:p>
    <w:p w14:paraId="4D1C587C">
      <w:pPr>
        <w:pStyle w:val="29"/>
        <w:framePr w:wrap="around"/>
        <w:rPr>
          <w:rFonts w:hAnsi="黑体"/>
        </w:rPr>
      </w:pPr>
    </w:p>
    <w:p w14:paraId="537B5893">
      <w:pPr>
        <w:pStyle w:val="31"/>
        <w:framePr w:wrap="around" w:x="1100" w:y="6262"/>
      </w:pPr>
      <w:bookmarkStart w:id="6" w:name="_Toc18427"/>
      <w:r>
        <w:fldChar w:fldCharType="begin">
          <w:ffData>
            <w:name w:val="StdName"/>
            <w:enabled/>
            <w:calcOnExit w:val="0"/>
            <w:textInput>
              <w:default w:val="油罐车油气排放控制和限值"/>
            </w:textInput>
          </w:ffData>
        </w:fldChar>
      </w:r>
      <w:bookmarkStart w:id="7" w:name="StdName"/>
      <w:r>
        <w:instrText xml:space="preserve"> FORMTEXT </w:instrText>
      </w:r>
      <w:r>
        <w:fldChar w:fldCharType="separate"/>
      </w:r>
      <w:r>
        <w:rPr>
          <w:rFonts w:hint="eastAsia"/>
        </w:rPr>
        <w:t>油罐车油气排放控制和限值</w:t>
      </w:r>
      <w:r>
        <w:fldChar w:fldCharType="end"/>
      </w:r>
      <w:bookmarkEnd w:id="7"/>
    </w:p>
    <w:p w14:paraId="3E01DCD7">
      <w:pPr>
        <w:pStyle w:val="32"/>
        <w:framePr w:wrap="around" w:x="1100" w:y="6262"/>
      </w:pPr>
      <w:r>
        <w:rPr>
          <w:rFonts w:ascii="黑体" w:hAnsi="黑体"/>
        </w:rPr>
        <w:fldChar w:fldCharType="begin">
          <w:ffData>
            <w:name w:val="StdEnglishName"/>
            <w:enabled/>
            <w:calcOnExit w:val="0"/>
            <w:textInput>
              <w:default w:val="Emission controls and limits of vapor for road and rail tankers"/>
            </w:textInput>
          </w:ffData>
        </w:fldChar>
      </w:r>
      <w:bookmarkStart w:id="8" w:name="StdEnglishName"/>
      <w:r>
        <w:rPr>
          <w:rFonts w:ascii="黑体" w:hAnsi="黑体"/>
        </w:rPr>
        <w:instrText xml:space="preserve"> FORMTEXT </w:instrText>
      </w:r>
      <w:r>
        <w:rPr>
          <w:rFonts w:ascii="黑体" w:hAnsi="黑体"/>
        </w:rPr>
        <w:fldChar w:fldCharType="separate"/>
      </w:r>
      <w:r>
        <w:rPr>
          <w:rFonts w:ascii="黑体" w:hAnsi="黑体"/>
        </w:rPr>
        <w:t>Emission controls and limits of vapor for road and rail tankers</w:t>
      </w:r>
      <w:r>
        <w:rPr>
          <w:rFonts w:ascii="黑体" w:hAnsi="黑体"/>
        </w:rPr>
        <w:fldChar w:fldCharType="end"/>
      </w:r>
      <w:bookmarkEnd w:id="8"/>
    </w:p>
    <w:p w14:paraId="6881EAFC">
      <w:pPr>
        <w:pStyle w:val="33"/>
        <w:framePr w:wrap="around" w:x="1100" w:y="6262"/>
      </w:pPr>
      <w:r>
        <w:fldChar w:fldCharType="begin">
          <w:ffData>
            <w:name w:val="YZBS"/>
            <w:enabled/>
            <w:calcOnExit w:val="0"/>
            <w:textInput>
              <w:default w:val="点击此处添加与国际标准一致性程度的标识"/>
            </w:textInput>
          </w:ffData>
        </w:fldChar>
      </w:r>
      <w:bookmarkStart w:id="9" w:name="YZBS"/>
      <w:r>
        <w:instrText xml:space="preserve"> FORMTEXT </w:instrText>
      </w:r>
      <w:r>
        <w:fldChar w:fldCharType="separate"/>
      </w:r>
      <w:r>
        <w:rPr>
          <w:rFonts w:hint="eastAsia"/>
        </w:rPr>
        <w:t>点击此处添加与国际标准一致性程度的标识</w:t>
      </w:r>
      <w:r>
        <w:fldChar w:fldCharType="end"/>
      </w:r>
      <w:bookmarkEnd w:id="9"/>
    </w:p>
    <w:tbl>
      <w:tblPr>
        <w:tblStyle w:val="19"/>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1257F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B20BF4E">
            <w:pPr>
              <w:pStyle w:val="34"/>
              <w:framePr w:wrap="around" w:x="1100" w:y="6262"/>
            </w:pPr>
            <w:r>
              <mc:AlternateContent>
                <mc:Choice Requires="wps">
                  <w:drawing>
                    <wp:anchor distT="0" distB="0" distL="114300" distR="114300" simplePos="0" relativeHeight="251665408"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45.15pt;height:20pt;width:150pt;z-index:-25165107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YmuktUAAAAKAQAADwAA&#10;AAAAAAABACAAAAAiAAAAZHJzL2Rvd25yZXYueG1sUEsBAhQAFAAAAAgAh07iQJ8FNRAZAgAAKAQA&#10;AA4AAAAAAAAAAQAgAAAAJAEAAGRycy9lMm9Eb2MueG1sUEsFBgAAAAAGAAYAWQEAAK8FAAAAAA==&#10;">
                      <v:fill on="t" focussize="0,0"/>
                      <v:stroke on="f"/>
                      <v:imagedata o:title=""/>
                      <o:lock v:ext="edit" aspectratio="f"/>
                      <w10:anchorlock/>
                    </v:rect>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3.3pt;margin-top:20.15pt;height:24pt;width:100pt;z-index:-25165209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GL5dYAAAAJAQAADwAA&#10;AAAAAAABACAAAAAiAAAAZHJzL2Rvd25yZXYueG1sUEsBAhQAFAAAAAgAh07iQNCVnyQYAgAAKAQA&#10;AA4AAAAAAAAAAQAgAAAAJQEAAGRycy9lMm9Eb2MueG1sUEsFBgAAAAAGAAYAWQEAAK8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r>
              <w:instrText xml:space="preserve"> FORMDROPDOWN </w:instrText>
            </w:r>
            <w:r>
              <w:fldChar w:fldCharType="separate"/>
            </w:r>
            <w:r>
              <w:fldChar w:fldCharType="end"/>
            </w:r>
          </w:p>
        </w:tc>
      </w:tr>
      <w:tr w14:paraId="19EC2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326FE07">
            <w:pPr>
              <w:pStyle w:val="35"/>
              <w:framePr w:wrap="around" w:x="1100" w:y="6262"/>
            </w:pPr>
            <w:r>
              <w:fldChar w:fldCharType="begin">
                <w:ffData>
                  <w:name w:val="WCRQ"/>
                  <w:enabled/>
                  <w:calcOnExit w:val="0"/>
                  <w:textInput>
                    <w:default w:val="征求意见稿"/>
                  </w:textInput>
                </w:ffData>
              </w:fldChar>
            </w:r>
            <w:r>
              <w:instrText xml:space="preserve"> FORMTEXT </w:instrText>
            </w:r>
            <w:r>
              <w:fldChar w:fldCharType="separate"/>
            </w:r>
            <w:r>
              <w:t>     </w:t>
            </w:r>
            <w:r>
              <w:fldChar w:fldCharType="end"/>
            </w:r>
          </w:p>
        </w:tc>
      </w:tr>
      <w:bookmarkEnd w:id="6"/>
    </w:tbl>
    <w:p w14:paraId="139DA6B8">
      <w:pPr>
        <w:pStyle w:val="36"/>
        <w:framePr w:wrap="around" w:hAnchor="page" w:x="1441" w:y="14047"/>
      </w:pPr>
      <w:r>
        <w:rPr>
          <w:rFonts w:ascii="黑体"/>
        </w:rPr>
        <w:fldChar w:fldCharType="begin">
          <w:ffData>
            <w:name w:val="FY"/>
            <w:enabled/>
            <w:calcOnExit w:val="0"/>
            <w:textInput>
              <w:default w:val="2024"/>
              <w:maxLength w:val="4"/>
            </w:textInput>
          </w:ffData>
        </w:fldChar>
      </w:r>
      <w:bookmarkStart w:id="10" w:name="FY"/>
      <w:r>
        <w:rPr>
          <w:rFonts w:ascii="黑体"/>
        </w:rPr>
        <w:instrText xml:space="preserve"> FORMTEXT </w:instrText>
      </w:r>
      <w:r>
        <w:rPr>
          <w:rFonts w:ascii="黑体"/>
        </w:rPr>
        <w:fldChar w:fldCharType="separate"/>
      </w:r>
      <w:r>
        <w:rPr>
          <w:rFonts w:ascii="黑体"/>
        </w:rPr>
        <w:t>2024</w:t>
      </w:r>
      <w:r>
        <w:rPr>
          <w:rFonts w:ascii="黑体"/>
        </w:rPr>
        <w:fldChar w:fldCharType="end"/>
      </w:r>
      <w:bookmarkEnd w:id="10"/>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1"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r>
        <mc:AlternateContent>
          <mc:Choice Requires="wps">
            <w:drawing>
              <wp:anchor distT="0" distB="0" distL="114300" distR="114300" simplePos="0" relativeHeight="25166745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745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lh2s81gAAAAsB&#10;AAAPAAAAAAAAAAEAIAAAACIAAABkcnMvZG93bnJldi54bWxQSwECFAAUAAAACACHTuJA64hwyOQB&#10;AACsAwAADgAAAAAAAAABACAAAAAlAQAAZHJzL2Uyb0RvYy54bWxQSwUGAAAAAAYABgBZAQAAewUA&#10;AAAA&#10;">
                <v:fill on="f" focussize="0,0"/>
                <v:stroke color="#000000" joinstyle="round"/>
                <v:imagedata o:title=""/>
                <o:lock v:ext="edit" aspectratio="f"/>
                <w10:anchorlock/>
              </v:line>
            </w:pict>
          </mc:Fallback>
        </mc:AlternateContent>
      </w:r>
    </w:p>
    <w:p w14:paraId="22118DCE">
      <w:pPr>
        <w:pStyle w:val="38"/>
        <w:framePr w:wrap="around" w:hAnchor="page" w:x="7036" w:y="14071"/>
      </w:pPr>
      <w:r>
        <w:rPr>
          <w:rFonts w:ascii="黑体"/>
        </w:rPr>
        <w:fldChar w:fldCharType="begin">
          <w:ffData>
            <w:name w:val="SY"/>
            <w:enabled/>
            <w:calcOnExit w:val="0"/>
            <w:textInput>
              <w:default w:val="2024"/>
              <w:maxLength w:val="4"/>
            </w:textInput>
          </w:ffData>
        </w:fldChar>
      </w:r>
      <w:bookmarkStart w:id="12" w:name="SY"/>
      <w:r>
        <w:rPr>
          <w:rFonts w:ascii="黑体"/>
        </w:rPr>
        <w:instrText xml:space="preserve"> FORMTEXT </w:instrText>
      </w:r>
      <w:r>
        <w:rPr>
          <w:rFonts w:ascii="黑体"/>
        </w:rPr>
        <w:fldChar w:fldCharType="separate"/>
      </w:r>
      <w:r>
        <w:rPr>
          <w:rFonts w:ascii="黑体"/>
        </w:rPr>
        <w:t>2024</w:t>
      </w:r>
      <w:r>
        <w:rPr>
          <w:rFonts w:ascii="黑体"/>
        </w:rPr>
        <w:fldChar w:fldCharType="end"/>
      </w:r>
      <w:bookmarkEnd w:id="12"/>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3"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4"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1679CAB7">
      <w:pPr>
        <w:pStyle w:val="38"/>
        <w:framePr w:wrap="around" w:hAnchor="page" w:x="7036" w:y="14071"/>
      </w:pPr>
      <w:r>
        <w:rPr>
          <w:rFonts w:hint="eastAsia" w:ascii="黑体"/>
        </w:rPr>
        <w:t>202</w:t>
      </w:r>
      <w:r>
        <w:rPr>
          <w:rFonts w:hint="eastAsia" w:ascii="黑体"/>
        </w:rPr>
        <w:sym w:font="Wingdings 2" w:char="00A3"/>
      </w:r>
      <w:r>
        <w:t xml:space="preserve"> </w:t>
      </w:r>
      <w:r>
        <w:rPr>
          <w:rFonts w:ascii="黑体"/>
        </w:rPr>
        <w:t>-</w:t>
      </w:r>
      <w:r>
        <w:t xml:space="preserve"> </w:t>
      </w:r>
      <w:r>
        <w:rPr>
          <w:rFonts w:hint="eastAsia" w:ascii="黑体"/>
        </w:rPr>
        <w:sym w:font="Wingdings 2" w:char="00A3"/>
      </w:r>
      <w:r>
        <w:rPr>
          <w:rFonts w:hint="eastAsia" w:ascii="黑体"/>
        </w:rPr>
        <w:sym w:font="Wingdings 2" w:char="00A3"/>
      </w:r>
      <w:r>
        <w:t xml:space="preserve"> </w:t>
      </w:r>
      <w:r>
        <w:rPr>
          <w:rFonts w:ascii="黑体"/>
        </w:rPr>
        <w:t>-</w:t>
      </w:r>
      <w:r>
        <w:t xml:space="preserve"> </w:t>
      </w:r>
      <w:r>
        <w:rPr>
          <w:rFonts w:hint="eastAsia" w:ascii="黑体"/>
        </w:rPr>
        <w:sym w:font="Wingdings 2" w:char="00A3"/>
      </w:r>
      <w:r>
        <w:rPr>
          <w:rFonts w:hint="eastAsia" w:ascii="黑体"/>
        </w:rPr>
        <w:sym w:font="Wingdings 2" w:char="00A3"/>
      </w:r>
      <w:r>
        <w:rPr>
          <w:rFonts w:hint="eastAsia"/>
        </w:rPr>
        <w:t>实施</w:t>
      </w:r>
    </w:p>
    <w:p w14:paraId="59628EC5">
      <w:pPr>
        <w:pStyle w:val="40"/>
        <w:framePr w:wrap="around"/>
        <w:ind w:firstLine="1254" w:firstLineChars="300"/>
        <w:jc w:val="both"/>
        <w:rPr>
          <w:rFonts w:hAnsi="黑体"/>
        </w:rPr>
      </w:pPr>
      <w:bookmarkStart w:id="15" w:name="_Toc28081"/>
      <w:bookmarkStart w:id="16" w:name="fm"/>
      <w:r>
        <w:rPr>
          <w:rFonts w:hint="eastAsia"/>
        </w:rPr>
        <w:t>北京市生态环境局</w:t>
      </w:r>
      <w:bookmarkEnd w:id="15"/>
    </w:p>
    <w:p w14:paraId="350BEF90">
      <w:pPr>
        <w:pStyle w:val="40"/>
        <w:framePr w:wrap="around"/>
      </w:pPr>
      <w:bookmarkStart w:id="17" w:name="_Toc29972"/>
      <w:r>
        <w:rPr>
          <w:rFonts w:hAnsi="黑体"/>
        </w:rPr>
        <w:fldChar w:fldCharType="begin">
          <w:ffData>
            <w:name w:val="fm"/>
            <w:enabled/>
            <w:calcOnExit w:val="0"/>
            <w:textInput>
              <w:default w:val="北京市市场监督管理局"/>
            </w:textInput>
          </w:ffData>
        </w:fldChar>
      </w:r>
      <w:r>
        <w:rPr>
          <w:rFonts w:hAnsi="黑体"/>
        </w:rPr>
        <w:instrText xml:space="preserve">FORMTEXT</w:instrText>
      </w:r>
      <w:r>
        <w:rPr>
          <w:rFonts w:hAnsi="黑体"/>
        </w:rPr>
        <w:fldChar w:fldCharType="separate"/>
      </w:r>
      <w:r>
        <w:rPr>
          <w:rFonts w:hAnsi="黑体"/>
        </w:rPr>
        <w:t>北京市市场监督管理局</w:t>
      </w:r>
      <w:r>
        <w:rPr>
          <w:rFonts w:hAnsi="黑体"/>
        </w:rPr>
        <w:fldChar w:fldCharType="end"/>
      </w:r>
      <w:bookmarkEnd w:id="16"/>
      <w:r>
        <w:rPr>
          <w:rFonts w:hAnsi="黑体"/>
        </w:rPr>
        <w:t>   </w:t>
      </w:r>
      <w:r>
        <w:rPr>
          <w:rStyle w:val="43"/>
          <w:rFonts w:hint="eastAsia"/>
        </w:rPr>
        <w:t>发布</w:t>
      </w:r>
      <w:bookmarkEnd w:id="17"/>
    </w:p>
    <w:p w14:paraId="3612A313">
      <w:pPr>
        <w:pStyle w:val="42"/>
        <w:sectPr>
          <w:headerReference r:id="rId3" w:type="default"/>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6432" behindDoc="0" locked="1" layoutInCell="1" allowOverlap="1">
                <wp:simplePos x="0" y="0"/>
                <wp:positionH relativeFrom="column">
                  <wp:posOffset>1905</wp:posOffset>
                </wp:positionH>
                <wp:positionV relativeFrom="page">
                  <wp:posOffset>9251950</wp:posOffset>
                </wp:positionV>
                <wp:extent cx="6120130" cy="0"/>
                <wp:effectExtent l="0" t="0" r="33020" b="19050"/>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15pt;margin-top:728.5pt;height:0pt;width:481.9pt;mso-position-vertical-relative:page;z-index:251666432;mso-width-relative:page;mso-height-relative:page;" filled="f" stroked="t" coordsize="21600,21600" o:gfxdata="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dtKFnVAAAACgEA&#10;AA8AAAAAAAAAAQAgAAAAIgAAAGRycy9kb3ducmV2LnhtbFBLAQIUABQAAAAIAIdO4kDZ3baS5AEA&#10;AKwDAAAOAAAAAAAAAAEAIAAAACQBAABkcnMvZTJvRG9jLnhtbFBLBQYAAAAABgAGAFkBAAB6BQAA&#10;AAA=&#10;">
                <v:fill on="f" focussize="0,0"/>
                <v:stroke color="#000000" joinstyle="round"/>
                <v:imagedata o:title=""/>
                <o:lock v:ext="edit" aspectratio="f"/>
                <w10:anchorlock/>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JB&#10;4l/XAAAACQEAAA8AAAAAAAAAAQAgAAAAIgAAAGRycy9kb3ducmV2LnhtbFBLAQIUABQAAAAIAIdO&#10;4kB7Fi9f6wEAANgDAAAOAAAAAAAAAAEAIAAAACYBAABkcnMvZTJvRG9jLnhtbFBLBQYAAAAABgAG&#10;AFkBAACDBQAAAAA=&#10;">
                <v:fill on="f" focussize="0,0"/>
                <v:stroke color="#000000" joinstyle="round"/>
                <v:imagedata o:title=""/>
                <o:lock v:ext="edit" aspectratio="f"/>
              </v:line>
            </w:pict>
          </mc:Fallback>
        </mc:AlternateContent>
      </w:r>
    </w:p>
    <w:p w14:paraId="5789C00F">
      <w:pPr>
        <w:pStyle w:val="44"/>
        <w:outlineLvl w:val="9"/>
      </w:pPr>
      <w:bookmarkStart w:id="18" w:name="_Toc8076"/>
      <w:bookmarkStart w:id="19" w:name="_Toc21804"/>
      <w:bookmarkStart w:id="20" w:name="_Toc31536"/>
      <w:r>
        <w:rPr>
          <w:rFonts w:hint="eastAsia"/>
        </w:rPr>
        <w:t>目</w:t>
      </w:r>
      <w:bookmarkStart w:id="21" w:name="BKML"/>
      <w:r>
        <w:t>  </w:t>
      </w:r>
      <w:r>
        <w:rPr>
          <w:rFonts w:hint="eastAsia"/>
        </w:rPr>
        <w:t>次</w:t>
      </w:r>
      <w:bookmarkEnd w:id="18"/>
      <w:bookmarkEnd w:id="19"/>
      <w:bookmarkEnd w:id="20"/>
      <w:bookmarkEnd w:id="21"/>
    </w:p>
    <w:p w14:paraId="5A99D6D0">
      <w:pPr>
        <w:pStyle w:val="13"/>
        <w:tabs>
          <w:tab w:val="right" w:leader="dot" w:pos="9355"/>
        </w:tabs>
        <w:rPr>
          <w:rFonts w:ascii="宋体" w:hAnsi="宋体" w:cs="宋体"/>
          <w:b w:val="0"/>
          <w:sz w:val="21"/>
          <w:szCs w:val="21"/>
        </w:rPr>
      </w:pPr>
      <w:r>
        <w:rPr>
          <w:rFonts w:hint="eastAsia" w:ascii="宋体" w:hAnsi="宋体" w:cs="宋体"/>
          <w:b w:val="0"/>
          <w:sz w:val="21"/>
          <w:szCs w:val="21"/>
        </w:rPr>
        <w:fldChar w:fldCharType="begin"/>
      </w:r>
      <w:r>
        <w:rPr>
          <w:rFonts w:hint="eastAsia" w:ascii="宋体" w:hAnsi="宋体" w:cs="宋体"/>
          <w:b w:val="0"/>
          <w:sz w:val="21"/>
          <w:szCs w:val="21"/>
        </w:rPr>
        <w:instrText xml:space="preserve"> TOC \o "1-1" \h \z \u </w:instrText>
      </w:r>
      <w:r>
        <w:rPr>
          <w:rFonts w:hint="eastAsia" w:ascii="宋体" w:hAnsi="宋体" w:cs="宋体"/>
          <w:b w:val="0"/>
          <w:sz w:val="21"/>
          <w:szCs w:val="21"/>
        </w:rPr>
        <w:fldChar w:fldCharType="separate"/>
      </w:r>
      <w:r>
        <w:fldChar w:fldCharType="begin"/>
      </w:r>
      <w:r>
        <w:instrText xml:space="preserve"> HYPERLINK \l "_Toc31536" </w:instrText>
      </w:r>
      <w:r>
        <w:fldChar w:fldCharType="separate"/>
      </w:r>
      <w:r>
        <w:rPr>
          <w:rFonts w:hint="eastAsia" w:ascii="宋体" w:hAnsi="宋体" w:cs="宋体"/>
          <w:b w:val="0"/>
          <w:sz w:val="21"/>
          <w:szCs w:val="21"/>
        </w:rPr>
        <w:t>目  次</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_Toc31536 \h </w:instrText>
      </w:r>
      <w:r>
        <w:rPr>
          <w:rFonts w:hint="eastAsia" w:ascii="宋体" w:hAnsi="宋体" w:cs="宋体"/>
          <w:b w:val="0"/>
          <w:sz w:val="21"/>
          <w:szCs w:val="21"/>
        </w:rPr>
        <w:fldChar w:fldCharType="separate"/>
      </w:r>
      <w:r>
        <w:rPr>
          <w:rFonts w:hint="eastAsia" w:ascii="宋体" w:hAnsi="宋体" w:cs="宋体"/>
          <w:b w:val="0"/>
          <w:sz w:val="21"/>
          <w:szCs w:val="21"/>
        </w:rPr>
        <w:t>I</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5AD2E1D2">
      <w:pPr>
        <w:pStyle w:val="13"/>
        <w:tabs>
          <w:tab w:val="right" w:leader="dot" w:pos="9355"/>
        </w:tabs>
        <w:rPr>
          <w:rFonts w:ascii="宋体" w:hAnsi="宋体" w:cs="宋体"/>
          <w:b w:val="0"/>
          <w:sz w:val="21"/>
          <w:szCs w:val="21"/>
        </w:rPr>
      </w:pPr>
      <w:r>
        <w:fldChar w:fldCharType="begin"/>
      </w:r>
      <w:r>
        <w:instrText xml:space="preserve"> HYPERLINK \l "_Toc25724" </w:instrText>
      </w:r>
      <w:r>
        <w:fldChar w:fldCharType="separate"/>
      </w:r>
      <w:r>
        <w:rPr>
          <w:rFonts w:hint="eastAsia" w:ascii="宋体" w:hAnsi="宋体" w:cs="宋体"/>
          <w:b w:val="0"/>
          <w:sz w:val="21"/>
          <w:szCs w:val="21"/>
        </w:rPr>
        <w:t>前  言</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_Toc25724 \h </w:instrText>
      </w:r>
      <w:r>
        <w:rPr>
          <w:rFonts w:hint="eastAsia" w:ascii="宋体" w:hAnsi="宋体" w:cs="宋体"/>
          <w:b w:val="0"/>
          <w:sz w:val="21"/>
          <w:szCs w:val="21"/>
        </w:rPr>
        <w:fldChar w:fldCharType="separate"/>
      </w:r>
      <w:r>
        <w:rPr>
          <w:rFonts w:hint="eastAsia" w:ascii="宋体" w:hAnsi="宋体" w:cs="宋体"/>
          <w:b w:val="0"/>
          <w:sz w:val="21"/>
          <w:szCs w:val="21"/>
        </w:rPr>
        <w:t>II</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672E2395">
      <w:pPr>
        <w:pStyle w:val="13"/>
        <w:tabs>
          <w:tab w:val="right" w:leader="dot" w:pos="9355"/>
        </w:tabs>
        <w:rPr>
          <w:rFonts w:ascii="宋体" w:hAnsi="宋体" w:cs="宋体"/>
          <w:b w:val="0"/>
          <w:sz w:val="21"/>
          <w:szCs w:val="21"/>
        </w:rPr>
      </w:pPr>
      <w:r>
        <w:fldChar w:fldCharType="begin"/>
      </w:r>
      <w:r>
        <w:instrText xml:space="preserve"> HYPERLINK \l "_Toc13283" </w:instrText>
      </w:r>
      <w:r>
        <w:fldChar w:fldCharType="separate"/>
      </w:r>
      <w:r>
        <w:rPr>
          <w:rFonts w:hint="eastAsia" w:ascii="宋体" w:hAnsi="宋体" w:cs="宋体"/>
          <w:b w:val="0"/>
          <w:sz w:val="21"/>
          <w:szCs w:val="21"/>
        </w:rPr>
        <w:t>引  言</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_Toc13283 \h </w:instrText>
      </w:r>
      <w:r>
        <w:rPr>
          <w:rFonts w:hint="eastAsia" w:ascii="宋体" w:hAnsi="宋体" w:cs="宋体"/>
          <w:b w:val="0"/>
          <w:sz w:val="21"/>
          <w:szCs w:val="21"/>
        </w:rPr>
        <w:fldChar w:fldCharType="separate"/>
      </w:r>
      <w:r>
        <w:rPr>
          <w:rFonts w:hint="eastAsia" w:ascii="宋体" w:hAnsi="宋体" w:cs="宋体"/>
          <w:b w:val="0"/>
          <w:sz w:val="21"/>
          <w:szCs w:val="21"/>
        </w:rPr>
        <w:t>III</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7017F35A">
      <w:pPr>
        <w:pStyle w:val="13"/>
        <w:tabs>
          <w:tab w:val="right" w:leader="dot" w:pos="9355"/>
        </w:tabs>
        <w:rPr>
          <w:rFonts w:ascii="宋体" w:hAnsi="宋体" w:cs="宋体"/>
          <w:b w:val="0"/>
          <w:sz w:val="21"/>
          <w:szCs w:val="21"/>
        </w:rPr>
      </w:pPr>
      <w:r>
        <w:fldChar w:fldCharType="begin"/>
      </w:r>
      <w:r>
        <w:instrText xml:space="preserve"> HYPERLINK \l "_Toc15421" </w:instrText>
      </w:r>
      <w:r>
        <w:fldChar w:fldCharType="separate"/>
      </w:r>
      <w:r>
        <w:rPr>
          <w:rFonts w:hint="eastAsia" w:ascii="宋体" w:hAnsi="宋体" w:cs="宋体"/>
          <w:b w:val="0"/>
          <w:sz w:val="21"/>
          <w:szCs w:val="21"/>
        </w:rPr>
        <w:t>1 范围</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_Toc15421 \h </w:instrText>
      </w:r>
      <w:r>
        <w:rPr>
          <w:rFonts w:hint="eastAsia" w:ascii="宋体" w:hAnsi="宋体" w:cs="宋体"/>
          <w:b w:val="0"/>
          <w:sz w:val="21"/>
          <w:szCs w:val="21"/>
        </w:rPr>
        <w:fldChar w:fldCharType="separate"/>
      </w:r>
      <w:r>
        <w:rPr>
          <w:rFonts w:hint="eastAsia" w:ascii="宋体" w:hAnsi="宋体" w:cs="宋体"/>
          <w:b w:val="0"/>
          <w:sz w:val="21"/>
          <w:szCs w:val="21"/>
        </w:rPr>
        <w:t>1</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61DFB6EF">
      <w:pPr>
        <w:pStyle w:val="13"/>
        <w:tabs>
          <w:tab w:val="right" w:leader="dot" w:pos="9355"/>
        </w:tabs>
        <w:rPr>
          <w:rFonts w:ascii="宋体" w:hAnsi="宋体" w:cs="宋体"/>
          <w:b w:val="0"/>
          <w:sz w:val="21"/>
          <w:szCs w:val="21"/>
        </w:rPr>
      </w:pPr>
      <w:r>
        <w:fldChar w:fldCharType="begin"/>
      </w:r>
      <w:r>
        <w:instrText xml:space="preserve"> HYPERLINK \l "_Toc13876" </w:instrText>
      </w:r>
      <w:r>
        <w:fldChar w:fldCharType="separate"/>
      </w:r>
      <w:r>
        <w:rPr>
          <w:rFonts w:hint="eastAsia" w:ascii="宋体" w:hAnsi="宋体" w:cs="宋体"/>
          <w:b w:val="0"/>
          <w:sz w:val="21"/>
          <w:szCs w:val="21"/>
        </w:rPr>
        <w:t>2 规范性引用文件</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_Toc13876 \h </w:instrText>
      </w:r>
      <w:r>
        <w:rPr>
          <w:rFonts w:hint="eastAsia" w:ascii="宋体" w:hAnsi="宋体" w:cs="宋体"/>
          <w:b w:val="0"/>
          <w:sz w:val="21"/>
          <w:szCs w:val="21"/>
        </w:rPr>
        <w:fldChar w:fldCharType="separate"/>
      </w:r>
      <w:r>
        <w:rPr>
          <w:rFonts w:hint="eastAsia" w:ascii="宋体" w:hAnsi="宋体" w:cs="宋体"/>
          <w:b w:val="0"/>
          <w:sz w:val="21"/>
          <w:szCs w:val="21"/>
        </w:rPr>
        <w:t>1</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5E79D6C0">
      <w:pPr>
        <w:pStyle w:val="13"/>
        <w:tabs>
          <w:tab w:val="right" w:leader="dot" w:pos="9355"/>
        </w:tabs>
        <w:rPr>
          <w:rFonts w:ascii="宋体" w:hAnsi="宋体" w:cs="宋体"/>
          <w:b w:val="0"/>
          <w:sz w:val="21"/>
          <w:szCs w:val="21"/>
        </w:rPr>
      </w:pPr>
      <w:r>
        <w:fldChar w:fldCharType="begin"/>
      </w:r>
      <w:r>
        <w:instrText xml:space="preserve"> HYPERLINK \l "_Toc27435" </w:instrText>
      </w:r>
      <w:r>
        <w:fldChar w:fldCharType="separate"/>
      </w:r>
      <w:r>
        <w:rPr>
          <w:rFonts w:hint="eastAsia" w:ascii="宋体" w:hAnsi="宋体" w:cs="宋体"/>
          <w:b w:val="0"/>
          <w:sz w:val="21"/>
          <w:szCs w:val="21"/>
        </w:rPr>
        <w:t>3 术语和定义</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_Toc27435 \h </w:instrText>
      </w:r>
      <w:r>
        <w:rPr>
          <w:rFonts w:hint="eastAsia" w:ascii="宋体" w:hAnsi="宋体" w:cs="宋体"/>
          <w:b w:val="0"/>
          <w:sz w:val="21"/>
          <w:szCs w:val="21"/>
        </w:rPr>
        <w:fldChar w:fldCharType="separate"/>
      </w:r>
      <w:r>
        <w:rPr>
          <w:rFonts w:hint="eastAsia" w:ascii="宋体" w:hAnsi="宋体" w:cs="宋体"/>
          <w:b w:val="0"/>
          <w:sz w:val="21"/>
          <w:szCs w:val="21"/>
        </w:rPr>
        <w:t>1</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03305B1F">
      <w:pPr>
        <w:pStyle w:val="13"/>
        <w:tabs>
          <w:tab w:val="right" w:leader="dot" w:pos="9355"/>
        </w:tabs>
        <w:rPr>
          <w:rFonts w:ascii="宋体" w:hAnsi="宋体" w:cs="宋体"/>
          <w:b w:val="0"/>
          <w:sz w:val="21"/>
          <w:szCs w:val="21"/>
        </w:rPr>
      </w:pPr>
      <w:r>
        <w:fldChar w:fldCharType="begin"/>
      </w:r>
      <w:r>
        <w:instrText xml:space="preserve"> HYPERLINK \l "_Toc4064" </w:instrText>
      </w:r>
      <w:r>
        <w:fldChar w:fldCharType="separate"/>
      </w:r>
      <w:r>
        <w:rPr>
          <w:rFonts w:hint="eastAsia" w:ascii="宋体" w:hAnsi="宋体" w:cs="宋体"/>
          <w:b w:val="0"/>
          <w:sz w:val="21"/>
          <w:szCs w:val="21"/>
        </w:rPr>
        <w:t>4 控制要求</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_Toc4064 \h </w:instrText>
      </w:r>
      <w:r>
        <w:rPr>
          <w:rFonts w:hint="eastAsia" w:ascii="宋体" w:hAnsi="宋体" w:cs="宋体"/>
          <w:b w:val="0"/>
          <w:sz w:val="21"/>
          <w:szCs w:val="21"/>
        </w:rPr>
        <w:fldChar w:fldCharType="separate"/>
      </w:r>
      <w:r>
        <w:rPr>
          <w:rFonts w:hint="eastAsia" w:ascii="宋体" w:hAnsi="宋体" w:cs="宋体"/>
          <w:b w:val="0"/>
          <w:sz w:val="21"/>
          <w:szCs w:val="21"/>
        </w:rPr>
        <w:t>2</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71245FCB">
      <w:pPr>
        <w:pStyle w:val="13"/>
        <w:tabs>
          <w:tab w:val="right" w:leader="dot" w:pos="9355"/>
        </w:tabs>
        <w:rPr>
          <w:rFonts w:ascii="宋体" w:hAnsi="宋体" w:cs="宋体"/>
          <w:b w:val="0"/>
          <w:sz w:val="21"/>
          <w:szCs w:val="21"/>
        </w:rPr>
      </w:pPr>
      <w:r>
        <w:fldChar w:fldCharType="begin"/>
      </w:r>
      <w:r>
        <w:instrText xml:space="preserve"> HYPERLINK \l "_Toc4713" </w:instrText>
      </w:r>
      <w:r>
        <w:fldChar w:fldCharType="separate"/>
      </w:r>
      <w:r>
        <w:rPr>
          <w:rFonts w:hint="eastAsia" w:ascii="宋体" w:hAnsi="宋体" w:cs="宋体"/>
          <w:b w:val="0"/>
          <w:sz w:val="21"/>
          <w:szCs w:val="21"/>
        </w:rPr>
        <w:t>5 排放限值</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_Toc4713 \h </w:instrText>
      </w:r>
      <w:r>
        <w:rPr>
          <w:rFonts w:hint="eastAsia" w:ascii="宋体" w:hAnsi="宋体" w:cs="宋体"/>
          <w:b w:val="0"/>
          <w:sz w:val="21"/>
          <w:szCs w:val="21"/>
        </w:rPr>
        <w:fldChar w:fldCharType="separate"/>
      </w:r>
      <w:r>
        <w:rPr>
          <w:rFonts w:hint="eastAsia" w:ascii="宋体" w:hAnsi="宋体" w:cs="宋体"/>
          <w:b w:val="0"/>
          <w:sz w:val="21"/>
          <w:szCs w:val="21"/>
        </w:rPr>
        <w:t>2</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1B7BDD0C">
      <w:pPr>
        <w:pStyle w:val="13"/>
        <w:tabs>
          <w:tab w:val="right" w:leader="dot" w:pos="9355"/>
        </w:tabs>
        <w:rPr>
          <w:rFonts w:ascii="宋体" w:hAnsi="宋体" w:cs="宋体"/>
          <w:b w:val="0"/>
          <w:sz w:val="21"/>
          <w:szCs w:val="21"/>
        </w:rPr>
      </w:pPr>
      <w:r>
        <w:fldChar w:fldCharType="begin"/>
      </w:r>
      <w:r>
        <w:instrText xml:space="preserve"> HYPERLINK \l "_Toc18054" </w:instrText>
      </w:r>
      <w:r>
        <w:fldChar w:fldCharType="separate"/>
      </w:r>
      <w:r>
        <w:rPr>
          <w:rFonts w:hint="eastAsia" w:ascii="宋体" w:hAnsi="宋体" w:cs="宋体"/>
          <w:b w:val="0"/>
          <w:sz w:val="21"/>
          <w:szCs w:val="21"/>
        </w:rPr>
        <w:t>6 污染物监测要求</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_Toc18054 \h </w:instrText>
      </w:r>
      <w:r>
        <w:rPr>
          <w:rFonts w:hint="eastAsia" w:ascii="宋体" w:hAnsi="宋体" w:cs="宋体"/>
          <w:b w:val="0"/>
          <w:sz w:val="21"/>
          <w:szCs w:val="21"/>
        </w:rPr>
        <w:fldChar w:fldCharType="separate"/>
      </w:r>
      <w:r>
        <w:rPr>
          <w:rFonts w:hint="eastAsia" w:ascii="宋体" w:hAnsi="宋体" w:cs="宋体"/>
          <w:b w:val="0"/>
          <w:sz w:val="21"/>
          <w:szCs w:val="21"/>
        </w:rPr>
        <w:t>3</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79DBC7EF">
      <w:pPr>
        <w:pStyle w:val="13"/>
        <w:tabs>
          <w:tab w:val="right" w:leader="dot" w:pos="9355"/>
        </w:tabs>
        <w:rPr>
          <w:rFonts w:ascii="宋体" w:hAnsi="宋体" w:cs="宋体"/>
          <w:b w:val="0"/>
          <w:sz w:val="21"/>
          <w:szCs w:val="21"/>
        </w:rPr>
      </w:pPr>
      <w:r>
        <w:fldChar w:fldCharType="begin"/>
      </w:r>
      <w:r>
        <w:instrText xml:space="preserve"> HYPERLINK \l "_Toc3571" </w:instrText>
      </w:r>
      <w:r>
        <w:fldChar w:fldCharType="separate"/>
      </w:r>
      <w:r>
        <w:rPr>
          <w:rFonts w:hint="eastAsia" w:ascii="宋体" w:hAnsi="宋体" w:cs="宋体"/>
          <w:b w:val="0"/>
          <w:sz w:val="21"/>
          <w:szCs w:val="21"/>
        </w:rPr>
        <w:t>7 实施与监督</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_Toc3571 \h </w:instrText>
      </w:r>
      <w:r>
        <w:rPr>
          <w:rFonts w:hint="eastAsia" w:ascii="宋体" w:hAnsi="宋体" w:cs="宋体"/>
          <w:b w:val="0"/>
          <w:sz w:val="21"/>
          <w:szCs w:val="21"/>
        </w:rPr>
        <w:fldChar w:fldCharType="separate"/>
      </w:r>
      <w:r>
        <w:rPr>
          <w:rFonts w:hint="eastAsia" w:ascii="宋体" w:hAnsi="宋体" w:cs="宋体"/>
          <w:b w:val="0"/>
          <w:sz w:val="21"/>
          <w:szCs w:val="21"/>
        </w:rPr>
        <w:t>3</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7F920CF6">
      <w:pPr>
        <w:pStyle w:val="13"/>
        <w:tabs>
          <w:tab w:val="right" w:leader="dot" w:pos="9355"/>
        </w:tabs>
        <w:rPr>
          <w:rFonts w:ascii="宋体" w:hAnsi="宋体" w:cs="宋体"/>
          <w:b w:val="0"/>
          <w:sz w:val="21"/>
          <w:szCs w:val="21"/>
        </w:rPr>
      </w:pPr>
      <w:r>
        <w:fldChar w:fldCharType="begin"/>
      </w:r>
      <w:r>
        <w:instrText xml:space="preserve"> HYPERLINK \l "_Toc1932" </w:instrText>
      </w:r>
      <w:r>
        <w:fldChar w:fldCharType="separate"/>
      </w:r>
      <w:r>
        <w:rPr>
          <w:rFonts w:hint="eastAsia" w:ascii="宋体" w:hAnsi="宋体" w:cs="宋体"/>
          <w:b w:val="0"/>
          <w:sz w:val="21"/>
          <w:szCs w:val="21"/>
        </w:rPr>
        <w:t>附　录　A  （规范性） 汽车罐车油气回收系统密闭性检测方法</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_Toc1932 \h </w:instrText>
      </w:r>
      <w:r>
        <w:rPr>
          <w:rFonts w:hint="eastAsia" w:ascii="宋体" w:hAnsi="宋体" w:cs="宋体"/>
          <w:b w:val="0"/>
          <w:sz w:val="21"/>
          <w:szCs w:val="21"/>
        </w:rPr>
        <w:fldChar w:fldCharType="separate"/>
      </w:r>
      <w:r>
        <w:rPr>
          <w:rFonts w:hint="eastAsia" w:ascii="宋体" w:hAnsi="宋体" w:cs="宋体"/>
          <w:b w:val="0"/>
          <w:sz w:val="21"/>
          <w:szCs w:val="21"/>
        </w:rPr>
        <w:t>4</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2108445D">
      <w:pPr>
        <w:pStyle w:val="13"/>
        <w:tabs>
          <w:tab w:val="right" w:leader="dot" w:pos="9355"/>
        </w:tabs>
        <w:rPr>
          <w:rFonts w:ascii="宋体" w:hAnsi="宋体" w:cs="宋体"/>
          <w:b w:val="0"/>
          <w:sz w:val="21"/>
          <w:szCs w:val="21"/>
        </w:rPr>
      </w:pPr>
      <w:r>
        <w:fldChar w:fldCharType="begin"/>
      </w:r>
      <w:r>
        <w:instrText xml:space="preserve"> HYPERLINK \l "_Toc31120" </w:instrText>
      </w:r>
      <w:r>
        <w:fldChar w:fldCharType="separate"/>
      </w:r>
      <w:r>
        <w:rPr>
          <w:rFonts w:hint="eastAsia" w:ascii="宋体" w:hAnsi="宋体" w:cs="宋体"/>
          <w:b w:val="0"/>
          <w:sz w:val="21"/>
          <w:szCs w:val="21"/>
        </w:rPr>
        <w:t xml:space="preserve">附　录　B  （资料性） </w:t>
      </w:r>
      <w:r>
        <w:rPr>
          <w:rFonts w:hint="eastAsia" w:ascii="宋体" w:hAnsi="宋体" w:cs="宋体"/>
          <w:b w:val="0"/>
          <w:kern w:val="44"/>
          <w:sz w:val="21"/>
          <w:szCs w:val="21"/>
        </w:rPr>
        <w:t>汽车罐车运行工况在线监测系统技术要求</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_Toc31120 \h </w:instrText>
      </w:r>
      <w:r>
        <w:rPr>
          <w:rFonts w:hint="eastAsia" w:ascii="宋体" w:hAnsi="宋体" w:cs="宋体"/>
          <w:b w:val="0"/>
          <w:sz w:val="21"/>
          <w:szCs w:val="21"/>
        </w:rPr>
        <w:fldChar w:fldCharType="separate"/>
      </w:r>
      <w:r>
        <w:rPr>
          <w:rFonts w:hint="eastAsia" w:ascii="宋体" w:hAnsi="宋体" w:cs="宋体"/>
          <w:b w:val="0"/>
          <w:sz w:val="21"/>
          <w:szCs w:val="21"/>
        </w:rPr>
        <w:t>6</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55335529">
      <w:pPr>
        <w:pStyle w:val="13"/>
        <w:tabs>
          <w:tab w:val="right" w:leader="dot" w:pos="9355"/>
        </w:tabs>
        <w:rPr>
          <w:rFonts w:ascii="宋体" w:hAnsi="宋体" w:cs="宋体"/>
          <w:b w:val="0"/>
          <w:sz w:val="21"/>
          <w:szCs w:val="21"/>
        </w:rPr>
      </w:pPr>
      <w:r>
        <w:fldChar w:fldCharType="begin"/>
      </w:r>
      <w:r>
        <w:instrText xml:space="preserve"> HYPERLINK \l "_Toc23501" </w:instrText>
      </w:r>
      <w:r>
        <w:fldChar w:fldCharType="separate"/>
      </w:r>
      <w:r>
        <w:rPr>
          <w:rFonts w:hint="eastAsia" w:ascii="宋体" w:hAnsi="宋体" w:cs="宋体"/>
          <w:b w:val="0"/>
          <w:sz w:val="21"/>
          <w:szCs w:val="21"/>
        </w:rPr>
        <w:t xml:space="preserve">附　录　C  （资料性） </w:t>
      </w:r>
      <w:r>
        <w:rPr>
          <w:rFonts w:hint="eastAsia" w:ascii="宋体" w:hAnsi="宋体" w:cs="宋体"/>
          <w:b w:val="0"/>
          <w:kern w:val="44"/>
          <w:sz w:val="21"/>
          <w:szCs w:val="21"/>
        </w:rPr>
        <w:t>汽车罐车油气回收检测记录表</w:t>
      </w:r>
      <w:r>
        <w:rPr>
          <w:rFonts w:hint="eastAsia" w:ascii="宋体" w:hAnsi="宋体" w:cs="宋体"/>
          <w:b w:val="0"/>
          <w:sz w:val="21"/>
          <w:szCs w:val="21"/>
        </w:rPr>
        <w:tab/>
      </w:r>
      <w:r>
        <w:rPr>
          <w:rFonts w:hint="eastAsia" w:ascii="宋体" w:hAnsi="宋体" w:cs="宋体"/>
          <w:b w:val="0"/>
          <w:sz w:val="21"/>
          <w:szCs w:val="21"/>
        </w:rPr>
        <w:fldChar w:fldCharType="begin"/>
      </w:r>
      <w:r>
        <w:rPr>
          <w:rFonts w:hint="eastAsia" w:ascii="宋体" w:hAnsi="宋体" w:cs="宋体"/>
          <w:b w:val="0"/>
          <w:sz w:val="21"/>
          <w:szCs w:val="21"/>
        </w:rPr>
        <w:instrText xml:space="preserve"> PAGEREF _Toc23501 \h </w:instrText>
      </w:r>
      <w:r>
        <w:rPr>
          <w:rFonts w:hint="eastAsia" w:ascii="宋体" w:hAnsi="宋体" w:cs="宋体"/>
          <w:b w:val="0"/>
          <w:sz w:val="21"/>
          <w:szCs w:val="21"/>
        </w:rPr>
        <w:fldChar w:fldCharType="separate"/>
      </w:r>
      <w:r>
        <w:rPr>
          <w:rFonts w:hint="eastAsia" w:ascii="宋体" w:hAnsi="宋体" w:cs="宋体"/>
          <w:b w:val="0"/>
          <w:sz w:val="21"/>
          <w:szCs w:val="21"/>
        </w:rPr>
        <w:t>8</w:t>
      </w:r>
      <w:r>
        <w:rPr>
          <w:rFonts w:hint="eastAsia" w:ascii="宋体" w:hAnsi="宋体" w:cs="宋体"/>
          <w:b w:val="0"/>
          <w:sz w:val="21"/>
          <w:szCs w:val="21"/>
        </w:rPr>
        <w:fldChar w:fldCharType="end"/>
      </w:r>
      <w:r>
        <w:rPr>
          <w:rFonts w:hint="eastAsia" w:ascii="宋体" w:hAnsi="宋体" w:cs="宋体"/>
          <w:b w:val="0"/>
          <w:sz w:val="21"/>
          <w:szCs w:val="21"/>
        </w:rPr>
        <w:fldChar w:fldCharType="end"/>
      </w:r>
    </w:p>
    <w:p w14:paraId="2D56FAA2">
      <w:pPr>
        <w:rPr>
          <w:rFonts w:ascii="宋体" w:hAnsi="宋体"/>
          <w:szCs w:val="21"/>
        </w:rPr>
      </w:pPr>
      <w:r>
        <w:rPr>
          <w:rFonts w:hint="eastAsia" w:ascii="宋体" w:hAnsi="宋体" w:cs="宋体"/>
          <w:bCs/>
          <w:szCs w:val="21"/>
        </w:rPr>
        <w:fldChar w:fldCharType="end"/>
      </w:r>
      <w:r>
        <w:rPr>
          <w:rFonts w:ascii="宋体" w:hAnsi="宋体"/>
          <w:szCs w:val="21"/>
        </w:rPr>
        <w:br w:type="page"/>
      </w:r>
    </w:p>
    <w:p w14:paraId="7CD9F28A">
      <w:pPr>
        <w:pStyle w:val="45"/>
      </w:pPr>
      <w:bookmarkStart w:id="22" w:name="_Toc129617319"/>
      <w:bookmarkStart w:id="23" w:name="_Toc25724"/>
      <w:bookmarkStart w:id="24" w:name="_Toc131444655"/>
      <w:bookmarkStart w:id="25" w:name="_Toc29848"/>
      <w:bookmarkStart w:id="26" w:name="_Toc8110"/>
      <w:bookmarkStart w:id="27" w:name="_Toc8653696"/>
      <w:bookmarkStart w:id="28" w:name="_Toc31276232"/>
      <w:bookmarkStart w:id="29" w:name="_Toc153076315"/>
      <w:bookmarkStart w:id="30" w:name="_Toc484052653"/>
      <w:bookmarkStart w:id="31" w:name="_Toc33584174"/>
      <w:bookmarkStart w:id="32" w:name="_Toc377041146"/>
      <w:bookmarkStart w:id="33" w:name="_Toc440876430"/>
      <w:r>
        <w:rPr>
          <w:rFonts w:hint="eastAsia"/>
        </w:rPr>
        <w:t>前</w:t>
      </w:r>
      <w:r>
        <w:rPr>
          <w:rFonts w:hAnsi="黑体"/>
        </w:rPr>
        <w:t>  </w:t>
      </w:r>
      <w:r>
        <w:rPr>
          <w:rFonts w:hint="eastAsia"/>
        </w:rPr>
        <w:t>言</w:t>
      </w:r>
      <w:bookmarkEnd w:id="22"/>
      <w:bookmarkEnd w:id="23"/>
      <w:bookmarkEnd w:id="24"/>
      <w:bookmarkEnd w:id="25"/>
      <w:bookmarkEnd w:id="26"/>
    </w:p>
    <w:bookmarkEnd w:id="27"/>
    <w:bookmarkEnd w:id="28"/>
    <w:bookmarkEnd w:id="29"/>
    <w:bookmarkEnd w:id="30"/>
    <w:bookmarkEnd w:id="31"/>
    <w:bookmarkEnd w:id="32"/>
    <w:bookmarkEnd w:id="33"/>
    <w:p w14:paraId="503A823B">
      <w:pPr>
        <w:spacing w:line="360" w:lineRule="exact"/>
        <w:ind w:firstLine="420" w:firstLineChars="200"/>
        <w:rPr>
          <w:rFonts w:ascii="宋体" w:hAnsi="宋体" w:cs="宋体"/>
          <w:szCs w:val="21"/>
        </w:rPr>
      </w:pPr>
      <w:r>
        <w:rPr>
          <w:rFonts w:hint="eastAsia" w:ascii="宋体" w:hAnsi="宋体" w:cs="宋体"/>
          <w:szCs w:val="21"/>
        </w:rPr>
        <w:t>本文件全文强制。</w:t>
      </w:r>
    </w:p>
    <w:p w14:paraId="6FA2F310">
      <w:pPr>
        <w:spacing w:line="360" w:lineRule="exact"/>
        <w:ind w:firstLine="420" w:firstLineChars="200"/>
        <w:rPr>
          <w:rFonts w:ascii="宋体" w:hAnsi="宋体" w:cs="宋体"/>
          <w:szCs w:val="21"/>
        </w:rPr>
      </w:pPr>
      <w:r>
        <w:rPr>
          <w:rFonts w:hint="eastAsia" w:ascii="宋体" w:hAnsi="宋体" w:cs="宋体"/>
          <w:szCs w:val="21"/>
        </w:rPr>
        <w:t>本文件</w:t>
      </w:r>
      <w:r>
        <w:rPr>
          <w:rFonts w:hint="eastAsia" w:ascii="宋体" w:hAnsi="宋体" w:cs="宋体"/>
          <w:kern w:val="0"/>
          <w:szCs w:val="21"/>
        </w:rPr>
        <w:t>按照</w:t>
      </w:r>
      <w:r>
        <w:rPr>
          <w:rFonts w:hint="eastAsia" w:ascii="宋体" w:hAnsi="宋体" w:cs="宋体"/>
          <w:szCs w:val="21"/>
        </w:rPr>
        <w:t>GB/T 1.1—2020《标准化工作导则 第1部分：标准化文件的结构和起草规则》的规定起草。</w:t>
      </w:r>
    </w:p>
    <w:p w14:paraId="5953A0A7">
      <w:pPr>
        <w:spacing w:line="360" w:lineRule="exact"/>
        <w:ind w:firstLine="420" w:firstLineChars="200"/>
        <w:rPr>
          <w:rFonts w:ascii="宋体" w:hAnsi="宋体" w:cs="宋体"/>
          <w:szCs w:val="21"/>
        </w:rPr>
      </w:pPr>
      <w:r>
        <w:rPr>
          <w:rFonts w:hint="eastAsia" w:ascii="宋体" w:hAnsi="宋体" w:cs="宋体"/>
          <w:szCs w:val="21"/>
        </w:rPr>
        <w:t>本文件代替DB11/ 207—2010《油罐车油气排放控制和限值》，与DB11/ 207—2010相比，除结构调整和编辑性改动外，主要技术变化如下：</w:t>
      </w:r>
    </w:p>
    <w:p w14:paraId="7846F99C">
      <w:pPr>
        <w:numPr>
          <w:ilvl w:val="0"/>
          <w:numId w:val="2"/>
        </w:numPr>
        <w:spacing w:line="360" w:lineRule="exact"/>
        <w:rPr>
          <w:rFonts w:ascii="宋体" w:hAnsi="宋体" w:cs="宋体"/>
          <w:szCs w:val="21"/>
        </w:rPr>
      </w:pPr>
      <w:r>
        <w:rPr>
          <w:rFonts w:hint="eastAsia" w:ascii="宋体" w:hAnsi="宋体" w:cs="宋体"/>
          <w:szCs w:val="21"/>
        </w:rPr>
        <w:t>增加了铁路罐车油气排放控制和限值（见4.5和5.2）</w:t>
      </w:r>
    </w:p>
    <w:p w14:paraId="55E2D8CC">
      <w:pPr>
        <w:numPr>
          <w:ilvl w:val="0"/>
          <w:numId w:val="2"/>
        </w:numPr>
        <w:spacing w:line="360" w:lineRule="exact"/>
        <w:rPr>
          <w:rFonts w:ascii="宋体" w:hAnsi="宋体" w:cs="宋体"/>
          <w:szCs w:val="21"/>
        </w:rPr>
      </w:pPr>
      <w:r>
        <w:rPr>
          <w:rFonts w:hint="eastAsia" w:ascii="宋体" w:hAnsi="宋体" w:cs="宋体"/>
          <w:szCs w:val="21"/>
        </w:rPr>
        <w:t>增加了泄漏排放限值（见5.2）；</w:t>
      </w:r>
    </w:p>
    <w:p w14:paraId="7AA3DF26">
      <w:pPr>
        <w:numPr>
          <w:ilvl w:val="0"/>
          <w:numId w:val="2"/>
        </w:numPr>
        <w:spacing w:line="360" w:lineRule="exact"/>
        <w:rPr>
          <w:rFonts w:ascii="宋体" w:hAnsi="宋体" w:cs="宋体"/>
          <w:szCs w:val="21"/>
        </w:rPr>
      </w:pPr>
      <w:r>
        <w:rPr>
          <w:rFonts w:hint="eastAsia" w:ascii="宋体" w:hAnsi="宋体" w:cs="宋体"/>
          <w:szCs w:val="21"/>
        </w:rPr>
        <w:t>增加了汽车罐车压力在线监测要求（见6.3）；</w:t>
      </w:r>
    </w:p>
    <w:p w14:paraId="7BB4BB39">
      <w:pPr>
        <w:numPr>
          <w:ilvl w:val="0"/>
          <w:numId w:val="2"/>
        </w:numPr>
        <w:spacing w:line="360" w:lineRule="exact"/>
        <w:rPr>
          <w:rFonts w:ascii="宋体" w:hAnsi="宋体" w:cs="宋体"/>
          <w:szCs w:val="21"/>
        </w:rPr>
      </w:pPr>
      <w:r>
        <w:rPr>
          <w:rFonts w:hint="eastAsia" w:ascii="宋体" w:hAnsi="宋体" w:cs="宋体"/>
          <w:szCs w:val="21"/>
        </w:rPr>
        <w:t>增加实施与监督（见第7章）；</w:t>
      </w:r>
    </w:p>
    <w:p w14:paraId="5F7F74D0">
      <w:pPr>
        <w:numPr>
          <w:ilvl w:val="0"/>
          <w:numId w:val="2"/>
        </w:numPr>
        <w:spacing w:line="360" w:lineRule="exact"/>
        <w:rPr>
          <w:rFonts w:ascii="宋体" w:hAnsi="宋体" w:cs="宋体"/>
          <w:szCs w:val="21"/>
        </w:rPr>
      </w:pPr>
      <w:r>
        <w:rPr>
          <w:rFonts w:hint="eastAsia" w:ascii="宋体" w:hAnsi="宋体" w:cs="宋体"/>
          <w:szCs w:val="21"/>
        </w:rPr>
        <w:t>删除了防溢流及静电接地系统检测方法（见2010年版的附录A）；</w:t>
      </w:r>
    </w:p>
    <w:p w14:paraId="37B13A30">
      <w:pPr>
        <w:numPr>
          <w:ilvl w:val="0"/>
          <w:numId w:val="2"/>
        </w:numPr>
        <w:spacing w:line="360" w:lineRule="exact"/>
        <w:rPr>
          <w:rFonts w:ascii="宋体" w:hAnsi="宋体" w:cs="宋体"/>
          <w:szCs w:val="21"/>
        </w:rPr>
      </w:pPr>
      <w:r>
        <w:rPr>
          <w:rFonts w:hint="eastAsia" w:ascii="宋体" w:hAnsi="宋体" w:cs="宋体"/>
          <w:szCs w:val="21"/>
        </w:rPr>
        <w:t>增加了</w:t>
      </w:r>
      <w:r>
        <w:rPr>
          <w:rFonts w:hint="eastAsia" w:ascii="宋体" w:hAnsi="宋体" w:cs="宋体"/>
          <w:bCs/>
          <w:kern w:val="44"/>
          <w:szCs w:val="21"/>
        </w:rPr>
        <w:t>汽车罐车</w:t>
      </w:r>
      <w:r>
        <w:rPr>
          <w:rFonts w:hint="eastAsia" w:ascii="宋体" w:hAnsi="宋体" w:cs="宋体"/>
          <w:szCs w:val="21"/>
        </w:rPr>
        <w:t>在线监控系统及数据上传要求</w:t>
      </w:r>
      <w:r>
        <w:rPr>
          <w:rFonts w:hint="eastAsia" w:ascii="宋体" w:hAnsi="宋体" w:cs="宋体"/>
          <w:bCs/>
          <w:kern w:val="44"/>
          <w:szCs w:val="21"/>
        </w:rPr>
        <w:t>（见附录B）。</w:t>
      </w:r>
    </w:p>
    <w:p w14:paraId="2512091F">
      <w:pPr>
        <w:spacing w:line="360" w:lineRule="exact"/>
        <w:ind w:firstLine="425"/>
        <w:rPr>
          <w:rFonts w:ascii="宋体" w:hAnsi="宋体" w:cs="宋体"/>
          <w:szCs w:val="21"/>
        </w:rPr>
      </w:pPr>
      <w:r>
        <w:rPr>
          <w:rFonts w:hint="eastAsia" w:ascii="宋体" w:hAnsi="宋体" w:cs="宋体"/>
          <w:szCs w:val="21"/>
        </w:rPr>
        <w:t>本文件由北京市生态环境局提出并归口。</w:t>
      </w:r>
    </w:p>
    <w:p w14:paraId="3FF4C141">
      <w:pPr>
        <w:spacing w:line="360" w:lineRule="exact"/>
        <w:ind w:firstLine="425"/>
        <w:rPr>
          <w:rFonts w:ascii="宋体" w:hAnsi="宋体" w:cs="宋体"/>
          <w:szCs w:val="21"/>
        </w:rPr>
      </w:pPr>
      <w:r>
        <w:rPr>
          <w:rFonts w:hint="eastAsia" w:ascii="宋体" w:hAnsi="宋体" w:cs="宋体"/>
          <w:szCs w:val="21"/>
        </w:rPr>
        <w:t>本文件由北京市人民政府202？年？？月？？日批准。</w:t>
      </w:r>
    </w:p>
    <w:p w14:paraId="2BA6B008">
      <w:pPr>
        <w:spacing w:line="360" w:lineRule="exact"/>
        <w:ind w:firstLine="425"/>
        <w:rPr>
          <w:rFonts w:ascii="宋体" w:hAnsi="宋体" w:cs="宋体"/>
          <w:szCs w:val="21"/>
        </w:rPr>
      </w:pPr>
      <w:r>
        <w:rPr>
          <w:rFonts w:hint="eastAsia" w:ascii="宋体" w:hAnsi="宋体" w:cs="宋体"/>
          <w:szCs w:val="21"/>
        </w:rPr>
        <w:t>本文件由北京市生态环境局负责组织实施。</w:t>
      </w:r>
    </w:p>
    <w:p w14:paraId="34BBFF72">
      <w:pPr>
        <w:spacing w:line="360" w:lineRule="exact"/>
        <w:ind w:firstLine="425"/>
        <w:rPr>
          <w:rFonts w:ascii="宋体" w:hAnsi="宋体" w:cs="宋体"/>
          <w:szCs w:val="21"/>
        </w:rPr>
      </w:pPr>
      <w:r>
        <w:rPr>
          <w:rFonts w:hint="eastAsia" w:ascii="宋体" w:hAnsi="宋体" w:cs="宋体"/>
          <w:szCs w:val="21"/>
        </w:rPr>
        <w:t>本文件起草单位：北京市机动车排放管理事务中心、北京市生态环境保护科学研究院。</w:t>
      </w:r>
    </w:p>
    <w:p w14:paraId="2B437868">
      <w:pPr>
        <w:spacing w:line="360" w:lineRule="exact"/>
        <w:ind w:firstLine="425"/>
        <w:rPr>
          <w:rFonts w:ascii="宋体" w:hAnsi="宋体" w:cs="宋体"/>
          <w:szCs w:val="21"/>
        </w:rPr>
      </w:pPr>
      <w:r>
        <w:rPr>
          <w:rFonts w:hint="eastAsia" w:ascii="宋体" w:hAnsi="宋体" w:cs="宋体"/>
          <w:szCs w:val="21"/>
        </w:rPr>
        <w:t>本文件主要起草人：XXX、XXX、XXX、XXX、XXX、XXX</w:t>
      </w:r>
    </w:p>
    <w:p w14:paraId="566EE5E7">
      <w:pPr>
        <w:spacing w:line="360" w:lineRule="exact"/>
        <w:ind w:firstLine="425"/>
        <w:rPr>
          <w:rFonts w:ascii="宋体" w:hAnsi="宋体" w:cs="宋体"/>
          <w:szCs w:val="21"/>
        </w:rPr>
      </w:pPr>
      <w:r>
        <w:rPr>
          <w:rFonts w:hint="eastAsia" w:ascii="宋体" w:hAnsi="宋体" w:cs="宋体"/>
          <w:szCs w:val="21"/>
        </w:rPr>
        <w:t>本文件及其所代替文件的历次版本发布情况为：</w:t>
      </w:r>
    </w:p>
    <w:p w14:paraId="7776AAA1">
      <w:pPr>
        <w:spacing w:line="360" w:lineRule="exact"/>
        <w:ind w:firstLine="425"/>
        <w:rPr>
          <w:rFonts w:ascii="宋体" w:hAnsi="宋体" w:cs="宋体"/>
          <w:szCs w:val="21"/>
        </w:rPr>
      </w:pPr>
      <w:r>
        <w:rPr>
          <w:rFonts w:hint="eastAsia" w:ascii="宋体" w:hAnsi="宋体" w:cs="宋体"/>
          <w:szCs w:val="21"/>
        </w:rPr>
        <w:t>——2003年首次发布为DB11/ 207—2003，2010年第一次修订；</w:t>
      </w:r>
    </w:p>
    <w:p w14:paraId="1E7CC8EB">
      <w:pPr>
        <w:spacing w:line="360" w:lineRule="exact"/>
        <w:ind w:firstLine="425"/>
        <w:rPr>
          <w:rFonts w:ascii="宋体" w:hAnsi="宋体" w:cs="宋体"/>
          <w:szCs w:val="21"/>
        </w:rPr>
      </w:pPr>
      <w:r>
        <w:rPr>
          <w:rFonts w:hint="eastAsia" w:ascii="宋体" w:hAnsi="宋体" w:cs="宋体"/>
          <w:szCs w:val="21"/>
        </w:rPr>
        <w:t>——本次为第二次修订。</w:t>
      </w:r>
    </w:p>
    <w:p w14:paraId="6F2E32CB">
      <w:pPr>
        <w:pStyle w:val="45"/>
        <w:spacing w:before="0" w:after="0"/>
        <w:ind w:left="361" w:leftChars="172"/>
        <w:outlineLvl w:val="9"/>
        <w:rPr>
          <w:rFonts w:ascii="宋体" w:hAnsi="宋体" w:eastAsia="宋体" w:cs="宋体"/>
          <w:sz w:val="21"/>
          <w:szCs w:val="21"/>
        </w:rPr>
        <w:sectPr>
          <w:headerReference r:id="rId4" w:type="default"/>
          <w:footerReference r:id="rId6" w:type="default"/>
          <w:headerReference r:id="rId5" w:type="even"/>
          <w:footerReference r:id="rId7" w:type="even"/>
          <w:pgSz w:w="11907" w:h="16839"/>
          <w:pgMar w:top="567" w:right="1134" w:bottom="1134" w:left="1418" w:header="1418" w:footer="1134" w:gutter="0"/>
          <w:pgNumType w:fmt="upperRoman" w:start="1"/>
          <w:cols w:space="720" w:num="1"/>
          <w:formProt w:val="0"/>
          <w:docGrid w:linePitch="312" w:charSpace="0"/>
        </w:sectPr>
      </w:pPr>
      <w:bookmarkStart w:id="34" w:name="_Toc8653697"/>
      <w:bookmarkStart w:id="35" w:name="_Toc3818174"/>
    </w:p>
    <w:p w14:paraId="61B2CC54">
      <w:pPr>
        <w:pStyle w:val="45"/>
      </w:pPr>
      <w:bookmarkStart w:id="36" w:name="_Toc129617320"/>
      <w:bookmarkStart w:id="37" w:name="_Toc13283"/>
      <w:bookmarkStart w:id="38" w:name="_Toc7253"/>
      <w:bookmarkStart w:id="39" w:name="_Toc131444656"/>
      <w:bookmarkStart w:id="40" w:name="_Toc30990"/>
      <w:r>
        <w:rPr>
          <w:rFonts w:hint="eastAsia"/>
        </w:rPr>
        <w:t>引</w:t>
      </w:r>
      <w:r>
        <w:rPr>
          <w:rFonts w:hAnsi="黑体"/>
        </w:rPr>
        <w:t>  </w:t>
      </w:r>
      <w:r>
        <w:rPr>
          <w:rFonts w:hint="eastAsia"/>
        </w:rPr>
        <w:t>言</w:t>
      </w:r>
      <w:bookmarkEnd w:id="36"/>
      <w:bookmarkEnd w:id="37"/>
      <w:bookmarkEnd w:id="38"/>
      <w:bookmarkEnd w:id="39"/>
      <w:bookmarkEnd w:id="40"/>
    </w:p>
    <w:bookmarkEnd w:id="34"/>
    <w:bookmarkEnd w:id="35"/>
    <w:p w14:paraId="23559533">
      <w:pPr>
        <w:pStyle w:val="42"/>
        <w:rPr>
          <w:rFonts w:ascii="Times New Roman"/>
        </w:rPr>
      </w:pPr>
      <w:r>
        <w:rPr>
          <w:rFonts w:ascii="Times New Roman"/>
        </w:rPr>
        <w:t>根据《中华人民共和国大气污染防治法》和《北京市大气污染防治条例》制定本</w:t>
      </w:r>
      <w:r>
        <w:rPr>
          <w:rFonts w:hint="eastAsia" w:ascii="Times New Roman"/>
        </w:rPr>
        <w:t>文件</w:t>
      </w:r>
      <w:r>
        <w:rPr>
          <w:rFonts w:ascii="Times New Roman"/>
        </w:rPr>
        <w:t>。</w:t>
      </w:r>
    </w:p>
    <w:p w14:paraId="25498179">
      <w:pPr>
        <w:spacing w:line="360" w:lineRule="exact"/>
      </w:pPr>
    </w:p>
    <w:p w14:paraId="5F57F31F">
      <w:pPr>
        <w:pStyle w:val="44"/>
        <w:spacing w:before="0" w:after="0" w:line="240" w:lineRule="auto"/>
        <w:outlineLvl w:val="9"/>
        <w:rPr>
          <w:rFonts w:ascii="Times New Roman" w:eastAsia="宋体"/>
        </w:rPr>
        <w:sectPr>
          <w:footerReference r:id="rId8" w:type="default"/>
          <w:footerReference r:id="rId9" w:type="even"/>
          <w:pgSz w:w="11907" w:h="16839"/>
          <w:pgMar w:top="567" w:right="1134" w:bottom="1134" w:left="1418" w:header="1418" w:footer="1134" w:gutter="0"/>
          <w:pgNumType w:fmt="upperRoman"/>
          <w:cols w:space="720" w:num="1"/>
          <w:formProt w:val="0"/>
          <w:docGrid w:linePitch="312" w:charSpace="0"/>
        </w:sectPr>
      </w:pPr>
    </w:p>
    <w:p w14:paraId="54AE094E">
      <w:pPr>
        <w:pStyle w:val="42"/>
        <w:spacing w:before="640" w:after="560" w:line="460" w:lineRule="exact"/>
        <w:ind w:firstLine="0" w:firstLineChars="0"/>
        <w:jc w:val="center"/>
        <w:rPr>
          <w:rFonts w:ascii="黑体" w:hAnsi="黑体" w:eastAsia="黑体"/>
          <w:sz w:val="32"/>
          <w:szCs w:val="32"/>
        </w:rPr>
      </w:pPr>
      <w:bookmarkStart w:id="41" w:name="_Toc31782"/>
      <w:bookmarkStart w:id="42" w:name="_Toc131444401"/>
      <w:r>
        <w:rPr>
          <w:rFonts w:hint="eastAsia" w:ascii="黑体" w:hAnsi="黑体" w:eastAsia="黑体"/>
          <w:sz w:val="32"/>
          <w:szCs w:val="32"/>
        </w:rPr>
        <w:t>油罐车油气排放控制和限值</w:t>
      </w:r>
      <w:bookmarkEnd w:id="41"/>
      <w:bookmarkEnd w:id="42"/>
    </w:p>
    <w:p w14:paraId="33A7C789">
      <w:pPr>
        <w:pStyle w:val="46"/>
        <w:spacing w:before="240" w:after="240"/>
        <w:outlineLvl w:val="0"/>
        <w:rPr>
          <w:rFonts w:hAnsi="黑体" w:cs="黑体"/>
        </w:rPr>
      </w:pPr>
      <w:bookmarkStart w:id="43" w:name="_Toc131444657"/>
      <w:bookmarkStart w:id="44" w:name="_Toc528159061"/>
      <w:bookmarkStart w:id="45" w:name="_Toc484052654"/>
      <w:bookmarkStart w:id="46" w:name="_Toc23852"/>
      <w:bookmarkStart w:id="47" w:name="_Toc15421"/>
      <w:r>
        <w:rPr>
          <w:rFonts w:hint="eastAsia" w:hAnsi="黑体" w:cs="黑体"/>
        </w:rPr>
        <w:t>范围</w:t>
      </w:r>
      <w:bookmarkEnd w:id="43"/>
      <w:bookmarkEnd w:id="44"/>
      <w:bookmarkEnd w:id="45"/>
      <w:bookmarkEnd w:id="46"/>
      <w:bookmarkEnd w:id="47"/>
    </w:p>
    <w:p w14:paraId="469E9036">
      <w:pPr>
        <w:topLinePunct/>
        <w:adjustRightInd w:val="0"/>
        <w:ind w:firstLine="420"/>
        <w:rPr>
          <w:kern w:val="21"/>
          <w:szCs w:val="20"/>
        </w:rPr>
      </w:pPr>
      <w:r>
        <w:rPr>
          <w:rFonts w:hint="eastAsia"/>
          <w:kern w:val="21"/>
          <w:szCs w:val="20"/>
        </w:rPr>
        <w:t>本文件规定了油罐车过程中油气排放控制要求、监测和监督管理要求。</w:t>
      </w:r>
    </w:p>
    <w:p w14:paraId="4C0F3F5C">
      <w:pPr>
        <w:topLinePunct/>
        <w:adjustRightInd w:val="0"/>
        <w:ind w:firstLine="420"/>
        <w:rPr>
          <w:kern w:val="21"/>
          <w:szCs w:val="20"/>
        </w:rPr>
      </w:pPr>
      <w:r>
        <w:rPr>
          <w:rFonts w:hint="eastAsia"/>
          <w:kern w:val="21"/>
          <w:szCs w:val="20"/>
        </w:rPr>
        <w:t>本文件适用于现有油罐车的油气排放管理，以及新投入使用的油罐车的登记及其使用后的油气排放管理。</w:t>
      </w:r>
    </w:p>
    <w:p w14:paraId="7FFE7ACB">
      <w:pPr>
        <w:pStyle w:val="46"/>
        <w:spacing w:before="240" w:after="240"/>
        <w:outlineLvl w:val="0"/>
        <w:rPr>
          <w:rFonts w:hAnsi="黑体" w:cs="黑体"/>
        </w:rPr>
      </w:pPr>
      <w:bookmarkStart w:id="48" w:name="_Toc484054222"/>
      <w:bookmarkEnd w:id="48"/>
      <w:bookmarkStart w:id="49" w:name="_Toc484052655"/>
      <w:bookmarkEnd w:id="49"/>
      <w:bookmarkStart w:id="50" w:name="_Toc484052730"/>
      <w:bookmarkEnd w:id="50"/>
      <w:bookmarkStart w:id="51" w:name="_Toc131444658"/>
      <w:bookmarkStart w:id="52" w:name="_Toc484052656"/>
      <w:bookmarkStart w:id="53" w:name="_Toc13876"/>
      <w:bookmarkStart w:id="54" w:name="_Toc528159062"/>
      <w:bookmarkStart w:id="55" w:name="_Toc20290"/>
      <w:r>
        <w:rPr>
          <w:rFonts w:hint="eastAsia" w:hAnsi="黑体" w:cs="黑体"/>
        </w:rPr>
        <w:t>规范性引用文件</w:t>
      </w:r>
      <w:bookmarkEnd w:id="51"/>
      <w:bookmarkEnd w:id="52"/>
      <w:bookmarkEnd w:id="53"/>
      <w:bookmarkEnd w:id="54"/>
      <w:bookmarkEnd w:id="55"/>
    </w:p>
    <w:p w14:paraId="60B9BDCC">
      <w:pPr>
        <w:pStyle w:val="42"/>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0B32548">
      <w:pPr>
        <w:ind w:firstLine="420" w:firstLineChars="200"/>
      </w:pPr>
      <w:r>
        <w:t xml:space="preserve">GB/T 5600  </w:t>
      </w:r>
      <w:r>
        <w:rPr>
          <w:rFonts w:hint="eastAsia"/>
        </w:rPr>
        <w:t>铁道货车通用技术条件</w:t>
      </w:r>
    </w:p>
    <w:p w14:paraId="03AA23C3">
      <w:pPr>
        <w:ind w:firstLine="420" w:firstLineChars="200"/>
      </w:pPr>
      <w:r>
        <w:rPr>
          <w:rFonts w:hint="eastAsia"/>
        </w:rPr>
        <w:t>HJ</w:t>
      </w:r>
      <w:r>
        <w:t xml:space="preserve"> </w:t>
      </w:r>
      <w:r>
        <w:rPr>
          <w:rFonts w:hint="eastAsia"/>
        </w:rPr>
        <w:t>212</w:t>
      </w:r>
      <w:r>
        <w:t xml:space="preserve">  </w:t>
      </w:r>
      <w:r>
        <w:rPr>
          <w:rFonts w:hint="eastAsia"/>
        </w:rPr>
        <w:t>污染物在线监控（监测）系统数据传输标准</w:t>
      </w:r>
    </w:p>
    <w:p w14:paraId="312A92D5">
      <w:pPr>
        <w:ind w:firstLine="420" w:firstLineChars="200"/>
      </w:pPr>
      <w:r>
        <w:t xml:space="preserve">HJ 733  </w:t>
      </w:r>
      <w:r>
        <w:rPr>
          <w:rFonts w:hint="eastAsia"/>
        </w:rPr>
        <w:t>泄漏和敞开液面排放的挥发性有机物检测技术导则</w:t>
      </w:r>
    </w:p>
    <w:p w14:paraId="494FC88D">
      <w:pPr>
        <w:ind w:firstLine="420" w:firstLineChars="200"/>
      </w:pPr>
      <w:r>
        <w:t xml:space="preserve">HJ 819  </w:t>
      </w:r>
      <w:r>
        <w:rPr>
          <w:rFonts w:hint="eastAsia"/>
        </w:rPr>
        <w:t>排污单位自行监测技术指南</w:t>
      </w:r>
      <w:r>
        <w:t xml:space="preserve"> </w:t>
      </w:r>
      <w:r>
        <w:rPr>
          <w:rFonts w:hint="eastAsia"/>
        </w:rPr>
        <w:t xml:space="preserve"> 总则</w:t>
      </w:r>
    </w:p>
    <w:p w14:paraId="14CD9487">
      <w:pPr>
        <w:ind w:firstLine="420" w:firstLineChars="200"/>
      </w:pPr>
      <w:r>
        <w:rPr>
          <w:rFonts w:hint="eastAsia"/>
        </w:rPr>
        <w:t>《环境监测管理办法》（国家环境保护总局令</w:t>
      </w:r>
      <w:r>
        <w:t xml:space="preserve">  </w:t>
      </w:r>
      <w:r>
        <w:rPr>
          <w:rFonts w:hint="eastAsia"/>
        </w:rPr>
        <w:t>第</w:t>
      </w:r>
      <w:r>
        <w:t>39</w:t>
      </w:r>
      <w:r>
        <w:rPr>
          <w:rFonts w:hint="eastAsia"/>
        </w:rPr>
        <w:t>号）</w:t>
      </w:r>
    </w:p>
    <w:p w14:paraId="2DC7C793">
      <w:pPr>
        <w:pStyle w:val="46"/>
        <w:spacing w:before="240" w:after="240"/>
        <w:ind w:left="420" w:hanging="420"/>
        <w:outlineLvl w:val="0"/>
        <w:rPr>
          <w:rFonts w:hAnsi="黑体" w:cs="黑体"/>
        </w:rPr>
      </w:pPr>
      <w:bookmarkStart w:id="56" w:name="_Toc1247"/>
      <w:bookmarkStart w:id="57" w:name="_Toc528159063"/>
      <w:bookmarkStart w:id="58" w:name="_Toc484052657"/>
      <w:bookmarkStart w:id="59" w:name="_Toc131444659"/>
      <w:bookmarkStart w:id="60" w:name="_Toc27435"/>
      <w:r>
        <w:rPr>
          <w:rFonts w:hint="eastAsia" w:hAnsi="黑体" w:cs="黑体"/>
        </w:rPr>
        <w:t>术语和定义</w:t>
      </w:r>
      <w:bookmarkEnd w:id="56"/>
      <w:bookmarkEnd w:id="57"/>
      <w:bookmarkEnd w:id="58"/>
      <w:bookmarkEnd w:id="59"/>
      <w:bookmarkEnd w:id="60"/>
    </w:p>
    <w:p w14:paraId="644025A5">
      <w:pPr>
        <w:ind w:firstLine="420" w:firstLineChars="200"/>
      </w:pPr>
      <w:r>
        <w:rPr>
          <w:rFonts w:hint="eastAsia"/>
        </w:rPr>
        <w:t>下列术语和定义适用于本文件。</w:t>
      </w:r>
    </w:p>
    <w:p w14:paraId="0BF12394">
      <w:pPr>
        <w:pStyle w:val="64"/>
        <w:numPr>
          <w:ilvl w:val="1"/>
          <w:numId w:val="1"/>
        </w:numPr>
        <w:spacing w:before="120" w:after="120"/>
        <w:rPr>
          <w:rFonts w:ascii="Times New Roman"/>
        </w:rPr>
      </w:pPr>
    </w:p>
    <w:p w14:paraId="3CEEA92D">
      <w:pPr>
        <w:pStyle w:val="64"/>
        <w:numPr>
          <w:ilvl w:val="1"/>
          <w:numId w:val="0"/>
        </w:numPr>
        <w:spacing w:before="120" w:after="120"/>
        <w:ind w:firstLine="420" w:firstLineChars="200"/>
        <w:rPr>
          <w:rFonts w:ascii="Times New Roman"/>
        </w:rPr>
      </w:pPr>
      <w:r>
        <w:rPr>
          <w:rFonts w:hint="eastAsia" w:ascii="Times New Roman"/>
        </w:rPr>
        <w:t>油罐车</w:t>
      </w:r>
      <w:r>
        <w:rPr>
          <w:rFonts w:ascii="Times New Roman"/>
        </w:rPr>
        <w:t xml:space="preserve">  road and rail tankers</w:t>
      </w:r>
    </w:p>
    <w:p w14:paraId="2ADCF6F8">
      <w:pPr>
        <w:topLinePunct/>
        <w:adjustRightInd w:val="0"/>
        <w:ind w:firstLine="420"/>
        <w:rPr>
          <w:kern w:val="21"/>
          <w:szCs w:val="20"/>
        </w:rPr>
      </w:pPr>
      <w:r>
        <w:rPr>
          <w:rFonts w:hint="eastAsia"/>
          <w:kern w:val="21"/>
          <w:szCs w:val="20"/>
        </w:rPr>
        <w:t>专门用于运输油品的汽车罐车和铁路罐车。</w:t>
      </w:r>
    </w:p>
    <w:p w14:paraId="79FB56D7">
      <w:pPr>
        <w:pStyle w:val="64"/>
        <w:numPr>
          <w:ilvl w:val="1"/>
          <w:numId w:val="1"/>
        </w:numPr>
        <w:spacing w:before="120" w:after="120"/>
        <w:rPr>
          <w:rFonts w:ascii="Times New Roman"/>
        </w:rPr>
      </w:pPr>
    </w:p>
    <w:p w14:paraId="3A3F72A3">
      <w:pPr>
        <w:pStyle w:val="52"/>
      </w:pPr>
      <w:r>
        <w:rPr>
          <w:rFonts w:hint="eastAsia"/>
        </w:rPr>
        <w:t>油品</w:t>
      </w:r>
      <w:r>
        <w:t xml:space="preserve">  petroleum</w:t>
      </w:r>
    </w:p>
    <w:p w14:paraId="2F1DACDC">
      <w:pPr>
        <w:topLinePunct/>
        <w:adjustRightInd w:val="0"/>
        <w:ind w:firstLine="420"/>
        <w:rPr>
          <w:kern w:val="21"/>
          <w:szCs w:val="20"/>
        </w:rPr>
      </w:pPr>
      <w:r>
        <w:rPr>
          <w:rFonts w:hint="eastAsia"/>
          <w:kern w:val="21"/>
          <w:szCs w:val="20"/>
        </w:rPr>
        <w:t>汽油和航空煤油的统称。</w:t>
      </w:r>
    </w:p>
    <w:p w14:paraId="207D3F01">
      <w:pPr>
        <w:pStyle w:val="64"/>
        <w:numPr>
          <w:ilvl w:val="1"/>
          <w:numId w:val="1"/>
        </w:numPr>
        <w:spacing w:before="120" w:after="120"/>
        <w:rPr>
          <w:rFonts w:ascii="Times New Roman"/>
        </w:rPr>
      </w:pPr>
    </w:p>
    <w:p w14:paraId="7FE6BCFC">
      <w:pPr>
        <w:pStyle w:val="64"/>
        <w:numPr>
          <w:ilvl w:val="1"/>
          <w:numId w:val="0"/>
        </w:numPr>
        <w:spacing w:before="120" w:after="120"/>
        <w:ind w:firstLine="420" w:firstLineChars="200"/>
        <w:rPr>
          <w:rFonts w:ascii="Times New Roman"/>
        </w:rPr>
      </w:pPr>
      <w:r>
        <w:rPr>
          <w:rFonts w:hint="eastAsia" w:ascii="Times New Roman"/>
        </w:rPr>
        <w:t>油仓</w:t>
      </w:r>
      <w:r>
        <w:rPr>
          <w:rFonts w:ascii="Times New Roman"/>
        </w:rPr>
        <w:t xml:space="preserve">  </w:t>
      </w:r>
      <w:bookmarkStart w:id="61" w:name="OLE_LINK6"/>
      <w:bookmarkStart w:id="62" w:name="OLE_LINK9"/>
      <w:r>
        <w:rPr>
          <w:rFonts w:ascii="Times New Roman"/>
        </w:rPr>
        <w:t>compartment</w:t>
      </w:r>
      <w:bookmarkEnd w:id="61"/>
      <w:bookmarkEnd w:id="62"/>
    </w:p>
    <w:p w14:paraId="51ED1585">
      <w:pPr>
        <w:topLinePunct/>
        <w:adjustRightInd w:val="0"/>
        <w:ind w:firstLine="420"/>
        <w:rPr>
          <w:kern w:val="21"/>
          <w:szCs w:val="20"/>
        </w:rPr>
      </w:pPr>
      <w:r>
        <w:rPr>
          <w:rFonts w:hint="eastAsia"/>
          <w:kern w:val="21"/>
          <w:szCs w:val="20"/>
        </w:rPr>
        <w:t>罐体或船体内带有液体密封的分隔空间。</w:t>
      </w:r>
    </w:p>
    <w:p w14:paraId="0F5F6078">
      <w:pPr>
        <w:pStyle w:val="64"/>
        <w:numPr>
          <w:ilvl w:val="1"/>
          <w:numId w:val="1"/>
        </w:numPr>
        <w:spacing w:before="120" w:after="120"/>
        <w:rPr>
          <w:rFonts w:ascii="Times New Roman"/>
        </w:rPr>
      </w:pPr>
    </w:p>
    <w:p w14:paraId="59048434">
      <w:pPr>
        <w:pStyle w:val="64"/>
        <w:numPr>
          <w:ilvl w:val="1"/>
          <w:numId w:val="0"/>
        </w:numPr>
        <w:spacing w:before="120" w:after="120"/>
        <w:ind w:firstLine="420" w:firstLineChars="200"/>
        <w:rPr>
          <w:rFonts w:ascii="Times New Roman"/>
        </w:rPr>
      </w:pPr>
      <w:r>
        <w:rPr>
          <w:rFonts w:hint="eastAsia" w:ascii="Times New Roman"/>
        </w:rPr>
        <w:t>挥发性有机物</w:t>
      </w:r>
      <w:r>
        <w:rPr>
          <w:rFonts w:ascii="Times New Roman"/>
        </w:rPr>
        <w:t xml:space="preserve">  volatile organic compounds</w:t>
      </w:r>
      <w:r>
        <w:rPr>
          <w:rFonts w:hint="eastAsia" w:ascii="Times New Roman"/>
        </w:rPr>
        <w:t>（</w:t>
      </w:r>
      <w:r>
        <w:rPr>
          <w:rFonts w:ascii="Times New Roman"/>
        </w:rPr>
        <w:t>VOCs</w:t>
      </w:r>
      <w:r>
        <w:rPr>
          <w:rFonts w:hint="eastAsia" w:ascii="Times New Roman"/>
        </w:rPr>
        <w:t>）</w:t>
      </w:r>
    </w:p>
    <w:p w14:paraId="1D50A9F7">
      <w:pPr>
        <w:topLinePunct/>
        <w:adjustRightInd w:val="0"/>
        <w:ind w:firstLine="420"/>
        <w:rPr>
          <w:kern w:val="21"/>
          <w:szCs w:val="20"/>
        </w:rPr>
      </w:pPr>
      <w:r>
        <w:rPr>
          <w:rFonts w:hint="eastAsia"/>
          <w:kern w:val="21"/>
          <w:szCs w:val="20"/>
        </w:rPr>
        <w:t>参与大气光化学反应的有机化合物，或者根据有关规定确定的有机化合物。</w:t>
      </w:r>
    </w:p>
    <w:p w14:paraId="3A9531DC">
      <w:pPr>
        <w:pStyle w:val="64"/>
        <w:numPr>
          <w:ilvl w:val="1"/>
          <w:numId w:val="1"/>
        </w:numPr>
        <w:spacing w:before="120" w:after="120"/>
        <w:rPr>
          <w:rFonts w:ascii="Times New Roman"/>
        </w:rPr>
      </w:pPr>
    </w:p>
    <w:p w14:paraId="08A6A98E">
      <w:pPr>
        <w:pStyle w:val="64"/>
        <w:numPr>
          <w:ilvl w:val="1"/>
          <w:numId w:val="0"/>
        </w:numPr>
        <w:spacing w:before="120" w:after="120"/>
        <w:ind w:firstLine="420" w:firstLineChars="200"/>
        <w:rPr>
          <w:rFonts w:ascii="Times New Roman"/>
        </w:rPr>
      </w:pPr>
      <w:r>
        <w:rPr>
          <w:rFonts w:hint="eastAsia" w:ascii="Times New Roman"/>
        </w:rPr>
        <w:t>油气</w:t>
      </w:r>
      <w:r>
        <w:rPr>
          <w:rFonts w:ascii="Times New Roman"/>
        </w:rPr>
        <w:t xml:space="preserve">  vapor</w:t>
      </w:r>
    </w:p>
    <w:p w14:paraId="7CC35DE3">
      <w:pPr>
        <w:topLinePunct/>
        <w:adjustRightInd w:val="0"/>
        <w:ind w:firstLine="420"/>
        <w:rPr>
          <w:kern w:val="21"/>
          <w:szCs w:val="20"/>
        </w:rPr>
      </w:pPr>
      <w:r>
        <w:rPr>
          <w:rFonts w:hint="eastAsia"/>
          <w:kern w:val="21"/>
          <w:szCs w:val="20"/>
        </w:rPr>
        <w:t>油品运输过程中产生的</w:t>
      </w:r>
      <w:r>
        <w:rPr>
          <w:kern w:val="21"/>
          <w:szCs w:val="20"/>
        </w:rPr>
        <w:t>VOCs</w:t>
      </w:r>
      <w:r>
        <w:rPr>
          <w:rFonts w:hint="eastAsia"/>
          <w:kern w:val="21"/>
          <w:szCs w:val="20"/>
        </w:rPr>
        <w:t>。</w:t>
      </w:r>
    </w:p>
    <w:p w14:paraId="6DF5BB3B">
      <w:pPr>
        <w:pStyle w:val="64"/>
        <w:numPr>
          <w:ilvl w:val="1"/>
          <w:numId w:val="1"/>
        </w:numPr>
        <w:spacing w:before="120" w:after="120"/>
        <w:rPr>
          <w:rFonts w:ascii="Times New Roman"/>
        </w:rPr>
      </w:pPr>
    </w:p>
    <w:p w14:paraId="071CCAB0">
      <w:pPr>
        <w:pStyle w:val="64"/>
        <w:numPr>
          <w:ilvl w:val="1"/>
          <w:numId w:val="0"/>
        </w:numPr>
        <w:spacing w:before="120" w:after="120"/>
        <w:ind w:firstLine="420" w:firstLineChars="200"/>
        <w:rPr>
          <w:rFonts w:ascii="Times New Roman"/>
        </w:rPr>
      </w:pPr>
      <w:r>
        <w:rPr>
          <w:rFonts w:hint="eastAsia" w:ascii="Times New Roman"/>
        </w:rPr>
        <w:t>油罐车油气密封点</w:t>
      </w:r>
      <w:r>
        <w:rPr>
          <w:rFonts w:ascii="Times New Roman"/>
        </w:rPr>
        <w:t xml:space="preserve">  vapor sealing point of </w:t>
      </w:r>
      <w:r>
        <w:rPr>
          <w:rFonts w:hint="eastAsia" w:ascii="Times New Roman"/>
        </w:rPr>
        <w:t>road and rail tanker</w:t>
      </w:r>
    </w:p>
    <w:p w14:paraId="769865FA">
      <w:pPr>
        <w:topLinePunct/>
        <w:adjustRightInd w:val="0"/>
        <w:ind w:firstLine="420"/>
        <w:rPr>
          <w:kern w:val="21"/>
          <w:szCs w:val="20"/>
        </w:rPr>
      </w:pPr>
      <w:r>
        <w:rPr>
          <w:rFonts w:hint="eastAsia"/>
          <w:kern w:val="21"/>
          <w:szCs w:val="20"/>
        </w:rPr>
        <w:t>汽车罐车油气回收耦合阀（可带有密封盖）、油罐车人孔盖。</w:t>
      </w:r>
    </w:p>
    <w:p w14:paraId="4F8D0FD2">
      <w:pPr>
        <w:pStyle w:val="64"/>
        <w:numPr>
          <w:ilvl w:val="1"/>
          <w:numId w:val="1"/>
        </w:numPr>
        <w:spacing w:before="120" w:after="120"/>
        <w:rPr>
          <w:rFonts w:ascii="Times New Roman"/>
        </w:rPr>
      </w:pPr>
    </w:p>
    <w:p w14:paraId="71A4C99F">
      <w:pPr>
        <w:pStyle w:val="64"/>
        <w:numPr>
          <w:ilvl w:val="1"/>
          <w:numId w:val="0"/>
        </w:numPr>
        <w:spacing w:before="120" w:after="120"/>
        <w:ind w:firstLine="420" w:firstLineChars="200"/>
        <w:rPr>
          <w:rFonts w:ascii="Times New Roman"/>
        </w:rPr>
      </w:pPr>
      <w:r>
        <w:rPr>
          <w:rFonts w:hint="eastAsia" w:ascii="Times New Roman"/>
        </w:rPr>
        <w:t>泄漏检测值</w:t>
      </w:r>
      <w:r>
        <w:rPr>
          <w:rFonts w:ascii="Times New Roman"/>
        </w:rPr>
        <w:t xml:space="preserve">  leakage detection value</w:t>
      </w:r>
    </w:p>
    <w:p w14:paraId="59D7CCE6">
      <w:pPr>
        <w:topLinePunct/>
        <w:adjustRightInd w:val="0"/>
        <w:ind w:firstLine="420"/>
        <w:rPr>
          <w:kern w:val="21"/>
          <w:szCs w:val="20"/>
        </w:rPr>
      </w:pPr>
      <w:r>
        <w:rPr>
          <w:rFonts w:hint="eastAsia"/>
          <w:kern w:val="21"/>
          <w:szCs w:val="20"/>
        </w:rPr>
        <w:t>采用规定的监测方法，检测仪器探测到密封点的</w:t>
      </w:r>
      <w:r>
        <w:rPr>
          <w:kern w:val="21"/>
          <w:szCs w:val="20"/>
        </w:rPr>
        <w:t>VOCs</w:t>
      </w:r>
      <w:r>
        <w:rPr>
          <w:rFonts w:hint="eastAsia"/>
          <w:kern w:val="21"/>
          <w:szCs w:val="20"/>
        </w:rPr>
        <w:t>浓度扣除环境本底值后的净值，以碳的摩尔分数表示。</w:t>
      </w:r>
    </w:p>
    <w:p w14:paraId="46DC8260">
      <w:pPr>
        <w:pStyle w:val="64"/>
        <w:numPr>
          <w:ilvl w:val="1"/>
          <w:numId w:val="1"/>
        </w:numPr>
        <w:spacing w:before="120" w:after="120"/>
        <w:rPr>
          <w:rFonts w:ascii="Times New Roman"/>
        </w:rPr>
      </w:pPr>
    </w:p>
    <w:p w14:paraId="14826928">
      <w:pPr>
        <w:pStyle w:val="64"/>
        <w:numPr>
          <w:ilvl w:val="1"/>
          <w:numId w:val="0"/>
        </w:numPr>
        <w:spacing w:before="120" w:after="120"/>
        <w:ind w:firstLine="420" w:firstLineChars="200"/>
        <w:rPr>
          <w:rFonts w:ascii="Times New Roman"/>
        </w:rPr>
      </w:pPr>
      <w:r>
        <w:rPr>
          <w:rFonts w:hint="eastAsia" w:ascii="Times New Roman"/>
        </w:rPr>
        <w:t>油气回收系统</w:t>
      </w:r>
      <w:r>
        <w:rPr>
          <w:rFonts w:ascii="Times New Roman"/>
        </w:rPr>
        <w:t xml:space="preserve">  vapor recovery system</w:t>
      </w:r>
    </w:p>
    <w:p w14:paraId="6A08D38F">
      <w:pPr>
        <w:topLinePunct/>
        <w:adjustRightInd w:val="0"/>
        <w:ind w:firstLine="420"/>
        <w:rPr>
          <w:kern w:val="21"/>
          <w:szCs w:val="20"/>
        </w:rPr>
      </w:pPr>
      <w:r>
        <w:rPr>
          <w:rFonts w:hint="eastAsia"/>
          <w:kern w:val="21"/>
          <w:szCs w:val="20"/>
        </w:rPr>
        <w:t>用于装卸油时将油气密闭输入</w:t>
      </w:r>
      <w:r>
        <w:rPr>
          <w:kern w:val="21"/>
          <w:szCs w:val="20"/>
        </w:rPr>
        <w:t>/</w:t>
      </w:r>
      <w:r>
        <w:rPr>
          <w:rFonts w:hint="eastAsia"/>
          <w:kern w:val="21"/>
          <w:szCs w:val="20"/>
        </w:rPr>
        <w:t>输出罐体并进行回收的装置；油气回收系统包括油气回收耦合阀、油气回收阀、通气阀、气动联锁阀、密封盖、控制管路和连接管路等。</w:t>
      </w:r>
    </w:p>
    <w:p w14:paraId="6FA8FF58">
      <w:pPr>
        <w:pStyle w:val="64"/>
        <w:numPr>
          <w:ilvl w:val="1"/>
          <w:numId w:val="1"/>
        </w:numPr>
        <w:spacing w:before="120" w:after="120"/>
        <w:rPr>
          <w:rFonts w:ascii="Times New Roman"/>
        </w:rPr>
      </w:pPr>
    </w:p>
    <w:p w14:paraId="4158D079">
      <w:pPr>
        <w:pStyle w:val="64"/>
        <w:numPr>
          <w:ilvl w:val="1"/>
          <w:numId w:val="0"/>
        </w:numPr>
        <w:spacing w:before="120" w:after="120"/>
        <w:ind w:firstLine="420" w:firstLineChars="200"/>
        <w:rPr>
          <w:rFonts w:ascii="Times New Roman"/>
        </w:rPr>
      </w:pPr>
      <w:r>
        <w:rPr>
          <w:rFonts w:hint="eastAsia" w:ascii="Times New Roman"/>
        </w:rPr>
        <w:t>油气回收耦合阀</w:t>
      </w:r>
      <w:r>
        <w:rPr>
          <w:rFonts w:ascii="Times New Roman"/>
        </w:rPr>
        <w:t xml:space="preserve">  vapor adaptor valve</w:t>
      </w:r>
    </w:p>
    <w:p w14:paraId="07429564">
      <w:pPr>
        <w:topLinePunct/>
        <w:adjustRightInd w:val="0"/>
        <w:ind w:firstLine="420"/>
        <w:rPr>
          <w:kern w:val="21"/>
          <w:szCs w:val="20"/>
        </w:rPr>
      </w:pPr>
      <w:r>
        <w:rPr>
          <w:rFonts w:hint="eastAsia"/>
          <w:kern w:val="21"/>
          <w:szCs w:val="20"/>
        </w:rPr>
        <w:t>用于罐体与外部对接，传输油气的快速闭止阀。</w:t>
      </w:r>
    </w:p>
    <w:p w14:paraId="2069D23B">
      <w:pPr>
        <w:pStyle w:val="46"/>
        <w:spacing w:before="240" w:after="240"/>
        <w:outlineLvl w:val="0"/>
        <w:rPr>
          <w:rFonts w:hAnsi="黑体" w:cs="黑体"/>
        </w:rPr>
      </w:pPr>
      <w:bookmarkStart w:id="63" w:name="_Toc528159064"/>
      <w:bookmarkStart w:id="64" w:name="_Toc131444660"/>
      <w:bookmarkStart w:id="65" w:name="_Toc484052658"/>
      <w:bookmarkStart w:id="66" w:name="_Toc19161"/>
      <w:bookmarkStart w:id="67" w:name="_Toc4064"/>
      <w:r>
        <w:rPr>
          <w:rFonts w:hint="eastAsia" w:hAnsi="黑体" w:cs="黑体"/>
        </w:rPr>
        <w:t>控制要求</w:t>
      </w:r>
      <w:bookmarkEnd w:id="63"/>
      <w:bookmarkEnd w:id="64"/>
      <w:bookmarkEnd w:id="65"/>
      <w:bookmarkEnd w:id="66"/>
      <w:bookmarkEnd w:id="67"/>
    </w:p>
    <w:p w14:paraId="16B2DE0E">
      <w:pPr>
        <w:pStyle w:val="64"/>
        <w:numPr>
          <w:ilvl w:val="1"/>
          <w:numId w:val="1"/>
        </w:numPr>
        <w:spacing w:before="120" w:after="120"/>
        <w:rPr>
          <w:rFonts w:ascii="宋体" w:hAnsi="宋体" w:eastAsia="宋体"/>
        </w:rPr>
      </w:pPr>
      <w:r>
        <w:rPr>
          <w:rFonts w:hint="eastAsia" w:ascii="宋体" w:hAnsi="宋体" w:eastAsia="宋体"/>
        </w:rPr>
        <w:t>汽车罐车应具备底部装卸油系统和油气回收系统。</w:t>
      </w:r>
    </w:p>
    <w:p w14:paraId="66FD7089">
      <w:pPr>
        <w:pStyle w:val="64"/>
        <w:numPr>
          <w:ilvl w:val="1"/>
          <w:numId w:val="1"/>
        </w:numPr>
        <w:spacing w:before="120" w:after="120"/>
        <w:rPr>
          <w:rFonts w:ascii="宋体" w:hAnsi="宋体" w:eastAsia="宋体"/>
        </w:rPr>
      </w:pPr>
      <w:r>
        <w:rPr>
          <w:rFonts w:hint="eastAsia" w:ascii="宋体" w:hAnsi="宋体" w:eastAsia="宋体"/>
        </w:rPr>
        <w:t>汽车罐车底部装卸油系统公称直径应为</w:t>
      </w:r>
      <w:r>
        <w:rPr>
          <w:rFonts w:ascii="宋体" w:hAnsi="宋体" w:eastAsia="宋体"/>
        </w:rPr>
        <w:t>100 mm</w:t>
      </w:r>
      <w:r>
        <w:rPr>
          <w:rFonts w:hint="eastAsia" w:ascii="宋体" w:hAnsi="宋体" w:eastAsia="宋体"/>
        </w:rPr>
        <w:t>，底部装卸油系统包括卸油阀、紧急切断阀、呼吸阀、防溢流系统及连接管线等。</w:t>
      </w:r>
    </w:p>
    <w:p w14:paraId="23D3337A">
      <w:pPr>
        <w:pStyle w:val="64"/>
        <w:numPr>
          <w:ilvl w:val="1"/>
          <w:numId w:val="1"/>
        </w:numPr>
        <w:spacing w:before="120" w:after="120"/>
        <w:rPr>
          <w:rFonts w:ascii="宋体" w:hAnsi="宋体" w:eastAsia="宋体"/>
        </w:rPr>
      </w:pPr>
      <w:r>
        <w:rPr>
          <w:rFonts w:hint="eastAsia" w:ascii="宋体" w:hAnsi="宋体" w:eastAsia="宋体"/>
        </w:rPr>
        <w:t>汽车罐车油气回收系统公称直径应为</w:t>
      </w:r>
      <w:r>
        <w:rPr>
          <w:rFonts w:ascii="宋体" w:hAnsi="宋体" w:eastAsia="宋体"/>
        </w:rPr>
        <w:t>100 mm</w:t>
      </w:r>
      <w:r>
        <w:rPr>
          <w:rFonts w:hint="eastAsia" w:ascii="宋体" w:hAnsi="宋体" w:eastAsia="宋体"/>
        </w:rPr>
        <w:t>，油气回收系统能够将储油库向汽车罐车发油时产生的油气密闭输入油气处理装置，能够将卸油时产生的油气密闭输入汽车罐车油罐内，能够保证运输过程中油品和油气不泄漏，不得随意排放汽车罐车油罐内的油气。采取有效措施减少因操作、维修和管理等方面原因发生的油品与油气泄漏。</w:t>
      </w:r>
    </w:p>
    <w:p w14:paraId="786AA4E3">
      <w:pPr>
        <w:pStyle w:val="64"/>
        <w:numPr>
          <w:ilvl w:val="1"/>
          <w:numId w:val="1"/>
        </w:numPr>
        <w:spacing w:before="120" w:after="120"/>
        <w:rPr>
          <w:rFonts w:ascii="宋体" w:hAnsi="宋体" w:eastAsia="宋体"/>
        </w:rPr>
      </w:pPr>
      <w:r>
        <w:rPr>
          <w:rFonts w:hint="eastAsia" w:ascii="宋体" w:hAnsi="宋体" w:eastAsia="宋体"/>
        </w:rPr>
        <w:t>汽车罐车油气回收耦合阀、底部装卸油密封式快速接头应集中放置在管路箱内。多仓汽车罐车应将各仓油气回收管路在罐顶并联后进入管路箱。</w:t>
      </w:r>
    </w:p>
    <w:p w14:paraId="2E4482F0">
      <w:pPr>
        <w:pStyle w:val="64"/>
        <w:numPr>
          <w:ilvl w:val="1"/>
          <w:numId w:val="1"/>
        </w:numPr>
        <w:spacing w:before="120" w:after="120"/>
        <w:rPr>
          <w:rFonts w:ascii="宋体" w:hAnsi="宋体" w:eastAsia="宋体"/>
        </w:rPr>
      </w:pPr>
      <w:r>
        <w:rPr>
          <w:rFonts w:hint="eastAsia" w:ascii="宋体" w:hAnsi="宋体" w:eastAsia="宋体"/>
        </w:rPr>
        <w:t>铁路罐车应符合</w:t>
      </w:r>
      <w:r>
        <w:rPr>
          <w:rFonts w:ascii="宋体" w:hAnsi="宋体" w:eastAsia="宋体"/>
        </w:rPr>
        <w:t>GB/T 5600</w:t>
      </w:r>
      <w:r>
        <w:rPr>
          <w:rFonts w:hint="eastAsia" w:ascii="宋体" w:hAnsi="宋体" w:eastAsia="宋体"/>
        </w:rPr>
        <w:t>的技术规定，并采取相应措施减少运输过程中的油气排放。</w:t>
      </w:r>
    </w:p>
    <w:p w14:paraId="15600F60">
      <w:pPr>
        <w:pStyle w:val="64"/>
        <w:numPr>
          <w:ilvl w:val="1"/>
          <w:numId w:val="1"/>
        </w:numPr>
        <w:spacing w:before="120" w:after="120"/>
        <w:rPr>
          <w:rFonts w:ascii="宋体" w:hAnsi="宋体" w:eastAsia="宋体"/>
        </w:rPr>
      </w:pPr>
      <w:r>
        <w:rPr>
          <w:rFonts w:hint="eastAsia" w:ascii="宋体" w:hAnsi="宋体" w:eastAsia="宋体"/>
        </w:rPr>
        <w:t>采用红外摄像方式检测油罐车油气密封点时，不应有油气泄漏。</w:t>
      </w:r>
    </w:p>
    <w:p w14:paraId="213A95B7">
      <w:pPr>
        <w:pStyle w:val="42"/>
        <w:numPr>
          <w:ilvl w:val="1"/>
          <w:numId w:val="1"/>
        </w:numPr>
        <w:spacing w:before="120" w:after="120"/>
        <w:ind w:firstLineChars="0"/>
        <w:rPr>
          <w:rFonts w:hAnsi="宋体"/>
        </w:rPr>
      </w:pPr>
      <w:r>
        <w:rPr>
          <w:rFonts w:hint="eastAsia" w:ascii="Calibri" w:hAnsi="Calibri"/>
          <w:bCs/>
          <w:kern w:val="44"/>
          <w:szCs w:val="21"/>
        </w:rPr>
        <w:t>汽车罐车</w:t>
      </w:r>
      <w:r>
        <w:rPr>
          <w:rFonts w:hint="eastAsia"/>
        </w:rPr>
        <w:t>可参见附录B安装</w:t>
      </w:r>
      <w:r>
        <w:rPr>
          <w:rFonts w:hint="eastAsia" w:ascii="Calibri" w:hAnsi="Calibri"/>
          <w:bCs/>
          <w:kern w:val="44"/>
          <w:szCs w:val="21"/>
        </w:rPr>
        <w:t>运行工况在线监测系统。</w:t>
      </w:r>
    </w:p>
    <w:p w14:paraId="5F8E5E07">
      <w:pPr>
        <w:pStyle w:val="46"/>
        <w:spacing w:before="240" w:after="240"/>
        <w:outlineLvl w:val="0"/>
        <w:rPr>
          <w:rFonts w:hAnsi="黑体" w:cs="黑体"/>
        </w:rPr>
      </w:pPr>
      <w:bookmarkStart w:id="68" w:name="_Toc528159065"/>
      <w:bookmarkStart w:id="69" w:name="_Toc131444668"/>
      <w:bookmarkStart w:id="70" w:name="_Toc25897"/>
      <w:bookmarkStart w:id="71" w:name="_Toc4713"/>
      <w:r>
        <w:rPr>
          <w:rFonts w:hint="eastAsia" w:hAnsi="黑体" w:cs="黑体"/>
        </w:rPr>
        <w:t>排放限值</w:t>
      </w:r>
      <w:bookmarkEnd w:id="68"/>
      <w:bookmarkEnd w:id="69"/>
      <w:bookmarkEnd w:id="70"/>
      <w:bookmarkEnd w:id="71"/>
    </w:p>
    <w:p w14:paraId="73BA167F">
      <w:pPr>
        <w:pStyle w:val="64"/>
        <w:numPr>
          <w:ilvl w:val="1"/>
          <w:numId w:val="1"/>
        </w:numPr>
        <w:spacing w:before="120" w:after="120"/>
        <w:rPr>
          <w:rFonts w:ascii="Times New Roman"/>
        </w:rPr>
      </w:pPr>
      <w:r>
        <w:rPr>
          <w:rFonts w:hint="eastAsia" w:ascii="Times New Roman"/>
        </w:rPr>
        <w:t>密闭性限值</w:t>
      </w:r>
    </w:p>
    <w:p w14:paraId="44FDEBD0">
      <w:pPr>
        <w:spacing w:before="120" w:beforeLines="50" w:after="120" w:afterLines="50"/>
        <w:ind w:firstLine="420" w:firstLineChars="200"/>
      </w:pPr>
      <w:r>
        <w:rPr>
          <w:rFonts w:hint="eastAsia"/>
        </w:rPr>
        <w:t>汽车罐车油气回收系统密闭性执行表</w:t>
      </w:r>
      <w:r>
        <w:t>1</w:t>
      </w:r>
      <w:r>
        <w:rPr>
          <w:rFonts w:hint="eastAsia"/>
        </w:rPr>
        <w:t>规定的限值。</w:t>
      </w:r>
    </w:p>
    <w:p w14:paraId="5C4C7722">
      <w:pPr>
        <w:pStyle w:val="64"/>
        <w:spacing w:before="120" w:after="0" w:afterLines="0"/>
        <w:jc w:val="center"/>
        <w:outlineLvl w:val="9"/>
        <w:rPr>
          <w:rFonts w:hAnsi="黑体"/>
        </w:rPr>
      </w:pPr>
      <w:r>
        <w:rPr>
          <w:rFonts w:hint="eastAsia" w:hAnsi="黑体"/>
        </w:rPr>
        <w:t>表</w:t>
      </w:r>
      <w:r>
        <w:rPr>
          <w:rFonts w:hAnsi="黑体"/>
        </w:rPr>
        <w:t xml:space="preserve">1  </w:t>
      </w:r>
      <w:r>
        <w:rPr>
          <w:rFonts w:hint="eastAsia" w:hAnsi="黑体"/>
        </w:rPr>
        <w:t>汽车罐车油气回收系统密闭性限值</w:t>
      </w:r>
    </w:p>
    <w:tbl>
      <w:tblPr>
        <w:tblStyle w:val="19"/>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3253"/>
        <w:gridCol w:w="3184"/>
        <w:gridCol w:w="2635"/>
      </w:tblGrid>
      <w:tr w14:paraId="188CE9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793" w:type="pct"/>
            <w:shd w:val="clear" w:color="auto" w:fill="auto"/>
            <w:vAlign w:val="center"/>
          </w:tcPr>
          <w:p w14:paraId="7C8334C1">
            <w:pPr>
              <w:pStyle w:val="55"/>
              <w:rPr>
                <w:color w:val="000000"/>
                <w:kern w:val="21"/>
                <w:sz w:val="21"/>
              </w:rPr>
            </w:pPr>
            <w:r>
              <w:rPr>
                <w:rFonts w:hint="eastAsia"/>
              </w:rPr>
              <w:t>单仓罐或多仓罐单个油仓的容积</w:t>
            </w:r>
            <w:r>
              <w:rPr>
                <w:i/>
              </w:rPr>
              <w:t>V</w:t>
            </w:r>
            <w:r>
              <w:rPr>
                <w:rFonts w:hint="eastAsia"/>
              </w:rPr>
              <w:t>/</w:t>
            </w:r>
            <w:r>
              <w:t>L</w:t>
            </w:r>
          </w:p>
        </w:tc>
        <w:tc>
          <w:tcPr>
            <w:tcW w:w="1755" w:type="pct"/>
            <w:shd w:val="clear" w:color="auto" w:fill="auto"/>
            <w:vAlign w:val="center"/>
          </w:tcPr>
          <w:p w14:paraId="508BD569">
            <w:pPr>
              <w:pStyle w:val="55"/>
              <w:rPr>
                <w:color w:val="000000"/>
                <w:kern w:val="21"/>
                <w:sz w:val="21"/>
              </w:rPr>
            </w:pPr>
            <w:r>
              <w:rPr>
                <w:rFonts w:hint="eastAsia"/>
              </w:rPr>
              <w:t>油气回收系统压力变动限值/</w:t>
            </w:r>
            <w:r>
              <w:t>kPa</w:t>
            </w:r>
          </w:p>
        </w:tc>
        <w:tc>
          <w:tcPr>
            <w:tcW w:w="1452" w:type="pct"/>
            <w:shd w:val="clear" w:color="auto" w:fill="auto"/>
            <w:vAlign w:val="center"/>
          </w:tcPr>
          <w:p w14:paraId="1F86FC61">
            <w:pPr>
              <w:pStyle w:val="55"/>
              <w:rPr>
                <w:color w:val="000000"/>
                <w:kern w:val="21"/>
                <w:sz w:val="21"/>
              </w:rPr>
            </w:pPr>
            <w:r>
              <w:rPr>
                <w:rFonts w:hint="eastAsia"/>
              </w:rPr>
              <w:t>油气回收阀压力变动限值/</w:t>
            </w:r>
            <w:r>
              <w:t>kPa</w:t>
            </w:r>
          </w:p>
        </w:tc>
      </w:tr>
      <w:tr w14:paraId="62BA7D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793" w:type="pct"/>
            <w:shd w:val="clear" w:color="auto" w:fill="auto"/>
            <w:vAlign w:val="center"/>
          </w:tcPr>
          <w:p w14:paraId="70F64CDC">
            <w:pPr>
              <w:pStyle w:val="55"/>
              <w:rPr>
                <w:color w:val="000000"/>
                <w:kern w:val="21"/>
                <w:sz w:val="21"/>
              </w:rPr>
            </w:pPr>
            <w:r>
              <w:rPr>
                <w:i/>
              </w:rPr>
              <w:t>V</w:t>
            </w:r>
            <w:r>
              <w:rPr>
                <w:rFonts w:hint="eastAsia"/>
              </w:rPr>
              <w:t>≥</w:t>
            </w:r>
            <w:r>
              <w:t>9500</w:t>
            </w:r>
          </w:p>
        </w:tc>
        <w:tc>
          <w:tcPr>
            <w:tcW w:w="1755" w:type="pct"/>
            <w:shd w:val="clear" w:color="auto" w:fill="auto"/>
            <w:vAlign w:val="center"/>
          </w:tcPr>
          <w:p w14:paraId="33EF7D1F">
            <w:pPr>
              <w:pStyle w:val="55"/>
              <w:rPr>
                <w:color w:val="000000"/>
                <w:kern w:val="21"/>
                <w:sz w:val="21"/>
              </w:rPr>
            </w:pPr>
            <w:r>
              <w:rPr>
                <w:rFonts w:hint="eastAsia"/>
              </w:rPr>
              <w:t>≤</w:t>
            </w:r>
            <w:r>
              <w:t>0.</w:t>
            </w:r>
            <w:r>
              <w:rPr>
                <w:rFonts w:hint="eastAsia"/>
              </w:rPr>
              <w:t>15</w:t>
            </w:r>
          </w:p>
        </w:tc>
        <w:tc>
          <w:tcPr>
            <w:tcW w:w="1452" w:type="pct"/>
            <w:vMerge w:val="restart"/>
            <w:shd w:val="clear" w:color="auto" w:fill="auto"/>
            <w:vAlign w:val="center"/>
          </w:tcPr>
          <w:p w14:paraId="059FE901">
            <w:pPr>
              <w:pStyle w:val="55"/>
              <w:rPr>
                <w:color w:val="000000"/>
                <w:kern w:val="21"/>
                <w:sz w:val="21"/>
              </w:rPr>
            </w:pPr>
            <w:r>
              <w:rPr>
                <w:rFonts w:hint="eastAsia"/>
              </w:rPr>
              <w:t>≤</w:t>
            </w:r>
            <w:r>
              <w:t>1.</w:t>
            </w:r>
            <w:r>
              <w:rPr>
                <w:rFonts w:hint="eastAsia"/>
              </w:rPr>
              <w:t>25</w:t>
            </w:r>
          </w:p>
        </w:tc>
      </w:tr>
      <w:tr w14:paraId="41500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793" w:type="pct"/>
            <w:shd w:val="clear" w:color="auto" w:fill="auto"/>
            <w:vAlign w:val="center"/>
          </w:tcPr>
          <w:p w14:paraId="276FF1FA">
            <w:pPr>
              <w:pStyle w:val="55"/>
              <w:rPr>
                <w:color w:val="000000"/>
                <w:kern w:val="21"/>
                <w:sz w:val="21"/>
              </w:rPr>
            </w:pPr>
            <w:r>
              <w:t>9500</w:t>
            </w:r>
            <w:r>
              <w:rPr>
                <w:rFonts w:hint="eastAsia" w:cs="宋体"/>
              </w:rPr>
              <w:t>＞</w:t>
            </w:r>
            <w:r>
              <w:rPr>
                <w:i/>
              </w:rPr>
              <w:t>V</w:t>
            </w:r>
            <w:r>
              <w:rPr>
                <w:rFonts w:hint="eastAsia"/>
              </w:rPr>
              <w:t>≥</w:t>
            </w:r>
            <w:r>
              <w:t>5500</w:t>
            </w:r>
          </w:p>
        </w:tc>
        <w:tc>
          <w:tcPr>
            <w:tcW w:w="1755" w:type="pct"/>
            <w:shd w:val="clear" w:color="auto" w:fill="auto"/>
            <w:vAlign w:val="center"/>
          </w:tcPr>
          <w:p w14:paraId="0CA2D68B">
            <w:pPr>
              <w:pStyle w:val="55"/>
              <w:rPr>
                <w:color w:val="000000"/>
                <w:kern w:val="21"/>
                <w:sz w:val="21"/>
              </w:rPr>
            </w:pPr>
            <w:r>
              <w:rPr>
                <w:rFonts w:hint="eastAsia"/>
              </w:rPr>
              <w:t>≤</w:t>
            </w:r>
            <w:r>
              <w:t>0.</w:t>
            </w:r>
            <w:r>
              <w:rPr>
                <w:rFonts w:hint="eastAsia"/>
              </w:rPr>
              <w:t>20</w:t>
            </w:r>
          </w:p>
        </w:tc>
        <w:tc>
          <w:tcPr>
            <w:tcW w:w="1452" w:type="pct"/>
            <w:vMerge w:val="continue"/>
            <w:shd w:val="clear" w:color="auto" w:fill="auto"/>
            <w:vAlign w:val="center"/>
          </w:tcPr>
          <w:p w14:paraId="5E0D5A5A">
            <w:pPr>
              <w:pStyle w:val="55"/>
              <w:rPr>
                <w:color w:val="000000"/>
                <w:kern w:val="21"/>
                <w:sz w:val="21"/>
              </w:rPr>
            </w:pPr>
          </w:p>
        </w:tc>
      </w:tr>
      <w:tr w14:paraId="63EDAF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793" w:type="pct"/>
            <w:shd w:val="clear" w:color="auto" w:fill="auto"/>
            <w:vAlign w:val="center"/>
          </w:tcPr>
          <w:p w14:paraId="3780D4A4">
            <w:pPr>
              <w:pStyle w:val="55"/>
              <w:rPr>
                <w:color w:val="000000"/>
                <w:kern w:val="21"/>
                <w:sz w:val="21"/>
              </w:rPr>
            </w:pPr>
            <w:r>
              <w:t>5500</w:t>
            </w:r>
            <w:r>
              <w:rPr>
                <w:rFonts w:hint="eastAsia" w:cs="宋体"/>
              </w:rPr>
              <w:t>＞</w:t>
            </w:r>
            <w:r>
              <w:rPr>
                <w:i/>
              </w:rPr>
              <w:t>V</w:t>
            </w:r>
            <w:r>
              <w:rPr>
                <w:rFonts w:hint="eastAsia"/>
              </w:rPr>
              <w:t>≥</w:t>
            </w:r>
            <w:r>
              <w:t>3800</w:t>
            </w:r>
          </w:p>
        </w:tc>
        <w:tc>
          <w:tcPr>
            <w:tcW w:w="1755" w:type="pct"/>
            <w:shd w:val="clear" w:color="auto" w:fill="auto"/>
            <w:vAlign w:val="center"/>
          </w:tcPr>
          <w:p w14:paraId="646A589D">
            <w:pPr>
              <w:pStyle w:val="55"/>
              <w:rPr>
                <w:color w:val="000000"/>
                <w:kern w:val="21"/>
                <w:sz w:val="21"/>
              </w:rPr>
            </w:pPr>
            <w:r>
              <w:rPr>
                <w:rFonts w:hint="eastAsia"/>
              </w:rPr>
              <w:t>≤</w:t>
            </w:r>
            <w:r>
              <w:t>0.</w:t>
            </w:r>
            <w:r>
              <w:rPr>
                <w:rFonts w:hint="eastAsia"/>
              </w:rPr>
              <w:t>25</w:t>
            </w:r>
          </w:p>
        </w:tc>
        <w:tc>
          <w:tcPr>
            <w:tcW w:w="1452" w:type="pct"/>
            <w:vMerge w:val="continue"/>
            <w:shd w:val="clear" w:color="auto" w:fill="auto"/>
            <w:vAlign w:val="center"/>
          </w:tcPr>
          <w:p w14:paraId="5ED67259">
            <w:pPr>
              <w:pStyle w:val="55"/>
              <w:rPr>
                <w:color w:val="000000"/>
                <w:kern w:val="21"/>
                <w:sz w:val="21"/>
              </w:rPr>
            </w:pPr>
          </w:p>
        </w:tc>
      </w:tr>
      <w:tr w14:paraId="032198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793" w:type="pct"/>
            <w:shd w:val="clear" w:color="auto" w:fill="auto"/>
            <w:vAlign w:val="center"/>
          </w:tcPr>
          <w:p w14:paraId="30625793">
            <w:pPr>
              <w:pStyle w:val="55"/>
              <w:rPr>
                <w:color w:val="000000"/>
                <w:kern w:val="21"/>
                <w:sz w:val="21"/>
              </w:rPr>
            </w:pPr>
            <w:r>
              <w:rPr>
                <w:i/>
              </w:rPr>
              <w:t>V</w:t>
            </w:r>
            <w:r>
              <w:rPr>
                <w:rFonts w:hint="eastAsia"/>
              </w:rPr>
              <w:t>＜</w:t>
            </w:r>
            <w:r>
              <w:t>3800</w:t>
            </w:r>
          </w:p>
        </w:tc>
        <w:tc>
          <w:tcPr>
            <w:tcW w:w="1755" w:type="pct"/>
            <w:shd w:val="clear" w:color="auto" w:fill="auto"/>
            <w:vAlign w:val="center"/>
          </w:tcPr>
          <w:p w14:paraId="47C67CEA">
            <w:pPr>
              <w:pStyle w:val="55"/>
              <w:rPr>
                <w:color w:val="000000"/>
                <w:kern w:val="21"/>
                <w:sz w:val="21"/>
              </w:rPr>
            </w:pPr>
            <w:r>
              <w:rPr>
                <w:rFonts w:hint="eastAsia"/>
              </w:rPr>
              <w:t>≤</w:t>
            </w:r>
            <w:r>
              <w:t>0.</w:t>
            </w:r>
            <w:r>
              <w:rPr>
                <w:rFonts w:hint="eastAsia"/>
              </w:rPr>
              <w:t>35</w:t>
            </w:r>
          </w:p>
        </w:tc>
        <w:tc>
          <w:tcPr>
            <w:tcW w:w="1452" w:type="pct"/>
            <w:vMerge w:val="continue"/>
            <w:shd w:val="clear" w:color="auto" w:fill="auto"/>
            <w:vAlign w:val="center"/>
          </w:tcPr>
          <w:p w14:paraId="24B30709">
            <w:pPr>
              <w:pStyle w:val="55"/>
              <w:rPr>
                <w:color w:val="000000"/>
                <w:kern w:val="21"/>
                <w:sz w:val="21"/>
              </w:rPr>
            </w:pPr>
          </w:p>
        </w:tc>
      </w:tr>
    </w:tbl>
    <w:p w14:paraId="3AE6EAA3">
      <w:pPr>
        <w:pStyle w:val="64"/>
        <w:numPr>
          <w:ilvl w:val="1"/>
          <w:numId w:val="1"/>
        </w:numPr>
        <w:spacing w:before="120" w:after="120"/>
        <w:rPr>
          <w:rFonts w:ascii="Times New Roman"/>
        </w:rPr>
      </w:pPr>
      <w:r>
        <w:rPr>
          <w:rFonts w:hint="eastAsia" w:ascii="Times New Roman"/>
        </w:rPr>
        <w:t>泄漏排放限值</w:t>
      </w:r>
    </w:p>
    <w:p w14:paraId="47C441A3">
      <w:pPr>
        <w:spacing w:before="120" w:beforeLines="50" w:after="120" w:afterLines="50"/>
        <w:ind w:firstLine="420" w:firstLineChars="200"/>
      </w:pPr>
      <w:bookmarkStart w:id="72" w:name="_Toc484052659"/>
      <w:r>
        <w:rPr>
          <w:rFonts w:hint="eastAsia"/>
        </w:rPr>
        <w:t>油罐车油气密封点泄漏</w:t>
      </w:r>
      <w:bookmarkEnd w:id="72"/>
      <w:r>
        <w:rPr>
          <w:rFonts w:hint="eastAsia"/>
        </w:rPr>
        <w:t>检测值不应超过</w:t>
      </w:r>
      <w:r>
        <w:t>500 μmol/mol</w:t>
      </w:r>
      <w:r>
        <w:rPr>
          <w:rFonts w:hint="eastAsia"/>
        </w:rPr>
        <w:t>。</w:t>
      </w:r>
    </w:p>
    <w:p w14:paraId="4F16F390">
      <w:pPr>
        <w:pStyle w:val="46"/>
        <w:spacing w:before="240" w:after="240"/>
        <w:outlineLvl w:val="0"/>
        <w:rPr>
          <w:rFonts w:hAnsi="黑体" w:cs="黑体"/>
        </w:rPr>
      </w:pPr>
      <w:bookmarkStart w:id="73" w:name="_Toc484054270"/>
      <w:bookmarkEnd w:id="73"/>
      <w:bookmarkStart w:id="74" w:name="_Toc484054230"/>
      <w:bookmarkEnd w:id="74"/>
      <w:bookmarkStart w:id="75" w:name="_Toc484054229"/>
      <w:bookmarkEnd w:id="75"/>
      <w:bookmarkStart w:id="76" w:name="_Toc484054232"/>
      <w:bookmarkEnd w:id="76"/>
      <w:bookmarkStart w:id="77" w:name="_Toc484054269"/>
      <w:bookmarkEnd w:id="77"/>
      <w:bookmarkStart w:id="78" w:name="_Toc476612158"/>
      <w:bookmarkEnd w:id="78"/>
      <w:bookmarkStart w:id="79" w:name="_Toc476612176"/>
      <w:bookmarkEnd w:id="79"/>
      <w:bookmarkStart w:id="80" w:name="_Toc484054271"/>
      <w:bookmarkEnd w:id="80"/>
      <w:bookmarkStart w:id="81" w:name="_Toc440876752"/>
      <w:bookmarkEnd w:id="81"/>
      <w:bookmarkStart w:id="82" w:name="_Toc484054274"/>
      <w:bookmarkEnd w:id="82"/>
      <w:bookmarkStart w:id="83" w:name="_Toc476612171"/>
      <w:bookmarkEnd w:id="83"/>
      <w:bookmarkStart w:id="84" w:name="_Toc440876478"/>
      <w:bookmarkEnd w:id="84"/>
      <w:bookmarkStart w:id="85" w:name="_Toc484054233"/>
      <w:bookmarkEnd w:id="85"/>
      <w:bookmarkStart w:id="86" w:name="_Toc440876492"/>
      <w:bookmarkEnd w:id="86"/>
      <w:bookmarkStart w:id="87" w:name="_Toc484054261"/>
      <w:bookmarkEnd w:id="87"/>
      <w:bookmarkStart w:id="88" w:name="_Toc476612180"/>
      <w:bookmarkEnd w:id="88"/>
      <w:bookmarkStart w:id="89" w:name="_Toc484054267"/>
      <w:bookmarkEnd w:id="89"/>
      <w:bookmarkStart w:id="90" w:name="_Toc484054281"/>
      <w:bookmarkEnd w:id="90"/>
      <w:bookmarkStart w:id="91" w:name="_Toc440876490"/>
      <w:bookmarkEnd w:id="91"/>
      <w:bookmarkStart w:id="92" w:name="_Toc476612159"/>
      <w:bookmarkEnd w:id="92"/>
      <w:bookmarkStart w:id="93" w:name="_Toc484054231"/>
      <w:bookmarkEnd w:id="93"/>
      <w:bookmarkStart w:id="94" w:name="_Toc484054228"/>
      <w:bookmarkEnd w:id="94"/>
      <w:bookmarkStart w:id="95" w:name="_Toc476612179"/>
      <w:bookmarkEnd w:id="95"/>
      <w:bookmarkStart w:id="96" w:name="_Toc484054287"/>
      <w:bookmarkEnd w:id="96"/>
      <w:bookmarkStart w:id="97" w:name="_Toc440876742"/>
      <w:bookmarkEnd w:id="97"/>
      <w:bookmarkStart w:id="98" w:name="_Toc476612181"/>
      <w:bookmarkEnd w:id="98"/>
      <w:bookmarkStart w:id="99" w:name="_Toc484054266"/>
      <w:bookmarkEnd w:id="99"/>
      <w:bookmarkStart w:id="100" w:name="_Toc484054280"/>
      <w:bookmarkEnd w:id="100"/>
      <w:bookmarkStart w:id="101" w:name="_Toc440876494"/>
      <w:bookmarkEnd w:id="101"/>
      <w:bookmarkStart w:id="102" w:name="_Toc476612163"/>
      <w:bookmarkEnd w:id="102"/>
      <w:bookmarkStart w:id="103" w:name="_Toc476612166"/>
      <w:bookmarkEnd w:id="103"/>
      <w:bookmarkStart w:id="104" w:name="_Toc484052735"/>
      <w:bookmarkEnd w:id="104"/>
      <w:bookmarkStart w:id="105" w:name="_Toc484054286"/>
      <w:bookmarkEnd w:id="105"/>
      <w:bookmarkStart w:id="106" w:name="_Toc484054263"/>
      <w:bookmarkEnd w:id="106"/>
      <w:bookmarkStart w:id="107" w:name="_Toc484054284"/>
      <w:bookmarkEnd w:id="107"/>
      <w:bookmarkStart w:id="108" w:name="_Toc484054238"/>
      <w:bookmarkEnd w:id="108"/>
      <w:bookmarkStart w:id="109" w:name="_Toc440876741"/>
      <w:bookmarkEnd w:id="109"/>
      <w:bookmarkStart w:id="110" w:name="_Toc476612169"/>
      <w:bookmarkEnd w:id="110"/>
      <w:bookmarkStart w:id="111" w:name="_Toc484052660"/>
      <w:bookmarkEnd w:id="111"/>
      <w:bookmarkStart w:id="112" w:name="_Toc484054240"/>
      <w:bookmarkEnd w:id="112"/>
      <w:bookmarkStart w:id="113" w:name="_Toc484054282"/>
      <w:bookmarkEnd w:id="113"/>
      <w:bookmarkStart w:id="114" w:name="_Toc484054275"/>
      <w:bookmarkEnd w:id="114"/>
      <w:bookmarkStart w:id="115" w:name="_Toc476612168"/>
      <w:bookmarkEnd w:id="115"/>
      <w:bookmarkStart w:id="116" w:name="_Toc476612165"/>
      <w:bookmarkEnd w:id="116"/>
      <w:bookmarkStart w:id="117" w:name="_Toc484054268"/>
      <w:bookmarkEnd w:id="117"/>
      <w:bookmarkStart w:id="118" w:name="_Toc484054227"/>
      <w:bookmarkEnd w:id="118"/>
      <w:bookmarkStart w:id="119" w:name="_Toc484054283"/>
      <w:bookmarkEnd w:id="119"/>
      <w:bookmarkStart w:id="120" w:name="_Toc484054234"/>
      <w:bookmarkEnd w:id="120"/>
      <w:bookmarkStart w:id="121" w:name="_Toc476612172"/>
      <w:bookmarkEnd w:id="121"/>
      <w:bookmarkStart w:id="122" w:name="_Toc484054277"/>
      <w:bookmarkEnd w:id="122"/>
      <w:bookmarkStart w:id="123" w:name="_Toc484054242"/>
      <w:bookmarkEnd w:id="123"/>
      <w:bookmarkStart w:id="124" w:name="_Toc476612161"/>
      <w:bookmarkEnd w:id="124"/>
      <w:bookmarkStart w:id="125" w:name="_Toc484054272"/>
      <w:bookmarkEnd w:id="125"/>
      <w:bookmarkStart w:id="126" w:name="_Toc440876754"/>
      <w:bookmarkEnd w:id="126"/>
      <w:bookmarkStart w:id="127" w:name="_Toc476612174"/>
      <w:bookmarkEnd w:id="127"/>
      <w:bookmarkStart w:id="128" w:name="_Toc476612167"/>
      <w:bookmarkEnd w:id="128"/>
      <w:bookmarkStart w:id="129" w:name="_Toc476612164"/>
      <w:bookmarkEnd w:id="129"/>
      <w:bookmarkStart w:id="130" w:name="_Toc484054276"/>
      <w:bookmarkEnd w:id="130"/>
      <w:bookmarkStart w:id="131" w:name="_Toc476612160"/>
      <w:bookmarkEnd w:id="131"/>
      <w:bookmarkStart w:id="132" w:name="_Toc476612184"/>
      <w:bookmarkEnd w:id="132"/>
      <w:bookmarkStart w:id="133" w:name="_Toc484054285"/>
      <w:bookmarkEnd w:id="133"/>
      <w:bookmarkStart w:id="134" w:name="_Toc476612175"/>
      <w:bookmarkEnd w:id="134"/>
      <w:bookmarkStart w:id="135" w:name="_Toc484054273"/>
      <w:bookmarkEnd w:id="135"/>
      <w:bookmarkStart w:id="136" w:name="_Toc476612187"/>
      <w:bookmarkEnd w:id="136"/>
      <w:bookmarkStart w:id="137" w:name="_Toc440876756"/>
      <w:bookmarkEnd w:id="137"/>
      <w:bookmarkStart w:id="138" w:name="_Toc484054264"/>
      <w:bookmarkEnd w:id="138"/>
      <w:bookmarkStart w:id="139" w:name="_Toc484054235"/>
      <w:bookmarkEnd w:id="139"/>
      <w:bookmarkStart w:id="140" w:name="_Toc476612182"/>
      <w:bookmarkEnd w:id="140"/>
      <w:bookmarkStart w:id="141" w:name="_Toc484054241"/>
      <w:bookmarkEnd w:id="141"/>
      <w:bookmarkStart w:id="142" w:name="_Toc440876491"/>
      <w:bookmarkEnd w:id="142"/>
      <w:bookmarkStart w:id="143" w:name="_Toc476612185"/>
      <w:bookmarkEnd w:id="143"/>
      <w:bookmarkStart w:id="144" w:name="_Toc484054265"/>
      <w:bookmarkEnd w:id="144"/>
      <w:bookmarkStart w:id="145" w:name="_Toc476612173"/>
      <w:bookmarkEnd w:id="145"/>
      <w:bookmarkStart w:id="146" w:name="_Toc440876751"/>
      <w:bookmarkEnd w:id="146"/>
      <w:bookmarkStart w:id="147" w:name="_Toc476612178"/>
      <w:bookmarkEnd w:id="147"/>
      <w:bookmarkStart w:id="148" w:name="_Toc484054237"/>
      <w:bookmarkEnd w:id="148"/>
      <w:bookmarkStart w:id="149" w:name="_Toc476612186"/>
      <w:bookmarkEnd w:id="149"/>
      <w:bookmarkStart w:id="150" w:name="_Toc484054253"/>
      <w:bookmarkEnd w:id="150"/>
      <w:bookmarkStart w:id="151" w:name="_Toc484054279"/>
      <w:bookmarkEnd w:id="151"/>
      <w:bookmarkStart w:id="152" w:name="_Toc440876488"/>
      <w:bookmarkEnd w:id="152"/>
      <w:bookmarkStart w:id="153" w:name="_Toc484054262"/>
      <w:bookmarkEnd w:id="153"/>
      <w:bookmarkStart w:id="154" w:name="_Toc484054239"/>
      <w:bookmarkEnd w:id="154"/>
      <w:bookmarkStart w:id="155" w:name="_Toc440876755"/>
      <w:bookmarkEnd w:id="155"/>
      <w:bookmarkStart w:id="156" w:name="_Toc476612162"/>
      <w:bookmarkEnd w:id="156"/>
      <w:bookmarkStart w:id="157" w:name="_Toc484054236"/>
      <w:bookmarkEnd w:id="157"/>
      <w:bookmarkStart w:id="158" w:name="_Toc484054278"/>
      <w:bookmarkEnd w:id="158"/>
      <w:bookmarkStart w:id="159" w:name="_Toc476612177"/>
      <w:bookmarkEnd w:id="159"/>
      <w:bookmarkStart w:id="160" w:name="_Toc476612183"/>
      <w:bookmarkEnd w:id="160"/>
      <w:bookmarkStart w:id="161" w:name="_Toc440876493"/>
      <w:bookmarkEnd w:id="161"/>
      <w:bookmarkStart w:id="162" w:name="_Toc440876479"/>
      <w:bookmarkEnd w:id="162"/>
      <w:bookmarkStart w:id="163" w:name="_Toc440876757"/>
      <w:bookmarkEnd w:id="163"/>
      <w:bookmarkStart w:id="164" w:name="_Toc440876489"/>
      <w:bookmarkEnd w:id="164"/>
      <w:bookmarkStart w:id="165" w:name="_Toc440876753"/>
      <w:bookmarkEnd w:id="165"/>
      <w:bookmarkStart w:id="166" w:name="_Toc476612170"/>
      <w:bookmarkEnd w:id="166"/>
      <w:bookmarkStart w:id="167" w:name="_Toc528159066"/>
      <w:bookmarkStart w:id="168" w:name="_Toc131444669"/>
      <w:bookmarkStart w:id="169" w:name="_Toc12140"/>
      <w:bookmarkStart w:id="170" w:name="_Toc503296103"/>
      <w:bookmarkStart w:id="171" w:name="_Toc18054"/>
      <w:r>
        <w:rPr>
          <w:rFonts w:hint="eastAsia" w:hAnsi="黑体" w:cs="黑体"/>
        </w:rPr>
        <w:t>污染物监测要求</w:t>
      </w:r>
      <w:bookmarkEnd w:id="167"/>
      <w:bookmarkEnd w:id="168"/>
      <w:bookmarkEnd w:id="169"/>
      <w:bookmarkEnd w:id="170"/>
      <w:bookmarkEnd w:id="171"/>
    </w:p>
    <w:p w14:paraId="3E8AC3FD">
      <w:pPr>
        <w:pStyle w:val="64"/>
        <w:numPr>
          <w:ilvl w:val="1"/>
          <w:numId w:val="1"/>
        </w:numPr>
        <w:spacing w:before="120" w:after="120"/>
        <w:rPr>
          <w:rFonts w:ascii="宋体" w:hAnsi="宋体" w:eastAsia="宋体"/>
        </w:rPr>
      </w:pPr>
      <w:r>
        <w:rPr>
          <w:rFonts w:hint="eastAsia" w:ascii="宋体" w:hAnsi="宋体" w:eastAsia="宋体"/>
        </w:rPr>
        <w:t>油罐车所属企业应按照有关法律、《环境监测管理办法》和</w:t>
      </w:r>
      <w:r>
        <w:rPr>
          <w:rFonts w:ascii="宋体" w:hAnsi="宋体" w:eastAsia="宋体"/>
        </w:rPr>
        <w:t>HJ 819</w:t>
      </w:r>
      <w:r>
        <w:rPr>
          <w:rFonts w:hint="eastAsia" w:ascii="宋体" w:hAnsi="宋体" w:eastAsia="宋体"/>
        </w:rPr>
        <w:t>等规定，建立企业自行监测制度，制订监测方案，每年至少对汽车罐车油气回收系统密闭性、油罐车油气密封点开展两次自行监测，两次监测时间间隔大于</w:t>
      </w:r>
      <w:r>
        <w:rPr>
          <w:rFonts w:ascii="宋体" w:hAnsi="宋体" w:eastAsia="宋体"/>
        </w:rPr>
        <w:t>3</w:t>
      </w:r>
      <w:r>
        <w:rPr>
          <w:rFonts w:hint="eastAsia" w:ascii="宋体" w:hAnsi="宋体" w:eastAsia="宋体"/>
        </w:rPr>
        <w:t>个月，保存原始监测记录，并依法公布监测结果，密闭性检测方法见附录</w:t>
      </w:r>
      <w:r>
        <w:rPr>
          <w:rFonts w:ascii="宋体" w:hAnsi="宋体" w:eastAsia="宋体"/>
        </w:rPr>
        <w:t>A</w:t>
      </w:r>
      <w:r>
        <w:rPr>
          <w:rFonts w:hint="eastAsia" w:ascii="宋体" w:hAnsi="宋体" w:eastAsia="宋体"/>
        </w:rPr>
        <w:t>。</w:t>
      </w:r>
    </w:p>
    <w:p w14:paraId="6C8D913B">
      <w:pPr>
        <w:pStyle w:val="64"/>
        <w:numPr>
          <w:ilvl w:val="1"/>
          <w:numId w:val="1"/>
        </w:numPr>
        <w:spacing w:before="120" w:after="120"/>
        <w:rPr>
          <w:rFonts w:ascii="宋体" w:hAnsi="宋体" w:eastAsia="宋体"/>
        </w:rPr>
      </w:pPr>
      <w:r>
        <w:rPr>
          <w:rFonts w:hint="eastAsia" w:ascii="宋体" w:hAnsi="宋体" w:eastAsia="宋体"/>
        </w:rPr>
        <w:t>采用氢火焰离子化检测仪（以甲烷或丙烷为校准气体）对油罐车油气密封点进行检测，监测采样和测定方法按</w:t>
      </w:r>
      <w:r>
        <w:rPr>
          <w:rFonts w:ascii="宋体" w:hAnsi="宋体" w:eastAsia="宋体"/>
        </w:rPr>
        <w:t>HJ 733</w:t>
      </w:r>
      <w:r>
        <w:rPr>
          <w:rFonts w:hint="eastAsia" w:ascii="宋体" w:hAnsi="宋体" w:eastAsia="宋体"/>
        </w:rPr>
        <w:t>的规定执行，监测采样应在油罐车装卸油之前进行。</w:t>
      </w:r>
    </w:p>
    <w:p w14:paraId="0E0979D9">
      <w:pPr>
        <w:pStyle w:val="64"/>
        <w:numPr>
          <w:ilvl w:val="1"/>
          <w:numId w:val="1"/>
        </w:numPr>
        <w:spacing w:before="120" w:after="120"/>
        <w:rPr>
          <w:rFonts w:ascii="宋体" w:hAnsi="宋体" w:eastAsia="宋体"/>
        </w:rPr>
      </w:pPr>
      <w:r>
        <w:rPr>
          <w:rFonts w:ascii="宋体" w:hAnsi="宋体" w:eastAsia="宋体"/>
        </w:rPr>
        <w:t>汽车罐车在线监测系统及数据上传要求</w:t>
      </w:r>
      <w:r>
        <w:rPr>
          <w:rFonts w:hint="eastAsia" w:ascii="宋体" w:hAnsi="宋体" w:eastAsia="宋体"/>
        </w:rPr>
        <w:t>参</w:t>
      </w:r>
      <w:r>
        <w:rPr>
          <w:rFonts w:ascii="宋体" w:hAnsi="宋体" w:eastAsia="宋体"/>
        </w:rPr>
        <w:t>见附录</w:t>
      </w:r>
      <w:r>
        <w:rPr>
          <w:rFonts w:hint="eastAsia" w:ascii="宋体" w:hAnsi="宋体" w:eastAsia="宋体"/>
        </w:rPr>
        <w:t>B</w:t>
      </w:r>
      <w:r>
        <w:rPr>
          <w:rFonts w:ascii="宋体" w:hAnsi="宋体" w:eastAsia="宋体"/>
        </w:rPr>
        <w:t>。</w:t>
      </w:r>
    </w:p>
    <w:p w14:paraId="1C944596">
      <w:pPr>
        <w:pStyle w:val="46"/>
        <w:spacing w:before="240" w:after="240"/>
        <w:outlineLvl w:val="0"/>
        <w:rPr>
          <w:rFonts w:hAnsi="黑体" w:cs="黑体"/>
        </w:rPr>
      </w:pPr>
      <w:bookmarkStart w:id="172" w:name="_Toc528159068"/>
      <w:bookmarkStart w:id="173" w:name="_Toc131444670"/>
      <w:bookmarkStart w:id="174" w:name="_Toc3571"/>
      <w:bookmarkStart w:id="175" w:name="_Toc11064"/>
      <w:r>
        <w:rPr>
          <w:rFonts w:hint="eastAsia" w:hAnsi="黑体" w:cs="黑体"/>
        </w:rPr>
        <w:t>实施</w:t>
      </w:r>
      <w:bookmarkEnd w:id="172"/>
      <w:r>
        <w:rPr>
          <w:rFonts w:hint="eastAsia" w:hAnsi="黑体" w:cs="黑体"/>
        </w:rPr>
        <w:t>与监督</w:t>
      </w:r>
      <w:bookmarkEnd w:id="173"/>
      <w:bookmarkEnd w:id="174"/>
      <w:bookmarkEnd w:id="175"/>
    </w:p>
    <w:p w14:paraId="7F3E5777">
      <w:pPr>
        <w:pStyle w:val="64"/>
        <w:numPr>
          <w:ilvl w:val="1"/>
          <w:numId w:val="1"/>
        </w:numPr>
        <w:spacing w:before="120" w:after="120"/>
        <w:jc w:val="both"/>
        <w:rPr>
          <w:rFonts w:ascii="宋体" w:hAnsi="宋体" w:eastAsia="宋体"/>
        </w:rPr>
      </w:pPr>
      <w:r>
        <w:rPr>
          <w:rFonts w:hint="eastAsia" w:ascii="宋体" w:hAnsi="宋体" w:eastAsia="宋体"/>
        </w:rPr>
        <w:t>企业是实施本文件的责任主体，应采取必要措施，达到本文件规定的污染物排放控制要求。</w:t>
      </w:r>
    </w:p>
    <w:p w14:paraId="15AE777B">
      <w:pPr>
        <w:pStyle w:val="64"/>
        <w:numPr>
          <w:ilvl w:val="1"/>
          <w:numId w:val="1"/>
        </w:numPr>
        <w:spacing w:before="120" w:after="120"/>
        <w:jc w:val="both"/>
        <w:rPr>
          <w:rFonts w:ascii="宋体" w:hAnsi="宋体" w:eastAsia="宋体"/>
        </w:rPr>
      </w:pPr>
      <w:r>
        <w:rPr>
          <w:rFonts w:hint="eastAsia" w:ascii="宋体" w:hAnsi="宋体" w:eastAsia="宋体"/>
        </w:rPr>
        <w:t>对于汽车罐车油气回收系统密闭性的检测，按照检测规范要求测得的密闭性检测值超过本文件规定的限值，判定为超标。</w:t>
      </w:r>
    </w:p>
    <w:p w14:paraId="612A57EA">
      <w:pPr>
        <w:pStyle w:val="64"/>
        <w:numPr>
          <w:ilvl w:val="1"/>
          <w:numId w:val="1"/>
        </w:numPr>
        <w:spacing w:before="120" w:after="120"/>
        <w:jc w:val="both"/>
        <w:rPr>
          <w:rFonts w:ascii="宋体" w:hAnsi="宋体" w:eastAsia="宋体"/>
        </w:rPr>
      </w:pPr>
      <w:r>
        <w:rPr>
          <w:rFonts w:hint="eastAsia" w:ascii="宋体" w:hAnsi="宋体" w:eastAsia="宋体"/>
        </w:rPr>
        <w:t>对于油罐车油气密封点的泄漏检测，按照检测规范要求现场测得的泄漏检测值超过本文件规定的限值，判定为超标。</w:t>
      </w:r>
    </w:p>
    <w:p w14:paraId="307B889F">
      <w:pPr>
        <w:pStyle w:val="64"/>
        <w:numPr>
          <w:ilvl w:val="1"/>
          <w:numId w:val="1"/>
        </w:numPr>
        <w:spacing w:before="120" w:after="120"/>
        <w:jc w:val="both"/>
        <w:rPr>
          <w:rFonts w:ascii="宋体" w:hAnsi="宋体" w:eastAsia="宋体"/>
        </w:rPr>
      </w:pPr>
      <w:r>
        <w:rPr>
          <w:rFonts w:hint="eastAsia" w:ascii="宋体" w:hAnsi="宋体" w:eastAsia="宋体"/>
        </w:rPr>
        <w:t>企业未遵守本文件规定的措施性控制要求，构成违法行为的，依照法律法规等有关规定予以处理。</w:t>
      </w:r>
    </w:p>
    <w:p w14:paraId="0E3502B9">
      <w:pPr>
        <w:pStyle w:val="42"/>
        <w:ind w:firstLine="0" w:firstLineChars="0"/>
      </w:pPr>
    </w:p>
    <w:p w14:paraId="22E895F9">
      <w:pPr>
        <w:sectPr>
          <w:footerReference r:id="rId10" w:type="default"/>
          <w:pgSz w:w="11906" w:h="16838"/>
          <w:pgMar w:top="567" w:right="1134" w:bottom="1134" w:left="1418" w:header="1417" w:footer="1134" w:gutter="0"/>
          <w:pgNumType w:start="1"/>
          <w:cols w:space="720" w:num="1"/>
          <w:formProt w:val="0"/>
          <w:docGrid w:linePitch="407" w:charSpace="-3687"/>
        </w:sectPr>
      </w:pPr>
    </w:p>
    <w:p w14:paraId="410AF857">
      <w:pPr>
        <w:pStyle w:val="61"/>
        <w:numPr>
          <w:ilvl w:val="0"/>
          <w:numId w:val="3"/>
        </w:numPr>
        <w:ind w:left="0"/>
        <w:rPr>
          <w:rFonts w:ascii="Times New Roman" w:hAnsi="Times New Roman" w:cs="Times New Roman"/>
        </w:rPr>
      </w:pPr>
      <w:bookmarkStart w:id="176" w:name="_Toc1932"/>
      <w:bookmarkStart w:id="177" w:name="_Toc30087"/>
      <w:bookmarkStart w:id="178" w:name="_Toc32635"/>
      <w:bookmarkStart w:id="179" w:name="_Toc157408974"/>
      <w:bookmarkStart w:id="180" w:name="_Toc225926995"/>
      <w:bookmarkStart w:id="181" w:name="_Toc162628538"/>
      <w:bookmarkStart w:id="182" w:name="_Toc528159069"/>
      <w:bookmarkStart w:id="183" w:name="_Toc484052666"/>
      <w:r>
        <w:rPr>
          <w:rFonts w:ascii="Times New Roman" w:hAnsi="Times New Roman" w:cs="Times New Roman"/>
        </w:rPr>
        <w:br w:type="textWrapping"/>
      </w:r>
      <w:bookmarkStart w:id="184" w:name="_Toc8653705"/>
      <w:bookmarkStart w:id="185" w:name="_Toc131444671"/>
      <w:bookmarkStart w:id="186" w:name="_Toc3818182"/>
      <w:bookmarkStart w:id="187" w:name="_Toc129617334"/>
      <w:bookmarkStart w:id="188" w:name="_Toc534708643"/>
      <w:bookmarkStart w:id="189" w:name="_Toc534708859"/>
      <w:r>
        <w:rPr>
          <w:rFonts w:ascii="Times New Roman" w:hAnsi="Times New Roman" w:cs="Times New Roman"/>
        </w:rPr>
        <w:t>（规范性）</w:t>
      </w:r>
      <w:r>
        <w:rPr>
          <w:rFonts w:ascii="Times New Roman" w:hAnsi="Times New Roman" w:cs="Times New Roman"/>
        </w:rPr>
        <w:br w:type="textWrapping"/>
      </w:r>
      <w:r>
        <w:rPr>
          <w:rFonts w:ascii="Times New Roman" w:hAnsi="Times New Roman" w:cs="Times New Roman"/>
        </w:rPr>
        <w:t>汽车罐车油气回收系统密闭性检测方法</w:t>
      </w:r>
      <w:bookmarkEnd w:id="176"/>
      <w:bookmarkEnd w:id="177"/>
      <w:bookmarkEnd w:id="184"/>
      <w:bookmarkEnd w:id="185"/>
      <w:bookmarkEnd w:id="186"/>
      <w:bookmarkEnd w:id="187"/>
      <w:bookmarkEnd w:id="188"/>
      <w:bookmarkEnd w:id="189"/>
    </w:p>
    <w:p w14:paraId="5CE60482">
      <w:pPr>
        <w:pStyle w:val="59"/>
        <w:numPr>
          <w:ilvl w:val="1"/>
          <w:numId w:val="3"/>
        </w:numPr>
        <w:tabs>
          <w:tab w:val="left" w:pos="360"/>
        </w:tabs>
        <w:wordWrap/>
        <w:spacing w:before="240" w:after="240"/>
        <w:outlineLvl w:val="9"/>
        <w:rPr>
          <w:rFonts w:ascii="Times New Roman"/>
        </w:rPr>
      </w:pPr>
      <w:r>
        <w:rPr>
          <w:rFonts w:hint="eastAsia" w:ascii="Times New Roman"/>
        </w:rPr>
        <w:t>适用范围</w:t>
      </w:r>
    </w:p>
    <w:p w14:paraId="7F47E66F">
      <w:pPr>
        <w:topLinePunct/>
        <w:adjustRightInd w:val="0"/>
        <w:ind w:firstLine="420"/>
        <w:rPr>
          <w:kern w:val="21"/>
          <w:szCs w:val="20"/>
        </w:rPr>
      </w:pPr>
      <w:r>
        <w:rPr>
          <w:rFonts w:hint="eastAsia"/>
          <w:kern w:val="21"/>
          <w:szCs w:val="20"/>
        </w:rPr>
        <w:t>本附录适用于汽车罐车油气回收系统的密闭性检测。</w:t>
      </w:r>
    </w:p>
    <w:p w14:paraId="04603028">
      <w:pPr>
        <w:pStyle w:val="59"/>
        <w:numPr>
          <w:ilvl w:val="1"/>
          <w:numId w:val="3"/>
        </w:numPr>
        <w:tabs>
          <w:tab w:val="left" w:pos="360"/>
        </w:tabs>
        <w:wordWrap/>
        <w:spacing w:before="240" w:after="240"/>
        <w:outlineLvl w:val="9"/>
        <w:rPr>
          <w:rFonts w:ascii="Times New Roman"/>
        </w:rPr>
      </w:pPr>
      <w:r>
        <w:rPr>
          <w:rFonts w:hint="eastAsia" w:ascii="Times New Roman"/>
        </w:rPr>
        <w:t>检测原理和概要</w:t>
      </w:r>
    </w:p>
    <w:p w14:paraId="79241D82">
      <w:pPr>
        <w:topLinePunct/>
        <w:adjustRightInd w:val="0"/>
        <w:ind w:firstLine="420"/>
        <w:rPr>
          <w:kern w:val="21"/>
          <w:szCs w:val="20"/>
        </w:rPr>
      </w:pPr>
      <w:r>
        <w:rPr>
          <w:rFonts w:hint="eastAsia"/>
          <w:kern w:val="21"/>
          <w:szCs w:val="20"/>
        </w:rPr>
        <w:t>采用充压或抽真空的方式，检测油气回收系统对压力的保持程度。检测时对罐体充气或抽真空达到一定的压力，然后与压力源隔离，记录</w:t>
      </w:r>
      <w:r>
        <w:rPr>
          <w:kern w:val="21"/>
          <w:szCs w:val="20"/>
        </w:rPr>
        <w:t>5</w:t>
      </w:r>
      <w:r>
        <w:rPr>
          <w:rFonts w:hint="eastAsia"/>
          <w:kern w:val="21"/>
          <w:szCs w:val="20"/>
        </w:rPr>
        <w:t xml:space="preserve"> min后的压力变动值并与密闭性限值比较是否达标。</w:t>
      </w:r>
    </w:p>
    <w:p w14:paraId="798D0028">
      <w:pPr>
        <w:pStyle w:val="59"/>
        <w:numPr>
          <w:ilvl w:val="1"/>
          <w:numId w:val="3"/>
        </w:numPr>
        <w:tabs>
          <w:tab w:val="left" w:pos="360"/>
        </w:tabs>
        <w:wordWrap/>
        <w:spacing w:before="240" w:after="240"/>
        <w:outlineLvl w:val="9"/>
        <w:rPr>
          <w:rFonts w:ascii="Times New Roman"/>
        </w:rPr>
      </w:pPr>
      <w:r>
        <w:rPr>
          <w:rFonts w:hint="eastAsia" w:ascii="Times New Roman"/>
        </w:rPr>
        <w:t>检测条件</w:t>
      </w:r>
    </w:p>
    <w:p w14:paraId="314BE928">
      <w:pPr>
        <w:topLinePunct/>
        <w:adjustRightInd w:val="0"/>
        <w:ind w:firstLine="420"/>
        <w:rPr>
          <w:kern w:val="21"/>
          <w:szCs w:val="20"/>
        </w:rPr>
      </w:pPr>
      <w:r>
        <w:rPr>
          <w:rFonts w:hint="eastAsia"/>
          <w:kern w:val="21"/>
          <w:szCs w:val="20"/>
        </w:rPr>
        <w:t>汽车罐车应停靠在一个不受阳光直接照射的位置接受检测，罐内不能存有残油。</w:t>
      </w:r>
    </w:p>
    <w:p w14:paraId="483C694A">
      <w:pPr>
        <w:pStyle w:val="59"/>
        <w:numPr>
          <w:ilvl w:val="1"/>
          <w:numId w:val="3"/>
        </w:numPr>
        <w:tabs>
          <w:tab w:val="left" w:pos="360"/>
        </w:tabs>
        <w:wordWrap/>
        <w:spacing w:before="240" w:after="240"/>
        <w:outlineLvl w:val="9"/>
        <w:rPr>
          <w:rFonts w:ascii="Times New Roman"/>
        </w:rPr>
      </w:pPr>
      <w:r>
        <w:rPr>
          <w:rFonts w:hint="eastAsia" w:ascii="Times New Roman"/>
        </w:rPr>
        <w:t>检测设备</w:t>
      </w:r>
    </w:p>
    <w:p w14:paraId="50A019D8">
      <w:pPr>
        <w:pStyle w:val="67"/>
        <w:numPr>
          <w:ilvl w:val="2"/>
          <w:numId w:val="3"/>
        </w:numPr>
        <w:tabs>
          <w:tab w:val="clear" w:pos="360"/>
        </w:tabs>
        <w:wordWrap/>
        <w:spacing w:before="120" w:after="120"/>
        <w:rPr>
          <w:rFonts w:ascii="Times New Roman" w:eastAsia="宋体"/>
        </w:rPr>
      </w:pPr>
      <w:r>
        <w:rPr>
          <w:rFonts w:hint="eastAsia" w:ascii="Times New Roman" w:eastAsia="宋体"/>
        </w:rPr>
        <w:t>氮气加压系统。可以将罐体加压至</w:t>
      </w:r>
      <w:r>
        <w:rPr>
          <w:rFonts w:ascii="Times New Roman" w:eastAsia="宋体"/>
        </w:rPr>
        <w:t>7 kPa</w:t>
      </w:r>
      <w:r>
        <w:rPr>
          <w:rFonts w:hint="eastAsia" w:ascii="Times New Roman" w:eastAsia="宋体"/>
        </w:rPr>
        <w:t>。</w:t>
      </w:r>
    </w:p>
    <w:p w14:paraId="290C44C5">
      <w:pPr>
        <w:pStyle w:val="67"/>
        <w:numPr>
          <w:ilvl w:val="2"/>
          <w:numId w:val="3"/>
        </w:numPr>
        <w:tabs>
          <w:tab w:val="clear" w:pos="360"/>
        </w:tabs>
        <w:wordWrap/>
        <w:spacing w:before="120" w:after="120"/>
        <w:rPr>
          <w:rFonts w:ascii="Times New Roman" w:eastAsia="宋体"/>
        </w:rPr>
      </w:pPr>
      <w:r>
        <w:rPr>
          <w:rFonts w:hint="eastAsia" w:ascii="Times New Roman" w:eastAsia="宋体"/>
        </w:rPr>
        <w:t>低压调节器。用于控制高压气源压力，分度值≤</w:t>
      </w:r>
      <w:r>
        <w:rPr>
          <w:rFonts w:ascii="Times New Roman" w:eastAsia="宋体"/>
        </w:rPr>
        <w:t>20 kPa</w:t>
      </w:r>
      <w:r>
        <w:rPr>
          <w:rFonts w:hint="eastAsia" w:ascii="Times New Roman" w:eastAsia="宋体"/>
        </w:rPr>
        <w:t>。</w:t>
      </w:r>
    </w:p>
    <w:p w14:paraId="56B6F01D">
      <w:pPr>
        <w:pStyle w:val="67"/>
        <w:numPr>
          <w:ilvl w:val="2"/>
          <w:numId w:val="3"/>
        </w:numPr>
        <w:tabs>
          <w:tab w:val="clear" w:pos="360"/>
        </w:tabs>
        <w:wordWrap/>
        <w:spacing w:before="120" w:after="120"/>
        <w:rPr>
          <w:rFonts w:ascii="Times New Roman" w:eastAsia="宋体"/>
        </w:rPr>
      </w:pPr>
      <w:r>
        <w:rPr>
          <w:rFonts w:hint="eastAsia" w:ascii="Times New Roman" w:eastAsia="宋体"/>
        </w:rPr>
        <w:t>压力表。测量范围</w:t>
      </w:r>
      <w:r>
        <w:rPr>
          <w:rFonts w:ascii="Times New Roman" w:eastAsia="宋体"/>
        </w:rPr>
        <w:t> </w:t>
      </w:r>
      <w:r>
        <w:rPr>
          <w:rFonts w:ascii="Times New Roman" w:eastAsia="宋体"/>
        </w:rPr>
        <w:sym w:font="Symbol" w:char="F02D"/>
      </w:r>
      <w:r>
        <w:rPr>
          <w:rFonts w:ascii="Times New Roman" w:eastAsia="宋体"/>
        </w:rPr>
        <w:t xml:space="preserve">6 </w:t>
      </w:r>
      <w:r>
        <w:rPr>
          <w:rFonts w:hint="eastAsia" w:ascii="Times New Roman" w:eastAsia="宋体"/>
        </w:rPr>
        <w:t>kpa～</w:t>
      </w:r>
      <w:r>
        <w:rPr>
          <w:rFonts w:ascii="Times New Roman" w:eastAsia="宋体"/>
        </w:rPr>
        <w:t>6 kPa</w:t>
      </w:r>
      <w:r>
        <w:rPr>
          <w:rFonts w:hint="eastAsia" w:ascii="Times New Roman" w:eastAsia="宋体"/>
        </w:rPr>
        <w:t>；最大允许误差≤</w:t>
      </w:r>
      <w:r>
        <w:rPr>
          <w:rFonts w:ascii="Times New Roman" w:eastAsia="宋体"/>
        </w:rPr>
        <w:sym w:font="Symbol" w:char="00B1"/>
      </w:r>
      <w:r>
        <w:rPr>
          <w:rFonts w:ascii="Times New Roman" w:eastAsia="宋体"/>
        </w:rPr>
        <w:t>2.5% FS</w:t>
      </w:r>
      <w:r>
        <w:rPr>
          <w:rFonts w:hint="eastAsia" w:ascii="Times New Roman" w:eastAsia="宋体"/>
        </w:rPr>
        <w:t>；分度值≤</w:t>
      </w:r>
      <w:r>
        <w:rPr>
          <w:rFonts w:ascii="Times New Roman" w:eastAsia="宋体"/>
        </w:rPr>
        <w:t>30 Pa</w:t>
      </w:r>
      <w:r>
        <w:rPr>
          <w:rFonts w:hint="eastAsia" w:ascii="Times New Roman" w:eastAsia="宋体"/>
        </w:rPr>
        <w:t>。</w:t>
      </w:r>
    </w:p>
    <w:p w14:paraId="43266B5E">
      <w:pPr>
        <w:pStyle w:val="67"/>
        <w:numPr>
          <w:ilvl w:val="2"/>
          <w:numId w:val="3"/>
        </w:numPr>
        <w:tabs>
          <w:tab w:val="clear" w:pos="360"/>
        </w:tabs>
        <w:wordWrap/>
        <w:spacing w:before="120" w:after="120"/>
        <w:rPr>
          <w:rFonts w:ascii="Times New Roman" w:eastAsia="宋体"/>
        </w:rPr>
      </w:pPr>
      <w:r>
        <w:rPr>
          <w:rFonts w:hint="eastAsia" w:ascii="Times New Roman" w:eastAsia="宋体"/>
        </w:rPr>
        <w:t>油气管线检测接头。检测接头上装有可连接加压和抽真空软管的截止阀，检测接头还应与压力表连接。</w:t>
      </w:r>
    </w:p>
    <w:p w14:paraId="33F1BF07">
      <w:pPr>
        <w:pStyle w:val="67"/>
        <w:numPr>
          <w:ilvl w:val="2"/>
          <w:numId w:val="3"/>
        </w:numPr>
        <w:tabs>
          <w:tab w:val="clear" w:pos="360"/>
        </w:tabs>
        <w:wordWrap/>
        <w:spacing w:before="120" w:after="120"/>
        <w:rPr>
          <w:rFonts w:ascii="Times New Roman" w:eastAsia="宋体"/>
        </w:rPr>
      </w:pPr>
      <w:r>
        <w:rPr>
          <w:rFonts w:hint="eastAsia" w:ascii="Times New Roman" w:eastAsia="宋体"/>
        </w:rPr>
        <w:t>真空泵。可以将罐体抽真空至</w:t>
      </w:r>
      <w:r>
        <w:rPr>
          <w:rFonts w:ascii="Times New Roman" w:eastAsia="宋体"/>
        </w:rPr>
        <w:t> </w:t>
      </w:r>
      <w:r>
        <w:rPr>
          <w:rFonts w:ascii="Times New Roman" w:eastAsia="宋体"/>
        </w:rPr>
        <w:sym w:font="Symbol" w:char="F02D"/>
      </w:r>
      <w:r>
        <w:rPr>
          <w:rFonts w:ascii="Times New Roman" w:eastAsia="宋体"/>
        </w:rPr>
        <w:t>2.5 kPa</w:t>
      </w:r>
      <w:r>
        <w:rPr>
          <w:rFonts w:hint="eastAsia" w:ascii="Times New Roman" w:eastAsia="宋体"/>
        </w:rPr>
        <w:t>。</w:t>
      </w:r>
    </w:p>
    <w:p w14:paraId="5C3A4D21">
      <w:pPr>
        <w:pStyle w:val="67"/>
        <w:numPr>
          <w:ilvl w:val="2"/>
          <w:numId w:val="3"/>
        </w:numPr>
        <w:tabs>
          <w:tab w:val="clear" w:pos="360"/>
        </w:tabs>
        <w:wordWrap/>
        <w:spacing w:before="120" w:after="120"/>
        <w:rPr>
          <w:rFonts w:ascii="Times New Roman" w:eastAsia="宋体"/>
        </w:rPr>
      </w:pPr>
      <w:r>
        <w:rPr>
          <w:rFonts w:hint="eastAsia" w:ascii="Times New Roman" w:eastAsia="宋体"/>
        </w:rPr>
        <w:t>加压和抽真空软管。内径为</w:t>
      </w:r>
      <w:r>
        <w:rPr>
          <w:rFonts w:ascii="Times New Roman" w:eastAsia="宋体"/>
        </w:rPr>
        <w:t>6 mm</w:t>
      </w:r>
      <w:r>
        <w:rPr>
          <w:rFonts w:hint="eastAsia" w:ascii="Times New Roman" w:eastAsia="宋体"/>
        </w:rPr>
        <w:t>～</w:t>
      </w:r>
      <w:r>
        <w:rPr>
          <w:rFonts w:ascii="Times New Roman" w:eastAsia="宋体"/>
        </w:rPr>
        <w:t>10 mm</w:t>
      </w:r>
      <w:r>
        <w:rPr>
          <w:rFonts w:hint="eastAsia" w:ascii="Times New Roman" w:eastAsia="宋体"/>
        </w:rPr>
        <w:t>，能够承受检测压力。</w:t>
      </w:r>
    </w:p>
    <w:p w14:paraId="43ADBFCF">
      <w:pPr>
        <w:pStyle w:val="67"/>
        <w:numPr>
          <w:ilvl w:val="2"/>
          <w:numId w:val="3"/>
        </w:numPr>
        <w:tabs>
          <w:tab w:val="clear" w:pos="360"/>
        </w:tabs>
        <w:wordWrap/>
        <w:spacing w:before="120" w:after="120"/>
        <w:rPr>
          <w:rFonts w:ascii="Times New Roman" w:eastAsia="宋体"/>
        </w:rPr>
      </w:pPr>
      <w:r>
        <w:rPr>
          <w:rFonts w:hint="eastAsia" w:ascii="Times New Roman" w:eastAsia="宋体"/>
        </w:rPr>
        <w:t>泄压阀。串联在管线中，能在压力达到</w:t>
      </w:r>
      <w:r>
        <w:rPr>
          <w:rFonts w:ascii="Times New Roman" w:eastAsia="宋体"/>
        </w:rPr>
        <w:t>7 kPa</w:t>
      </w:r>
      <w:r>
        <w:rPr>
          <w:rFonts w:hint="eastAsia" w:ascii="Times New Roman" w:eastAsia="宋体"/>
        </w:rPr>
        <w:t>和</w:t>
      </w:r>
      <w:r>
        <w:rPr>
          <w:rFonts w:ascii="Times New Roman" w:eastAsia="宋体"/>
        </w:rPr>
        <w:t> </w:t>
      </w:r>
      <w:r>
        <w:rPr>
          <w:rFonts w:ascii="Times New Roman" w:eastAsia="宋体"/>
        </w:rPr>
        <w:sym w:font="Symbol" w:char="F02D"/>
      </w:r>
      <w:r>
        <w:rPr>
          <w:rFonts w:ascii="Times New Roman" w:eastAsia="宋体"/>
        </w:rPr>
        <w:t>2.5 kPa</w:t>
      </w:r>
      <w:r>
        <w:rPr>
          <w:rFonts w:hint="eastAsia" w:ascii="Times New Roman" w:eastAsia="宋体"/>
        </w:rPr>
        <w:t>时自动开启。</w:t>
      </w:r>
    </w:p>
    <w:p w14:paraId="7BA43359">
      <w:pPr>
        <w:pStyle w:val="59"/>
        <w:numPr>
          <w:ilvl w:val="1"/>
          <w:numId w:val="3"/>
        </w:numPr>
        <w:tabs>
          <w:tab w:val="left" w:pos="360"/>
        </w:tabs>
        <w:wordWrap/>
        <w:spacing w:before="240" w:after="240"/>
        <w:outlineLvl w:val="9"/>
        <w:rPr>
          <w:rFonts w:ascii="Times New Roman"/>
        </w:rPr>
      </w:pPr>
      <w:r>
        <w:rPr>
          <w:rFonts w:hint="eastAsia" w:ascii="Times New Roman"/>
        </w:rPr>
        <w:t>检测程序</w:t>
      </w:r>
    </w:p>
    <w:p w14:paraId="6552E4A7">
      <w:pPr>
        <w:pStyle w:val="67"/>
        <w:numPr>
          <w:ilvl w:val="2"/>
          <w:numId w:val="3"/>
        </w:numPr>
        <w:tabs>
          <w:tab w:val="clear" w:pos="360"/>
        </w:tabs>
        <w:wordWrap/>
        <w:spacing w:before="120" w:after="120"/>
        <w:rPr>
          <w:rFonts w:ascii="Times New Roman" w:eastAsia="宋体"/>
        </w:rPr>
      </w:pPr>
      <w:r>
        <w:rPr>
          <w:rFonts w:hint="eastAsia" w:ascii="Times New Roman" w:eastAsia="宋体"/>
        </w:rPr>
        <w:t>对汽车罐车油气回收系统的相关部件进行检查。</w:t>
      </w:r>
    </w:p>
    <w:p w14:paraId="381AB64E">
      <w:pPr>
        <w:pStyle w:val="67"/>
        <w:numPr>
          <w:ilvl w:val="2"/>
          <w:numId w:val="3"/>
        </w:numPr>
        <w:tabs>
          <w:tab w:val="clear" w:pos="360"/>
        </w:tabs>
        <w:wordWrap/>
        <w:spacing w:before="120" w:after="120"/>
        <w:rPr>
          <w:rFonts w:ascii="Times New Roman" w:eastAsia="宋体"/>
        </w:rPr>
      </w:pPr>
      <w:r>
        <w:rPr>
          <w:rFonts w:hint="eastAsia" w:ascii="Times New Roman" w:eastAsia="宋体"/>
        </w:rPr>
        <w:t>油气回收系统密闭性检测（正加压）</w:t>
      </w:r>
    </w:p>
    <w:p w14:paraId="73D0ADCB">
      <w:pPr>
        <w:topLinePunct/>
        <w:adjustRightInd w:val="0"/>
        <w:ind w:firstLine="420"/>
        <w:rPr>
          <w:kern w:val="21"/>
          <w:szCs w:val="20"/>
        </w:rPr>
      </w:pPr>
      <w:r>
        <w:rPr>
          <w:rFonts w:hint="eastAsia"/>
          <w:kern w:val="21"/>
          <w:szCs w:val="20"/>
        </w:rPr>
        <w:t>向单仓汽车罐车或多仓汽车罐车的第一个油仓内充压达到</w:t>
      </w:r>
      <w:r>
        <w:rPr>
          <w:kern w:val="21"/>
          <w:szCs w:val="20"/>
        </w:rPr>
        <w:t>4.5 kPa</w:t>
      </w:r>
      <w:r>
        <w:rPr>
          <w:rFonts w:hint="eastAsia"/>
          <w:kern w:val="21"/>
          <w:szCs w:val="20"/>
        </w:rPr>
        <w:t>，</w:t>
      </w:r>
      <w:r>
        <w:rPr>
          <w:kern w:val="21"/>
          <w:szCs w:val="20"/>
        </w:rPr>
        <w:t>5 </w:t>
      </w:r>
      <w:r>
        <w:rPr>
          <w:rFonts w:hint="eastAsia"/>
          <w:kern w:val="21"/>
          <w:szCs w:val="20"/>
        </w:rPr>
        <w:t>min后记录的压力变动值应小于等于表</w:t>
      </w:r>
      <w:r>
        <w:rPr>
          <w:kern w:val="21"/>
          <w:szCs w:val="20"/>
        </w:rPr>
        <w:t>1</w:t>
      </w:r>
      <w:r>
        <w:rPr>
          <w:rFonts w:hint="eastAsia"/>
          <w:kern w:val="21"/>
          <w:szCs w:val="20"/>
        </w:rPr>
        <w:t>规定的限值，具体检测应按照以下要求进行：</w:t>
      </w:r>
    </w:p>
    <w:p w14:paraId="27A82E52">
      <w:pPr>
        <w:ind w:left="420" w:leftChars="200"/>
      </w:pPr>
      <w:r>
        <w:t>a</w:t>
      </w:r>
      <w:r>
        <w:rPr>
          <w:rFonts w:hint="eastAsia"/>
        </w:rPr>
        <w:t>）开启和关闭罐体顶盖。</w:t>
      </w:r>
    </w:p>
    <w:p w14:paraId="7A05D714">
      <w:pPr>
        <w:ind w:left="420" w:leftChars="200"/>
      </w:pPr>
      <w:r>
        <w:t>b</w:t>
      </w:r>
      <w:r>
        <w:rPr>
          <w:rFonts w:hint="eastAsia"/>
        </w:rPr>
        <w:t>）将静电接地接头连接至罐体。</w:t>
      </w:r>
    </w:p>
    <w:p w14:paraId="4D190B8F">
      <w:pPr>
        <w:ind w:left="420" w:leftChars="200"/>
      </w:pPr>
      <w:r>
        <w:t>c</w:t>
      </w:r>
      <w:r>
        <w:rPr>
          <w:rFonts w:hint="eastAsia"/>
        </w:rPr>
        <w:t>）将检测接头与汽车罐车油气回收耦合阀连接。</w:t>
      </w:r>
    </w:p>
    <w:p w14:paraId="54DD3900">
      <w:pPr>
        <w:ind w:left="420" w:leftChars="200"/>
      </w:pPr>
      <w:r>
        <w:t>d</w:t>
      </w:r>
      <w:r>
        <w:rPr>
          <w:rFonts w:hint="eastAsia"/>
        </w:rPr>
        <w:t>）将截止阀与泄压阀、加压和抽真空软管连接，将压力源与软管连接。</w:t>
      </w:r>
    </w:p>
    <w:p w14:paraId="45E09CDA">
      <w:pPr>
        <w:ind w:left="420" w:leftChars="200"/>
      </w:pPr>
      <w:r>
        <w:t>e</w:t>
      </w:r>
      <w:r>
        <w:rPr>
          <w:rFonts w:hint="eastAsia"/>
        </w:rPr>
        <w:t>）缓慢增加压力，将单仓汽车罐车或多仓汽车罐车的第一个油仓加压至</w:t>
      </w:r>
      <w:r>
        <w:t>4.5 kPa</w:t>
      </w:r>
      <w:r>
        <w:rPr>
          <w:rFonts w:hint="eastAsia"/>
        </w:rPr>
        <w:t>。</w:t>
      </w:r>
    </w:p>
    <w:p w14:paraId="54EE2798">
      <w:pPr>
        <w:ind w:left="420" w:leftChars="200"/>
      </w:pPr>
      <w:r>
        <w:t>f</w:t>
      </w:r>
      <w:r>
        <w:rPr>
          <w:rFonts w:hint="eastAsia"/>
        </w:rPr>
        <w:t>）关闭截止阀，让压力稳定。如压力不稳定，调节压力使其保持在</w:t>
      </w:r>
      <w:r>
        <w:t>4.5 kPa</w:t>
      </w:r>
      <w:r>
        <w:rPr>
          <w:rFonts w:hint="eastAsia"/>
        </w:rPr>
        <w:t>，开始计时。</w:t>
      </w:r>
    </w:p>
    <w:p w14:paraId="4F71C83C">
      <w:pPr>
        <w:ind w:left="420" w:leftChars="200"/>
      </w:pPr>
      <w:r>
        <w:t>g</w:t>
      </w:r>
      <w:r>
        <w:rPr>
          <w:rFonts w:hint="eastAsia"/>
        </w:rPr>
        <w:t>）</w:t>
      </w:r>
      <w:r>
        <w:t>5 </w:t>
      </w:r>
      <w:r>
        <w:rPr>
          <w:rFonts w:hint="eastAsia"/>
          <w:color w:val="000000"/>
          <w:spacing w:val="-2"/>
        </w:rPr>
        <w:t>min</w:t>
      </w:r>
      <w:r>
        <w:rPr>
          <w:rFonts w:hint="eastAsia"/>
        </w:rPr>
        <w:t>后，记录剩余压力。</w:t>
      </w:r>
    </w:p>
    <w:p w14:paraId="5B1B93B7">
      <w:pPr>
        <w:ind w:left="420" w:leftChars="200"/>
      </w:pPr>
      <w:r>
        <w:t>h</w:t>
      </w:r>
      <w:r>
        <w:rPr>
          <w:rFonts w:hint="eastAsia"/>
        </w:rPr>
        <w:t>）计算压力变动值，即初始压力（</w:t>
      </w:r>
      <w:r>
        <w:t>4.5 kPa</w:t>
      </w:r>
      <w:r>
        <w:rPr>
          <w:rFonts w:hint="eastAsia"/>
        </w:rPr>
        <w:t>）减去剩余压力，并与表</w:t>
      </w:r>
      <w:r>
        <w:t>1</w:t>
      </w:r>
      <w:r>
        <w:rPr>
          <w:rFonts w:hint="eastAsia"/>
        </w:rPr>
        <w:t>规定的限值比较。</w:t>
      </w:r>
    </w:p>
    <w:p w14:paraId="4BFEBF3A">
      <w:pPr>
        <w:ind w:left="420" w:leftChars="200"/>
      </w:pPr>
      <w:r>
        <w:t>i</w:t>
      </w:r>
      <w:r>
        <w:rPr>
          <w:rFonts w:hint="eastAsia"/>
        </w:rPr>
        <w:t>）如果汽车罐车的多个油仓不互相连通，按照上述程序对每个油仓进行检测。</w:t>
      </w:r>
    </w:p>
    <w:p w14:paraId="06FAF58E">
      <w:pPr>
        <w:pStyle w:val="66"/>
        <w:numPr>
          <w:ilvl w:val="2"/>
          <w:numId w:val="3"/>
        </w:numPr>
        <w:spacing w:before="120" w:after="120"/>
      </w:pPr>
      <w:r>
        <w:rPr>
          <w:rFonts w:hint="eastAsia" w:ascii="宋体" w:hAnsi="宋体" w:eastAsia="宋体"/>
        </w:rPr>
        <w:t>油气回收系统密闭性检测（负加压）</w:t>
      </w:r>
    </w:p>
    <w:p w14:paraId="64AB0820">
      <w:r>
        <w:rPr>
          <w:rFonts w:hint="eastAsia"/>
        </w:rPr>
        <w:t>对单仓汽车罐车或多仓汽车罐车的第一个油仓抽真空至</w:t>
      </w:r>
      <w:r>
        <w:t> </w:t>
      </w:r>
      <w:r>
        <w:rPr/>
        <w:sym w:font="Symbol" w:char="F02D"/>
      </w:r>
      <w:r>
        <w:t>1.5 kPa</w:t>
      </w:r>
      <w:r>
        <w:rPr>
          <w:rFonts w:hint="eastAsia"/>
        </w:rPr>
        <w:t>，</w:t>
      </w:r>
      <w:r>
        <w:t>5 </w:t>
      </w:r>
      <w:r>
        <w:rPr>
          <w:rFonts w:hint="eastAsia"/>
          <w:color w:val="000000"/>
          <w:spacing w:val="-2"/>
        </w:rPr>
        <w:t>min</w:t>
      </w:r>
      <w:r>
        <w:rPr>
          <w:rFonts w:hint="eastAsia"/>
        </w:rPr>
        <w:t>后记录的压力变动值应小于等于表</w:t>
      </w:r>
      <w:r>
        <w:t>1</w:t>
      </w:r>
      <w:r>
        <w:rPr>
          <w:rFonts w:hint="eastAsia"/>
        </w:rPr>
        <w:t>规定的限值，具体检测应按照以下要求进行：</w:t>
      </w:r>
    </w:p>
    <w:p w14:paraId="10638EAB">
      <w:pPr>
        <w:ind w:left="420" w:leftChars="200"/>
      </w:pPr>
      <w:r>
        <w:t>a</w:t>
      </w:r>
      <w:r>
        <w:rPr>
          <w:rFonts w:hint="eastAsia"/>
        </w:rPr>
        <w:t>）将真空泵与加压和抽真空软管连接。</w:t>
      </w:r>
    </w:p>
    <w:p w14:paraId="5664DDD5">
      <w:pPr>
        <w:ind w:left="420" w:leftChars="200"/>
      </w:pPr>
      <w:r>
        <w:t>b</w:t>
      </w:r>
      <w:r>
        <w:rPr>
          <w:rFonts w:hint="eastAsia"/>
        </w:rPr>
        <w:t>）缓慢将单仓汽车罐车或多仓汽车罐车的第一个油仓抽真空至</w:t>
      </w:r>
      <w:r>
        <w:t> </w:t>
      </w:r>
      <w:r>
        <w:rPr/>
        <w:sym w:font="Symbol" w:char="F02D"/>
      </w:r>
      <w:r>
        <w:t>1.5 kPa</w:t>
      </w:r>
      <w:r>
        <w:rPr>
          <w:rFonts w:hint="eastAsia"/>
        </w:rPr>
        <w:t>。</w:t>
      </w:r>
    </w:p>
    <w:p w14:paraId="769F188E">
      <w:pPr>
        <w:ind w:left="420" w:leftChars="200"/>
      </w:pPr>
      <w:r>
        <w:t>c</w:t>
      </w:r>
      <w:r>
        <w:rPr>
          <w:rFonts w:hint="eastAsia"/>
        </w:rPr>
        <w:t>）关闭截止阀，让压力稳定。如压力不稳定，调节压力使其保持在</w:t>
      </w:r>
      <w:r>
        <w:t> </w:t>
      </w:r>
      <w:r>
        <w:rPr/>
        <w:sym w:font="Symbol" w:char="F02D"/>
      </w:r>
      <w:r>
        <w:t>1.5 kPa</w:t>
      </w:r>
      <w:r>
        <w:rPr>
          <w:rFonts w:hint="eastAsia"/>
        </w:rPr>
        <w:t>，开始计时。</w:t>
      </w:r>
    </w:p>
    <w:p w14:paraId="507DFA2B">
      <w:pPr>
        <w:ind w:left="420" w:leftChars="200"/>
      </w:pPr>
      <w:r>
        <w:t>d</w:t>
      </w:r>
      <w:r>
        <w:rPr>
          <w:rFonts w:hint="eastAsia"/>
        </w:rPr>
        <w:t>）</w:t>
      </w:r>
      <w:r>
        <w:t>5 </w:t>
      </w:r>
      <w:r>
        <w:rPr>
          <w:rFonts w:hint="eastAsia"/>
        </w:rPr>
        <w:t>min后，记录剩余压力。</w:t>
      </w:r>
    </w:p>
    <w:p w14:paraId="0BF323C2">
      <w:pPr>
        <w:ind w:left="420" w:leftChars="200"/>
      </w:pPr>
      <w:r>
        <w:t>e</w:t>
      </w:r>
      <w:r>
        <w:rPr>
          <w:rFonts w:hint="eastAsia"/>
        </w:rPr>
        <w:t>）计算压力变动值，即剩余压力减去初始压力（</w:t>
      </w:r>
      <w:r>
        <w:rPr/>
        <w:sym w:font="Symbol" w:char="F02D"/>
      </w:r>
      <w:r>
        <w:t>1.5 kPa</w:t>
      </w:r>
      <w:r>
        <w:rPr>
          <w:rFonts w:hint="eastAsia"/>
        </w:rPr>
        <w:t>），并与表</w:t>
      </w:r>
      <w:r>
        <w:t>1</w:t>
      </w:r>
      <w:r>
        <w:rPr>
          <w:rFonts w:hint="eastAsia"/>
        </w:rPr>
        <w:t>规定的限值比较。</w:t>
      </w:r>
    </w:p>
    <w:p w14:paraId="09AF7EAE">
      <w:pPr>
        <w:ind w:left="420" w:leftChars="200"/>
      </w:pPr>
      <w:r>
        <w:t>f</w:t>
      </w:r>
      <w:r>
        <w:rPr>
          <w:rFonts w:hint="eastAsia"/>
        </w:rPr>
        <w:t>）如果汽车罐车的多个油仓不互相连通，按照上述程序对每个油仓进行检测。</w:t>
      </w:r>
    </w:p>
    <w:p w14:paraId="2C9B8B57">
      <w:pPr>
        <w:pStyle w:val="67"/>
        <w:numPr>
          <w:ilvl w:val="2"/>
          <w:numId w:val="3"/>
        </w:numPr>
        <w:tabs>
          <w:tab w:val="clear" w:pos="360"/>
        </w:tabs>
        <w:wordWrap/>
        <w:spacing w:before="120" w:after="120"/>
        <w:rPr>
          <w:rFonts w:ascii="Times New Roman" w:eastAsia="宋体"/>
        </w:rPr>
      </w:pPr>
      <w:r>
        <w:rPr>
          <w:rFonts w:hint="eastAsia" w:ascii="Times New Roman" w:eastAsia="宋体"/>
        </w:rPr>
        <w:t>油气回收阀密闭性检测（正加压）</w:t>
      </w:r>
    </w:p>
    <w:p w14:paraId="663D4FEF">
      <w:pPr>
        <w:topLinePunct/>
        <w:adjustRightInd w:val="0"/>
        <w:ind w:firstLine="420"/>
        <w:rPr>
          <w:kern w:val="21"/>
          <w:szCs w:val="20"/>
        </w:rPr>
      </w:pPr>
      <w:r>
        <w:rPr>
          <w:rFonts w:hint="eastAsia"/>
          <w:kern w:val="21"/>
          <w:szCs w:val="20"/>
        </w:rPr>
        <w:t>向单仓汽车罐车或多仓汽车罐车的第一个油仓内充压达到</w:t>
      </w:r>
      <w:r>
        <w:rPr>
          <w:kern w:val="21"/>
          <w:szCs w:val="20"/>
        </w:rPr>
        <w:t>4.5 kPa</w:t>
      </w:r>
      <w:r>
        <w:rPr>
          <w:rFonts w:hint="eastAsia"/>
          <w:kern w:val="21"/>
          <w:szCs w:val="20"/>
        </w:rPr>
        <w:t>，关闭汽车罐车油气回收阀，打开泄压阀，再关闭泄压阀，</w:t>
      </w:r>
      <w:r>
        <w:rPr>
          <w:kern w:val="21"/>
          <w:szCs w:val="20"/>
        </w:rPr>
        <w:t>5 </w:t>
      </w:r>
      <w:r>
        <w:rPr>
          <w:rFonts w:hint="eastAsia"/>
          <w:kern w:val="21"/>
          <w:szCs w:val="20"/>
        </w:rPr>
        <w:t>min后记录的压力变动值应小于等于表</w:t>
      </w:r>
      <w:r>
        <w:rPr>
          <w:kern w:val="21"/>
          <w:szCs w:val="20"/>
        </w:rPr>
        <w:t>1</w:t>
      </w:r>
      <w:r>
        <w:rPr>
          <w:rFonts w:hint="eastAsia"/>
          <w:kern w:val="21"/>
          <w:szCs w:val="20"/>
        </w:rPr>
        <w:t>规定的限值，具体检测应按照以下要求进行：</w:t>
      </w:r>
    </w:p>
    <w:p w14:paraId="59308107">
      <w:pPr>
        <w:ind w:left="420" w:leftChars="200"/>
      </w:pPr>
      <w:r>
        <w:t>a</w:t>
      </w:r>
      <w:r>
        <w:rPr>
          <w:rFonts w:hint="eastAsia"/>
        </w:rPr>
        <w:t>）将压力源与加压和抽真空软管连接。</w:t>
      </w:r>
    </w:p>
    <w:p w14:paraId="34D2D764">
      <w:pPr>
        <w:ind w:left="420" w:leftChars="200"/>
      </w:pPr>
      <w:r>
        <w:t>b</w:t>
      </w:r>
      <w:r>
        <w:rPr>
          <w:rFonts w:hint="eastAsia"/>
        </w:rPr>
        <w:t>）缓慢增加压力，将单仓汽车罐车或多仓汽车罐车的第一个油仓加压至</w:t>
      </w:r>
      <w:r>
        <w:t>4.5 kPa</w:t>
      </w:r>
      <w:r>
        <w:rPr>
          <w:rFonts w:hint="eastAsia"/>
        </w:rPr>
        <w:t>。</w:t>
      </w:r>
    </w:p>
    <w:p w14:paraId="179DD5BF">
      <w:pPr>
        <w:ind w:left="420" w:leftChars="200"/>
      </w:pPr>
      <w:r>
        <w:t>c</w:t>
      </w:r>
      <w:r>
        <w:rPr>
          <w:rFonts w:hint="eastAsia"/>
        </w:rPr>
        <w:t>）关闭截止阀，让压力稳定。如压力不稳定，调节压力使其保持在</w:t>
      </w:r>
      <w:r>
        <w:t>4.5 kPa</w:t>
      </w:r>
      <w:r>
        <w:rPr>
          <w:rFonts w:hint="eastAsia"/>
        </w:rPr>
        <w:t>。</w:t>
      </w:r>
    </w:p>
    <w:p w14:paraId="1D1DBFA1">
      <w:pPr>
        <w:ind w:left="420" w:leftChars="200"/>
      </w:pPr>
      <w:r>
        <w:t>d</w:t>
      </w:r>
      <w:r>
        <w:rPr>
          <w:rFonts w:hint="eastAsia"/>
        </w:rPr>
        <w:t>）关闭单仓或多仓汽车罐车第一个油仓的油气回收阀，将油气回收管线与油仓隔离。</w:t>
      </w:r>
    </w:p>
    <w:p w14:paraId="194D42A8">
      <w:pPr>
        <w:ind w:left="420" w:leftChars="200"/>
      </w:pPr>
      <w:r>
        <w:t>e</w:t>
      </w:r>
      <w:r>
        <w:rPr>
          <w:rFonts w:hint="eastAsia"/>
        </w:rPr>
        <w:t>）打开泄压阀，将油气回收管线内的压力减至大气压。</w:t>
      </w:r>
    </w:p>
    <w:p w14:paraId="4402DF3A">
      <w:pPr>
        <w:ind w:left="420" w:leftChars="200"/>
      </w:pPr>
      <w:r>
        <w:t>f</w:t>
      </w:r>
      <w:r>
        <w:rPr>
          <w:rFonts w:hint="eastAsia"/>
        </w:rPr>
        <w:t>）关闭泄压阀，开始计时，</w:t>
      </w:r>
      <w:r>
        <w:t>5 </w:t>
      </w:r>
      <w:r>
        <w:rPr>
          <w:rFonts w:hint="eastAsia"/>
        </w:rPr>
        <w:t>min后，记录油气回收管线内的剩余压力。</w:t>
      </w:r>
    </w:p>
    <w:p w14:paraId="3D3A96C0">
      <w:pPr>
        <w:ind w:left="420" w:leftChars="200"/>
      </w:pPr>
      <w:r>
        <w:t>g</w:t>
      </w:r>
      <w:r>
        <w:rPr>
          <w:rFonts w:hint="eastAsia"/>
        </w:rPr>
        <w:t>）计算压力变动值，即剩余压力减去初始压力（</w:t>
      </w:r>
      <w:r>
        <w:t>0 kPa</w:t>
      </w:r>
      <w:r>
        <w:rPr>
          <w:rFonts w:hint="eastAsia"/>
        </w:rPr>
        <w:t>），并与表</w:t>
      </w:r>
      <w:r>
        <w:t>1</w:t>
      </w:r>
      <w:r>
        <w:rPr>
          <w:rFonts w:hint="eastAsia"/>
        </w:rPr>
        <w:t>规定的限值比较。</w:t>
      </w:r>
    </w:p>
    <w:p w14:paraId="0BB6260F">
      <w:pPr>
        <w:ind w:left="420" w:leftChars="200"/>
      </w:pPr>
      <w:r>
        <w:t>h</w:t>
      </w:r>
      <w:r>
        <w:rPr>
          <w:rFonts w:hint="eastAsia"/>
        </w:rPr>
        <w:t>）如果汽车罐车的多个油仓不互相连通，按照上述程序对每个油仓进行检测。</w:t>
      </w:r>
    </w:p>
    <w:bookmarkEnd w:id="178"/>
    <w:bookmarkEnd w:id="179"/>
    <w:bookmarkEnd w:id="180"/>
    <w:p w14:paraId="65DECCE9">
      <w:pPr>
        <w:pStyle w:val="59"/>
        <w:numPr>
          <w:ilvl w:val="1"/>
          <w:numId w:val="3"/>
        </w:numPr>
        <w:tabs>
          <w:tab w:val="left" w:pos="360"/>
        </w:tabs>
        <w:wordWrap/>
        <w:spacing w:before="240" w:after="240"/>
        <w:outlineLvl w:val="9"/>
        <w:rPr>
          <w:rFonts w:ascii="Times New Roman"/>
        </w:rPr>
      </w:pPr>
      <w:r>
        <w:rPr>
          <w:rFonts w:hint="eastAsia" w:ascii="Times New Roman"/>
        </w:rPr>
        <w:t>检测记录</w:t>
      </w:r>
    </w:p>
    <w:p w14:paraId="2F6801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Lines="50" w:after="120" w:afterLines="50"/>
        <w:ind w:firstLine="359" w:firstLineChars="171"/>
        <w:jc w:val="left"/>
        <w:rPr>
          <w:rFonts w:ascii="宋体" w:hAnsi="宋体"/>
          <w:kern w:val="0"/>
          <w:szCs w:val="21"/>
        </w:rPr>
      </w:pPr>
      <w:r>
        <w:rPr>
          <w:rFonts w:hint="eastAsia" w:ascii="宋体" w:hAnsi="宋体"/>
          <w:kern w:val="0"/>
          <w:szCs w:val="21"/>
        </w:rPr>
        <w:t>汽车罐车油气回收系统密闭性检测记录参见附录C。</w:t>
      </w:r>
    </w:p>
    <w:p w14:paraId="61849F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Lines="50" w:after="120" w:afterLines="50"/>
        <w:jc w:val="left"/>
        <w:sectPr>
          <w:pgSz w:w="11906" w:h="16838"/>
          <w:pgMar w:top="567" w:right="1134" w:bottom="1134" w:left="1418" w:header="1417" w:footer="1134" w:gutter="0"/>
          <w:cols w:space="720" w:num="1"/>
          <w:formProt w:val="0"/>
          <w:docGrid w:linePitch="407" w:charSpace="-3687"/>
        </w:sectPr>
      </w:pPr>
    </w:p>
    <w:p w14:paraId="094948AD">
      <w:pPr>
        <w:pStyle w:val="61"/>
        <w:numPr>
          <w:ilvl w:val="0"/>
          <w:numId w:val="3"/>
        </w:numPr>
        <w:ind w:left="0"/>
        <w:rPr>
          <w:rFonts w:ascii="Times New Roman"/>
        </w:rPr>
      </w:pPr>
      <w:bookmarkStart w:id="190" w:name="_Toc13618"/>
      <w:bookmarkStart w:id="191" w:name="_Toc31120"/>
      <w:r>
        <w:rPr>
          <w:rFonts w:ascii="Times New Roman"/>
        </w:rPr>
        <w:br w:type="textWrapping"/>
      </w:r>
      <w:bookmarkStart w:id="192" w:name="_Toc129617336"/>
      <w:bookmarkStart w:id="193" w:name="_Toc131444673"/>
      <w:r>
        <w:rPr>
          <w:rFonts w:ascii="Times New Roman"/>
        </w:rPr>
        <w:t>（</w:t>
      </w:r>
      <w:r>
        <w:rPr>
          <w:rFonts w:hint="eastAsia" w:ascii="Times New Roman"/>
        </w:rPr>
        <w:t>资料性</w:t>
      </w:r>
      <w:r>
        <w:rPr>
          <w:rFonts w:ascii="Times New Roman"/>
        </w:rPr>
        <w:t>）</w:t>
      </w:r>
      <w:r>
        <w:rPr>
          <w:rFonts w:ascii="Times New Roman"/>
        </w:rPr>
        <w:br w:type="textWrapping"/>
      </w:r>
      <w:r>
        <w:rPr>
          <w:rFonts w:hint="eastAsia" w:ascii="Calibri" w:hAnsi="Calibri"/>
          <w:bCs/>
          <w:kern w:val="44"/>
          <w:szCs w:val="21"/>
        </w:rPr>
        <w:t>汽车罐车运行工况在线监测系统技术要求</w:t>
      </w:r>
      <w:bookmarkEnd w:id="190"/>
      <w:bookmarkEnd w:id="191"/>
      <w:bookmarkEnd w:id="192"/>
      <w:bookmarkEnd w:id="193"/>
    </w:p>
    <w:p w14:paraId="5B75C639">
      <w:pPr>
        <w:pStyle w:val="59"/>
        <w:numPr>
          <w:ilvl w:val="1"/>
          <w:numId w:val="3"/>
        </w:numPr>
        <w:autoSpaceDE/>
        <w:spacing w:before="240" w:after="240" w:line="360" w:lineRule="auto"/>
        <w:outlineLvl w:val="9"/>
        <w:rPr>
          <w:rFonts w:hAnsi="黑体"/>
        </w:rPr>
      </w:pPr>
      <w:r>
        <w:rPr>
          <w:rFonts w:hint="eastAsia" w:hAnsi="黑体"/>
        </w:rPr>
        <w:t>在线监测系统组成</w:t>
      </w:r>
    </w:p>
    <w:p w14:paraId="0DF1042E">
      <w:pPr>
        <w:widowControl/>
        <w:jc w:val="left"/>
        <w:rPr>
          <w:rFonts w:ascii="宋体" w:hAnsi="宋体"/>
          <w:bCs/>
          <w:kern w:val="44"/>
        </w:rPr>
      </w:pPr>
      <w:r>
        <w:rPr>
          <w:rFonts w:hint="eastAsia" w:ascii="黑体" w:hAnsi="黑体" w:eastAsia="黑体"/>
          <w:kern w:val="0"/>
        </w:rPr>
        <w:t xml:space="preserve">B.1.1  </w:t>
      </w:r>
      <w:r>
        <w:rPr>
          <w:rFonts w:hint="eastAsia" w:ascii="宋体" w:hAnsi="宋体"/>
        </w:rPr>
        <w:t>汽车罐车运行工况</w:t>
      </w:r>
      <w:r>
        <w:rPr>
          <w:rFonts w:hint="eastAsia" w:ascii="宋体" w:hAnsi="宋体"/>
          <w:bCs/>
          <w:kern w:val="44"/>
        </w:rPr>
        <w:t>在线监测系统由车端监测用传感器</w:t>
      </w:r>
      <w:r>
        <w:rPr>
          <w:rFonts w:ascii="CIDFont" w:hAnsi="CIDFont" w:eastAsia="CIDFont" w:cs="CIDFont"/>
          <w:color w:val="000000"/>
          <w:kern w:val="0"/>
          <w:szCs w:val="21"/>
          <w:lang w:bidi="ar"/>
        </w:rPr>
        <w:t>、数采仪和监控中心组成。</w:t>
      </w:r>
    </w:p>
    <w:p w14:paraId="723A0F1B">
      <w:pPr>
        <w:spacing w:before="120" w:beforeLines="50" w:after="120" w:afterLines="50"/>
        <w:rPr>
          <w:rFonts w:ascii="Calibri" w:hAnsi="Calibri"/>
          <w:bCs/>
          <w:kern w:val="44"/>
        </w:rPr>
      </w:pPr>
      <w:r>
        <w:rPr>
          <w:rFonts w:hint="eastAsia" w:ascii="黑体" w:hAnsi="黑体" w:eastAsia="黑体"/>
          <w:kern w:val="0"/>
        </w:rPr>
        <w:t xml:space="preserve">B.1.2  </w:t>
      </w:r>
      <w:r>
        <w:rPr>
          <w:rFonts w:hint="eastAsia" w:ascii="宋体" w:hAnsi="宋体" w:cs="宋体"/>
          <w:kern w:val="0"/>
        </w:rPr>
        <w:t>车端监测用传感器包括</w:t>
      </w:r>
      <w:r>
        <w:rPr>
          <w:rFonts w:hint="eastAsia" w:ascii="宋体" w:hAnsi="宋体" w:cs="宋体"/>
          <w:bCs/>
          <w:kern w:val="44"/>
        </w:rPr>
        <w:t>压力传感器、温度传感器、浓度传感器、红外漫反射传感器。每个油仓安装1个压力传感器和温度传感器，每辆油罐车在卸油口安装1个浓度传感器，在卸油油气回收口安装1个红外漫反射传感器。</w:t>
      </w:r>
    </w:p>
    <w:p w14:paraId="38627A11">
      <w:pPr>
        <w:pStyle w:val="59"/>
        <w:numPr>
          <w:ilvl w:val="1"/>
          <w:numId w:val="3"/>
        </w:numPr>
        <w:autoSpaceDE/>
        <w:spacing w:before="240" w:after="240" w:line="360" w:lineRule="auto"/>
        <w:outlineLvl w:val="9"/>
        <w:rPr>
          <w:rFonts w:hAnsi="黑体"/>
        </w:rPr>
      </w:pPr>
      <w:r>
        <w:rPr>
          <w:rFonts w:hint="eastAsia" w:hAnsi="黑体"/>
        </w:rPr>
        <w:t>在线监测系统功能</w:t>
      </w:r>
    </w:p>
    <w:p w14:paraId="34F1B060">
      <w:pPr>
        <w:spacing w:before="120" w:beforeLines="50" w:after="120" w:afterLines="50"/>
        <w:rPr>
          <w:rFonts w:ascii="宋体" w:hAnsi="宋体" w:cs="宋体"/>
          <w:bCs/>
          <w:kern w:val="44"/>
        </w:rPr>
      </w:pPr>
      <w:r>
        <w:rPr>
          <w:rFonts w:hint="eastAsia" w:ascii="黑体" w:hAnsi="黑体" w:eastAsia="黑体"/>
          <w:kern w:val="0"/>
        </w:rPr>
        <w:t xml:space="preserve">B.2.1  </w:t>
      </w:r>
      <w:r>
        <w:rPr>
          <w:rFonts w:hint="eastAsia" w:ascii="宋体" w:hAnsi="宋体" w:cs="宋体"/>
          <w:bCs/>
          <w:kern w:val="44"/>
        </w:rPr>
        <w:t>汽车罐车</w:t>
      </w:r>
      <w:r>
        <w:rPr>
          <w:rFonts w:hint="eastAsia" w:ascii="Calibri" w:hAnsi="Calibri"/>
          <w:bCs/>
          <w:kern w:val="44"/>
          <w:szCs w:val="21"/>
        </w:rPr>
        <w:t>运行工况</w:t>
      </w:r>
      <w:r>
        <w:rPr>
          <w:rFonts w:hint="eastAsia" w:ascii="宋体" w:hAnsi="宋体" w:cs="宋体"/>
          <w:bCs/>
          <w:kern w:val="44"/>
        </w:rPr>
        <w:t>在线监测系统应符合有关法律和《污染源自动监控管理办法》。</w:t>
      </w:r>
    </w:p>
    <w:p w14:paraId="37081051">
      <w:pPr>
        <w:spacing w:before="120" w:beforeLines="50" w:after="120" w:afterLines="50"/>
        <w:rPr>
          <w:rFonts w:ascii="宋体" w:hAnsi="宋体" w:cs="宋体"/>
          <w:bCs/>
          <w:kern w:val="44"/>
        </w:rPr>
      </w:pPr>
      <w:r>
        <w:rPr>
          <w:rFonts w:hint="eastAsia" w:ascii="黑体" w:hAnsi="黑体" w:eastAsia="黑体"/>
          <w:kern w:val="0"/>
        </w:rPr>
        <w:t xml:space="preserve">B.2.2  </w:t>
      </w:r>
      <w:r>
        <w:rPr>
          <w:rFonts w:hint="eastAsia" w:ascii="宋体" w:hAnsi="宋体" w:cs="宋体"/>
          <w:bCs/>
          <w:kern w:val="44"/>
        </w:rPr>
        <w:t>汽车罐车</w:t>
      </w:r>
      <w:r>
        <w:rPr>
          <w:rFonts w:hint="eastAsia" w:ascii="Calibri" w:hAnsi="Calibri"/>
          <w:bCs/>
          <w:kern w:val="44"/>
          <w:szCs w:val="21"/>
        </w:rPr>
        <w:t>运行工况</w:t>
      </w:r>
      <w:r>
        <w:rPr>
          <w:rFonts w:hint="eastAsia" w:ascii="宋体" w:hAnsi="宋体" w:cs="宋体"/>
          <w:bCs/>
          <w:kern w:val="44"/>
        </w:rPr>
        <w:t>在线监测系统的安全性要求应符合GB/T 3836的规定。</w:t>
      </w:r>
    </w:p>
    <w:p w14:paraId="4B66CB2B">
      <w:pPr>
        <w:spacing w:before="120" w:beforeLines="50" w:after="120" w:afterLines="50"/>
        <w:rPr>
          <w:rFonts w:ascii="宋体" w:hAnsi="宋体" w:cs="宋体"/>
          <w:bCs/>
          <w:kern w:val="44"/>
        </w:rPr>
      </w:pPr>
      <w:r>
        <w:rPr>
          <w:rFonts w:hint="eastAsia" w:ascii="黑体" w:hAnsi="黑体" w:eastAsia="黑体"/>
          <w:kern w:val="0"/>
        </w:rPr>
        <w:t xml:space="preserve">B.2.3  </w:t>
      </w:r>
      <w:r>
        <w:rPr>
          <w:rFonts w:hint="eastAsia" w:ascii="宋体" w:hAnsi="宋体" w:cs="宋体"/>
          <w:bCs/>
          <w:kern w:val="44"/>
        </w:rPr>
        <w:t>压力在线监测系统应以不大于30 s采样间隔监测汽车罐车每个油仓的压力，在24 h（自然日）内，油仓压力处于（-50～50）Pa范围内的连续时间超过2 h，监测系统应预警，若连续7 d处于预警状态应立即报警。若当日汽车罐车未运输油品，压力在线监测系统不对该日进行预警或报警判断，当汽车罐车恢复运输时继续此前的预警或报警状态。</w:t>
      </w:r>
    </w:p>
    <w:p w14:paraId="418CFEFF">
      <w:pPr>
        <w:rPr>
          <w:rFonts w:ascii="黑体" w:hAnsi="黑体" w:eastAsia="黑体"/>
          <w:kern w:val="0"/>
        </w:rPr>
      </w:pPr>
      <w:r>
        <w:rPr>
          <w:rFonts w:hint="eastAsia" w:ascii="黑体" w:hAnsi="黑体" w:eastAsia="黑体"/>
          <w:kern w:val="0"/>
        </w:rPr>
        <w:t>B.2.3系统功能</w:t>
      </w:r>
    </w:p>
    <w:p w14:paraId="223F9841">
      <w:pPr>
        <w:spacing w:before="120" w:beforeLines="50" w:after="120" w:afterLines="50"/>
        <w:ind w:firstLine="420" w:firstLineChars="200"/>
        <w:rPr>
          <w:rFonts w:ascii="Calibri" w:hAnsi="Calibri"/>
          <w:bCs/>
          <w:kern w:val="44"/>
        </w:rPr>
      </w:pPr>
      <w:r>
        <w:rPr>
          <w:rFonts w:hint="eastAsia" w:ascii="宋体" w:hAnsi="宋体" w:cs="宋体"/>
          <w:bCs/>
          <w:kern w:val="44"/>
        </w:rPr>
        <w:t>通过安装在油罐车上的浓度传感器、红外漫反射传感器，油仓内的压力传感器和温度传感器，实时监测并分析油罐车在车辆停放期间、油品运输期间的油气泄漏状况、油罐罐体及油气回收管线密闭性</w:t>
      </w:r>
      <w:bookmarkStart w:id="198" w:name="_GoBack"/>
      <w:bookmarkEnd w:id="198"/>
      <w:r>
        <w:rPr>
          <w:rFonts w:hint="eastAsia" w:ascii="宋体" w:hAnsi="宋体" w:cs="宋体"/>
          <w:bCs/>
          <w:kern w:val="44"/>
        </w:rPr>
        <w:t>以及装油、泄油过程中回气管线的连接状况。</w:t>
      </w:r>
    </w:p>
    <w:p w14:paraId="7CC0B0E1">
      <w:pPr>
        <w:pStyle w:val="59"/>
        <w:numPr>
          <w:ilvl w:val="1"/>
          <w:numId w:val="3"/>
        </w:numPr>
        <w:autoSpaceDE/>
        <w:spacing w:before="240" w:after="240" w:line="360" w:lineRule="auto"/>
        <w:outlineLvl w:val="9"/>
        <w:rPr>
          <w:rFonts w:hAnsi="黑体"/>
        </w:rPr>
      </w:pPr>
      <w:r>
        <w:rPr>
          <w:rFonts w:hint="eastAsia" w:hAnsi="黑体"/>
        </w:rPr>
        <w:t>在线监测系统技术要求</w:t>
      </w:r>
    </w:p>
    <w:p w14:paraId="0CB0F1B8">
      <w:pPr>
        <w:spacing w:before="120" w:beforeLines="50" w:after="120" w:afterLines="50"/>
      </w:pPr>
      <w:r>
        <w:rPr>
          <w:rFonts w:hint="eastAsia" w:ascii="黑体" w:hAnsi="黑体" w:eastAsia="黑体"/>
          <w:kern w:val="0"/>
        </w:rPr>
        <w:t xml:space="preserve">B.3.1  </w:t>
      </w:r>
      <w:r>
        <w:rPr>
          <w:rFonts w:ascii="宋体" w:hAnsi="宋体"/>
        </w:rPr>
        <w:t>具有故障诊断功能，对</w:t>
      </w:r>
      <w:r>
        <w:rPr>
          <w:rFonts w:hint="eastAsia" w:ascii="宋体" w:hAnsi="宋体"/>
          <w:bCs/>
          <w:kern w:val="44"/>
        </w:rPr>
        <w:t>压力传感器、温度传感器、浓度传感器、红外漫反射传感器</w:t>
      </w:r>
      <w:r>
        <w:rPr>
          <w:rFonts w:ascii="宋体" w:hAnsi="宋体"/>
        </w:rPr>
        <w:t>等关键零部件的断电、短路等非正常状况进行预警、报警</w:t>
      </w:r>
      <w:r>
        <w:rPr>
          <w:rFonts w:hint="eastAsia" w:ascii="宋体" w:hAnsi="宋体"/>
        </w:rPr>
        <w:t>。</w:t>
      </w:r>
    </w:p>
    <w:p w14:paraId="7B35CE12">
      <w:pPr>
        <w:spacing w:before="120" w:beforeLines="50" w:after="120" w:afterLines="50"/>
      </w:pPr>
      <w:r>
        <w:rPr>
          <w:rFonts w:hint="eastAsia" w:ascii="黑体" w:hAnsi="黑体" w:eastAsia="黑体"/>
          <w:kern w:val="0"/>
        </w:rPr>
        <w:t xml:space="preserve">B.3.2  </w:t>
      </w:r>
      <w:r>
        <w:rPr>
          <w:rFonts w:ascii="宋体" w:hAnsi="宋体"/>
        </w:rPr>
        <w:t>具备软件、数据安全管理功能。仪器受外界强干扰或偶然意外或掉电后又上电等情况发生，造成程序中断，应能实现自动启动，自动恢复运行状态并记录出现故障时的时间和恢复运行时的时间。</w:t>
      </w:r>
    </w:p>
    <w:p w14:paraId="5A2F8B83">
      <w:pPr>
        <w:spacing w:before="120" w:beforeLines="50" w:after="120" w:afterLines="50"/>
      </w:pPr>
      <w:r>
        <w:rPr>
          <w:rFonts w:hint="eastAsia" w:ascii="黑体" w:hAnsi="黑体" w:eastAsia="黑体"/>
          <w:kern w:val="0"/>
        </w:rPr>
        <w:t xml:space="preserve">B.3.3  </w:t>
      </w:r>
      <w:r>
        <w:rPr>
          <w:rFonts w:ascii="宋体" w:hAnsi="宋体"/>
        </w:rPr>
        <w:t>具有</w:t>
      </w:r>
      <w:r>
        <w:rPr>
          <w:rFonts w:hint="eastAsia" w:ascii="宋体" w:hAnsi="宋体"/>
        </w:rPr>
        <w:t>远程及向现场操作人员</w:t>
      </w:r>
      <w:r>
        <w:rPr>
          <w:rFonts w:ascii="宋体" w:hAnsi="宋体"/>
        </w:rPr>
        <w:t>声光报警功能。</w:t>
      </w:r>
    </w:p>
    <w:p w14:paraId="6D080DE8">
      <w:pPr>
        <w:spacing w:before="120" w:beforeLines="50" w:after="120" w:afterLines="50"/>
        <w:rPr>
          <w:rFonts w:ascii="宋体" w:hAnsi="宋体" w:cs="黑体"/>
          <w:kern w:val="0"/>
        </w:rPr>
      </w:pPr>
      <w:r>
        <w:rPr>
          <w:rFonts w:hint="eastAsia" w:ascii="黑体" w:hAnsi="黑体" w:eastAsia="黑体"/>
          <w:kern w:val="0"/>
        </w:rPr>
        <w:t>B.3.4  具有</w:t>
      </w:r>
      <w:r>
        <w:rPr>
          <w:rFonts w:hint="eastAsia" w:ascii="宋体" w:hAnsi="宋体" w:cs="黑体"/>
          <w:kern w:val="0"/>
        </w:rPr>
        <w:t>数据本地存储功能，</w:t>
      </w:r>
      <w:r>
        <w:rPr>
          <w:rFonts w:hint="eastAsia" w:ascii="宋体" w:hAnsi="宋体" w:cs="宋体"/>
          <w:bCs/>
          <w:kern w:val="44"/>
        </w:rPr>
        <w:t>数据至少保存3年，</w:t>
      </w:r>
      <w:r>
        <w:rPr>
          <w:rFonts w:hint="eastAsia" w:ascii="宋体" w:hAnsi="宋体" w:cs="黑体"/>
          <w:kern w:val="0"/>
        </w:rPr>
        <w:t>并可实时上传至相关监管平台。</w:t>
      </w:r>
    </w:p>
    <w:p w14:paraId="690A7E02">
      <w:pPr>
        <w:spacing w:before="120" w:beforeLines="50" w:after="120" w:afterLines="50"/>
        <w:rPr>
          <w:rFonts w:ascii="宋体" w:hAnsi="宋体" w:cs="黑体"/>
          <w:kern w:val="0"/>
        </w:rPr>
      </w:pPr>
      <w:r>
        <w:rPr>
          <w:rFonts w:hint="eastAsia" w:ascii="黑体" w:hAnsi="黑体" w:eastAsia="黑体"/>
          <w:kern w:val="0"/>
        </w:rPr>
        <w:t xml:space="preserve">B.3.5  </w:t>
      </w:r>
      <w:r>
        <w:rPr>
          <w:rFonts w:hint="eastAsia" w:ascii="宋体" w:hAnsi="宋体" w:cs="黑体"/>
          <w:kern w:val="0"/>
        </w:rPr>
        <w:t>系统的数据采集、数据上传等功能不受着车辆运行状况干扰。</w:t>
      </w:r>
    </w:p>
    <w:p w14:paraId="5290EEF6">
      <w:pPr>
        <w:pStyle w:val="59"/>
        <w:numPr>
          <w:ilvl w:val="1"/>
          <w:numId w:val="3"/>
        </w:numPr>
        <w:autoSpaceDE/>
        <w:spacing w:before="240" w:after="240" w:line="360" w:lineRule="auto"/>
        <w:outlineLvl w:val="9"/>
        <w:rPr>
          <w:rFonts w:hAnsi="黑体"/>
        </w:rPr>
      </w:pPr>
      <w:r>
        <w:rPr>
          <w:rFonts w:hint="eastAsia" w:hAnsi="黑体"/>
        </w:rPr>
        <w:t>工作条件要求</w:t>
      </w:r>
    </w:p>
    <w:p w14:paraId="1D2C4436">
      <w:pPr>
        <w:spacing w:before="120" w:beforeLines="50" w:after="120" w:afterLines="50"/>
      </w:pPr>
      <w:r>
        <w:rPr>
          <w:rFonts w:hint="eastAsia" w:ascii="黑体" w:hAnsi="黑体" w:eastAsia="黑体"/>
          <w:kern w:val="0"/>
        </w:rPr>
        <w:t xml:space="preserve">B.4.1  </w:t>
      </w:r>
      <w:r>
        <w:rPr>
          <w:rFonts w:ascii="宋体" w:hAnsi="宋体"/>
        </w:rPr>
        <w:t>运行工况在线监测系统主机及各检测</w:t>
      </w:r>
      <w:r>
        <w:t>/</w:t>
      </w:r>
      <w:r>
        <w:rPr>
          <w:rFonts w:ascii="宋体" w:hAnsi="宋体"/>
        </w:rPr>
        <w:t>测量器件在室外环境下使用时，应采取有效手段保证系统总成和零部件能有效可靠运行。</w:t>
      </w:r>
    </w:p>
    <w:p w14:paraId="46419439">
      <w:pPr>
        <w:spacing w:before="120" w:beforeLines="50" w:after="120" w:afterLines="50"/>
      </w:pPr>
      <w:r>
        <w:rPr>
          <w:rFonts w:hint="eastAsia" w:ascii="黑体" w:hAnsi="黑体" w:eastAsia="黑体"/>
          <w:kern w:val="0"/>
        </w:rPr>
        <w:t xml:space="preserve">B.4.2  </w:t>
      </w:r>
      <w:r>
        <w:rPr>
          <w:rFonts w:hint="eastAsia" w:ascii="宋体" w:hAnsi="宋体"/>
        </w:rPr>
        <w:t>系统工作环境要求如下：</w:t>
      </w:r>
      <w:r>
        <w:t xml:space="preserve"> </w:t>
      </w:r>
    </w:p>
    <w:p w14:paraId="5CE028EB">
      <w:pPr>
        <w:spacing w:before="120" w:beforeLines="50" w:after="120" w:afterLines="50"/>
        <w:ind w:firstLine="630" w:firstLineChars="300"/>
      </w:pPr>
      <w:r>
        <w:t>a</w:t>
      </w:r>
      <w:r>
        <w:rPr>
          <w:rFonts w:ascii="宋体" w:hAnsi="宋体"/>
        </w:rPr>
        <w:t>）环境温度：（</w:t>
      </w:r>
      <w:r>
        <w:t>-20</w:t>
      </w:r>
      <w:r>
        <w:rPr>
          <w:rFonts w:ascii="宋体" w:hAnsi="宋体"/>
        </w:rPr>
        <w:t>～</w:t>
      </w:r>
      <w:r>
        <w:t>60</w:t>
      </w:r>
      <w:r>
        <w:rPr>
          <w:rFonts w:ascii="宋体" w:hAnsi="宋体"/>
        </w:rPr>
        <w:t>）</w:t>
      </w:r>
      <w:r>
        <w:rPr>
          <w:rFonts w:hint="eastAsia" w:ascii="宋体" w:hAnsi="宋体" w:cs="宋体"/>
        </w:rPr>
        <w:t>℃</w:t>
      </w:r>
      <w:r>
        <w:rPr>
          <w:rFonts w:ascii="宋体" w:hAnsi="宋体"/>
        </w:rPr>
        <w:t xml:space="preserve">； </w:t>
      </w:r>
    </w:p>
    <w:p w14:paraId="1E8EB3E3">
      <w:pPr>
        <w:spacing w:before="120" w:beforeLines="50" w:after="120" w:afterLines="50"/>
        <w:ind w:firstLine="630" w:firstLineChars="300"/>
      </w:pPr>
      <w:r>
        <w:t>b</w:t>
      </w:r>
      <w:r>
        <w:rPr>
          <w:rFonts w:ascii="宋体" w:hAnsi="宋体"/>
        </w:rPr>
        <w:t>）相对湿度：</w:t>
      </w:r>
      <w:r>
        <w:t>≤90 %</w:t>
      </w:r>
      <w:r>
        <w:rPr>
          <w:rFonts w:ascii="宋体" w:hAnsi="宋体"/>
        </w:rPr>
        <w:t xml:space="preserve">； </w:t>
      </w:r>
    </w:p>
    <w:p w14:paraId="6397D03F">
      <w:pPr>
        <w:spacing w:before="120" w:beforeLines="50" w:after="120" w:afterLines="50"/>
        <w:ind w:firstLine="630" w:firstLineChars="300"/>
        <w:rPr>
          <w:rFonts w:ascii="宋体" w:hAnsi="宋体" w:cs="黑体"/>
          <w:kern w:val="0"/>
        </w:rPr>
      </w:pPr>
      <w:r>
        <w:t>c</w:t>
      </w:r>
      <w:r>
        <w:rPr>
          <w:rFonts w:ascii="宋体" w:hAnsi="宋体"/>
        </w:rPr>
        <w:t>）大气压：（</w:t>
      </w:r>
      <w:r>
        <w:t>80</w:t>
      </w:r>
      <w:r>
        <w:rPr>
          <w:rFonts w:ascii="宋体" w:hAnsi="宋体"/>
        </w:rPr>
        <w:t>～</w:t>
      </w:r>
      <w:r>
        <w:t>106</w:t>
      </w:r>
      <w:r>
        <w:rPr>
          <w:rFonts w:ascii="宋体" w:hAnsi="宋体"/>
        </w:rPr>
        <w:t>）</w:t>
      </w:r>
      <w:r>
        <w:t>kPa</w:t>
      </w:r>
      <w:r>
        <w:rPr>
          <w:rFonts w:ascii="宋体" w:hAnsi="宋体"/>
        </w:rPr>
        <w:t>。</w:t>
      </w:r>
    </w:p>
    <w:p w14:paraId="521CF759">
      <w:pPr>
        <w:pStyle w:val="59"/>
        <w:numPr>
          <w:ilvl w:val="1"/>
          <w:numId w:val="3"/>
        </w:numPr>
        <w:autoSpaceDE/>
        <w:spacing w:before="240" w:after="240" w:line="360" w:lineRule="auto"/>
        <w:outlineLvl w:val="9"/>
        <w:rPr>
          <w:rFonts w:hAnsi="黑体"/>
        </w:rPr>
      </w:pPr>
      <w:r>
        <w:rPr>
          <w:rFonts w:hint="eastAsia" w:hAnsi="黑体"/>
        </w:rPr>
        <w:t>传感器技术指标要求</w:t>
      </w:r>
    </w:p>
    <w:p w14:paraId="3C49F1D7">
      <w:pPr>
        <w:spacing w:before="120" w:beforeLines="50" w:after="120" w:afterLines="50"/>
        <w:rPr>
          <w:rFonts w:ascii="宋体" w:hAnsi="宋体" w:cs="黑体"/>
          <w:kern w:val="0"/>
        </w:rPr>
      </w:pPr>
      <w:r>
        <w:rPr>
          <w:rFonts w:hint="eastAsia" w:ascii="黑体" w:hAnsi="黑体" w:eastAsia="黑体"/>
          <w:kern w:val="0"/>
        </w:rPr>
        <w:t xml:space="preserve">B.5.1  </w:t>
      </w:r>
      <w:r>
        <w:rPr>
          <w:rFonts w:hint="eastAsia" w:ascii="宋体" w:hAnsi="宋体" w:cs="黑体"/>
          <w:kern w:val="0"/>
        </w:rPr>
        <w:t>所有安装的传感器必须为防爆型。其中压力传感器和温度传感器必须使用本质安全型传感器。</w:t>
      </w:r>
    </w:p>
    <w:p w14:paraId="7BCF9D25">
      <w:pPr>
        <w:spacing w:before="120" w:beforeLines="50" w:after="120" w:afterLines="50"/>
        <w:rPr>
          <w:rFonts w:ascii="宋体" w:hAnsi="宋体" w:cs="黑体"/>
          <w:kern w:val="0"/>
        </w:rPr>
      </w:pPr>
      <w:r>
        <w:rPr>
          <w:rFonts w:hint="eastAsia" w:ascii="黑体" w:hAnsi="黑体" w:eastAsia="黑体"/>
          <w:kern w:val="0"/>
        </w:rPr>
        <w:t xml:space="preserve">B.5.2  </w:t>
      </w:r>
      <w:r>
        <w:rPr>
          <w:rFonts w:hint="eastAsia" w:ascii="宋体" w:hAnsi="宋体" w:cs="黑体"/>
          <w:kern w:val="0"/>
        </w:rPr>
        <w:t>压力传感器：</w:t>
      </w:r>
    </w:p>
    <w:p w14:paraId="66CC7EB0">
      <w:pPr>
        <w:spacing w:before="120" w:beforeLines="50" w:after="120" w:afterLines="50"/>
        <w:ind w:firstLine="630" w:firstLineChars="300"/>
      </w:pPr>
      <w:r>
        <w:t>a</w:t>
      </w:r>
      <w:r>
        <w:rPr>
          <w:rFonts w:ascii="宋体" w:hAnsi="宋体"/>
        </w:rPr>
        <w:t>）</w:t>
      </w:r>
      <w:r>
        <w:rPr>
          <w:rFonts w:hint="eastAsia" w:ascii="宋体" w:hAnsi="宋体"/>
        </w:rPr>
        <w:t>量程范围</w:t>
      </w:r>
      <w:r>
        <w:rPr>
          <w:rFonts w:ascii="宋体" w:hAnsi="宋体"/>
        </w:rPr>
        <w:t>：（</w:t>
      </w:r>
      <w:r>
        <w:t>-6</w:t>
      </w:r>
      <w:r>
        <w:rPr>
          <w:rFonts w:ascii="宋体" w:hAnsi="宋体"/>
        </w:rPr>
        <w:t>～</w:t>
      </w:r>
      <w:r>
        <w:t>6</w:t>
      </w:r>
      <w:r>
        <w:rPr>
          <w:rFonts w:ascii="宋体" w:hAnsi="宋体"/>
        </w:rPr>
        <w:t>）</w:t>
      </w:r>
      <w:r>
        <w:t>KPa</w:t>
      </w:r>
      <w:r>
        <w:rPr>
          <w:rFonts w:ascii="宋体" w:hAnsi="宋体"/>
        </w:rPr>
        <w:t xml:space="preserve">； </w:t>
      </w:r>
    </w:p>
    <w:p w14:paraId="4E2515A8">
      <w:pPr>
        <w:spacing w:before="120" w:beforeLines="50" w:after="120" w:afterLines="50"/>
        <w:ind w:firstLine="630" w:firstLineChars="300"/>
      </w:pPr>
      <w:r>
        <w:t>b</w:t>
      </w:r>
      <w:r>
        <w:rPr>
          <w:rFonts w:ascii="宋体" w:hAnsi="宋体"/>
        </w:rPr>
        <w:t>）</w:t>
      </w:r>
      <w:r>
        <w:rPr>
          <w:rFonts w:hint="eastAsia" w:ascii="宋体" w:hAnsi="宋体"/>
        </w:rPr>
        <w:t>精度</w:t>
      </w:r>
      <w:r>
        <w:rPr>
          <w:rFonts w:ascii="宋体" w:hAnsi="宋体"/>
        </w:rPr>
        <w:t>：</w:t>
      </w:r>
      <w:r>
        <w:rPr>
          <w:rFonts w:hint="eastAsia" w:ascii="宋体" w:hAnsi="宋体"/>
        </w:rPr>
        <w:t>±</w:t>
      </w:r>
      <w:r>
        <w:t>0.2%F.S</w:t>
      </w:r>
      <w:r>
        <w:rPr>
          <w:rFonts w:ascii="宋体" w:hAnsi="宋体"/>
        </w:rPr>
        <w:t xml:space="preserve">； </w:t>
      </w:r>
    </w:p>
    <w:p w14:paraId="7FBCA133">
      <w:pPr>
        <w:spacing w:before="120" w:beforeLines="50" w:after="120" w:afterLines="50"/>
        <w:ind w:firstLine="630" w:firstLineChars="300"/>
      </w:pPr>
      <w:r>
        <w:t>c</w:t>
      </w:r>
      <w:r>
        <w:rPr>
          <w:rFonts w:ascii="宋体" w:hAnsi="宋体"/>
        </w:rPr>
        <w:t>）</w:t>
      </w:r>
      <w:r>
        <w:rPr>
          <w:rFonts w:hint="eastAsia" w:ascii="宋体" w:hAnsi="宋体"/>
        </w:rPr>
        <w:t>分辨率不大于</w:t>
      </w:r>
      <w:r>
        <w:rPr>
          <w:rFonts w:hint="eastAsia"/>
        </w:rPr>
        <w:t>1</w:t>
      </w:r>
      <w:r>
        <w:t>0Pa</w:t>
      </w:r>
      <w:r>
        <w:rPr>
          <w:rFonts w:ascii="宋体" w:hAnsi="宋体"/>
        </w:rPr>
        <w:t>。</w:t>
      </w:r>
    </w:p>
    <w:p w14:paraId="02811333">
      <w:pPr>
        <w:spacing w:before="120" w:beforeLines="50" w:after="120" w:afterLines="50"/>
        <w:rPr>
          <w:rFonts w:ascii="宋体" w:hAnsi="宋体" w:cs="黑体"/>
          <w:kern w:val="0"/>
        </w:rPr>
      </w:pPr>
      <w:r>
        <w:rPr>
          <w:rFonts w:hint="eastAsia" w:ascii="黑体" w:hAnsi="黑体" w:eastAsia="黑体"/>
          <w:kern w:val="0"/>
        </w:rPr>
        <w:t xml:space="preserve">B.5.3  </w:t>
      </w:r>
      <w:r>
        <w:rPr>
          <w:rFonts w:hint="eastAsia" w:ascii="宋体" w:hAnsi="宋体" w:cs="黑体"/>
          <w:kern w:val="0"/>
        </w:rPr>
        <w:t>温度传感器：</w:t>
      </w:r>
    </w:p>
    <w:p w14:paraId="2CCA2DC5">
      <w:pPr>
        <w:spacing w:before="120" w:beforeLines="50" w:after="120" w:afterLines="50"/>
        <w:ind w:firstLine="630" w:firstLineChars="300"/>
      </w:pPr>
      <w:r>
        <w:t>a</w:t>
      </w:r>
      <w:r>
        <w:rPr>
          <w:rFonts w:ascii="宋体" w:hAnsi="宋体"/>
        </w:rPr>
        <w:t>）</w:t>
      </w:r>
      <w:r>
        <w:rPr>
          <w:rFonts w:hint="eastAsia" w:ascii="宋体" w:hAnsi="宋体"/>
        </w:rPr>
        <w:t>量程范围</w:t>
      </w:r>
      <w:r>
        <w:rPr>
          <w:rFonts w:ascii="宋体" w:hAnsi="宋体"/>
        </w:rPr>
        <w:t>：</w:t>
      </w:r>
      <w:r>
        <w:rPr>
          <w:rFonts w:hint="eastAsia" w:ascii="宋体" w:hAnsi="宋体"/>
        </w:rPr>
        <w:t>（</w:t>
      </w:r>
      <w:r>
        <w:t>-50</w:t>
      </w:r>
      <w:r>
        <w:rPr>
          <w:rFonts w:ascii="宋体" w:hAnsi="宋体"/>
        </w:rPr>
        <w:t>～</w:t>
      </w:r>
      <w:r>
        <w:t>100</w:t>
      </w:r>
      <w:r>
        <w:rPr>
          <w:rFonts w:hint="eastAsia"/>
        </w:rPr>
        <w:t>）</w:t>
      </w:r>
      <w:r>
        <w:t xml:space="preserve"> </w:t>
      </w:r>
      <w:r>
        <w:rPr>
          <w:rFonts w:hint="eastAsia" w:ascii="宋体" w:hAnsi="宋体"/>
        </w:rPr>
        <w:t>℃</w:t>
      </w:r>
      <w:r>
        <w:rPr>
          <w:rFonts w:ascii="宋体" w:hAnsi="宋体"/>
        </w:rPr>
        <w:t>；</w:t>
      </w:r>
      <w:r>
        <w:t xml:space="preserve"> </w:t>
      </w:r>
    </w:p>
    <w:p w14:paraId="634AB8C8">
      <w:pPr>
        <w:spacing w:before="120" w:beforeLines="50" w:after="120" w:afterLines="50"/>
        <w:ind w:firstLine="630" w:firstLineChars="300"/>
      </w:pPr>
      <w:r>
        <w:t>b</w:t>
      </w:r>
      <w:r>
        <w:rPr>
          <w:rFonts w:ascii="宋体" w:hAnsi="宋体"/>
        </w:rPr>
        <w:t>）</w:t>
      </w:r>
      <w:r>
        <w:rPr>
          <w:rFonts w:hint="eastAsia" w:ascii="宋体" w:hAnsi="宋体"/>
        </w:rPr>
        <w:t>精度</w:t>
      </w:r>
      <w:r>
        <w:rPr>
          <w:rFonts w:ascii="宋体" w:hAnsi="宋体"/>
        </w:rPr>
        <w:t>：</w:t>
      </w:r>
      <w:r>
        <w:rPr>
          <w:rFonts w:hint="eastAsia" w:ascii="宋体" w:hAnsi="宋体"/>
        </w:rPr>
        <w:t>±</w:t>
      </w:r>
      <w:r>
        <w:t>0.5%</w:t>
      </w:r>
      <w:r>
        <w:rPr>
          <w:rFonts w:hint="eastAsia" w:ascii="宋体" w:hAnsi="宋体"/>
        </w:rPr>
        <w:t>；</w:t>
      </w:r>
    </w:p>
    <w:p w14:paraId="449FB5CF">
      <w:pPr>
        <w:spacing w:before="120" w:beforeLines="50" w:after="120" w:afterLines="50"/>
        <w:ind w:firstLine="630" w:firstLineChars="300"/>
        <w:rPr>
          <w:rFonts w:ascii="宋体" w:hAnsi="宋体"/>
        </w:rPr>
      </w:pPr>
      <w:r>
        <w:t>c</w:t>
      </w:r>
      <w:r>
        <w:rPr>
          <w:rFonts w:ascii="宋体" w:hAnsi="宋体"/>
        </w:rPr>
        <w:t>）</w:t>
      </w:r>
      <w:r>
        <w:rPr>
          <w:rFonts w:hint="eastAsia" w:ascii="宋体" w:hAnsi="宋体"/>
        </w:rPr>
        <w:t>分辨率不大于</w:t>
      </w:r>
      <w:r>
        <w:rPr>
          <w:rFonts w:hint="eastAsia"/>
        </w:rPr>
        <w:t>0.1</w:t>
      </w:r>
      <w:r>
        <w:rPr>
          <w:rFonts w:hint="eastAsia" w:ascii="宋体" w:hAnsi="宋体"/>
        </w:rPr>
        <w:t>度。</w:t>
      </w:r>
    </w:p>
    <w:p w14:paraId="3E0EA848">
      <w:pPr>
        <w:spacing w:before="120" w:beforeLines="50" w:after="120" w:afterLines="50"/>
        <w:rPr>
          <w:rFonts w:ascii="宋体" w:hAnsi="宋体" w:cs="黑体"/>
          <w:kern w:val="0"/>
        </w:rPr>
      </w:pPr>
      <w:r>
        <w:rPr>
          <w:rFonts w:hint="eastAsia" w:ascii="黑体" w:hAnsi="黑体" w:eastAsia="黑体"/>
          <w:kern w:val="0"/>
        </w:rPr>
        <w:t xml:space="preserve">B.5.4  </w:t>
      </w:r>
      <w:r>
        <w:rPr>
          <w:rFonts w:hint="eastAsia" w:ascii="宋体" w:hAnsi="宋体" w:cs="黑体"/>
          <w:kern w:val="0"/>
        </w:rPr>
        <w:t>浓度传感器：</w:t>
      </w:r>
    </w:p>
    <w:p w14:paraId="535AA314">
      <w:pPr>
        <w:spacing w:before="120" w:beforeLines="50" w:after="120" w:afterLines="50"/>
        <w:ind w:firstLine="630" w:firstLineChars="300"/>
      </w:pPr>
      <w:r>
        <w:t>a</w:t>
      </w:r>
      <w:r>
        <w:rPr>
          <w:rFonts w:ascii="宋体" w:hAnsi="宋体"/>
        </w:rPr>
        <w:t>）</w:t>
      </w:r>
      <w:r>
        <w:rPr>
          <w:rFonts w:hint="eastAsia" w:ascii="宋体" w:hAnsi="宋体"/>
        </w:rPr>
        <w:t>最大量程</w:t>
      </w:r>
      <w:r>
        <w:rPr>
          <w:rFonts w:hint="eastAsia"/>
        </w:rPr>
        <w:t xml:space="preserve">: </w:t>
      </w:r>
      <w:r>
        <w:rPr>
          <w:rFonts w:hint="eastAsia" w:ascii="宋体" w:hAnsi="宋体"/>
        </w:rPr>
        <w:t xml:space="preserve">不小于 </w:t>
      </w:r>
      <w:r>
        <w:rPr>
          <w:rFonts w:hint="eastAsia"/>
        </w:rPr>
        <w:t xml:space="preserve">10000 </w:t>
      </w:r>
      <w:r>
        <w:t>μmol/mol</w:t>
      </w:r>
      <w:r>
        <w:rPr>
          <w:rFonts w:hint="eastAsia" w:ascii="宋体" w:hAnsi="宋体"/>
        </w:rPr>
        <w:t>；</w:t>
      </w:r>
      <w:r>
        <w:t xml:space="preserve"> </w:t>
      </w:r>
    </w:p>
    <w:p w14:paraId="572F16B2">
      <w:pPr>
        <w:spacing w:before="120" w:beforeLines="50" w:after="120" w:afterLines="50"/>
        <w:ind w:firstLine="630" w:firstLineChars="300"/>
      </w:pPr>
      <w:r>
        <w:t>b</w:t>
      </w:r>
      <w:r>
        <w:rPr>
          <w:rFonts w:ascii="宋体" w:hAnsi="宋体"/>
        </w:rPr>
        <w:t>）</w:t>
      </w:r>
      <w:r>
        <w:rPr>
          <w:rFonts w:hint="eastAsia" w:ascii="宋体" w:hAnsi="宋体"/>
        </w:rPr>
        <w:t>最大允许误差</w:t>
      </w:r>
      <w:r>
        <w:rPr>
          <w:rFonts w:hint="eastAsia"/>
        </w:rPr>
        <w:t xml:space="preserve">: </w:t>
      </w:r>
      <w:r>
        <w:rPr>
          <w:rFonts w:hint="eastAsia" w:ascii="宋体" w:hAnsi="宋体"/>
        </w:rPr>
        <w:t>±</w:t>
      </w:r>
      <w:r>
        <w:rPr>
          <w:rFonts w:hint="eastAsia"/>
        </w:rPr>
        <w:t>3%</w:t>
      </w:r>
      <w:r>
        <w:rPr>
          <w:rFonts w:hint="eastAsia" w:ascii="宋体" w:hAnsi="宋体"/>
        </w:rPr>
        <w:t>测量值；</w:t>
      </w:r>
      <w:r>
        <w:t xml:space="preserve"> </w:t>
      </w:r>
    </w:p>
    <w:p w14:paraId="4486A21A">
      <w:pPr>
        <w:spacing w:before="120" w:beforeLines="50" w:after="120" w:afterLines="50"/>
        <w:ind w:firstLine="630" w:firstLineChars="300"/>
        <w:rPr>
          <w:rFonts w:ascii="宋体" w:hAnsi="宋体"/>
        </w:rPr>
      </w:pPr>
      <w:r>
        <w:rPr>
          <w:rFonts w:hint="eastAsia" w:ascii="宋体" w:hAnsi="宋体"/>
        </w:rPr>
        <w:t>c）</w:t>
      </w:r>
      <w:r>
        <w:rPr>
          <w:rFonts w:ascii="宋体" w:hAnsi="宋体"/>
        </w:rPr>
        <w:t>分辨力：</w:t>
      </w:r>
      <w:r>
        <w:t>50 μmol/mol</w:t>
      </w:r>
      <w:r>
        <w:rPr>
          <w:rFonts w:hint="eastAsia" w:ascii="宋体" w:hAnsi="宋体"/>
        </w:rPr>
        <w:t>。</w:t>
      </w:r>
    </w:p>
    <w:p w14:paraId="7C058773">
      <w:pPr>
        <w:pStyle w:val="59"/>
        <w:numPr>
          <w:ilvl w:val="1"/>
          <w:numId w:val="3"/>
        </w:numPr>
        <w:spacing w:before="240" w:after="240" w:line="360" w:lineRule="auto"/>
        <w:outlineLvl w:val="9"/>
        <w:rPr>
          <w:rFonts w:ascii="Calibri" w:hAnsi="Calibri" w:eastAsia="宋体"/>
          <w:kern w:val="0"/>
          <w:szCs w:val="21"/>
        </w:rPr>
      </w:pPr>
      <w:r>
        <w:rPr>
          <w:rFonts w:hAnsi="黑体"/>
        </w:rPr>
        <w:t>数据上传</w:t>
      </w:r>
      <w:r>
        <w:rPr>
          <w:rFonts w:hint="eastAsia" w:hAnsi="黑体"/>
        </w:rPr>
        <w:t>协议</w:t>
      </w:r>
    </w:p>
    <w:p w14:paraId="09EAFA10">
      <w:pPr>
        <w:pStyle w:val="59"/>
        <w:numPr>
          <w:ilvl w:val="255"/>
          <w:numId w:val="0"/>
        </w:numPr>
        <w:spacing w:before="120" w:beforeLines="50" w:after="120" w:afterLines="50"/>
        <w:ind w:firstLine="420" w:firstLineChars="200"/>
        <w:outlineLvl w:val="9"/>
        <w:rPr>
          <w:rFonts w:ascii="宋体" w:hAnsi="宋体" w:eastAsia="宋体" w:cs="宋体"/>
          <w:kern w:val="0"/>
          <w:szCs w:val="21"/>
        </w:rPr>
        <w:sectPr>
          <w:pgSz w:w="11906" w:h="16838"/>
          <w:pgMar w:top="567" w:right="1134" w:bottom="1134" w:left="1418" w:header="851" w:footer="992" w:gutter="0"/>
          <w:cols w:space="720" w:num="1"/>
          <w:formProt w:val="0"/>
          <w:docGrid w:linePitch="407" w:charSpace="-3687"/>
        </w:sectPr>
      </w:pPr>
      <w:r>
        <w:rPr>
          <w:rFonts w:hint="eastAsia" w:ascii="宋体" w:hAnsi="宋体" w:eastAsia="宋体" w:cs="宋体"/>
          <w:kern w:val="0"/>
          <w:szCs w:val="21"/>
        </w:rPr>
        <w:t>数据上传协议应符合HJ</w:t>
      </w:r>
      <w:r>
        <w:rPr>
          <w:rFonts w:ascii="宋体" w:hAnsi="宋体" w:eastAsia="宋体" w:cs="宋体"/>
          <w:kern w:val="0"/>
          <w:szCs w:val="21"/>
        </w:rPr>
        <w:t xml:space="preserve"> </w:t>
      </w:r>
      <w:r>
        <w:rPr>
          <w:rFonts w:hint="eastAsia" w:ascii="宋体" w:hAnsi="宋体" w:eastAsia="宋体" w:cs="宋体"/>
          <w:kern w:val="0"/>
          <w:szCs w:val="21"/>
        </w:rPr>
        <w:t>212标准要求。</w:t>
      </w:r>
    </w:p>
    <w:p w14:paraId="1D655A37">
      <w:pPr>
        <w:pStyle w:val="61"/>
        <w:numPr>
          <w:ilvl w:val="0"/>
          <w:numId w:val="3"/>
        </w:numPr>
        <w:ind w:left="0"/>
        <w:rPr>
          <w:rFonts w:ascii="Times New Roman"/>
        </w:rPr>
      </w:pPr>
      <w:bookmarkStart w:id="194" w:name="_Toc23501"/>
      <w:bookmarkStart w:id="195" w:name="_Toc21333"/>
      <w:r>
        <w:rPr>
          <w:rFonts w:ascii="Times New Roman"/>
        </w:rPr>
        <w:br w:type="textWrapping"/>
      </w:r>
      <w:bookmarkStart w:id="196" w:name="_Toc129617338"/>
      <w:bookmarkStart w:id="197" w:name="_Toc131444674"/>
      <w:r>
        <w:rPr>
          <w:rFonts w:ascii="Times New Roman"/>
        </w:rPr>
        <w:t>（</w:t>
      </w:r>
      <w:r>
        <w:rPr>
          <w:rFonts w:hint="eastAsia" w:ascii="Times New Roman"/>
        </w:rPr>
        <w:t>资料性</w:t>
      </w:r>
      <w:r>
        <w:rPr>
          <w:rFonts w:ascii="Times New Roman"/>
        </w:rPr>
        <w:t>）</w:t>
      </w:r>
      <w:r>
        <w:rPr>
          <w:rFonts w:ascii="Times New Roman"/>
        </w:rPr>
        <w:br w:type="textWrapping"/>
      </w:r>
      <w:r>
        <w:rPr>
          <w:rFonts w:hint="eastAsia" w:ascii="Calibri" w:hAnsi="Calibri"/>
          <w:bCs/>
          <w:kern w:val="44"/>
          <w:szCs w:val="21"/>
        </w:rPr>
        <w:t>汽车罐车油气回收检测记录表</w:t>
      </w:r>
      <w:bookmarkEnd w:id="194"/>
      <w:bookmarkEnd w:id="195"/>
      <w:bookmarkEnd w:id="196"/>
      <w:bookmarkEnd w:id="197"/>
    </w:p>
    <w:p w14:paraId="5442B1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pPr>
      <w:r>
        <w:rPr>
          <w:rFonts w:hint="eastAsia"/>
        </w:rPr>
        <w:t>检测</w:t>
      </w:r>
      <w:r>
        <w:rPr>
          <w:rFonts w:hint="eastAsia"/>
          <w:kern w:val="0"/>
          <w:szCs w:val="21"/>
        </w:rPr>
        <w:t>原始数据</w:t>
      </w:r>
      <w:r>
        <w:rPr>
          <w:rFonts w:hint="eastAsia"/>
        </w:rPr>
        <w:t>记录表内容和格式示例见表C</w:t>
      </w:r>
      <w:r>
        <w:t>.1，</w:t>
      </w:r>
      <w:r>
        <w:rPr>
          <w:rFonts w:hint="eastAsia"/>
        </w:rPr>
        <w:t>检测机构可以根据各自的情况修改。</w:t>
      </w:r>
    </w:p>
    <w:p w14:paraId="1DAD7859">
      <w:pPr>
        <w:widowControl/>
        <w:jc w:val="center"/>
      </w:pPr>
      <w:r>
        <w:rPr>
          <w:rFonts w:hint="eastAsia" w:ascii="黑体" w:hAnsi="宋体" w:eastAsia="黑体"/>
        </w:rPr>
        <w:t>表C.</w:t>
      </w:r>
      <w:r>
        <w:rPr>
          <w:rFonts w:ascii="黑体" w:hAnsi="宋体" w:eastAsia="黑体"/>
        </w:rPr>
        <w:t>1</w:t>
      </w:r>
      <w:r>
        <w:rPr>
          <w:rFonts w:hint="eastAsia" w:ascii="黑体" w:hAnsi="宋体" w:eastAsia="黑体"/>
        </w:rPr>
        <w:t xml:space="preserve">  </w:t>
      </w:r>
      <w:r>
        <w:rPr>
          <w:rFonts w:ascii="黑体" w:hAnsi="宋体" w:eastAsia="黑体"/>
        </w:rPr>
        <w:t>汽车罐车油气回收系统密闭性</w:t>
      </w:r>
      <w:r>
        <w:rPr>
          <w:rFonts w:hint="eastAsia" w:ascii="黑体" w:hAnsi="宋体" w:eastAsia="黑体"/>
        </w:rPr>
        <w:t>检测记录表</w:t>
      </w:r>
    </w:p>
    <w:p w14:paraId="22EEAF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pPr>
      <w:r>
        <w:rPr>
          <w:rFonts w:hint="eastAsia"/>
          <w:kern w:val="0"/>
          <w:szCs w:val="21"/>
        </w:rPr>
        <w:t>油罐车</w:t>
      </w:r>
      <w:r>
        <w:rPr>
          <w:rFonts w:hint="eastAsia"/>
        </w:rPr>
        <w:t>所属企业</w:t>
      </w:r>
      <w:r>
        <w:t>：</w:t>
      </w:r>
      <w:r>
        <w:rPr>
          <w:u w:val="single"/>
        </w:rPr>
        <w:t xml:space="preserve">                                                                  </w:t>
      </w:r>
    </w:p>
    <w:p w14:paraId="39D8FB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u w:val="single"/>
        </w:rPr>
      </w:pPr>
      <w:r>
        <w:rPr>
          <w:rFonts w:hint="eastAsia"/>
          <w:kern w:val="0"/>
          <w:szCs w:val="21"/>
        </w:rPr>
        <w:t>企业</w:t>
      </w:r>
      <w:r>
        <w:rPr>
          <w:rFonts w:hint="eastAsia"/>
        </w:rPr>
        <w:t>地址</w:t>
      </w:r>
      <w:r>
        <w:t>：</w:t>
      </w:r>
      <w:r>
        <w:rPr>
          <w:u w:val="single"/>
        </w:rPr>
        <w:t xml:space="preserve">                                                                        </w:t>
      </w:r>
    </w:p>
    <w:p w14:paraId="54415B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u w:val="single"/>
        </w:rPr>
      </w:pPr>
      <w:r>
        <w:rPr>
          <w:rFonts w:hint="eastAsia"/>
        </w:rPr>
        <w:t>油罐车型号</w:t>
      </w:r>
      <w:r>
        <w:t>：</w:t>
      </w:r>
      <w:r>
        <w:rPr>
          <w:rFonts w:hint="eastAsia"/>
          <w:u w:val="single"/>
        </w:rPr>
        <w:t xml:space="preserve"> </w:t>
      </w:r>
      <w:r>
        <w:rPr>
          <w:u w:val="single"/>
        </w:rPr>
        <w:t xml:space="preserve">                     </w:t>
      </w:r>
      <w:r>
        <w:t xml:space="preserve"> </w:t>
      </w:r>
      <w:r>
        <w:rPr>
          <w:rFonts w:hint="eastAsia"/>
        </w:rPr>
        <w:t>制造厂家</w:t>
      </w:r>
      <w:r>
        <w:t>：</w:t>
      </w:r>
      <w:r>
        <w:rPr>
          <w:u w:val="single"/>
        </w:rPr>
        <w:t xml:space="preserve">                                     </w:t>
      </w:r>
    </w:p>
    <w:p w14:paraId="6A4F62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u w:val="single"/>
        </w:rPr>
      </w:pPr>
      <w:r>
        <w:rPr>
          <w:rFonts w:hint="eastAsia"/>
        </w:rPr>
        <w:t>油罐车号牌号码</w:t>
      </w:r>
      <w:r>
        <w:t>：</w:t>
      </w:r>
      <w:r>
        <w:rPr>
          <w:rFonts w:hint="eastAsia"/>
          <w:u w:val="single"/>
        </w:rPr>
        <w:t xml:space="preserve"> </w:t>
      </w:r>
      <w:r>
        <w:rPr>
          <w:u w:val="single"/>
        </w:rPr>
        <w:t xml:space="preserve">                 </w:t>
      </w:r>
      <w:r>
        <w:t xml:space="preserve"> </w:t>
      </w:r>
      <w:r>
        <w:rPr>
          <w:rFonts w:hint="eastAsia"/>
        </w:rPr>
        <w:t>车辆识别代号</w:t>
      </w:r>
      <w:r>
        <w:t>：</w:t>
      </w:r>
      <w:r>
        <w:rPr>
          <w:u w:val="single"/>
        </w:rPr>
        <w:t xml:space="preserve">                                 </w:t>
      </w:r>
    </w:p>
    <w:p w14:paraId="027D2C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pPr>
      <w:r>
        <w:rPr>
          <w:kern w:val="0"/>
          <w:szCs w:val="21"/>
        </w:rPr>
        <w:t>检测</w:t>
      </w:r>
      <w:r>
        <w:t>单位</w:t>
      </w:r>
      <w:r>
        <w:rPr>
          <w:rFonts w:hint="eastAsia"/>
        </w:rPr>
        <w:t>名称</w:t>
      </w:r>
      <w:r>
        <w:t>：</w:t>
      </w:r>
      <w:r>
        <w:rPr>
          <w:u w:val="single"/>
        </w:rPr>
        <w:t xml:space="preserve">                                      </w:t>
      </w:r>
      <w:r>
        <w:t xml:space="preserve">  电话：</w:t>
      </w:r>
      <w:r>
        <w:rPr>
          <w:u w:val="single"/>
        </w:rPr>
        <w:t xml:space="preserve">                      </w:t>
      </w:r>
    </w:p>
    <w:p w14:paraId="171A623E">
      <w:pPr>
        <w:spacing w:line="320" w:lineRule="exact"/>
        <w:ind w:firstLine="360" w:firstLineChars="200"/>
        <w:rPr>
          <w:rFonts w:ascii="宋体" w:hAnsi="宋体"/>
          <w:sz w:val="18"/>
        </w:rPr>
      </w:pPr>
      <w:r>
        <w:rPr>
          <w:rFonts w:ascii="宋体" w:hAnsi="宋体"/>
          <w:sz w:val="18"/>
        </w:rPr>
        <w:t>检测目的：□验收检测      □监督性检测       □企业自行检测                  共   页  第   页</w:t>
      </w:r>
    </w:p>
    <w:tbl>
      <w:tblPr>
        <w:tblStyle w:val="1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4"/>
        <w:gridCol w:w="446"/>
        <w:gridCol w:w="1483"/>
        <w:gridCol w:w="1105"/>
        <w:gridCol w:w="46"/>
        <w:gridCol w:w="1589"/>
        <w:gridCol w:w="29"/>
        <w:gridCol w:w="24"/>
        <w:gridCol w:w="1623"/>
        <w:gridCol w:w="34"/>
        <w:gridCol w:w="1488"/>
      </w:tblGrid>
      <w:tr w14:paraId="64693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2" w:type="dxa"/>
            <w:gridSpan w:val="3"/>
            <w:vAlign w:val="center"/>
          </w:tcPr>
          <w:p w14:paraId="6A37A231">
            <w:pPr>
              <w:jc w:val="center"/>
              <w:rPr>
                <w:rFonts w:ascii="宋体" w:hAnsi="宋体"/>
                <w:sz w:val="18"/>
                <w:szCs w:val="18"/>
              </w:rPr>
            </w:pPr>
            <w:r>
              <w:rPr>
                <w:rFonts w:hint="eastAsia" w:ascii="宋体" w:hAnsi="宋体"/>
                <w:sz w:val="18"/>
                <w:szCs w:val="18"/>
              </w:rPr>
              <w:t>检测设备名称</w:t>
            </w:r>
          </w:p>
        </w:tc>
        <w:tc>
          <w:tcPr>
            <w:tcW w:w="1483" w:type="dxa"/>
            <w:vAlign w:val="center"/>
          </w:tcPr>
          <w:p w14:paraId="73560F15">
            <w:pPr>
              <w:jc w:val="center"/>
              <w:rPr>
                <w:rFonts w:ascii="宋体" w:hAnsi="宋体"/>
                <w:sz w:val="18"/>
                <w:szCs w:val="18"/>
              </w:rPr>
            </w:pPr>
          </w:p>
        </w:tc>
        <w:tc>
          <w:tcPr>
            <w:tcW w:w="1151" w:type="dxa"/>
            <w:gridSpan w:val="2"/>
            <w:vAlign w:val="center"/>
          </w:tcPr>
          <w:p w14:paraId="478D9E4D">
            <w:pPr>
              <w:jc w:val="center"/>
              <w:rPr>
                <w:rFonts w:ascii="宋体" w:hAnsi="宋体"/>
                <w:sz w:val="18"/>
                <w:szCs w:val="18"/>
              </w:rPr>
            </w:pPr>
            <w:r>
              <w:rPr>
                <w:rFonts w:hint="eastAsia" w:ascii="宋体" w:hAnsi="宋体"/>
                <w:sz w:val="18"/>
                <w:szCs w:val="18"/>
              </w:rPr>
              <w:t>设备状态</w:t>
            </w:r>
          </w:p>
        </w:tc>
        <w:tc>
          <w:tcPr>
            <w:tcW w:w="1642" w:type="dxa"/>
            <w:gridSpan w:val="3"/>
            <w:vAlign w:val="center"/>
          </w:tcPr>
          <w:p w14:paraId="1EFECB9D">
            <w:pPr>
              <w:jc w:val="center"/>
              <w:rPr>
                <w:rFonts w:ascii="宋体" w:hAnsi="宋体"/>
                <w:sz w:val="18"/>
                <w:szCs w:val="18"/>
              </w:rPr>
            </w:pPr>
          </w:p>
        </w:tc>
        <w:tc>
          <w:tcPr>
            <w:tcW w:w="1657" w:type="dxa"/>
            <w:gridSpan w:val="2"/>
            <w:vAlign w:val="center"/>
          </w:tcPr>
          <w:p w14:paraId="2FD5FF22">
            <w:pPr>
              <w:jc w:val="center"/>
              <w:rPr>
                <w:rFonts w:ascii="宋体" w:hAnsi="宋体"/>
                <w:sz w:val="18"/>
                <w:szCs w:val="18"/>
              </w:rPr>
            </w:pPr>
            <w:r>
              <w:rPr>
                <w:rFonts w:hint="eastAsia" w:ascii="宋体" w:hAnsi="宋体"/>
                <w:sz w:val="18"/>
                <w:szCs w:val="18"/>
              </w:rPr>
              <w:t>检定有效期</w:t>
            </w:r>
          </w:p>
        </w:tc>
        <w:tc>
          <w:tcPr>
            <w:tcW w:w="1488" w:type="dxa"/>
            <w:vAlign w:val="center"/>
          </w:tcPr>
          <w:p w14:paraId="3FA97E90">
            <w:pPr>
              <w:jc w:val="center"/>
              <w:rPr>
                <w:rFonts w:ascii="宋体" w:hAnsi="宋体"/>
                <w:sz w:val="18"/>
                <w:szCs w:val="18"/>
              </w:rPr>
            </w:pPr>
          </w:p>
        </w:tc>
      </w:tr>
      <w:tr w14:paraId="0897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2" w:type="dxa"/>
            <w:gridSpan w:val="3"/>
            <w:vAlign w:val="center"/>
          </w:tcPr>
          <w:p w14:paraId="329DF25E">
            <w:pPr>
              <w:jc w:val="center"/>
              <w:rPr>
                <w:rFonts w:ascii="宋体" w:hAnsi="宋体"/>
                <w:sz w:val="18"/>
                <w:szCs w:val="18"/>
              </w:rPr>
            </w:pPr>
            <w:r>
              <w:rPr>
                <w:rFonts w:hint="eastAsia" w:ascii="宋体" w:hAnsi="宋体"/>
                <w:sz w:val="18"/>
                <w:szCs w:val="18"/>
              </w:rPr>
              <w:t>设备规格型号</w:t>
            </w:r>
          </w:p>
        </w:tc>
        <w:tc>
          <w:tcPr>
            <w:tcW w:w="1483" w:type="dxa"/>
            <w:vAlign w:val="center"/>
          </w:tcPr>
          <w:p w14:paraId="7067D052">
            <w:pPr>
              <w:jc w:val="center"/>
              <w:rPr>
                <w:rFonts w:ascii="宋体" w:hAnsi="宋体"/>
                <w:sz w:val="18"/>
                <w:szCs w:val="18"/>
              </w:rPr>
            </w:pPr>
          </w:p>
        </w:tc>
        <w:tc>
          <w:tcPr>
            <w:tcW w:w="1151" w:type="dxa"/>
            <w:gridSpan w:val="2"/>
            <w:vAlign w:val="center"/>
          </w:tcPr>
          <w:p w14:paraId="59AFC144">
            <w:pPr>
              <w:jc w:val="center"/>
              <w:rPr>
                <w:rFonts w:ascii="宋体" w:hAnsi="宋体"/>
                <w:sz w:val="18"/>
                <w:szCs w:val="18"/>
              </w:rPr>
            </w:pPr>
            <w:r>
              <w:rPr>
                <w:rFonts w:hint="eastAsia" w:ascii="宋体" w:hAnsi="宋体"/>
                <w:sz w:val="18"/>
                <w:szCs w:val="18"/>
              </w:rPr>
              <w:t>设备编号</w:t>
            </w:r>
          </w:p>
        </w:tc>
        <w:tc>
          <w:tcPr>
            <w:tcW w:w="4787" w:type="dxa"/>
            <w:gridSpan w:val="6"/>
            <w:vAlign w:val="center"/>
          </w:tcPr>
          <w:p w14:paraId="469621B3">
            <w:pPr>
              <w:jc w:val="center"/>
              <w:rPr>
                <w:rFonts w:ascii="宋体" w:hAnsi="宋体"/>
                <w:sz w:val="18"/>
                <w:szCs w:val="18"/>
              </w:rPr>
            </w:pPr>
          </w:p>
        </w:tc>
      </w:tr>
      <w:tr w14:paraId="5F82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2" w:type="dxa"/>
            <w:gridSpan w:val="3"/>
            <w:vAlign w:val="center"/>
          </w:tcPr>
          <w:p w14:paraId="3B2BF48A">
            <w:pPr>
              <w:jc w:val="center"/>
              <w:rPr>
                <w:rFonts w:ascii="宋体" w:hAnsi="宋体"/>
                <w:sz w:val="18"/>
                <w:szCs w:val="18"/>
              </w:rPr>
            </w:pPr>
            <w:r>
              <w:rPr>
                <w:rFonts w:hint="eastAsia" w:ascii="宋体" w:hAnsi="宋体"/>
                <w:sz w:val="18"/>
                <w:szCs w:val="18"/>
              </w:rPr>
              <w:t>检测依据</w:t>
            </w:r>
          </w:p>
        </w:tc>
        <w:tc>
          <w:tcPr>
            <w:tcW w:w="2634" w:type="dxa"/>
            <w:gridSpan w:val="3"/>
            <w:vAlign w:val="center"/>
          </w:tcPr>
          <w:p w14:paraId="20512980">
            <w:pPr>
              <w:jc w:val="center"/>
              <w:rPr>
                <w:rFonts w:ascii="宋体" w:hAnsi="宋体"/>
                <w:sz w:val="18"/>
                <w:szCs w:val="18"/>
              </w:rPr>
            </w:pPr>
          </w:p>
        </w:tc>
        <w:tc>
          <w:tcPr>
            <w:tcW w:w="1642" w:type="dxa"/>
            <w:gridSpan w:val="3"/>
            <w:vAlign w:val="center"/>
          </w:tcPr>
          <w:p w14:paraId="64B1E565">
            <w:pPr>
              <w:jc w:val="center"/>
              <w:rPr>
                <w:rFonts w:ascii="宋体" w:hAnsi="宋体"/>
                <w:sz w:val="18"/>
                <w:szCs w:val="18"/>
              </w:rPr>
            </w:pPr>
            <w:r>
              <w:rPr>
                <w:rFonts w:hint="eastAsia" w:ascii="宋体" w:hAnsi="宋体"/>
                <w:sz w:val="18"/>
                <w:szCs w:val="18"/>
              </w:rPr>
              <w:t>检测时间</w:t>
            </w:r>
          </w:p>
        </w:tc>
        <w:tc>
          <w:tcPr>
            <w:tcW w:w="3145" w:type="dxa"/>
            <w:gridSpan w:val="3"/>
            <w:vAlign w:val="center"/>
          </w:tcPr>
          <w:p w14:paraId="17BA41FD">
            <w:pPr>
              <w:jc w:val="center"/>
              <w:rPr>
                <w:rFonts w:ascii="宋体" w:hAnsi="宋体"/>
                <w:sz w:val="18"/>
                <w:szCs w:val="18"/>
              </w:rPr>
            </w:pPr>
            <w:r>
              <w:rPr>
                <w:rFonts w:hint="eastAsia" w:ascii="宋体" w:hAnsi="宋体"/>
                <w:sz w:val="18"/>
                <w:szCs w:val="18"/>
              </w:rPr>
              <w:t xml:space="preserve">时     分 --     时    分 </w:t>
            </w:r>
          </w:p>
        </w:tc>
      </w:tr>
      <w:tr w14:paraId="0AC8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16" w:type="dxa"/>
            <w:gridSpan w:val="6"/>
            <w:vMerge w:val="restart"/>
            <w:vAlign w:val="center"/>
          </w:tcPr>
          <w:p w14:paraId="242EA0CF">
            <w:pPr>
              <w:jc w:val="center"/>
              <w:rPr>
                <w:rFonts w:ascii="宋体" w:hAnsi="宋体"/>
                <w:sz w:val="18"/>
                <w:szCs w:val="18"/>
              </w:rPr>
            </w:pPr>
            <w:r>
              <w:rPr>
                <w:rFonts w:hint="eastAsia" w:ascii="宋体" w:hAnsi="宋体"/>
                <w:sz w:val="18"/>
                <w:szCs w:val="18"/>
              </w:rPr>
              <w:t>油仓/罐体容积（L）</w:t>
            </w:r>
          </w:p>
        </w:tc>
        <w:tc>
          <w:tcPr>
            <w:tcW w:w="1642" w:type="dxa"/>
            <w:gridSpan w:val="3"/>
            <w:vAlign w:val="center"/>
          </w:tcPr>
          <w:p w14:paraId="2BDBE69D">
            <w:pPr>
              <w:jc w:val="center"/>
              <w:rPr>
                <w:rFonts w:ascii="宋体" w:hAnsi="宋体"/>
                <w:sz w:val="18"/>
                <w:szCs w:val="18"/>
              </w:rPr>
            </w:pPr>
            <w:r>
              <w:rPr>
                <w:rFonts w:hint="eastAsia" w:ascii="宋体" w:hAnsi="宋体"/>
                <w:sz w:val="18"/>
                <w:szCs w:val="18"/>
              </w:rPr>
              <w:t>1号油仓</w:t>
            </w:r>
          </w:p>
        </w:tc>
        <w:tc>
          <w:tcPr>
            <w:tcW w:w="1623" w:type="dxa"/>
            <w:vAlign w:val="center"/>
          </w:tcPr>
          <w:p w14:paraId="2E2ADE77">
            <w:pPr>
              <w:jc w:val="center"/>
              <w:rPr>
                <w:rFonts w:ascii="宋体" w:hAnsi="宋体"/>
                <w:sz w:val="18"/>
                <w:szCs w:val="18"/>
              </w:rPr>
            </w:pPr>
            <w:r>
              <w:rPr>
                <w:rFonts w:hint="eastAsia" w:ascii="宋体" w:hAnsi="宋体"/>
                <w:sz w:val="18"/>
                <w:szCs w:val="18"/>
              </w:rPr>
              <w:t>2号油仓</w:t>
            </w:r>
          </w:p>
        </w:tc>
        <w:tc>
          <w:tcPr>
            <w:tcW w:w="1522" w:type="dxa"/>
            <w:gridSpan w:val="2"/>
            <w:vAlign w:val="center"/>
          </w:tcPr>
          <w:p w14:paraId="3DA5555F">
            <w:pPr>
              <w:jc w:val="center"/>
              <w:rPr>
                <w:rFonts w:ascii="宋体" w:hAnsi="宋体"/>
                <w:sz w:val="18"/>
                <w:szCs w:val="18"/>
              </w:rPr>
            </w:pPr>
            <w:r>
              <w:rPr>
                <w:rFonts w:hint="eastAsia" w:ascii="宋体" w:hAnsi="宋体"/>
                <w:sz w:val="18"/>
                <w:szCs w:val="18"/>
              </w:rPr>
              <w:t>3号油仓</w:t>
            </w:r>
          </w:p>
        </w:tc>
      </w:tr>
      <w:tr w14:paraId="7CC3F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16" w:type="dxa"/>
            <w:gridSpan w:val="6"/>
            <w:vMerge w:val="continue"/>
            <w:vAlign w:val="center"/>
          </w:tcPr>
          <w:p w14:paraId="57FA4991">
            <w:pPr>
              <w:jc w:val="center"/>
              <w:rPr>
                <w:rFonts w:ascii="宋体" w:hAnsi="宋体"/>
                <w:sz w:val="18"/>
                <w:szCs w:val="18"/>
              </w:rPr>
            </w:pPr>
          </w:p>
        </w:tc>
        <w:tc>
          <w:tcPr>
            <w:tcW w:w="1642" w:type="dxa"/>
            <w:gridSpan w:val="3"/>
            <w:vAlign w:val="center"/>
          </w:tcPr>
          <w:p w14:paraId="37E535C3">
            <w:pPr>
              <w:jc w:val="center"/>
              <w:rPr>
                <w:rFonts w:ascii="宋体" w:hAnsi="宋体"/>
                <w:sz w:val="18"/>
                <w:szCs w:val="18"/>
              </w:rPr>
            </w:pPr>
          </w:p>
        </w:tc>
        <w:tc>
          <w:tcPr>
            <w:tcW w:w="1623" w:type="dxa"/>
            <w:vAlign w:val="center"/>
          </w:tcPr>
          <w:p w14:paraId="6F4C5DDE">
            <w:pPr>
              <w:jc w:val="center"/>
              <w:rPr>
                <w:rFonts w:ascii="宋体" w:hAnsi="宋体"/>
                <w:sz w:val="18"/>
                <w:szCs w:val="18"/>
              </w:rPr>
            </w:pPr>
          </w:p>
        </w:tc>
        <w:tc>
          <w:tcPr>
            <w:tcW w:w="1522" w:type="dxa"/>
            <w:gridSpan w:val="2"/>
            <w:vAlign w:val="center"/>
          </w:tcPr>
          <w:p w14:paraId="5FB9FA4B">
            <w:pPr>
              <w:jc w:val="center"/>
              <w:rPr>
                <w:rFonts w:ascii="宋体" w:hAnsi="宋体"/>
                <w:sz w:val="18"/>
                <w:szCs w:val="18"/>
              </w:rPr>
            </w:pPr>
          </w:p>
        </w:tc>
      </w:tr>
      <w:tr w14:paraId="320E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3" w:type="dxa"/>
            <w:gridSpan w:val="12"/>
            <w:vAlign w:val="center"/>
          </w:tcPr>
          <w:p w14:paraId="05052952">
            <w:pPr>
              <w:rPr>
                <w:rFonts w:ascii="宋体" w:hAnsi="宋体"/>
                <w:sz w:val="18"/>
                <w:szCs w:val="18"/>
              </w:rPr>
            </w:pPr>
            <w:r>
              <w:rPr>
                <w:rFonts w:hint="eastAsia" w:ascii="宋体" w:hAnsi="宋体"/>
                <w:sz w:val="18"/>
                <w:szCs w:val="18"/>
              </w:rPr>
              <w:t>1、油气回收系统密闭性正压检测</w:t>
            </w:r>
          </w:p>
        </w:tc>
      </w:tr>
      <w:tr w14:paraId="736D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7FAF2083">
            <w:pPr>
              <w:jc w:val="center"/>
              <w:rPr>
                <w:rFonts w:ascii="宋体" w:hAnsi="宋体"/>
                <w:sz w:val="18"/>
                <w:szCs w:val="18"/>
              </w:rPr>
            </w:pPr>
            <w:r>
              <w:rPr>
                <w:rFonts w:hint="eastAsia" w:ascii="宋体" w:hAnsi="宋体"/>
                <w:sz w:val="18"/>
                <w:szCs w:val="18"/>
              </w:rPr>
              <w:t>（1）</w:t>
            </w:r>
          </w:p>
        </w:tc>
        <w:tc>
          <w:tcPr>
            <w:tcW w:w="3080" w:type="dxa"/>
            <w:gridSpan w:val="4"/>
            <w:vAlign w:val="center"/>
          </w:tcPr>
          <w:p w14:paraId="7C7F2BC3">
            <w:pPr>
              <w:rPr>
                <w:rFonts w:ascii="宋体" w:hAnsi="宋体"/>
                <w:sz w:val="18"/>
                <w:szCs w:val="18"/>
              </w:rPr>
            </w:pPr>
            <w:r>
              <w:rPr>
                <w:rFonts w:hint="eastAsia" w:ascii="宋体" w:hAnsi="宋体"/>
                <w:sz w:val="18"/>
                <w:szCs w:val="18"/>
              </w:rPr>
              <w:t>初始压力</w:t>
            </w:r>
            <w:r>
              <w:rPr>
                <w:rFonts w:ascii="宋体" w:hAnsi="宋体"/>
                <w:sz w:val="18"/>
                <w:szCs w:val="18"/>
              </w:rPr>
              <w:t>4.50</w:t>
            </w:r>
            <w:r>
              <w:rPr>
                <w:rFonts w:hint="eastAsia" w:ascii="宋体" w:hAnsi="宋体"/>
                <w:sz w:val="18"/>
                <w:szCs w:val="18"/>
              </w:rPr>
              <w:t xml:space="preserve"> kPa</w:t>
            </w:r>
          </w:p>
        </w:tc>
        <w:tc>
          <w:tcPr>
            <w:tcW w:w="1642" w:type="dxa"/>
            <w:gridSpan w:val="3"/>
            <w:vAlign w:val="center"/>
          </w:tcPr>
          <w:p w14:paraId="35BEC084">
            <w:pPr>
              <w:jc w:val="center"/>
              <w:rPr>
                <w:rFonts w:ascii="宋体" w:hAnsi="宋体"/>
                <w:sz w:val="18"/>
                <w:szCs w:val="18"/>
              </w:rPr>
            </w:pPr>
          </w:p>
        </w:tc>
        <w:tc>
          <w:tcPr>
            <w:tcW w:w="1623" w:type="dxa"/>
            <w:vAlign w:val="center"/>
          </w:tcPr>
          <w:p w14:paraId="71EC5859">
            <w:pPr>
              <w:jc w:val="center"/>
              <w:rPr>
                <w:rFonts w:ascii="宋体" w:hAnsi="宋体"/>
                <w:sz w:val="18"/>
                <w:szCs w:val="18"/>
              </w:rPr>
            </w:pPr>
          </w:p>
        </w:tc>
        <w:tc>
          <w:tcPr>
            <w:tcW w:w="1522" w:type="dxa"/>
            <w:gridSpan w:val="2"/>
            <w:vAlign w:val="center"/>
          </w:tcPr>
          <w:p w14:paraId="13064AB7">
            <w:pPr>
              <w:jc w:val="center"/>
              <w:rPr>
                <w:rFonts w:ascii="宋体" w:hAnsi="宋体"/>
                <w:sz w:val="18"/>
                <w:szCs w:val="18"/>
              </w:rPr>
            </w:pPr>
          </w:p>
        </w:tc>
      </w:tr>
      <w:tr w14:paraId="2A532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3AF34304">
            <w:pPr>
              <w:jc w:val="center"/>
              <w:rPr>
                <w:rFonts w:ascii="宋体" w:hAnsi="宋体"/>
                <w:sz w:val="18"/>
                <w:szCs w:val="18"/>
              </w:rPr>
            </w:pPr>
            <w:r>
              <w:rPr>
                <w:rFonts w:hint="eastAsia" w:ascii="宋体" w:hAnsi="宋体"/>
                <w:sz w:val="18"/>
                <w:szCs w:val="18"/>
              </w:rPr>
              <w:t>（2）</w:t>
            </w:r>
          </w:p>
        </w:tc>
        <w:tc>
          <w:tcPr>
            <w:tcW w:w="3080" w:type="dxa"/>
            <w:gridSpan w:val="4"/>
            <w:vAlign w:val="center"/>
          </w:tcPr>
          <w:p w14:paraId="215ED216">
            <w:pPr>
              <w:rPr>
                <w:rFonts w:ascii="宋体" w:hAnsi="宋体"/>
                <w:sz w:val="18"/>
                <w:szCs w:val="18"/>
              </w:rPr>
            </w:pPr>
            <w:r>
              <w:rPr>
                <w:rFonts w:hint="eastAsia" w:ascii="宋体" w:hAnsi="宋体"/>
                <w:sz w:val="18"/>
                <w:szCs w:val="18"/>
              </w:rPr>
              <w:t>5 min之后的剩余压力（kPa）</w:t>
            </w:r>
          </w:p>
        </w:tc>
        <w:tc>
          <w:tcPr>
            <w:tcW w:w="1642" w:type="dxa"/>
            <w:gridSpan w:val="3"/>
            <w:vAlign w:val="center"/>
          </w:tcPr>
          <w:p w14:paraId="4DAE6378">
            <w:pPr>
              <w:jc w:val="center"/>
              <w:rPr>
                <w:rFonts w:ascii="宋体" w:hAnsi="宋体"/>
                <w:sz w:val="18"/>
                <w:szCs w:val="18"/>
              </w:rPr>
            </w:pPr>
          </w:p>
        </w:tc>
        <w:tc>
          <w:tcPr>
            <w:tcW w:w="1623" w:type="dxa"/>
            <w:vAlign w:val="center"/>
          </w:tcPr>
          <w:p w14:paraId="362AC564">
            <w:pPr>
              <w:jc w:val="center"/>
              <w:rPr>
                <w:rFonts w:ascii="宋体" w:hAnsi="宋体"/>
                <w:sz w:val="18"/>
                <w:szCs w:val="18"/>
              </w:rPr>
            </w:pPr>
          </w:p>
        </w:tc>
        <w:tc>
          <w:tcPr>
            <w:tcW w:w="1522" w:type="dxa"/>
            <w:gridSpan w:val="2"/>
            <w:vAlign w:val="center"/>
          </w:tcPr>
          <w:p w14:paraId="21E35C28">
            <w:pPr>
              <w:jc w:val="center"/>
              <w:rPr>
                <w:rFonts w:ascii="宋体" w:hAnsi="宋体"/>
                <w:sz w:val="18"/>
                <w:szCs w:val="18"/>
              </w:rPr>
            </w:pPr>
          </w:p>
        </w:tc>
      </w:tr>
      <w:tr w14:paraId="2CF0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52317EB5">
            <w:pPr>
              <w:jc w:val="center"/>
              <w:rPr>
                <w:rFonts w:ascii="宋体" w:hAnsi="宋体"/>
                <w:sz w:val="18"/>
                <w:szCs w:val="18"/>
              </w:rPr>
            </w:pPr>
            <w:r>
              <w:rPr>
                <w:rFonts w:hint="eastAsia" w:ascii="宋体" w:hAnsi="宋体"/>
                <w:sz w:val="18"/>
                <w:szCs w:val="18"/>
              </w:rPr>
              <w:t>（3）</w:t>
            </w:r>
          </w:p>
        </w:tc>
        <w:tc>
          <w:tcPr>
            <w:tcW w:w="3080" w:type="dxa"/>
            <w:gridSpan w:val="4"/>
            <w:vAlign w:val="center"/>
          </w:tcPr>
          <w:p w14:paraId="4FD6C9A2">
            <w:pPr>
              <w:rPr>
                <w:rFonts w:ascii="宋体" w:hAnsi="宋体"/>
                <w:sz w:val="18"/>
                <w:szCs w:val="18"/>
              </w:rPr>
            </w:pPr>
            <w:r>
              <w:rPr>
                <w:rFonts w:hint="eastAsia" w:ascii="宋体" w:hAnsi="宋体"/>
                <w:sz w:val="18"/>
                <w:szCs w:val="18"/>
              </w:rPr>
              <w:t>5 min之后的压力变化值（kPa）</w:t>
            </w:r>
          </w:p>
        </w:tc>
        <w:tc>
          <w:tcPr>
            <w:tcW w:w="1642" w:type="dxa"/>
            <w:gridSpan w:val="3"/>
            <w:vAlign w:val="center"/>
          </w:tcPr>
          <w:p w14:paraId="7E022A8F">
            <w:pPr>
              <w:jc w:val="center"/>
              <w:rPr>
                <w:rFonts w:ascii="宋体" w:hAnsi="宋体"/>
                <w:sz w:val="18"/>
                <w:szCs w:val="18"/>
              </w:rPr>
            </w:pPr>
          </w:p>
        </w:tc>
        <w:tc>
          <w:tcPr>
            <w:tcW w:w="1623" w:type="dxa"/>
            <w:vAlign w:val="center"/>
          </w:tcPr>
          <w:p w14:paraId="3427A091">
            <w:pPr>
              <w:jc w:val="center"/>
              <w:rPr>
                <w:rFonts w:ascii="宋体" w:hAnsi="宋体"/>
                <w:sz w:val="18"/>
                <w:szCs w:val="18"/>
              </w:rPr>
            </w:pPr>
          </w:p>
        </w:tc>
        <w:tc>
          <w:tcPr>
            <w:tcW w:w="1522" w:type="dxa"/>
            <w:gridSpan w:val="2"/>
            <w:vAlign w:val="center"/>
          </w:tcPr>
          <w:p w14:paraId="6F47B4D0">
            <w:pPr>
              <w:jc w:val="center"/>
              <w:rPr>
                <w:rFonts w:ascii="宋体" w:hAnsi="宋体"/>
                <w:sz w:val="18"/>
                <w:szCs w:val="18"/>
              </w:rPr>
            </w:pPr>
          </w:p>
        </w:tc>
      </w:tr>
      <w:tr w14:paraId="3E91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20FC643B">
            <w:pPr>
              <w:jc w:val="center"/>
              <w:rPr>
                <w:rFonts w:ascii="宋体" w:hAnsi="宋体"/>
                <w:sz w:val="18"/>
                <w:szCs w:val="18"/>
              </w:rPr>
            </w:pPr>
            <w:r>
              <w:rPr>
                <w:rFonts w:hint="eastAsia" w:ascii="宋体" w:hAnsi="宋体"/>
                <w:sz w:val="18"/>
                <w:szCs w:val="18"/>
              </w:rPr>
              <w:t>（4）</w:t>
            </w:r>
          </w:p>
        </w:tc>
        <w:tc>
          <w:tcPr>
            <w:tcW w:w="3080" w:type="dxa"/>
            <w:gridSpan w:val="4"/>
            <w:vAlign w:val="center"/>
          </w:tcPr>
          <w:p w14:paraId="0D9DE2BC">
            <w:pPr>
              <w:rPr>
                <w:rFonts w:ascii="宋体" w:hAnsi="宋体"/>
                <w:sz w:val="18"/>
                <w:szCs w:val="18"/>
              </w:rPr>
            </w:pPr>
            <w:r>
              <w:rPr>
                <w:rFonts w:hint="eastAsia" w:ascii="宋体" w:hAnsi="宋体"/>
                <w:sz w:val="18"/>
                <w:szCs w:val="18"/>
              </w:rPr>
              <w:t>5 min之后的压力变化限值（kPa）</w:t>
            </w:r>
          </w:p>
        </w:tc>
        <w:tc>
          <w:tcPr>
            <w:tcW w:w="1642" w:type="dxa"/>
            <w:gridSpan w:val="3"/>
            <w:vAlign w:val="center"/>
          </w:tcPr>
          <w:p w14:paraId="7D0FFBB8">
            <w:pPr>
              <w:jc w:val="center"/>
              <w:rPr>
                <w:rFonts w:ascii="宋体" w:hAnsi="宋体"/>
                <w:sz w:val="18"/>
                <w:szCs w:val="18"/>
              </w:rPr>
            </w:pPr>
          </w:p>
        </w:tc>
        <w:tc>
          <w:tcPr>
            <w:tcW w:w="1623" w:type="dxa"/>
            <w:vAlign w:val="center"/>
          </w:tcPr>
          <w:p w14:paraId="6938AF3D">
            <w:pPr>
              <w:jc w:val="center"/>
              <w:rPr>
                <w:rFonts w:ascii="宋体" w:hAnsi="宋体"/>
                <w:sz w:val="18"/>
                <w:szCs w:val="18"/>
              </w:rPr>
            </w:pPr>
          </w:p>
        </w:tc>
        <w:tc>
          <w:tcPr>
            <w:tcW w:w="1522" w:type="dxa"/>
            <w:gridSpan w:val="2"/>
            <w:vAlign w:val="center"/>
          </w:tcPr>
          <w:p w14:paraId="3EA7987E">
            <w:pPr>
              <w:jc w:val="center"/>
              <w:rPr>
                <w:rFonts w:ascii="宋体" w:hAnsi="宋体"/>
                <w:sz w:val="18"/>
                <w:szCs w:val="18"/>
              </w:rPr>
            </w:pPr>
          </w:p>
        </w:tc>
      </w:tr>
      <w:tr w14:paraId="058D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7FF3C2F0">
            <w:pPr>
              <w:jc w:val="center"/>
              <w:rPr>
                <w:rFonts w:ascii="宋体" w:hAnsi="宋体"/>
                <w:sz w:val="18"/>
                <w:szCs w:val="18"/>
              </w:rPr>
            </w:pPr>
            <w:r>
              <w:rPr>
                <w:rFonts w:hint="eastAsia" w:ascii="宋体" w:hAnsi="宋体"/>
                <w:sz w:val="18"/>
                <w:szCs w:val="18"/>
              </w:rPr>
              <w:t>（5）</w:t>
            </w:r>
          </w:p>
        </w:tc>
        <w:tc>
          <w:tcPr>
            <w:tcW w:w="3080" w:type="dxa"/>
            <w:gridSpan w:val="4"/>
            <w:vAlign w:val="center"/>
          </w:tcPr>
          <w:p w14:paraId="458A64E0">
            <w:pPr>
              <w:rPr>
                <w:rFonts w:ascii="宋体" w:hAnsi="宋体"/>
                <w:sz w:val="18"/>
                <w:szCs w:val="18"/>
              </w:rPr>
            </w:pPr>
            <w:r>
              <w:rPr>
                <w:rFonts w:hint="eastAsia" w:ascii="宋体" w:hAnsi="宋体"/>
                <w:sz w:val="18"/>
                <w:szCs w:val="18"/>
              </w:rPr>
              <w:t>是否达标</w:t>
            </w:r>
          </w:p>
        </w:tc>
        <w:tc>
          <w:tcPr>
            <w:tcW w:w="1642" w:type="dxa"/>
            <w:gridSpan w:val="3"/>
            <w:vAlign w:val="center"/>
          </w:tcPr>
          <w:p w14:paraId="694CD098">
            <w:pPr>
              <w:jc w:val="center"/>
              <w:rPr>
                <w:rFonts w:ascii="宋体" w:hAnsi="宋体"/>
                <w:sz w:val="18"/>
                <w:szCs w:val="18"/>
              </w:rPr>
            </w:pPr>
            <w:r>
              <w:rPr>
                <w:rFonts w:ascii="宋体" w:hAnsi="宋体"/>
                <w:sz w:val="18"/>
                <w:szCs w:val="18"/>
              </w:rPr>
              <w:t>□是 / □否</w:t>
            </w:r>
          </w:p>
        </w:tc>
        <w:tc>
          <w:tcPr>
            <w:tcW w:w="1623" w:type="dxa"/>
            <w:vAlign w:val="center"/>
          </w:tcPr>
          <w:p w14:paraId="42EB54A6">
            <w:pPr>
              <w:jc w:val="center"/>
              <w:rPr>
                <w:rFonts w:ascii="宋体" w:hAnsi="宋体"/>
                <w:sz w:val="18"/>
                <w:szCs w:val="18"/>
              </w:rPr>
            </w:pPr>
            <w:r>
              <w:rPr>
                <w:rFonts w:ascii="宋体" w:hAnsi="宋体"/>
                <w:sz w:val="18"/>
                <w:szCs w:val="18"/>
              </w:rPr>
              <w:t>□是 / □否</w:t>
            </w:r>
          </w:p>
        </w:tc>
        <w:tc>
          <w:tcPr>
            <w:tcW w:w="1522" w:type="dxa"/>
            <w:gridSpan w:val="2"/>
            <w:vAlign w:val="center"/>
          </w:tcPr>
          <w:p w14:paraId="591B40B1">
            <w:pPr>
              <w:jc w:val="center"/>
              <w:rPr>
                <w:rFonts w:ascii="宋体" w:hAnsi="宋体"/>
                <w:sz w:val="18"/>
                <w:szCs w:val="18"/>
              </w:rPr>
            </w:pPr>
            <w:r>
              <w:rPr>
                <w:rFonts w:ascii="宋体" w:hAnsi="宋体"/>
                <w:sz w:val="18"/>
                <w:szCs w:val="18"/>
              </w:rPr>
              <w:t>□是 / □否</w:t>
            </w:r>
          </w:p>
        </w:tc>
      </w:tr>
      <w:tr w14:paraId="40E4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3" w:type="dxa"/>
            <w:gridSpan w:val="12"/>
            <w:vAlign w:val="center"/>
          </w:tcPr>
          <w:p w14:paraId="250EB936">
            <w:pPr>
              <w:rPr>
                <w:rFonts w:ascii="宋体" w:hAnsi="宋体"/>
                <w:sz w:val="18"/>
                <w:szCs w:val="18"/>
              </w:rPr>
            </w:pPr>
            <w:r>
              <w:rPr>
                <w:rFonts w:hint="eastAsia" w:ascii="宋体" w:hAnsi="宋体"/>
                <w:sz w:val="18"/>
                <w:szCs w:val="18"/>
              </w:rPr>
              <w:t>2、油气回收系统密闭性负压检测</w:t>
            </w:r>
          </w:p>
        </w:tc>
      </w:tr>
      <w:tr w14:paraId="24D9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2" w:type="dxa"/>
            <w:vAlign w:val="center"/>
          </w:tcPr>
          <w:p w14:paraId="060F8874">
            <w:pPr>
              <w:jc w:val="center"/>
              <w:rPr>
                <w:rFonts w:ascii="宋体" w:hAnsi="宋体"/>
                <w:sz w:val="18"/>
                <w:szCs w:val="18"/>
              </w:rPr>
            </w:pPr>
            <w:r>
              <w:rPr>
                <w:rFonts w:hint="eastAsia" w:ascii="宋体" w:hAnsi="宋体"/>
                <w:sz w:val="18"/>
                <w:szCs w:val="18"/>
              </w:rPr>
              <w:t>（1）</w:t>
            </w:r>
          </w:p>
        </w:tc>
        <w:tc>
          <w:tcPr>
            <w:tcW w:w="3048" w:type="dxa"/>
            <w:gridSpan w:val="4"/>
            <w:vAlign w:val="center"/>
          </w:tcPr>
          <w:p w14:paraId="1CF28C14">
            <w:pPr>
              <w:rPr>
                <w:rFonts w:ascii="宋体" w:hAnsi="宋体"/>
                <w:sz w:val="18"/>
                <w:szCs w:val="18"/>
              </w:rPr>
            </w:pPr>
            <w:r>
              <w:rPr>
                <w:rFonts w:hint="eastAsia" w:ascii="宋体" w:hAnsi="宋体"/>
                <w:sz w:val="18"/>
                <w:szCs w:val="18"/>
              </w:rPr>
              <w:t>初始压力</w:t>
            </w:r>
            <w:r>
              <w:rPr>
                <w:rFonts w:ascii="宋体" w:hAnsi="宋体"/>
                <w:sz w:val="18"/>
                <w:szCs w:val="18"/>
              </w:rPr>
              <w:t>-1.50</w:t>
            </w:r>
            <w:r>
              <w:rPr>
                <w:rFonts w:hint="eastAsia" w:ascii="宋体" w:hAnsi="宋体"/>
                <w:sz w:val="18"/>
                <w:szCs w:val="18"/>
              </w:rPr>
              <w:t xml:space="preserve"> kPa</w:t>
            </w:r>
          </w:p>
        </w:tc>
        <w:tc>
          <w:tcPr>
            <w:tcW w:w="1664" w:type="dxa"/>
            <w:gridSpan w:val="3"/>
            <w:vAlign w:val="center"/>
          </w:tcPr>
          <w:p w14:paraId="1FF4AF1D">
            <w:pPr>
              <w:jc w:val="center"/>
              <w:rPr>
                <w:rFonts w:ascii="宋体" w:hAnsi="宋体"/>
                <w:sz w:val="18"/>
                <w:szCs w:val="18"/>
              </w:rPr>
            </w:pPr>
          </w:p>
        </w:tc>
        <w:tc>
          <w:tcPr>
            <w:tcW w:w="1647" w:type="dxa"/>
            <w:gridSpan w:val="2"/>
            <w:vAlign w:val="center"/>
          </w:tcPr>
          <w:p w14:paraId="08EEA8D5">
            <w:pPr>
              <w:jc w:val="center"/>
              <w:rPr>
                <w:rFonts w:ascii="宋体" w:hAnsi="宋体"/>
                <w:sz w:val="18"/>
                <w:szCs w:val="18"/>
              </w:rPr>
            </w:pPr>
          </w:p>
        </w:tc>
        <w:tc>
          <w:tcPr>
            <w:tcW w:w="1522" w:type="dxa"/>
            <w:gridSpan w:val="2"/>
            <w:vAlign w:val="center"/>
          </w:tcPr>
          <w:p w14:paraId="46CF96D2">
            <w:pPr>
              <w:jc w:val="center"/>
              <w:rPr>
                <w:rFonts w:ascii="宋体" w:hAnsi="宋体"/>
                <w:sz w:val="18"/>
                <w:szCs w:val="18"/>
              </w:rPr>
            </w:pPr>
          </w:p>
        </w:tc>
      </w:tr>
      <w:tr w14:paraId="6D22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2" w:type="dxa"/>
            <w:vAlign w:val="center"/>
          </w:tcPr>
          <w:p w14:paraId="5296B938">
            <w:pPr>
              <w:jc w:val="center"/>
              <w:rPr>
                <w:rFonts w:ascii="宋体" w:hAnsi="宋体"/>
                <w:sz w:val="18"/>
                <w:szCs w:val="18"/>
              </w:rPr>
            </w:pPr>
            <w:r>
              <w:rPr>
                <w:rFonts w:hint="eastAsia" w:ascii="宋体" w:hAnsi="宋体"/>
                <w:sz w:val="18"/>
                <w:szCs w:val="18"/>
              </w:rPr>
              <w:t>（2）</w:t>
            </w:r>
          </w:p>
        </w:tc>
        <w:tc>
          <w:tcPr>
            <w:tcW w:w="3048" w:type="dxa"/>
            <w:gridSpan w:val="4"/>
            <w:vAlign w:val="center"/>
          </w:tcPr>
          <w:p w14:paraId="7B4C8A7B">
            <w:pPr>
              <w:rPr>
                <w:rFonts w:ascii="宋体" w:hAnsi="宋体"/>
                <w:sz w:val="18"/>
                <w:szCs w:val="18"/>
              </w:rPr>
            </w:pPr>
            <w:r>
              <w:rPr>
                <w:rFonts w:hint="eastAsia" w:ascii="宋体" w:hAnsi="宋体"/>
                <w:sz w:val="18"/>
                <w:szCs w:val="18"/>
              </w:rPr>
              <w:t>5 min之后的剩余压力（kPa）</w:t>
            </w:r>
          </w:p>
        </w:tc>
        <w:tc>
          <w:tcPr>
            <w:tcW w:w="1664" w:type="dxa"/>
            <w:gridSpan w:val="3"/>
            <w:vAlign w:val="center"/>
          </w:tcPr>
          <w:p w14:paraId="42699B87">
            <w:pPr>
              <w:jc w:val="center"/>
              <w:rPr>
                <w:rFonts w:ascii="宋体" w:hAnsi="宋体"/>
                <w:sz w:val="18"/>
                <w:szCs w:val="18"/>
              </w:rPr>
            </w:pPr>
          </w:p>
        </w:tc>
        <w:tc>
          <w:tcPr>
            <w:tcW w:w="1647" w:type="dxa"/>
            <w:gridSpan w:val="2"/>
            <w:vAlign w:val="center"/>
          </w:tcPr>
          <w:p w14:paraId="688053D8">
            <w:pPr>
              <w:jc w:val="center"/>
              <w:rPr>
                <w:rFonts w:ascii="宋体" w:hAnsi="宋体"/>
                <w:sz w:val="18"/>
                <w:szCs w:val="18"/>
              </w:rPr>
            </w:pPr>
          </w:p>
        </w:tc>
        <w:tc>
          <w:tcPr>
            <w:tcW w:w="1522" w:type="dxa"/>
            <w:gridSpan w:val="2"/>
            <w:vAlign w:val="center"/>
          </w:tcPr>
          <w:p w14:paraId="1E1D8274">
            <w:pPr>
              <w:jc w:val="center"/>
              <w:rPr>
                <w:rFonts w:ascii="宋体" w:hAnsi="宋体"/>
                <w:sz w:val="18"/>
                <w:szCs w:val="18"/>
              </w:rPr>
            </w:pPr>
          </w:p>
        </w:tc>
      </w:tr>
      <w:tr w14:paraId="423BD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2" w:type="dxa"/>
            <w:vAlign w:val="center"/>
          </w:tcPr>
          <w:p w14:paraId="5832B39F">
            <w:pPr>
              <w:jc w:val="center"/>
              <w:rPr>
                <w:rFonts w:ascii="宋体" w:hAnsi="宋体"/>
                <w:sz w:val="18"/>
                <w:szCs w:val="18"/>
              </w:rPr>
            </w:pPr>
            <w:r>
              <w:rPr>
                <w:rFonts w:hint="eastAsia" w:ascii="宋体" w:hAnsi="宋体"/>
                <w:sz w:val="18"/>
                <w:szCs w:val="18"/>
              </w:rPr>
              <w:t>（3）</w:t>
            </w:r>
          </w:p>
        </w:tc>
        <w:tc>
          <w:tcPr>
            <w:tcW w:w="3048" w:type="dxa"/>
            <w:gridSpan w:val="4"/>
            <w:vAlign w:val="center"/>
          </w:tcPr>
          <w:p w14:paraId="2C21BF64">
            <w:pPr>
              <w:rPr>
                <w:rFonts w:ascii="宋体" w:hAnsi="宋体"/>
                <w:sz w:val="18"/>
                <w:szCs w:val="18"/>
              </w:rPr>
            </w:pPr>
            <w:r>
              <w:rPr>
                <w:rFonts w:hint="eastAsia" w:ascii="宋体" w:hAnsi="宋体"/>
                <w:sz w:val="18"/>
                <w:szCs w:val="18"/>
              </w:rPr>
              <w:t>5 min之后的压力变化值（kPa）</w:t>
            </w:r>
          </w:p>
        </w:tc>
        <w:tc>
          <w:tcPr>
            <w:tcW w:w="1664" w:type="dxa"/>
            <w:gridSpan w:val="3"/>
            <w:vAlign w:val="center"/>
          </w:tcPr>
          <w:p w14:paraId="25B836FF">
            <w:pPr>
              <w:jc w:val="center"/>
              <w:rPr>
                <w:rFonts w:ascii="宋体" w:hAnsi="宋体"/>
                <w:sz w:val="18"/>
                <w:szCs w:val="18"/>
              </w:rPr>
            </w:pPr>
          </w:p>
        </w:tc>
        <w:tc>
          <w:tcPr>
            <w:tcW w:w="1647" w:type="dxa"/>
            <w:gridSpan w:val="2"/>
            <w:vAlign w:val="center"/>
          </w:tcPr>
          <w:p w14:paraId="27229C0C">
            <w:pPr>
              <w:jc w:val="center"/>
              <w:rPr>
                <w:rFonts w:ascii="宋体" w:hAnsi="宋体"/>
                <w:sz w:val="18"/>
                <w:szCs w:val="18"/>
              </w:rPr>
            </w:pPr>
          </w:p>
        </w:tc>
        <w:tc>
          <w:tcPr>
            <w:tcW w:w="1522" w:type="dxa"/>
            <w:gridSpan w:val="2"/>
            <w:vAlign w:val="center"/>
          </w:tcPr>
          <w:p w14:paraId="75C92FCE">
            <w:pPr>
              <w:jc w:val="center"/>
              <w:rPr>
                <w:rFonts w:ascii="宋体" w:hAnsi="宋体"/>
                <w:sz w:val="18"/>
                <w:szCs w:val="18"/>
              </w:rPr>
            </w:pPr>
          </w:p>
        </w:tc>
      </w:tr>
      <w:tr w14:paraId="1B9C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2" w:type="dxa"/>
            <w:vAlign w:val="center"/>
          </w:tcPr>
          <w:p w14:paraId="0D62E22E">
            <w:pPr>
              <w:jc w:val="center"/>
              <w:rPr>
                <w:rFonts w:ascii="宋体" w:hAnsi="宋体"/>
                <w:sz w:val="18"/>
                <w:szCs w:val="18"/>
              </w:rPr>
            </w:pPr>
            <w:r>
              <w:rPr>
                <w:rFonts w:hint="eastAsia" w:ascii="宋体" w:hAnsi="宋体"/>
                <w:sz w:val="18"/>
                <w:szCs w:val="18"/>
              </w:rPr>
              <w:t>（4）</w:t>
            </w:r>
          </w:p>
        </w:tc>
        <w:tc>
          <w:tcPr>
            <w:tcW w:w="3048" w:type="dxa"/>
            <w:gridSpan w:val="4"/>
            <w:vAlign w:val="center"/>
          </w:tcPr>
          <w:p w14:paraId="258BC166">
            <w:pPr>
              <w:rPr>
                <w:rFonts w:ascii="宋体" w:hAnsi="宋体"/>
                <w:sz w:val="18"/>
                <w:szCs w:val="18"/>
              </w:rPr>
            </w:pPr>
            <w:r>
              <w:rPr>
                <w:rFonts w:hint="eastAsia" w:ascii="宋体" w:hAnsi="宋体"/>
                <w:sz w:val="18"/>
                <w:szCs w:val="18"/>
              </w:rPr>
              <w:t>5 min之后的压力变化限值（kPa）</w:t>
            </w:r>
          </w:p>
        </w:tc>
        <w:tc>
          <w:tcPr>
            <w:tcW w:w="1664" w:type="dxa"/>
            <w:gridSpan w:val="3"/>
            <w:vAlign w:val="center"/>
          </w:tcPr>
          <w:p w14:paraId="7D8732DA">
            <w:pPr>
              <w:jc w:val="center"/>
              <w:rPr>
                <w:rFonts w:ascii="宋体" w:hAnsi="宋体"/>
                <w:sz w:val="18"/>
                <w:szCs w:val="18"/>
              </w:rPr>
            </w:pPr>
          </w:p>
        </w:tc>
        <w:tc>
          <w:tcPr>
            <w:tcW w:w="1647" w:type="dxa"/>
            <w:gridSpan w:val="2"/>
            <w:vAlign w:val="center"/>
          </w:tcPr>
          <w:p w14:paraId="46B6DC5E">
            <w:pPr>
              <w:jc w:val="center"/>
              <w:rPr>
                <w:rFonts w:ascii="宋体" w:hAnsi="宋体"/>
                <w:sz w:val="18"/>
                <w:szCs w:val="18"/>
              </w:rPr>
            </w:pPr>
          </w:p>
        </w:tc>
        <w:tc>
          <w:tcPr>
            <w:tcW w:w="1522" w:type="dxa"/>
            <w:gridSpan w:val="2"/>
            <w:vAlign w:val="center"/>
          </w:tcPr>
          <w:p w14:paraId="7030CFB2">
            <w:pPr>
              <w:jc w:val="center"/>
              <w:rPr>
                <w:rFonts w:ascii="宋体" w:hAnsi="宋体"/>
                <w:sz w:val="18"/>
                <w:szCs w:val="18"/>
              </w:rPr>
            </w:pPr>
          </w:p>
        </w:tc>
      </w:tr>
      <w:tr w14:paraId="26AF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2" w:type="dxa"/>
            <w:vAlign w:val="center"/>
          </w:tcPr>
          <w:p w14:paraId="6C423999">
            <w:pPr>
              <w:jc w:val="center"/>
              <w:rPr>
                <w:rFonts w:ascii="宋体" w:hAnsi="宋体"/>
                <w:sz w:val="18"/>
                <w:szCs w:val="18"/>
              </w:rPr>
            </w:pPr>
            <w:r>
              <w:rPr>
                <w:rFonts w:hint="eastAsia" w:ascii="宋体" w:hAnsi="宋体"/>
                <w:sz w:val="18"/>
                <w:szCs w:val="18"/>
              </w:rPr>
              <w:t>（5）</w:t>
            </w:r>
          </w:p>
        </w:tc>
        <w:tc>
          <w:tcPr>
            <w:tcW w:w="3048" w:type="dxa"/>
            <w:gridSpan w:val="4"/>
            <w:vAlign w:val="center"/>
          </w:tcPr>
          <w:p w14:paraId="43A88E08">
            <w:pPr>
              <w:rPr>
                <w:rFonts w:ascii="宋体" w:hAnsi="宋体"/>
                <w:sz w:val="18"/>
                <w:szCs w:val="18"/>
              </w:rPr>
            </w:pPr>
            <w:r>
              <w:rPr>
                <w:rFonts w:hint="eastAsia" w:ascii="宋体" w:hAnsi="宋体"/>
                <w:sz w:val="18"/>
                <w:szCs w:val="18"/>
              </w:rPr>
              <w:t>是否达标</w:t>
            </w:r>
          </w:p>
        </w:tc>
        <w:tc>
          <w:tcPr>
            <w:tcW w:w="1664" w:type="dxa"/>
            <w:gridSpan w:val="3"/>
            <w:vAlign w:val="center"/>
          </w:tcPr>
          <w:p w14:paraId="345D8EAA">
            <w:pPr>
              <w:jc w:val="center"/>
              <w:rPr>
                <w:rFonts w:ascii="宋体" w:hAnsi="宋体"/>
                <w:sz w:val="18"/>
                <w:szCs w:val="18"/>
              </w:rPr>
            </w:pPr>
            <w:r>
              <w:rPr>
                <w:rFonts w:ascii="宋体" w:hAnsi="宋体"/>
                <w:sz w:val="18"/>
                <w:szCs w:val="18"/>
              </w:rPr>
              <w:t>□是 / □否</w:t>
            </w:r>
          </w:p>
        </w:tc>
        <w:tc>
          <w:tcPr>
            <w:tcW w:w="1647" w:type="dxa"/>
            <w:gridSpan w:val="2"/>
            <w:vAlign w:val="center"/>
          </w:tcPr>
          <w:p w14:paraId="0436EDB9">
            <w:pPr>
              <w:jc w:val="center"/>
              <w:rPr>
                <w:rFonts w:ascii="宋体" w:hAnsi="宋体"/>
                <w:sz w:val="18"/>
                <w:szCs w:val="18"/>
              </w:rPr>
            </w:pPr>
            <w:r>
              <w:rPr>
                <w:rFonts w:ascii="宋体" w:hAnsi="宋体"/>
                <w:sz w:val="18"/>
                <w:szCs w:val="18"/>
              </w:rPr>
              <w:t>□是 / □否</w:t>
            </w:r>
          </w:p>
        </w:tc>
        <w:tc>
          <w:tcPr>
            <w:tcW w:w="1522" w:type="dxa"/>
            <w:gridSpan w:val="2"/>
            <w:vAlign w:val="center"/>
          </w:tcPr>
          <w:p w14:paraId="4A4A7D24">
            <w:pPr>
              <w:jc w:val="center"/>
              <w:rPr>
                <w:rFonts w:ascii="宋体" w:hAnsi="宋体"/>
                <w:sz w:val="18"/>
                <w:szCs w:val="18"/>
              </w:rPr>
            </w:pPr>
            <w:r>
              <w:rPr>
                <w:rFonts w:ascii="宋体" w:hAnsi="宋体"/>
                <w:sz w:val="18"/>
                <w:szCs w:val="18"/>
              </w:rPr>
              <w:t>□是 / □否</w:t>
            </w:r>
          </w:p>
        </w:tc>
      </w:tr>
      <w:tr w14:paraId="6D53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3" w:type="dxa"/>
            <w:gridSpan w:val="12"/>
            <w:vAlign w:val="center"/>
          </w:tcPr>
          <w:p w14:paraId="3C3F8EBE">
            <w:pPr>
              <w:rPr>
                <w:rFonts w:ascii="宋体" w:hAnsi="宋体"/>
                <w:sz w:val="18"/>
                <w:szCs w:val="18"/>
              </w:rPr>
            </w:pPr>
            <w:r>
              <w:rPr>
                <w:rFonts w:hint="eastAsia" w:ascii="宋体" w:hAnsi="宋体"/>
                <w:sz w:val="18"/>
                <w:szCs w:val="18"/>
              </w:rPr>
              <w:t>3、</w:t>
            </w:r>
            <w:r>
              <w:rPr>
                <w:rFonts w:hint="eastAsia" w:ascii="宋体" w:hAnsi="宋体" w:cs="宋体"/>
                <w:sz w:val="18"/>
                <w:szCs w:val="18"/>
              </w:rPr>
              <w:t>油气回收阀</w:t>
            </w:r>
            <w:r>
              <w:rPr>
                <w:rFonts w:hint="eastAsia" w:ascii="宋体" w:hAnsi="宋体"/>
                <w:sz w:val="18"/>
                <w:szCs w:val="18"/>
              </w:rPr>
              <w:t>密闭性正压检测</w:t>
            </w:r>
          </w:p>
        </w:tc>
      </w:tr>
      <w:tr w14:paraId="3B66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44B4F381">
            <w:pPr>
              <w:jc w:val="center"/>
              <w:rPr>
                <w:rFonts w:ascii="宋体" w:hAnsi="宋体"/>
                <w:sz w:val="18"/>
                <w:szCs w:val="18"/>
              </w:rPr>
            </w:pPr>
            <w:r>
              <w:rPr>
                <w:rFonts w:hint="eastAsia" w:ascii="宋体" w:hAnsi="宋体"/>
                <w:sz w:val="18"/>
                <w:szCs w:val="18"/>
              </w:rPr>
              <w:t>（1）</w:t>
            </w:r>
          </w:p>
        </w:tc>
        <w:tc>
          <w:tcPr>
            <w:tcW w:w="3080" w:type="dxa"/>
            <w:gridSpan w:val="4"/>
            <w:vAlign w:val="center"/>
          </w:tcPr>
          <w:p w14:paraId="6CEE70C1">
            <w:pPr>
              <w:rPr>
                <w:rFonts w:ascii="宋体" w:hAnsi="宋体"/>
                <w:sz w:val="18"/>
                <w:szCs w:val="18"/>
              </w:rPr>
            </w:pPr>
            <w:r>
              <w:rPr>
                <w:rFonts w:hint="eastAsia" w:ascii="宋体" w:hAnsi="宋体"/>
                <w:sz w:val="18"/>
                <w:szCs w:val="18"/>
              </w:rPr>
              <w:t>初始压力（0</w:t>
            </w:r>
            <w:r>
              <w:rPr>
                <w:rFonts w:ascii="宋体" w:hAnsi="宋体"/>
                <w:sz w:val="18"/>
                <w:szCs w:val="18"/>
              </w:rPr>
              <w:t xml:space="preserve"> </w:t>
            </w:r>
            <w:r>
              <w:rPr>
                <w:rFonts w:hint="eastAsia" w:ascii="宋体" w:hAnsi="宋体"/>
                <w:sz w:val="18"/>
                <w:szCs w:val="18"/>
              </w:rPr>
              <w:t>kPa）</w:t>
            </w:r>
          </w:p>
        </w:tc>
        <w:tc>
          <w:tcPr>
            <w:tcW w:w="1589" w:type="dxa"/>
            <w:vAlign w:val="center"/>
          </w:tcPr>
          <w:p w14:paraId="1268949A">
            <w:pPr>
              <w:jc w:val="center"/>
              <w:rPr>
                <w:rFonts w:ascii="宋体" w:hAnsi="宋体"/>
                <w:sz w:val="18"/>
                <w:szCs w:val="18"/>
              </w:rPr>
            </w:pPr>
            <w:r>
              <w:rPr>
                <w:rFonts w:hint="eastAsia" w:ascii="宋体" w:hAnsi="宋体"/>
                <w:sz w:val="18"/>
                <w:szCs w:val="18"/>
              </w:rPr>
              <w:t>0</w:t>
            </w:r>
          </w:p>
        </w:tc>
        <w:tc>
          <w:tcPr>
            <w:tcW w:w="1676" w:type="dxa"/>
            <w:gridSpan w:val="3"/>
            <w:vAlign w:val="center"/>
          </w:tcPr>
          <w:p w14:paraId="51198E6B">
            <w:pPr>
              <w:jc w:val="center"/>
              <w:rPr>
                <w:rFonts w:ascii="宋体" w:hAnsi="宋体"/>
                <w:sz w:val="18"/>
                <w:szCs w:val="18"/>
              </w:rPr>
            </w:pPr>
            <w:r>
              <w:rPr>
                <w:rFonts w:hint="eastAsia" w:ascii="宋体" w:hAnsi="宋体"/>
                <w:sz w:val="18"/>
                <w:szCs w:val="18"/>
              </w:rPr>
              <w:t>0</w:t>
            </w:r>
          </w:p>
        </w:tc>
        <w:tc>
          <w:tcPr>
            <w:tcW w:w="1522" w:type="dxa"/>
            <w:gridSpan w:val="2"/>
            <w:vAlign w:val="center"/>
          </w:tcPr>
          <w:p w14:paraId="5C797ABB">
            <w:pPr>
              <w:jc w:val="center"/>
              <w:rPr>
                <w:rFonts w:ascii="宋体" w:hAnsi="宋体"/>
                <w:sz w:val="18"/>
                <w:szCs w:val="18"/>
              </w:rPr>
            </w:pPr>
            <w:r>
              <w:rPr>
                <w:rFonts w:hint="eastAsia" w:ascii="宋体" w:hAnsi="宋体"/>
                <w:sz w:val="18"/>
                <w:szCs w:val="18"/>
              </w:rPr>
              <w:t>0</w:t>
            </w:r>
          </w:p>
        </w:tc>
      </w:tr>
      <w:tr w14:paraId="57CE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5E89DCD2">
            <w:pPr>
              <w:jc w:val="center"/>
              <w:rPr>
                <w:rFonts w:ascii="宋体" w:hAnsi="宋体"/>
                <w:sz w:val="18"/>
                <w:szCs w:val="18"/>
              </w:rPr>
            </w:pPr>
            <w:r>
              <w:rPr>
                <w:rFonts w:hint="eastAsia" w:ascii="宋体" w:hAnsi="宋体"/>
                <w:sz w:val="18"/>
                <w:szCs w:val="18"/>
              </w:rPr>
              <w:t>（2）</w:t>
            </w:r>
          </w:p>
        </w:tc>
        <w:tc>
          <w:tcPr>
            <w:tcW w:w="3080" w:type="dxa"/>
            <w:gridSpan w:val="4"/>
            <w:vAlign w:val="center"/>
          </w:tcPr>
          <w:p w14:paraId="69E93CA1">
            <w:pPr>
              <w:rPr>
                <w:rFonts w:ascii="宋体" w:hAnsi="宋体"/>
                <w:sz w:val="18"/>
                <w:szCs w:val="18"/>
              </w:rPr>
            </w:pPr>
            <w:r>
              <w:rPr>
                <w:rFonts w:hint="eastAsia" w:ascii="宋体" w:hAnsi="宋体"/>
                <w:sz w:val="18"/>
                <w:szCs w:val="18"/>
              </w:rPr>
              <w:t>5 min之后的剩余压力（kPa）</w:t>
            </w:r>
          </w:p>
        </w:tc>
        <w:tc>
          <w:tcPr>
            <w:tcW w:w="1589" w:type="dxa"/>
            <w:vAlign w:val="center"/>
          </w:tcPr>
          <w:p w14:paraId="33C7CC3F">
            <w:pPr>
              <w:jc w:val="center"/>
              <w:rPr>
                <w:rFonts w:ascii="宋体" w:hAnsi="宋体"/>
                <w:sz w:val="18"/>
                <w:szCs w:val="18"/>
              </w:rPr>
            </w:pPr>
          </w:p>
        </w:tc>
        <w:tc>
          <w:tcPr>
            <w:tcW w:w="1676" w:type="dxa"/>
            <w:gridSpan w:val="3"/>
            <w:vAlign w:val="center"/>
          </w:tcPr>
          <w:p w14:paraId="12F36BF9">
            <w:pPr>
              <w:jc w:val="center"/>
              <w:rPr>
                <w:rFonts w:ascii="宋体" w:hAnsi="宋体"/>
                <w:sz w:val="18"/>
                <w:szCs w:val="18"/>
              </w:rPr>
            </w:pPr>
          </w:p>
        </w:tc>
        <w:tc>
          <w:tcPr>
            <w:tcW w:w="1522" w:type="dxa"/>
            <w:gridSpan w:val="2"/>
            <w:vAlign w:val="center"/>
          </w:tcPr>
          <w:p w14:paraId="1F81F631">
            <w:pPr>
              <w:jc w:val="center"/>
              <w:rPr>
                <w:rFonts w:ascii="宋体" w:hAnsi="宋体"/>
                <w:sz w:val="18"/>
                <w:szCs w:val="18"/>
              </w:rPr>
            </w:pPr>
          </w:p>
        </w:tc>
      </w:tr>
      <w:tr w14:paraId="1DDC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275B7B6E">
            <w:pPr>
              <w:jc w:val="center"/>
              <w:rPr>
                <w:rFonts w:ascii="宋体" w:hAnsi="宋体"/>
                <w:sz w:val="18"/>
                <w:szCs w:val="18"/>
              </w:rPr>
            </w:pPr>
            <w:r>
              <w:rPr>
                <w:rFonts w:hint="eastAsia" w:ascii="宋体" w:hAnsi="宋体"/>
                <w:sz w:val="18"/>
                <w:szCs w:val="18"/>
              </w:rPr>
              <w:t>（3）</w:t>
            </w:r>
          </w:p>
        </w:tc>
        <w:tc>
          <w:tcPr>
            <w:tcW w:w="3080" w:type="dxa"/>
            <w:gridSpan w:val="4"/>
            <w:vAlign w:val="center"/>
          </w:tcPr>
          <w:p w14:paraId="7B9AE660">
            <w:pPr>
              <w:rPr>
                <w:rFonts w:ascii="宋体" w:hAnsi="宋体"/>
                <w:sz w:val="18"/>
                <w:szCs w:val="18"/>
              </w:rPr>
            </w:pPr>
            <w:r>
              <w:rPr>
                <w:rFonts w:hint="eastAsia" w:ascii="宋体" w:hAnsi="宋体"/>
                <w:sz w:val="18"/>
                <w:szCs w:val="18"/>
              </w:rPr>
              <w:t>5 min之后的压力变化值（kPa）</w:t>
            </w:r>
          </w:p>
        </w:tc>
        <w:tc>
          <w:tcPr>
            <w:tcW w:w="1589" w:type="dxa"/>
            <w:vAlign w:val="center"/>
          </w:tcPr>
          <w:p w14:paraId="0084F2A8">
            <w:pPr>
              <w:jc w:val="center"/>
              <w:rPr>
                <w:rFonts w:ascii="宋体" w:hAnsi="宋体"/>
                <w:sz w:val="18"/>
                <w:szCs w:val="18"/>
              </w:rPr>
            </w:pPr>
          </w:p>
        </w:tc>
        <w:tc>
          <w:tcPr>
            <w:tcW w:w="1676" w:type="dxa"/>
            <w:gridSpan w:val="3"/>
            <w:vAlign w:val="center"/>
          </w:tcPr>
          <w:p w14:paraId="075DBB3A">
            <w:pPr>
              <w:jc w:val="center"/>
              <w:rPr>
                <w:rFonts w:ascii="宋体" w:hAnsi="宋体"/>
                <w:sz w:val="18"/>
                <w:szCs w:val="18"/>
              </w:rPr>
            </w:pPr>
          </w:p>
        </w:tc>
        <w:tc>
          <w:tcPr>
            <w:tcW w:w="1522" w:type="dxa"/>
            <w:gridSpan w:val="2"/>
            <w:vAlign w:val="center"/>
          </w:tcPr>
          <w:p w14:paraId="31E44949">
            <w:pPr>
              <w:jc w:val="center"/>
              <w:rPr>
                <w:rFonts w:ascii="宋体" w:hAnsi="宋体"/>
                <w:sz w:val="18"/>
                <w:szCs w:val="18"/>
              </w:rPr>
            </w:pPr>
          </w:p>
        </w:tc>
      </w:tr>
      <w:tr w14:paraId="7224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234712ED">
            <w:pPr>
              <w:jc w:val="center"/>
              <w:rPr>
                <w:rFonts w:ascii="宋体" w:hAnsi="宋体"/>
                <w:sz w:val="18"/>
                <w:szCs w:val="18"/>
              </w:rPr>
            </w:pPr>
            <w:r>
              <w:rPr>
                <w:rFonts w:hint="eastAsia" w:ascii="宋体" w:hAnsi="宋体"/>
                <w:sz w:val="18"/>
                <w:szCs w:val="18"/>
              </w:rPr>
              <w:t>（4）</w:t>
            </w:r>
          </w:p>
        </w:tc>
        <w:tc>
          <w:tcPr>
            <w:tcW w:w="3080" w:type="dxa"/>
            <w:gridSpan w:val="4"/>
            <w:vAlign w:val="center"/>
          </w:tcPr>
          <w:p w14:paraId="78ADCFC5">
            <w:pPr>
              <w:rPr>
                <w:rFonts w:ascii="宋体" w:hAnsi="宋体"/>
                <w:sz w:val="18"/>
                <w:szCs w:val="18"/>
              </w:rPr>
            </w:pPr>
            <w:r>
              <w:rPr>
                <w:rFonts w:hint="eastAsia" w:ascii="宋体" w:hAnsi="宋体"/>
                <w:sz w:val="18"/>
                <w:szCs w:val="18"/>
              </w:rPr>
              <w:t>5 min之后的压力变化限值（kPa）</w:t>
            </w:r>
          </w:p>
        </w:tc>
        <w:tc>
          <w:tcPr>
            <w:tcW w:w="1589" w:type="dxa"/>
            <w:vAlign w:val="center"/>
          </w:tcPr>
          <w:p w14:paraId="3F08AD91">
            <w:pPr>
              <w:jc w:val="center"/>
              <w:rPr>
                <w:rFonts w:ascii="宋体" w:hAnsi="宋体"/>
                <w:sz w:val="18"/>
                <w:szCs w:val="18"/>
              </w:rPr>
            </w:pPr>
            <w:r>
              <w:rPr>
                <w:rFonts w:hint="eastAsia" w:ascii="宋体" w:hAnsi="宋体"/>
                <w:sz w:val="18"/>
                <w:szCs w:val="18"/>
              </w:rPr>
              <w:t>1.25</w:t>
            </w:r>
          </w:p>
        </w:tc>
        <w:tc>
          <w:tcPr>
            <w:tcW w:w="1676" w:type="dxa"/>
            <w:gridSpan w:val="3"/>
            <w:vAlign w:val="center"/>
          </w:tcPr>
          <w:p w14:paraId="4AF7729C">
            <w:pPr>
              <w:jc w:val="center"/>
              <w:rPr>
                <w:rFonts w:ascii="宋体" w:hAnsi="宋体"/>
                <w:sz w:val="18"/>
                <w:szCs w:val="18"/>
              </w:rPr>
            </w:pPr>
            <w:r>
              <w:rPr>
                <w:rFonts w:hint="eastAsia" w:ascii="宋体" w:hAnsi="宋体"/>
                <w:sz w:val="18"/>
                <w:szCs w:val="18"/>
              </w:rPr>
              <w:t>1.25</w:t>
            </w:r>
          </w:p>
        </w:tc>
        <w:tc>
          <w:tcPr>
            <w:tcW w:w="1522" w:type="dxa"/>
            <w:gridSpan w:val="2"/>
            <w:vAlign w:val="center"/>
          </w:tcPr>
          <w:p w14:paraId="11F4A9D5">
            <w:pPr>
              <w:jc w:val="center"/>
              <w:rPr>
                <w:rFonts w:ascii="宋体" w:hAnsi="宋体"/>
                <w:sz w:val="18"/>
                <w:szCs w:val="18"/>
              </w:rPr>
            </w:pPr>
            <w:r>
              <w:rPr>
                <w:rFonts w:hint="eastAsia" w:ascii="宋体" w:hAnsi="宋体"/>
                <w:sz w:val="18"/>
                <w:szCs w:val="18"/>
              </w:rPr>
              <w:t>1.25</w:t>
            </w:r>
          </w:p>
        </w:tc>
      </w:tr>
      <w:tr w14:paraId="5131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6" w:type="dxa"/>
            <w:gridSpan w:val="2"/>
            <w:vAlign w:val="center"/>
          </w:tcPr>
          <w:p w14:paraId="6EA2CCF7">
            <w:pPr>
              <w:jc w:val="center"/>
              <w:rPr>
                <w:rFonts w:ascii="宋体" w:hAnsi="宋体"/>
                <w:sz w:val="18"/>
                <w:szCs w:val="18"/>
              </w:rPr>
            </w:pPr>
            <w:r>
              <w:rPr>
                <w:rFonts w:hint="eastAsia" w:ascii="宋体" w:hAnsi="宋体"/>
                <w:sz w:val="18"/>
                <w:szCs w:val="18"/>
              </w:rPr>
              <w:t>（5）</w:t>
            </w:r>
          </w:p>
        </w:tc>
        <w:tc>
          <w:tcPr>
            <w:tcW w:w="3080" w:type="dxa"/>
            <w:gridSpan w:val="4"/>
            <w:vAlign w:val="center"/>
          </w:tcPr>
          <w:p w14:paraId="769E088D">
            <w:pPr>
              <w:rPr>
                <w:rFonts w:ascii="宋体" w:hAnsi="宋体"/>
                <w:sz w:val="18"/>
                <w:szCs w:val="18"/>
              </w:rPr>
            </w:pPr>
            <w:r>
              <w:rPr>
                <w:rFonts w:hint="eastAsia" w:ascii="宋体" w:hAnsi="宋体"/>
                <w:sz w:val="18"/>
                <w:szCs w:val="18"/>
              </w:rPr>
              <w:t>是否达标</w:t>
            </w:r>
          </w:p>
        </w:tc>
        <w:tc>
          <w:tcPr>
            <w:tcW w:w="1589" w:type="dxa"/>
            <w:vAlign w:val="center"/>
          </w:tcPr>
          <w:p w14:paraId="27BB0DEC">
            <w:pPr>
              <w:jc w:val="center"/>
              <w:rPr>
                <w:rFonts w:ascii="宋体" w:hAnsi="宋体"/>
                <w:sz w:val="18"/>
                <w:szCs w:val="18"/>
              </w:rPr>
            </w:pPr>
            <w:r>
              <w:rPr>
                <w:rFonts w:ascii="宋体" w:hAnsi="宋体"/>
                <w:sz w:val="18"/>
                <w:szCs w:val="18"/>
              </w:rPr>
              <w:t>□是 / □否</w:t>
            </w:r>
          </w:p>
        </w:tc>
        <w:tc>
          <w:tcPr>
            <w:tcW w:w="1676" w:type="dxa"/>
            <w:gridSpan w:val="3"/>
            <w:vAlign w:val="center"/>
          </w:tcPr>
          <w:p w14:paraId="4E11E496">
            <w:pPr>
              <w:jc w:val="center"/>
              <w:rPr>
                <w:rFonts w:ascii="宋体" w:hAnsi="宋体"/>
                <w:sz w:val="18"/>
                <w:szCs w:val="18"/>
              </w:rPr>
            </w:pPr>
            <w:r>
              <w:rPr>
                <w:rFonts w:ascii="宋体" w:hAnsi="宋体"/>
                <w:sz w:val="18"/>
                <w:szCs w:val="18"/>
              </w:rPr>
              <w:t>□是 / □否</w:t>
            </w:r>
          </w:p>
        </w:tc>
        <w:tc>
          <w:tcPr>
            <w:tcW w:w="1522" w:type="dxa"/>
            <w:gridSpan w:val="2"/>
            <w:vAlign w:val="center"/>
          </w:tcPr>
          <w:p w14:paraId="1F7B1DC5">
            <w:pPr>
              <w:jc w:val="center"/>
              <w:rPr>
                <w:rFonts w:ascii="宋体" w:hAnsi="宋体"/>
                <w:sz w:val="18"/>
                <w:szCs w:val="18"/>
              </w:rPr>
            </w:pPr>
            <w:r>
              <w:rPr>
                <w:rFonts w:ascii="宋体" w:hAnsi="宋体"/>
                <w:sz w:val="18"/>
                <w:szCs w:val="18"/>
              </w:rPr>
              <w:t>□是 / □否</w:t>
            </w:r>
          </w:p>
        </w:tc>
      </w:tr>
      <w:tr w14:paraId="141E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3" w:type="dxa"/>
            <w:gridSpan w:val="12"/>
            <w:vAlign w:val="center"/>
          </w:tcPr>
          <w:p w14:paraId="7DF0A606">
            <w:pPr>
              <w:rPr>
                <w:rFonts w:ascii="宋体" w:hAnsi="宋体"/>
                <w:sz w:val="18"/>
                <w:szCs w:val="18"/>
              </w:rPr>
            </w:pPr>
            <w:r>
              <w:rPr>
                <w:rFonts w:hint="eastAsia" w:ascii="宋体" w:hAnsi="宋体"/>
                <w:sz w:val="18"/>
                <w:szCs w:val="18"/>
              </w:rPr>
              <w:t>检测人：              复核人：              油罐车陪检人：             检测日期：</w:t>
            </w:r>
          </w:p>
        </w:tc>
      </w:tr>
    </w:tbl>
    <w:p w14:paraId="67A3D023">
      <w:pPr>
        <w:pStyle w:val="42"/>
        <w:spacing w:before="78"/>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2028190</wp:posOffset>
                </wp:positionH>
                <wp:positionV relativeFrom="paragraph">
                  <wp:posOffset>273685</wp:posOffset>
                </wp:positionV>
                <wp:extent cx="1889760" cy="0"/>
                <wp:effectExtent l="0" t="0" r="34290" b="1905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159.7pt;margin-top:21.55pt;height:0pt;width:148.8pt;z-index:251663360;mso-width-relative:page;mso-height-relative:page;" filled="f" stroked="t" coordsize="21600,21600" o:gfxdata="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8&#10;N+KJ1wAAAAkBAAAPAAAAAAAAAAEAIAAAACIAAABkcnMvZG93bnJldi54bWxQSwECFAAUAAAACACH&#10;TuJAo5Fo0+wBAAC3AwAADgAAAAAAAAABACAAAAAmAQAAZHJzL2Uyb0RvYy54bWxQSwUGAAAAAAYA&#10;BgBZAQAAhAUAAAAA&#10;">
                <v:fill on="f" focussize="0,0"/>
                <v:stroke color="#000000" joinstyle="round"/>
                <v:imagedata o:title=""/>
                <o:lock v:ext="edit" aspectratio="f"/>
              </v:line>
            </w:pict>
          </mc:Fallback>
        </mc:AlternateContent>
      </w:r>
      <w:bookmarkEnd w:id="181"/>
      <w:bookmarkEnd w:id="182"/>
      <w:bookmarkEnd w:id="183"/>
    </w:p>
    <w:sectPr>
      <w:pgSz w:w="11906" w:h="16838"/>
      <w:pgMar w:top="567" w:right="1134" w:bottom="1134" w:left="1418" w:header="1418" w:footer="1134"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IDFont">
    <w:altName w:val="Segoe Print"/>
    <w:panose1 w:val="00000000000000000000"/>
    <w:charset w:val="00"/>
    <w:family w:val="auto"/>
    <w:pitch w:val="default"/>
    <w:sig w:usb0="00000000" w:usb1="00000000" w:usb2="00000000" w:usb3="00000000" w:csb0="00000000" w:csb1="00000000"/>
  </w:font>
  <w:font w:name="Kingsoft U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0115A">
    <w:pPr>
      <w:pStyle w:val="11"/>
      <w:ind w:right="0" w:rightChars="0"/>
      <w:rPr>
        <w:rStyle w:val="22"/>
      </w:rPr>
    </w:pPr>
    <w:r>
      <w:fldChar w:fldCharType="begin"/>
    </w:r>
    <w:r>
      <w:instrText xml:space="preserve">PAGE   \* MERGEFORMAT</w:instrText>
    </w:r>
    <w:r>
      <w:fldChar w:fldCharType="separate"/>
    </w:r>
    <w:r>
      <w:rPr>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0A92D">
    <w:pPr>
      <w:pStyle w:val="58"/>
      <w:jc w:val="right"/>
      <w:rPr>
        <w:rStyle w:val="22"/>
      </w:rPr>
    </w:pPr>
    <w:r>
      <w:rPr>
        <w:rStyle w:val="22"/>
        <w:rFonts w:hint="eastAsia"/>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0F5CA">
    <w:pPr>
      <w:pStyle w:val="11"/>
      <w:ind w:right="0" w:rightChars="0"/>
      <w:rPr>
        <w:rStyle w:val="22"/>
      </w:rPr>
    </w:pPr>
    <w:r>
      <w:fldChar w:fldCharType="begin"/>
    </w:r>
    <w:r>
      <w:instrText xml:space="preserve">PAGE   \* MERGEFORMAT</w:instrText>
    </w:r>
    <w:r>
      <w:fldChar w:fldCharType="separate"/>
    </w:r>
    <w:r>
      <w:rPr>
        <w:lang w:val="zh-CN"/>
      </w:rPr>
      <w:t>III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932E1">
    <w:pPr>
      <w:pStyle w:val="58"/>
      <w:ind w:right="360" w:firstLine="360"/>
      <w:jc w:val="right"/>
      <w:rPr>
        <w:rStyle w:val="22"/>
      </w:rPr>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7CF5E729">
                          <w:pPr>
                            <w:pStyle w:val="11"/>
                          </w:pPr>
                          <w:r>
                            <w:fldChar w:fldCharType="begin"/>
                          </w:r>
                          <w:r>
                            <w:instrText xml:space="preserve"> PAGE  \* MERGEFORMAT </w:instrText>
                          </w:r>
                          <w:r>
                            <w:fldChar w:fldCharType="separate"/>
                          </w:r>
                          <w:r>
                            <w:t>IV</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BWnCz0BQIAAAQEAAAOAAAAAAAAAAEAIAAAAB4BAABkcnMvZTJv&#10;RG9jLnhtbFBLBQYAAAAABgAGAFkBAACVBQAAAAA=&#10;">
              <v:fill on="f" focussize="0,0"/>
              <v:stroke on="f"/>
              <v:imagedata o:title=""/>
              <o:lock v:ext="edit" aspectratio="f"/>
              <v:textbox inset="0mm,0mm,0mm,0mm" style="mso-fit-shape-to-text:t;">
                <w:txbxContent>
                  <w:p w14:paraId="7CF5E729">
                    <w:pPr>
                      <w:pStyle w:val="11"/>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EBE62">
    <w:pPr>
      <w:pStyle w:val="50"/>
      <w:rPr>
        <w:rStyle w:val="22"/>
      </w:rPr>
    </w:pPr>
    <w:r>
      <w:fldChar w:fldCharType="begin"/>
    </w:r>
    <w:r>
      <w:instrText xml:space="preserve"> PAGE  \* MERGEFORMAT </w:instrText>
    </w:r>
    <w:r>
      <w:fldChar w:fldCharType="separate"/>
    </w:r>
    <w:r>
      <w:t>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B6C2B">
    <w:pPr>
      <w:pStyle w:val="12"/>
      <w:jc w:val="right"/>
      <w:rPr>
        <w:rFonts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2C30C">
    <w:pPr>
      <w:pStyle w:val="49"/>
    </w:pPr>
    <w:r>
      <w:t>DB</w:t>
    </w:r>
    <w:r>
      <w:rPr>
        <w:rFonts w:hint="eastAsia"/>
      </w:rPr>
      <w:t>11</w:t>
    </w:r>
    <w:r>
      <w:t>/ 207—202X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6BD34">
    <w:pPr>
      <w:pStyle w:val="49"/>
    </w:pPr>
    <w:r>
      <w:t>DB</w:t>
    </w:r>
    <w:r>
      <w:rPr>
        <w:rFonts w:hint="eastAsia"/>
      </w:rPr>
      <w:t>11/207</w:t>
    </w:r>
    <w:r>
      <w:t>—</w:t>
    </w:r>
    <w:r>
      <w:rPr>
        <w:rFonts w:hint="eastAsia"/>
      </w:rPr>
      <w:t>202</w:t>
    </w:r>
    <w:r>
      <w:rPr>
        <w:rFonts w:hint="eastAsia" w:ascii="宋体" w:hAnsi="宋体"/>
        <w:color w:val="000000"/>
        <w:szCs w:val="2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0976540"/>
    <w:multiLevelType w:val="multilevel"/>
    <w:tmpl w:val="50976540"/>
    <w:lvl w:ilvl="0" w:tentative="0">
      <w:start w:val="1"/>
      <w:numFmt w:val="lowerLetter"/>
      <w:lvlText w:val="%1)"/>
      <w:lvlJc w:val="left"/>
      <w:pPr>
        <w:ind w:left="815" w:hanging="390"/>
      </w:pPr>
      <w:rPr>
        <w:rFonts w:hint="default" w:ascii="Times New Roman" w:hAnsi="Times New Roman"/>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657D3FBC"/>
    <w:multiLevelType w:val="multilevel"/>
    <w:tmpl w:val="657D3FBC"/>
    <w:lvl w:ilvl="0" w:tentative="0">
      <w:start w:val="1"/>
      <w:numFmt w:val="upperLetter"/>
      <w:suff w:val="nothing"/>
      <w:lvlText w:val="附　录　%1"/>
      <w:lvlJc w:val="left"/>
      <w:pPr>
        <w:ind w:left="568"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3119"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NDYzZTdhYjc3Mzk2ZmY5ZTRlYjdhNzFlYzRhODIifQ=="/>
    <w:docVar w:name="KSO_WPS_MARK_KEY" w:val="5b0d27d9-32f7-4b6c-a803-11b8c43e7f39"/>
  </w:docVars>
  <w:rsids>
    <w:rsidRoot w:val="179F0535"/>
    <w:rsid w:val="000A635E"/>
    <w:rsid w:val="000E7D06"/>
    <w:rsid w:val="000F34C8"/>
    <w:rsid w:val="00156661"/>
    <w:rsid w:val="00192E15"/>
    <w:rsid w:val="001A6423"/>
    <w:rsid w:val="00214F52"/>
    <w:rsid w:val="00222EBF"/>
    <w:rsid w:val="003413DA"/>
    <w:rsid w:val="00405778"/>
    <w:rsid w:val="00431811"/>
    <w:rsid w:val="00493D24"/>
    <w:rsid w:val="004D1103"/>
    <w:rsid w:val="00500A6B"/>
    <w:rsid w:val="00543A55"/>
    <w:rsid w:val="00561AA6"/>
    <w:rsid w:val="00591BFF"/>
    <w:rsid w:val="005A7E96"/>
    <w:rsid w:val="005B6CDC"/>
    <w:rsid w:val="005C0291"/>
    <w:rsid w:val="00616DDB"/>
    <w:rsid w:val="00672AA5"/>
    <w:rsid w:val="006D07F6"/>
    <w:rsid w:val="00707826"/>
    <w:rsid w:val="00753AF8"/>
    <w:rsid w:val="00767A1C"/>
    <w:rsid w:val="009276AC"/>
    <w:rsid w:val="00964E8A"/>
    <w:rsid w:val="009E4D8C"/>
    <w:rsid w:val="00A3391C"/>
    <w:rsid w:val="00A66542"/>
    <w:rsid w:val="00AD7A28"/>
    <w:rsid w:val="00AE1C86"/>
    <w:rsid w:val="00AE44C6"/>
    <w:rsid w:val="00B7238E"/>
    <w:rsid w:val="00B74C0F"/>
    <w:rsid w:val="00C01FC8"/>
    <w:rsid w:val="00C06A06"/>
    <w:rsid w:val="00C31EEC"/>
    <w:rsid w:val="00CE3F96"/>
    <w:rsid w:val="00CE6717"/>
    <w:rsid w:val="00D7200C"/>
    <w:rsid w:val="00D86B74"/>
    <w:rsid w:val="00DB72F7"/>
    <w:rsid w:val="00E02E04"/>
    <w:rsid w:val="00E414DB"/>
    <w:rsid w:val="00F1544F"/>
    <w:rsid w:val="02076ACD"/>
    <w:rsid w:val="037B71E5"/>
    <w:rsid w:val="04602913"/>
    <w:rsid w:val="05C375FE"/>
    <w:rsid w:val="08923B7D"/>
    <w:rsid w:val="0C3947F0"/>
    <w:rsid w:val="0C6D0716"/>
    <w:rsid w:val="0CF30A1F"/>
    <w:rsid w:val="0D5101BB"/>
    <w:rsid w:val="0FC27A27"/>
    <w:rsid w:val="10D878ED"/>
    <w:rsid w:val="114F1D45"/>
    <w:rsid w:val="170F4451"/>
    <w:rsid w:val="179F0535"/>
    <w:rsid w:val="1A952EBF"/>
    <w:rsid w:val="1B505038"/>
    <w:rsid w:val="1D660B43"/>
    <w:rsid w:val="1F63358C"/>
    <w:rsid w:val="21262AC3"/>
    <w:rsid w:val="22B0675C"/>
    <w:rsid w:val="249C309C"/>
    <w:rsid w:val="25423C43"/>
    <w:rsid w:val="25B326F3"/>
    <w:rsid w:val="28341F69"/>
    <w:rsid w:val="29A22F02"/>
    <w:rsid w:val="2A1C0F07"/>
    <w:rsid w:val="2CED0939"/>
    <w:rsid w:val="2EB909D3"/>
    <w:rsid w:val="2F106B60"/>
    <w:rsid w:val="30BD239F"/>
    <w:rsid w:val="30E81B43"/>
    <w:rsid w:val="32317472"/>
    <w:rsid w:val="36C7044C"/>
    <w:rsid w:val="37FA03AE"/>
    <w:rsid w:val="3AA54601"/>
    <w:rsid w:val="3B5A363D"/>
    <w:rsid w:val="3DDC2A2F"/>
    <w:rsid w:val="3DFCE9A1"/>
    <w:rsid w:val="3E3A7756"/>
    <w:rsid w:val="410D394D"/>
    <w:rsid w:val="41B049AB"/>
    <w:rsid w:val="437528A7"/>
    <w:rsid w:val="449000D0"/>
    <w:rsid w:val="46846F17"/>
    <w:rsid w:val="47163DF8"/>
    <w:rsid w:val="496C30E0"/>
    <w:rsid w:val="4A931170"/>
    <w:rsid w:val="4C2E3605"/>
    <w:rsid w:val="4C6D5B21"/>
    <w:rsid w:val="4CF805A8"/>
    <w:rsid w:val="50DD469C"/>
    <w:rsid w:val="527E0DBE"/>
    <w:rsid w:val="53203F1E"/>
    <w:rsid w:val="57DF4F53"/>
    <w:rsid w:val="581666E6"/>
    <w:rsid w:val="5847176D"/>
    <w:rsid w:val="59A541C5"/>
    <w:rsid w:val="59CE54CA"/>
    <w:rsid w:val="5B5F2152"/>
    <w:rsid w:val="5BAF6C35"/>
    <w:rsid w:val="5D7936DD"/>
    <w:rsid w:val="5F1A7ABA"/>
    <w:rsid w:val="5FF53085"/>
    <w:rsid w:val="601B0D3D"/>
    <w:rsid w:val="624327CD"/>
    <w:rsid w:val="62600C89"/>
    <w:rsid w:val="629717B5"/>
    <w:rsid w:val="639257BA"/>
    <w:rsid w:val="6884144A"/>
    <w:rsid w:val="68C652EE"/>
    <w:rsid w:val="698B3484"/>
    <w:rsid w:val="6DAC5659"/>
    <w:rsid w:val="6E1A6ED4"/>
    <w:rsid w:val="6FDA2CCF"/>
    <w:rsid w:val="71CF69E7"/>
    <w:rsid w:val="72670283"/>
    <w:rsid w:val="728635E7"/>
    <w:rsid w:val="7289452A"/>
    <w:rsid w:val="72D4094B"/>
    <w:rsid w:val="741915E0"/>
    <w:rsid w:val="76DB0DCF"/>
    <w:rsid w:val="77F71C38"/>
    <w:rsid w:val="78A72001"/>
    <w:rsid w:val="7A9C2623"/>
    <w:rsid w:val="7C803F92"/>
    <w:rsid w:val="7ED12C0E"/>
    <w:rsid w:val="7F552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napToGrid w:val="0"/>
      <w:spacing w:before="592" w:after="560"/>
      <w:jc w:val="center"/>
      <w:outlineLvl w:val="0"/>
    </w:pPr>
    <w:rPr>
      <w:rFonts w:ascii="Arial" w:hAnsi="Arial" w:eastAsia="黑体"/>
      <w:kern w:val="32"/>
      <w:sz w:val="32"/>
    </w:rPr>
  </w:style>
  <w:style w:type="paragraph" w:styleId="3">
    <w:name w:val="heading 2"/>
    <w:basedOn w:val="1"/>
    <w:next w:val="1"/>
    <w:qFormat/>
    <w:uiPriority w:val="0"/>
    <w:pPr>
      <w:keepNext/>
      <w:keepLines/>
      <w:spacing w:line="720" w:lineRule="auto"/>
      <w:outlineLvl w:val="1"/>
    </w:pPr>
    <w:rPr>
      <w:rFonts w:ascii="Arial" w:hAnsi="Arial" w:eastAsia="黑体"/>
      <w:kern w:val="44"/>
    </w:rPr>
  </w:style>
  <w:style w:type="paragraph" w:styleId="4">
    <w:name w:val="heading 3"/>
    <w:basedOn w:val="1"/>
    <w:next w:val="1"/>
    <w:qFormat/>
    <w:uiPriority w:val="0"/>
    <w:pPr>
      <w:keepNext/>
      <w:keepLines/>
      <w:spacing w:line="480" w:lineRule="auto"/>
      <w:outlineLvl w:val="2"/>
    </w:pPr>
    <w:rPr>
      <w:rFonts w:ascii="Arial" w:hAnsi="Arial" w:eastAsia="黑体"/>
      <w:color w:val="000000"/>
      <w:szCs w:val="21"/>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1260"/>
      <w:jc w:val="left"/>
    </w:pPr>
    <w:rPr>
      <w:rFonts w:asciiTheme="minorHAnsi" w:hAnsiTheme="minorHAnsi"/>
      <w:sz w:val="18"/>
      <w:szCs w:val="18"/>
    </w:rPr>
  </w:style>
  <w:style w:type="paragraph" w:styleId="6">
    <w:name w:val="annotation text"/>
    <w:basedOn w:val="1"/>
    <w:link w:val="71"/>
    <w:qFormat/>
    <w:uiPriority w:val="0"/>
    <w:pPr>
      <w:jc w:val="left"/>
    </w:pPr>
  </w:style>
  <w:style w:type="paragraph" w:styleId="7">
    <w:name w:val="toc 5"/>
    <w:basedOn w:val="1"/>
    <w:next w:val="1"/>
    <w:qFormat/>
    <w:uiPriority w:val="0"/>
    <w:pPr>
      <w:ind w:left="840"/>
      <w:jc w:val="left"/>
    </w:pPr>
    <w:rPr>
      <w:rFonts w:asciiTheme="minorHAnsi" w:hAnsiTheme="minorHAnsi"/>
      <w:sz w:val="18"/>
      <w:szCs w:val="18"/>
    </w:rPr>
  </w:style>
  <w:style w:type="paragraph" w:styleId="8">
    <w:name w:val="toc 3"/>
    <w:basedOn w:val="1"/>
    <w:next w:val="1"/>
    <w:qFormat/>
    <w:uiPriority w:val="0"/>
    <w:pPr>
      <w:ind w:left="420"/>
      <w:jc w:val="left"/>
    </w:pPr>
    <w:rPr>
      <w:rFonts w:asciiTheme="minorHAnsi" w:hAnsiTheme="minorHAnsi"/>
      <w:i/>
      <w:iCs/>
      <w:sz w:val="20"/>
      <w:szCs w:val="20"/>
    </w:rPr>
  </w:style>
  <w:style w:type="paragraph" w:styleId="9">
    <w:name w:val="toc 8"/>
    <w:basedOn w:val="1"/>
    <w:next w:val="1"/>
    <w:qFormat/>
    <w:uiPriority w:val="0"/>
    <w:pPr>
      <w:ind w:left="1470"/>
      <w:jc w:val="left"/>
    </w:pPr>
    <w:rPr>
      <w:rFonts w:asciiTheme="minorHAnsi" w:hAnsiTheme="minorHAnsi"/>
      <w:sz w:val="18"/>
      <w:szCs w:val="18"/>
    </w:rPr>
  </w:style>
  <w:style w:type="paragraph" w:styleId="10">
    <w:name w:val="Balloon Text"/>
    <w:basedOn w:val="1"/>
    <w:link w:val="63"/>
    <w:qFormat/>
    <w:uiPriority w:val="0"/>
    <w:rPr>
      <w:sz w:val="18"/>
      <w:szCs w:val="18"/>
    </w:rPr>
  </w:style>
  <w:style w:type="paragraph" w:styleId="11">
    <w:name w:val="footer"/>
    <w:basedOn w:val="1"/>
    <w:qFormat/>
    <w:uiPriority w:val="99"/>
    <w:pPr>
      <w:tabs>
        <w:tab w:val="center" w:pos="4153"/>
        <w:tab w:val="right" w:pos="8306"/>
      </w:tabs>
      <w:adjustRightInd w:val="0"/>
      <w:snapToGrid w:val="0"/>
      <w:spacing w:line="312" w:lineRule="atLeast"/>
      <w:ind w:right="210" w:rightChars="100"/>
      <w:jc w:val="right"/>
      <w:textAlignment w:val="baseline"/>
    </w:pPr>
    <w:rPr>
      <w:kern w:val="0"/>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pPr>
      <w:spacing w:before="120" w:after="120"/>
      <w:jc w:val="left"/>
    </w:pPr>
    <w:rPr>
      <w:rFonts w:asciiTheme="minorHAnsi" w:hAnsiTheme="minorHAnsi"/>
      <w:b/>
      <w:bCs/>
      <w:caps/>
      <w:sz w:val="20"/>
      <w:szCs w:val="20"/>
    </w:rPr>
  </w:style>
  <w:style w:type="paragraph" w:styleId="14">
    <w:name w:val="toc 4"/>
    <w:basedOn w:val="1"/>
    <w:next w:val="1"/>
    <w:qFormat/>
    <w:uiPriority w:val="0"/>
    <w:pPr>
      <w:ind w:left="630"/>
      <w:jc w:val="left"/>
    </w:pPr>
    <w:rPr>
      <w:rFonts w:asciiTheme="minorHAnsi" w:hAnsiTheme="minorHAnsi"/>
      <w:sz w:val="18"/>
      <w:szCs w:val="18"/>
    </w:rPr>
  </w:style>
  <w:style w:type="paragraph" w:styleId="15">
    <w:name w:val="toc 6"/>
    <w:basedOn w:val="1"/>
    <w:next w:val="1"/>
    <w:qFormat/>
    <w:uiPriority w:val="0"/>
    <w:pPr>
      <w:ind w:left="1050"/>
      <w:jc w:val="left"/>
    </w:pPr>
    <w:rPr>
      <w:rFonts w:asciiTheme="minorHAnsi" w:hAnsiTheme="minorHAnsi"/>
      <w:sz w:val="18"/>
      <w:szCs w:val="18"/>
    </w:rPr>
  </w:style>
  <w:style w:type="paragraph" w:styleId="16">
    <w:name w:val="toc 2"/>
    <w:basedOn w:val="1"/>
    <w:next w:val="1"/>
    <w:qFormat/>
    <w:uiPriority w:val="39"/>
    <w:pPr>
      <w:ind w:left="210"/>
      <w:jc w:val="left"/>
    </w:pPr>
    <w:rPr>
      <w:rFonts w:asciiTheme="minorHAnsi" w:hAnsiTheme="minorHAnsi"/>
      <w:smallCaps/>
      <w:sz w:val="20"/>
      <w:szCs w:val="20"/>
    </w:rPr>
  </w:style>
  <w:style w:type="paragraph" w:styleId="17">
    <w:name w:val="toc 9"/>
    <w:basedOn w:val="1"/>
    <w:next w:val="1"/>
    <w:qFormat/>
    <w:uiPriority w:val="0"/>
    <w:pPr>
      <w:ind w:left="1680"/>
      <w:jc w:val="left"/>
    </w:pPr>
    <w:rPr>
      <w:rFonts w:asciiTheme="minorHAnsi" w:hAnsiTheme="minorHAnsi"/>
      <w:sz w:val="18"/>
      <w:szCs w:val="18"/>
    </w:rPr>
  </w:style>
  <w:style w:type="paragraph" w:styleId="18">
    <w:name w:val="annotation subject"/>
    <w:basedOn w:val="6"/>
    <w:next w:val="6"/>
    <w:link w:val="72"/>
    <w:qFormat/>
    <w:uiPriority w:val="0"/>
    <w:rPr>
      <w:b/>
      <w:bCs/>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qFormat/>
    <w:uiPriority w:val="0"/>
    <w:rPr>
      <w:rFonts w:ascii="Times New Roman" w:hAnsi="Times New Roman" w:eastAsia="宋体"/>
      <w:sz w:val="18"/>
    </w:rPr>
  </w:style>
  <w:style w:type="character" w:styleId="23">
    <w:name w:val="Hyperlink"/>
    <w:qFormat/>
    <w:uiPriority w:val="99"/>
    <w:rPr>
      <w:color w:val="0000FF"/>
      <w:spacing w:val="0"/>
      <w:w w:val="100"/>
      <w:szCs w:val="21"/>
      <w:u w:val="single"/>
    </w:rPr>
  </w:style>
  <w:style w:type="character" w:styleId="24">
    <w:name w:val="annotation reference"/>
    <w:basedOn w:val="21"/>
    <w:qFormat/>
    <w:uiPriority w:val="0"/>
    <w:rPr>
      <w:sz w:val="21"/>
      <w:szCs w:val="21"/>
    </w:rPr>
  </w:style>
  <w:style w:type="paragraph" w:customStyle="1" w:styleId="2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6">
    <w:name w:val="其他标准标志"/>
    <w:basedOn w:val="27"/>
    <w:qFormat/>
    <w:uiPriority w:val="0"/>
    <w:pPr>
      <w:framePr w:w="6101" w:wrap="around" w:vAnchor="page" w:hAnchor="page" w:x="4673" w:y="942"/>
    </w:pPr>
    <w:rPr>
      <w:w w:val="130"/>
    </w:rPr>
  </w:style>
  <w:style w:type="paragraph" w:customStyle="1" w:styleId="2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2">
    <w:name w:val="封面标准英文名称"/>
    <w:basedOn w:val="31"/>
    <w:qFormat/>
    <w:uiPriority w:val="0"/>
    <w:pPr>
      <w:framePr w:wrap="around"/>
      <w:spacing w:before="370" w:line="400" w:lineRule="exact"/>
    </w:pPr>
    <w:rPr>
      <w:rFonts w:ascii="Times New Roman"/>
      <w:sz w:val="28"/>
      <w:szCs w:val="28"/>
    </w:rPr>
  </w:style>
  <w:style w:type="paragraph" w:customStyle="1" w:styleId="33">
    <w:name w:val="封面一致性程度标识"/>
    <w:basedOn w:val="32"/>
    <w:qFormat/>
    <w:uiPriority w:val="0"/>
    <w:pPr>
      <w:framePr w:wrap="around"/>
      <w:spacing w:before="440"/>
    </w:pPr>
    <w:rPr>
      <w:rFonts w:ascii="宋体" w:eastAsia="宋体"/>
    </w:rPr>
  </w:style>
  <w:style w:type="paragraph" w:customStyle="1" w:styleId="34">
    <w:name w:val="封面标准文稿类别"/>
    <w:basedOn w:val="33"/>
    <w:qFormat/>
    <w:uiPriority w:val="0"/>
    <w:pPr>
      <w:framePr w:wrap="around"/>
      <w:spacing w:after="160" w:line="240" w:lineRule="auto"/>
    </w:pPr>
    <w:rPr>
      <w:sz w:val="24"/>
    </w:rPr>
  </w:style>
  <w:style w:type="paragraph" w:customStyle="1" w:styleId="35">
    <w:name w:val="封面标准文稿编辑信息"/>
    <w:basedOn w:val="34"/>
    <w:qFormat/>
    <w:uiPriority w:val="0"/>
    <w:pPr>
      <w:framePr w:wrap="around"/>
      <w:spacing w:before="180" w:line="180" w:lineRule="exact"/>
    </w:pPr>
    <w:rPr>
      <w:sz w:val="21"/>
    </w:rPr>
  </w:style>
  <w:style w:type="paragraph" w:customStyle="1" w:styleId="36">
    <w:name w:val="其他发布日期"/>
    <w:basedOn w:val="37"/>
    <w:qFormat/>
    <w:uiPriority w:val="0"/>
    <w:pPr>
      <w:framePr w:wrap="around" w:vAnchor="page" w:hAnchor="text" w:x="1419"/>
    </w:pPr>
  </w:style>
  <w:style w:type="paragraph" w:customStyle="1" w:styleId="3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38">
    <w:name w:val="其他实施日期"/>
    <w:basedOn w:val="39"/>
    <w:qFormat/>
    <w:uiPriority w:val="0"/>
    <w:pPr>
      <w:framePr w:wrap="around"/>
    </w:pPr>
  </w:style>
  <w:style w:type="paragraph" w:customStyle="1" w:styleId="39">
    <w:name w:val="实施日期"/>
    <w:basedOn w:val="37"/>
    <w:qFormat/>
    <w:uiPriority w:val="0"/>
    <w:pPr>
      <w:framePr w:wrap="around" w:vAnchor="page" w:hAnchor="text"/>
      <w:jc w:val="right"/>
    </w:pPr>
  </w:style>
  <w:style w:type="paragraph" w:customStyle="1" w:styleId="40">
    <w:name w:val="其他发布部门"/>
    <w:basedOn w:val="41"/>
    <w:qFormat/>
    <w:uiPriority w:val="0"/>
    <w:pPr>
      <w:framePr w:wrap="around" w:y="15310"/>
      <w:spacing w:line="0" w:lineRule="atLeast"/>
    </w:pPr>
    <w:rPr>
      <w:rFonts w:ascii="黑体" w:eastAsia="黑体"/>
      <w:b w:val="0"/>
    </w:rPr>
  </w:style>
  <w:style w:type="paragraph" w:customStyle="1" w:styleId="41">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4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3">
    <w:name w:val="发布"/>
    <w:qFormat/>
    <w:uiPriority w:val="0"/>
    <w:rPr>
      <w:rFonts w:ascii="黑体" w:eastAsia="黑体"/>
      <w:spacing w:val="85"/>
      <w:w w:val="100"/>
      <w:position w:val="3"/>
      <w:sz w:val="28"/>
      <w:szCs w:val="28"/>
    </w:rPr>
  </w:style>
  <w:style w:type="paragraph" w:customStyle="1" w:styleId="44">
    <w:name w:val="目次、标准名称标题"/>
    <w:basedOn w:val="1"/>
    <w:next w:val="4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
    <w:name w:val="章标题"/>
    <w:next w:val="42"/>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7">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48">
    <w:name w:val="终结线"/>
    <w:basedOn w:val="1"/>
    <w:qFormat/>
    <w:uiPriority w:val="0"/>
    <w:pPr>
      <w:framePr w:hSpace="181" w:vSpace="181" w:wrap="around" w:vAnchor="text" w:hAnchor="margin" w:xAlign="center" w:y="285"/>
    </w:pPr>
  </w:style>
  <w:style w:type="paragraph" w:customStyle="1" w:styleId="4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题 3序号"/>
    <w:basedOn w:val="4"/>
    <w:qFormat/>
    <w:uiPriority w:val="0"/>
    <w:pPr>
      <w:spacing w:line="240" w:lineRule="auto"/>
      <w:ind w:left="425" w:hanging="425"/>
    </w:pPr>
  </w:style>
  <w:style w:type="paragraph" w:customStyle="1" w:styleId="52">
    <w:name w:val="标题 3 定义"/>
    <w:basedOn w:val="4"/>
    <w:qFormat/>
    <w:uiPriority w:val="0"/>
    <w:pPr>
      <w:spacing w:line="240" w:lineRule="auto"/>
      <w:ind w:firstLine="425"/>
    </w:pPr>
  </w:style>
  <w:style w:type="paragraph" w:customStyle="1" w:styleId="53">
    <w:name w:val="正文（注）"/>
    <w:basedOn w:val="1"/>
    <w:qFormat/>
    <w:uiPriority w:val="0"/>
    <w:rPr>
      <w:kern w:val="18"/>
      <w:sz w:val="18"/>
      <w:szCs w:val="18"/>
    </w:rPr>
  </w:style>
  <w:style w:type="paragraph" w:customStyle="1" w:styleId="54">
    <w:name w:val="表题"/>
    <w:qFormat/>
    <w:uiPriority w:val="0"/>
    <w:pPr>
      <w:keepNext/>
      <w:keepLines/>
      <w:widowControl w:val="0"/>
      <w:topLinePunct/>
      <w:adjustRightInd w:val="0"/>
      <w:spacing w:before="160" w:after="40"/>
      <w:jc w:val="center"/>
    </w:pPr>
    <w:rPr>
      <w:rFonts w:ascii="Arial" w:hAnsi="Arial" w:eastAsia="黑体" w:cs="Times New Roman"/>
      <w:kern w:val="21"/>
      <w:sz w:val="21"/>
      <w:lang w:val="en-GB" w:eastAsia="zh-CN" w:bidi="ar-SA"/>
    </w:rPr>
  </w:style>
  <w:style w:type="paragraph" w:customStyle="1" w:styleId="55">
    <w:name w:val="表文字"/>
    <w:qFormat/>
    <w:uiPriority w:val="0"/>
    <w:pPr>
      <w:widowControl w:val="0"/>
      <w:topLinePunct/>
      <w:adjustRightInd w:val="0"/>
      <w:spacing w:line="270" w:lineRule="exact"/>
      <w:jc w:val="center"/>
    </w:pPr>
    <w:rPr>
      <w:rFonts w:ascii="Times New Roman" w:hAnsi="Times New Roman" w:eastAsia="宋体" w:cs="Times New Roman"/>
      <w:kern w:val="18"/>
      <w:sz w:val="18"/>
      <w:lang w:val="en-US" w:eastAsia="zh-CN" w:bidi="ar-SA"/>
    </w:rPr>
  </w:style>
  <w:style w:type="paragraph" w:customStyle="1" w:styleId="56">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57">
    <w:name w:val="标准书眉_偶数页"/>
    <w:basedOn w:val="49"/>
    <w:next w:val="1"/>
    <w:qFormat/>
    <w:uiPriority w:val="0"/>
    <w:pPr>
      <w:jc w:val="left"/>
    </w:pPr>
  </w:style>
  <w:style w:type="paragraph" w:customStyle="1" w:styleId="58">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59">
    <w:name w:val="附录章标题"/>
    <w:next w:val="42"/>
    <w:qFormat/>
    <w:uiPriority w:val="0"/>
    <w:pPr>
      <w:wordWrap w:val="0"/>
      <w:overflowPunct w:val="0"/>
      <w:autoSpaceDE w:val="0"/>
      <w:spacing w:before="100" w:beforeLines="100" w:after="100" w:afterLines="100"/>
      <w:jc w:val="both"/>
      <w:textAlignment w:val="baseline"/>
      <w:outlineLvl w:val="1"/>
    </w:pPr>
    <w:rPr>
      <w:rFonts w:ascii="黑体" w:hAnsi="Book Antiqua" w:eastAsia="黑体" w:cs="Book Antiqua"/>
      <w:kern w:val="21"/>
      <w:sz w:val="21"/>
      <w:lang w:val="en-US" w:eastAsia="zh-CN" w:bidi="ar-SA"/>
    </w:rPr>
  </w:style>
  <w:style w:type="paragraph" w:styleId="60">
    <w:name w:val="List Paragraph"/>
    <w:basedOn w:val="1"/>
    <w:qFormat/>
    <w:uiPriority w:val="34"/>
    <w:pPr>
      <w:ind w:firstLine="420" w:firstLineChars="200"/>
    </w:pPr>
  </w:style>
  <w:style w:type="paragraph" w:customStyle="1" w:styleId="61">
    <w:name w:val="附录标识"/>
    <w:basedOn w:val="1"/>
    <w:next w:val="42"/>
    <w:qFormat/>
    <w:uiPriority w:val="0"/>
    <w:pPr>
      <w:keepNext/>
      <w:widowControl/>
      <w:shd w:val="clear" w:color="FFFFFF" w:fill="FFFFFF"/>
      <w:tabs>
        <w:tab w:val="left" w:pos="360"/>
        <w:tab w:val="left" w:pos="6405"/>
      </w:tabs>
      <w:spacing w:before="640" w:after="280"/>
      <w:jc w:val="center"/>
      <w:outlineLvl w:val="0"/>
    </w:pPr>
    <w:rPr>
      <w:rFonts w:ascii="黑体" w:hAnsi="Book Antiqua" w:eastAsia="黑体" w:cs="Book Antiqua"/>
      <w:kern w:val="0"/>
      <w:szCs w:val="20"/>
    </w:rPr>
  </w:style>
  <w:style w:type="paragraph" w:customStyle="1" w:styleId="62">
    <w:name w:val="WPSOffice手动目录 1"/>
    <w:qFormat/>
    <w:uiPriority w:val="0"/>
    <w:rPr>
      <w:rFonts w:asciiTheme="minorHAnsi" w:hAnsiTheme="minorHAnsi" w:eastAsiaTheme="minorEastAsia" w:cstheme="minorBidi"/>
      <w:lang w:val="en-US" w:eastAsia="zh-CN" w:bidi="ar-SA"/>
    </w:rPr>
  </w:style>
  <w:style w:type="character" w:customStyle="1" w:styleId="63">
    <w:name w:val="批注框文本 Char"/>
    <w:basedOn w:val="21"/>
    <w:link w:val="10"/>
    <w:qFormat/>
    <w:uiPriority w:val="0"/>
    <w:rPr>
      <w:rFonts w:ascii="Times New Roman" w:hAnsi="Times New Roman" w:eastAsia="宋体" w:cs="Times New Roman"/>
      <w:kern w:val="2"/>
      <w:sz w:val="18"/>
      <w:szCs w:val="18"/>
    </w:rPr>
  </w:style>
  <w:style w:type="paragraph" w:customStyle="1" w:styleId="64">
    <w:name w:val="一级条标题"/>
    <w:next w:val="42"/>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5">
    <w:name w:val="二级条标题"/>
    <w:basedOn w:val="64"/>
    <w:next w:val="42"/>
    <w:qFormat/>
    <w:uiPriority w:val="0"/>
    <w:pPr>
      <w:spacing w:before="50" w:after="50"/>
      <w:ind w:left="2268"/>
      <w:outlineLvl w:val="3"/>
    </w:pPr>
  </w:style>
  <w:style w:type="paragraph" w:customStyle="1" w:styleId="66">
    <w:name w:val="附录二级条标题"/>
    <w:basedOn w:val="1"/>
    <w:next w:val="42"/>
    <w:qFormat/>
    <w:uiPriority w:val="0"/>
    <w:pPr>
      <w:widowControl/>
      <w:tabs>
        <w:tab w:val="left" w:pos="360"/>
      </w:tabs>
      <w:wordWrap w:val="0"/>
      <w:overflowPunct w:val="0"/>
      <w:autoSpaceDE w:val="0"/>
      <w:autoSpaceDN w:val="0"/>
      <w:spacing w:before="50" w:beforeLines="50" w:after="50" w:afterLines="50"/>
      <w:ind w:left="1134"/>
      <w:textAlignment w:val="baseline"/>
      <w:outlineLvl w:val="3"/>
    </w:pPr>
    <w:rPr>
      <w:rFonts w:ascii="黑体" w:eastAsia="黑体"/>
      <w:kern w:val="21"/>
      <w:szCs w:val="20"/>
    </w:rPr>
  </w:style>
  <w:style w:type="paragraph" w:customStyle="1" w:styleId="67">
    <w:name w:val="附录一级条标题"/>
    <w:basedOn w:val="59"/>
    <w:next w:val="42"/>
    <w:qFormat/>
    <w:uiPriority w:val="0"/>
    <w:pPr>
      <w:tabs>
        <w:tab w:val="left" w:pos="360"/>
      </w:tabs>
      <w:autoSpaceDN w:val="0"/>
      <w:spacing w:before="50" w:beforeLines="50" w:after="50" w:afterLines="50"/>
      <w:outlineLvl w:val="2"/>
    </w:pPr>
    <w:rPr>
      <w:rFonts w:hAnsi="Times New Roman" w:cs="Times New Roman"/>
    </w:rPr>
  </w:style>
  <w:style w:type="paragraph" w:customStyle="1" w:styleId="68">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69">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0">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71">
    <w:name w:val="批注文字 Char"/>
    <w:basedOn w:val="21"/>
    <w:link w:val="6"/>
    <w:qFormat/>
    <w:uiPriority w:val="0"/>
    <w:rPr>
      <w:rFonts w:ascii="Times New Roman" w:hAnsi="Times New Roman" w:eastAsia="宋体" w:cs="Times New Roman"/>
      <w:kern w:val="2"/>
      <w:sz w:val="21"/>
      <w:szCs w:val="24"/>
    </w:rPr>
  </w:style>
  <w:style w:type="character" w:customStyle="1" w:styleId="72">
    <w:name w:val="批注主题 Char"/>
    <w:basedOn w:val="71"/>
    <w:link w:val="18"/>
    <w:qFormat/>
    <w:uiPriority w:val="0"/>
    <w:rPr>
      <w:rFonts w:ascii="Times New Roman" w:hAnsi="Times New Roman" w:eastAsia="宋体" w:cs="Times New Roman"/>
      <w:b/>
      <w:bCs/>
      <w:kern w:val="2"/>
      <w:sz w:val="21"/>
      <w:szCs w:val="24"/>
    </w:rPr>
  </w:style>
  <w:style w:type="paragraph" w:customStyle="1" w:styleId="73">
    <w:name w:val="修订3"/>
    <w:hidden/>
    <w:semiHidden/>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4873</Words>
  <Characters>5510</Characters>
  <Lines>56</Lines>
  <Paragraphs>15</Paragraphs>
  <TotalTime>28</TotalTime>
  <ScaleCrop>false</ScaleCrop>
  <LinksUpToDate>false</LinksUpToDate>
  <CharactersWithSpaces>6070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2023-04-03T18:10:00Z</dcterms:created>
  <dc:creator>乌龙冻顶</dc:creator>
  <cp:lastModifiedBy>Administrator</cp:lastModifiedBy>
  <dcterms:modified xsi:type="dcterms:W3CDTF">2025-01-02T09:09:08Z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BC254357EFAC46CD8B9528CF1E5AEC1F_13</vt:lpwstr>
  </property>
</Properties>
</file>