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4D6A58">
      <w:pPr>
        <w:jc w:val="center"/>
        <w:rPr>
          <w:rFonts w:ascii="华文中宋" w:hAnsi="华文中宋" w:eastAsia="华文中宋"/>
          <w:sz w:val="40"/>
          <w:szCs w:val="40"/>
        </w:rPr>
      </w:pPr>
    </w:p>
    <w:p w14:paraId="77F5649E">
      <w:pPr>
        <w:jc w:val="center"/>
        <w:rPr>
          <w:rFonts w:ascii="华文中宋" w:hAnsi="华文中宋" w:eastAsia="华文中宋"/>
          <w:sz w:val="40"/>
          <w:szCs w:val="40"/>
        </w:rPr>
      </w:pPr>
    </w:p>
    <w:p w14:paraId="1C21F983">
      <w:pPr>
        <w:jc w:val="center"/>
        <w:rPr>
          <w:rFonts w:ascii="华文中宋" w:hAnsi="华文中宋" w:eastAsia="华文中宋"/>
          <w:sz w:val="40"/>
          <w:szCs w:val="40"/>
        </w:rPr>
      </w:pPr>
    </w:p>
    <w:p w14:paraId="5E6DD0A8">
      <w:pPr>
        <w:jc w:val="center"/>
        <w:rPr>
          <w:rFonts w:ascii="华文中宋" w:hAnsi="华文中宋" w:eastAsia="华文中宋"/>
          <w:sz w:val="40"/>
          <w:szCs w:val="40"/>
        </w:rPr>
      </w:pPr>
    </w:p>
    <w:p w14:paraId="35EAB478">
      <w:pPr>
        <w:spacing w:line="360" w:lineRule="auto"/>
        <w:jc w:val="center"/>
        <w:rPr>
          <w:rFonts w:ascii="黑体" w:hAnsi="黑体" w:eastAsia="黑体"/>
          <w:b/>
          <w:bCs/>
          <w:sz w:val="48"/>
          <w:szCs w:val="52"/>
        </w:rPr>
      </w:pPr>
      <w:r>
        <w:rPr>
          <w:rFonts w:hint="eastAsia" w:ascii="黑体" w:hAnsi="黑体" w:eastAsia="黑体"/>
          <w:b/>
          <w:bCs/>
          <w:sz w:val="48"/>
          <w:szCs w:val="52"/>
        </w:rPr>
        <w:t>《重点建设用地土壤污染遥感监测技术规范（征求意见稿）》</w:t>
      </w:r>
    </w:p>
    <w:p w14:paraId="081A279B">
      <w:pPr>
        <w:spacing w:line="360" w:lineRule="auto"/>
        <w:jc w:val="center"/>
        <w:rPr>
          <w:rFonts w:ascii="黑体" w:hAnsi="黑体" w:eastAsia="黑体"/>
          <w:b/>
          <w:bCs/>
          <w:sz w:val="48"/>
          <w:szCs w:val="52"/>
        </w:rPr>
      </w:pPr>
    </w:p>
    <w:p w14:paraId="6E6E07C6">
      <w:pPr>
        <w:spacing w:line="360" w:lineRule="auto"/>
        <w:jc w:val="center"/>
        <w:rPr>
          <w:rFonts w:ascii="黑体" w:hAnsi="黑体" w:eastAsia="黑体"/>
          <w:b/>
          <w:bCs/>
          <w:sz w:val="48"/>
          <w:szCs w:val="52"/>
        </w:rPr>
      </w:pPr>
      <w:r>
        <w:rPr>
          <w:rFonts w:hint="eastAsia" w:ascii="黑体" w:hAnsi="黑体" w:eastAsia="黑体"/>
          <w:b/>
          <w:bCs/>
          <w:sz w:val="48"/>
          <w:szCs w:val="52"/>
        </w:rPr>
        <w:t>编制说明</w:t>
      </w:r>
    </w:p>
    <w:p w14:paraId="0E2D260D">
      <w:pPr>
        <w:widowControl/>
        <w:jc w:val="left"/>
        <w:rPr>
          <w:sz w:val="32"/>
        </w:rPr>
      </w:pPr>
    </w:p>
    <w:p w14:paraId="75198295">
      <w:pPr>
        <w:widowControl/>
        <w:jc w:val="left"/>
        <w:rPr>
          <w:sz w:val="32"/>
        </w:rPr>
      </w:pPr>
    </w:p>
    <w:p w14:paraId="6EB3815E">
      <w:pPr>
        <w:widowControl/>
        <w:jc w:val="left"/>
        <w:rPr>
          <w:sz w:val="32"/>
        </w:rPr>
      </w:pPr>
    </w:p>
    <w:p w14:paraId="7776DB12">
      <w:pPr>
        <w:widowControl/>
        <w:jc w:val="left"/>
        <w:rPr>
          <w:sz w:val="32"/>
        </w:rPr>
      </w:pPr>
    </w:p>
    <w:p w14:paraId="25BF3F58">
      <w:pPr>
        <w:widowControl/>
        <w:jc w:val="left"/>
        <w:rPr>
          <w:sz w:val="32"/>
        </w:rPr>
      </w:pPr>
    </w:p>
    <w:p w14:paraId="34EDEBE9">
      <w:pPr>
        <w:widowControl/>
        <w:jc w:val="left"/>
        <w:rPr>
          <w:sz w:val="32"/>
        </w:rPr>
      </w:pPr>
    </w:p>
    <w:p w14:paraId="2680146D">
      <w:pPr>
        <w:widowControl/>
        <w:jc w:val="left"/>
        <w:rPr>
          <w:sz w:val="32"/>
        </w:rPr>
      </w:pPr>
    </w:p>
    <w:p w14:paraId="1A9C57B7">
      <w:pPr>
        <w:widowControl/>
        <w:jc w:val="left"/>
        <w:rPr>
          <w:sz w:val="32"/>
        </w:rPr>
      </w:pPr>
    </w:p>
    <w:p w14:paraId="7ADDD135">
      <w:pPr>
        <w:widowControl/>
        <w:jc w:val="left"/>
        <w:rPr>
          <w:sz w:val="32"/>
        </w:rPr>
      </w:pPr>
    </w:p>
    <w:p w14:paraId="2AAFD445">
      <w:pPr>
        <w:spacing w:line="360" w:lineRule="auto"/>
        <w:jc w:val="center"/>
        <w:rPr>
          <w:rFonts w:ascii="仿宋" w:hAnsi="仿宋" w:eastAsia="仿宋"/>
          <w:b/>
          <w:bCs/>
          <w:sz w:val="32"/>
          <w:szCs w:val="36"/>
        </w:rPr>
      </w:pPr>
      <w:r>
        <w:rPr>
          <w:rFonts w:hint="eastAsia" w:ascii="仿宋" w:hAnsi="仿宋" w:eastAsia="仿宋"/>
          <w:b/>
          <w:bCs/>
          <w:sz w:val="32"/>
          <w:szCs w:val="36"/>
        </w:rPr>
        <w:t>《重点建设用地土壤污染遥感监测技术规范》</w:t>
      </w:r>
    </w:p>
    <w:p w14:paraId="366F11D7">
      <w:pPr>
        <w:spacing w:line="360" w:lineRule="auto"/>
        <w:jc w:val="center"/>
        <w:rPr>
          <w:rFonts w:ascii="仿宋" w:hAnsi="仿宋" w:eastAsia="仿宋"/>
          <w:b/>
          <w:bCs/>
          <w:sz w:val="32"/>
          <w:szCs w:val="36"/>
        </w:rPr>
      </w:pPr>
      <w:r>
        <w:rPr>
          <w:rFonts w:hint="eastAsia" w:ascii="仿宋" w:hAnsi="仿宋" w:eastAsia="仿宋"/>
          <w:b/>
          <w:bCs/>
          <w:sz w:val="32"/>
          <w:szCs w:val="36"/>
        </w:rPr>
        <w:t>编制组</w:t>
      </w:r>
    </w:p>
    <w:p w14:paraId="5E0C367A">
      <w:pPr>
        <w:jc w:val="center"/>
      </w:pPr>
      <w:r>
        <w:rPr>
          <w:rFonts w:hint="eastAsia" w:ascii="仿宋" w:hAnsi="仿宋" w:eastAsia="仿宋"/>
          <w:b/>
          <w:bCs/>
          <w:sz w:val="32"/>
          <w:szCs w:val="36"/>
        </w:rPr>
        <w:t>二〇二三年三月</w:t>
      </w:r>
    </w:p>
    <w:p w14:paraId="1592CA34">
      <w:pPr>
        <w:widowControl/>
        <w:jc w:val="center"/>
        <w:rPr>
          <w:sz w:val="32"/>
        </w:rPr>
      </w:pPr>
    </w:p>
    <w:p w14:paraId="3B63E53D">
      <w:pPr>
        <w:widowControl/>
        <w:jc w:val="left"/>
        <w:rPr>
          <w:sz w:val="32"/>
        </w:rPr>
      </w:pPr>
      <w:r>
        <w:rPr>
          <w:sz w:val="32"/>
        </w:rPr>
        <w:br w:type="page"/>
      </w:r>
    </w:p>
    <w:p w14:paraId="025E1F6B">
      <w:pPr>
        <w:widowControl/>
        <w:jc w:val="left"/>
        <w:rPr>
          <w:rFonts w:ascii="黑体" w:hAnsi="黑体" w:eastAsia="黑体"/>
          <w:sz w:val="32"/>
          <w:szCs w:val="36"/>
        </w:rPr>
      </w:pPr>
      <w:r>
        <w:rPr>
          <w:rFonts w:hint="eastAsia" w:ascii="黑体" w:hAnsi="黑体" w:eastAsia="黑体"/>
          <w:sz w:val="32"/>
          <w:szCs w:val="36"/>
        </w:rPr>
        <w:t>项目名称：重点建设用地土壤污染遥感监测技术规范</w:t>
      </w:r>
    </w:p>
    <w:p w14:paraId="6FE7FF92">
      <w:pPr>
        <w:widowControl/>
        <w:jc w:val="left"/>
        <w:rPr>
          <w:rFonts w:ascii="黑体" w:hAnsi="黑体" w:eastAsia="黑体"/>
          <w:sz w:val="32"/>
          <w:szCs w:val="36"/>
        </w:rPr>
      </w:pPr>
      <w:r>
        <w:rPr>
          <w:rFonts w:hint="eastAsia" w:ascii="黑体" w:hAnsi="黑体" w:eastAsia="黑体"/>
          <w:sz w:val="32"/>
          <w:szCs w:val="36"/>
        </w:rPr>
        <w:t>项目统一编号：20231143</w:t>
      </w:r>
    </w:p>
    <w:p w14:paraId="32446A9F">
      <w:pPr>
        <w:widowControl/>
        <w:jc w:val="left"/>
        <w:rPr>
          <w:rFonts w:ascii="黑体" w:hAnsi="黑体" w:eastAsia="黑体"/>
          <w:sz w:val="32"/>
          <w:szCs w:val="36"/>
        </w:rPr>
      </w:pPr>
      <w:r>
        <w:rPr>
          <w:rFonts w:hint="eastAsia" w:ascii="黑体" w:hAnsi="黑体" w:eastAsia="黑体"/>
          <w:sz w:val="32"/>
          <w:szCs w:val="36"/>
        </w:rPr>
        <w:t>承担单位：北京市生态环境监测中心</w:t>
      </w:r>
    </w:p>
    <w:p w14:paraId="05BB136E">
      <w:pPr>
        <w:rPr>
          <w:sz w:val="32"/>
        </w:rPr>
      </w:pPr>
      <w:r>
        <w:rPr>
          <w:sz w:val="32"/>
        </w:rPr>
        <w:br w:type="page"/>
      </w:r>
    </w:p>
    <w:sdt>
      <w:sdtPr>
        <w:rPr>
          <w:rFonts w:ascii="Times New Roman" w:hAnsi="Times New Roman" w:eastAsia="宋体" w:cs="Times New Roman"/>
          <w:color w:val="auto"/>
          <w:kern w:val="2"/>
          <w:sz w:val="21"/>
          <w:szCs w:val="24"/>
          <w:lang w:val="zh-CN"/>
        </w:rPr>
        <w:id w:val="-1156831973"/>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14:paraId="74E5293E">
          <w:pPr>
            <w:pStyle w:val="47"/>
            <w:jc w:val="center"/>
            <w:rPr>
              <w:b/>
              <w:bCs/>
              <w:color w:val="auto"/>
            </w:rPr>
          </w:pPr>
          <w:r>
            <w:rPr>
              <w:b/>
              <w:bCs/>
              <w:color w:val="auto"/>
              <w:lang w:val="zh-CN"/>
            </w:rPr>
            <w:t>目录</w:t>
          </w:r>
        </w:p>
        <w:p w14:paraId="166C17E7">
          <w:pPr>
            <w:pStyle w:val="9"/>
            <w:tabs>
              <w:tab w:val="right" w:leader="dot" w:pos="8306"/>
            </w:tabs>
            <w:rPr>
              <w:sz w:val="24"/>
            </w:rPr>
          </w:pPr>
          <w:r>
            <w:rPr>
              <w:sz w:val="24"/>
            </w:rPr>
            <w:fldChar w:fldCharType="begin"/>
          </w:r>
          <w:r>
            <w:rPr>
              <w:sz w:val="24"/>
            </w:rPr>
            <w:instrText xml:space="preserve"> TOC \o "1-3" \h \z \u </w:instrText>
          </w:r>
          <w:r>
            <w:rPr>
              <w:sz w:val="24"/>
            </w:rPr>
            <w:fldChar w:fldCharType="separate"/>
          </w:r>
          <w:r>
            <w:fldChar w:fldCharType="begin"/>
          </w:r>
          <w:r>
            <w:instrText xml:space="preserve"> HYPERLINK \l "_Toc7625" </w:instrText>
          </w:r>
          <w:r>
            <w:fldChar w:fldCharType="separate"/>
          </w:r>
          <w:r>
            <w:rPr>
              <w:sz w:val="24"/>
            </w:rPr>
            <w:t>1项目背景</w:t>
          </w:r>
          <w:r>
            <w:rPr>
              <w:sz w:val="24"/>
            </w:rPr>
            <w:tab/>
          </w:r>
          <w:r>
            <w:rPr>
              <w:sz w:val="24"/>
            </w:rPr>
            <w:fldChar w:fldCharType="begin"/>
          </w:r>
          <w:r>
            <w:rPr>
              <w:sz w:val="24"/>
            </w:rPr>
            <w:instrText xml:space="preserve"> PAGEREF _Toc7625 \h </w:instrText>
          </w:r>
          <w:r>
            <w:rPr>
              <w:sz w:val="24"/>
            </w:rPr>
            <w:fldChar w:fldCharType="separate"/>
          </w:r>
          <w:r>
            <w:rPr>
              <w:sz w:val="24"/>
            </w:rPr>
            <w:t>5</w:t>
          </w:r>
          <w:r>
            <w:rPr>
              <w:sz w:val="24"/>
            </w:rPr>
            <w:fldChar w:fldCharType="end"/>
          </w:r>
          <w:r>
            <w:rPr>
              <w:sz w:val="24"/>
            </w:rPr>
            <w:fldChar w:fldCharType="end"/>
          </w:r>
        </w:p>
        <w:p w14:paraId="4BDDAD71">
          <w:pPr>
            <w:pStyle w:val="10"/>
            <w:tabs>
              <w:tab w:val="right" w:leader="dot" w:pos="8306"/>
            </w:tabs>
            <w:rPr>
              <w:sz w:val="24"/>
            </w:rPr>
          </w:pPr>
          <w:r>
            <w:fldChar w:fldCharType="begin"/>
          </w:r>
          <w:r>
            <w:instrText xml:space="preserve"> HYPERLINK \l "_Toc16889" </w:instrText>
          </w:r>
          <w:r>
            <w:fldChar w:fldCharType="separate"/>
          </w:r>
          <w:r>
            <w:rPr>
              <w:kern w:val="0"/>
              <w:sz w:val="24"/>
            </w:rPr>
            <w:t>1.1任务来源</w:t>
          </w:r>
          <w:r>
            <w:rPr>
              <w:sz w:val="24"/>
            </w:rPr>
            <w:tab/>
          </w:r>
          <w:r>
            <w:rPr>
              <w:sz w:val="24"/>
            </w:rPr>
            <w:fldChar w:fldCharType="begin"/>
          </w:r>
          <w:r>
            <w:rPr>
              <w:sz w:val="24"/>
            </w:rPr>
            <w:instrText xml:space="preserve"> PAGEREF _Toc16889 \h </w:instrText>
          </w:r>
          <w:r>
            <w:rPr>
              <w:sz w:val="24"/>
            </w:rPr>
            <w:fldChar w:fldCharType="separate"/>
          </w:r>
          <w:r>
            <w:rPr>
              <w:sz w:val="24"/>
            </w:rPr>
            <w:t>5</w:t>
          </w:r>
          <w:r>
            <w:rPr>
              <w:sz w:val="24"/>
            </w:rPr>
            <w:fldChar w:fldCharType="end"/>
          </w:r>
          <w:r>
            <w:rPr>
              <w:sz w:val="24"/>
            </w:rPr>
            <w:fldChar w:fldCharType="end"/>
          </w:r>
        </w:p>
        <w:p w14:paraId="1253AE8E">
          <w:pPr>
            <w:pStyle w:val="10"/>
            <w:tabs>
              <w:tab w:val="right" w:leader="dot" w:pos="8306"/>
            </w:tabs>
            <w:rPr>
              <w:sz w:val="24"/>
            </w:rPr>
          </w:pPr>
          <w:r>
            <w:fldChar w:fldCharType="begin"/>
          </w:r>
          <w:r>
            <w:instrText xml:space="preserve"> HYPERLINK \l "_Toc6161" </w:instrText>
          </w:r>
          <w:r>
            <w:fldChar w:fldCharType="separate"/>
          </w:r>
          <w:r>
            <w:rPr>
              <w:kern w:val="0"/>
              <w:sz w:val="24"/>
            </w:rPr>
            <w:t>1.2起草单位和主要起草人</w:t>
          </w:r>
          <w:r>
            <w:rPr>
              <w:sz w:val="24"/>
            </w:rPr>
            <w:tab/>
          </w:r>
          <w:r>
            <w:rPr>
              <w:sz w:val="24"/>
            </w:rPr>
            <w:fldChar w:fldCharType="begin"/>
          </w:r>
          <w:r>
            <w:rPr>
              <w:sz w:val="24"/>
            </w:rPr>
            <w:instrText xml:space="preserve"> PAGEREF _Toc6161 \h </w:instrText>
          </w:r>
          <w:r>
            <w:rPr>
              <w:sz w:val="24"/>
            </w:rPr>
            <w:fldChar w:fldCharType="separate"/>
          </w:r>
          <w:r>
            <w:rPr>
              <w:sz w:val="24"/>
            </w:rPr>
            <w:t>6</w:t>
          </w:r>
          <w:r>
            <w:rPr>
              <w:sz w:val="24"/>
            </w:rPr>
            <w:fldChar w:fldCharType="end"/>
          </w:r>
          <w:r>
            <w:rPr>
              <w:sz w:val="24"/>
            </w:rPr>
            <w:fldChar w:fldCharType="end"/>
          </w:r>
        </w:p>
        <w:p w14:paraId="2F5C43A5">
          <w:pPr>
            <w:pStyle w:val="9"/>
            <w:tabs>
              <w:tab w:val="right" w:leader="dot" w:pos="8306"/>
            </w:tabs>
            <w:rPr>
              <w:sz w:val="24"/>
            </w:rPr>
          </w:pPr>
          <w:r>
            <w:fldChar w:fldCharType="begin"/>
          </w:r>
          <w:r>
            <w:instrText xml:space="preserve"> HYPERLINK \l "_Toc13379" </w:instrText>
          </w:r>
          <w:r>
            <w:fldChar w:fldCharType="separate"/>
          </w:r>
          <w:r>
            <w:rPr>
              <w:sz w:val="24"/>
            </w:rPr>
            <w:t>2制定标准的必要性和意义</w:t>
          </w:r>
          <w:r>
            <w:rPr>
              <w:sz w:val="24"/>
            </w:rPr>
            <w:tab/>
          </w:r>
          <w:r>
            <w:rPr>
              <w:sz w:val="24"/>
            </w:rPr>
            <w:fldChar w:fldCharType="begin"/>
          </w:r>
          <w:r>
            <w:rPr>
              <w:sz w:val="24"/>
            </w:rPr>
            <w:instrText xml:space="preserve"> PAGEREF _Toc13379 \h </w:instrText>
          </w:r>
          <w:r>
            <w:rPr>
              <w:sz w:val="24"/>
            </w:rPr>
            <w:fldChar w:fldCharType="separate"/>
          </w:r>
          <w:r>
            <w:rPr>
              <w:sz w:val="24"/>
            </w:rPr>
            <w:t>6</w:t>
          </w:r>
          <w:r>
            <w:rPr>
              <w:sz w:val="24"/>
            </w:rPr>
            <w:fldChar w:fldCharType="end"/>
          </w:r>
          <w:r>
            <w:rPr>
              <w:sz w:val="24"/>
            </w:rPr>
            <w:fldChar w:fldCharType="end"/>
          </w:r>
        </w:p>
        <w:p w14:paraId="019BE46A">
          <w:pPr>
            <w:pStyle w:val="10"/>
            <w:tabs>
              <w:tab w:val="right" w:leader="dot" w:pos="8306"/>
            </w:tabs>
            <w:rPr>
              <w:sz w:val="24"/>
            </w:rPr>
          </w:pPr>
          <w:r>
            <w:fldChar w:fldCharType="begin"/>
          </w:r>
          <w:r>
            <w:instrText xml:space="preserve"> HYPERLINK \l "_Toc4332" </w:instrText>
          </w:r>
          <w:r>
            <w:fldChar w:fldCharType="separate"/>
          </w:r>
          <w:r>
            <w:rPr>
              <w:kern w:val="0"/>
              <w:sz w:val="24"/>
            </w:rPr>
            <w:t>2.1建设用地土壤污染相关标准的实施情况</w:t>
          </w:r>
          <w:r>
            <w:rPr>
              <w:sz w:val="24"/>
            </w:rPr>
            <w:tab/>
          </w:r>
          <w:r>
            <w:rPr>
              <w:sz w:val="24"/>
            </w:rPr>
            <w:fldChar w:fldCharType="begin"/>
          </w:r>
          <w:r>
            <w:rPr>
              <w:sz w:val="24"/>
            </w:rPr>
            <w:instrText xml:space="preserve"> PAGEREF _Toc4332 \h </w:instrText>
          </w:r>
          <w:r>
            <w:rPr>
              <w:sz w:val="24"/>
            </w:rPr>
            <w:fldChar w:fldCharType="separate"/>
          </w:r>
          <w:r>
            <w:rPr>
              <w:sz w:val="24"/>
            </w:rPr>
            <w:t>6</w:t>
          </w:r>
          <w:r>
            <w:rPr>
              <w:sz w:val="24"/>
            </w:rPr>
            <w:fldChar w:fldCharType="end"/>
          </w:r>
          <w:r>
            <w:rPr>
              <w:sz w:val="24"/>
            </w:rPr>
            <w:fldChar w:fldCharType="end"/>
          </w:r>
        </w:p>
        <w:p w14:paraId="54967752">
          <w:pPr>
            <w:pStyle w:val="10"/>
            <w:tabs>
              <w:tab w:val="right" w:leader="dot" w:pos="8306"/>
            </w:tabs>
            <w:rPr>
              <w:sz w:val="24"/>
            </w:rPr>
          </w:pPr>
          <w:r>
            <w:fldChar w:fldCharType="begin"/>
          </w:r>
          <w:r>
            <w:instrText xml:space="preserve"> HYPERLINK \l "_Toc294" </w:instrText>
          </w:r>
          <w:r>
            <w:fldChar w:fldCharType="separate"/>
          </w:r>
          <w:r>
            <w:rPr>
              <w:kern w:val="0"/>
              <w:sz w:val="24"/>
            </w:rPr>
            <w:t>2.2 标准编制必要性</w:t>
          </w:r>
          <w:r>
            <w:rPr>
              <w:sz w:val="24"/>
            </w:rPr>
            <w:tab/>
          </w:r>
          <w:r>
            <w:rPr>
              <w:sz w:val="24"/>
            </w:rPr>
            <w:fldChar w:fldCharType="begin"/>
          </w:r>
          <w:r>
            <w:rPr>
              <w:sz w:val="24"/>
            </w:rPr>
            <w:instrText xml:space="preserve"> PAGEREF _Toc294 \h </w:instrText>
          </w:r>
          <w:r>
            <w:rPr>
              <w:sz w:val="24"/>
            </w:rPr>
            <w:fldChar w:fldCharType="separate"/>
          </w:r>
          <w:r>
            <w:rPr>
              <w:sz w:val="24"/>
            </w:rPr>
            <w:t>7</w:t>
          </w:r>
          <w:r>
            <w:rPr>
              <w:sz w:val="24"/>
            </w:rPr>
            <w:fldChar w:fldCharType="end"/>
          </w:r>
          <w:r>
            <w:rPr>
              <w:sz w:val="24"/>
            </w:rPr>
            <w:fldChar w:fldCharType="end"/>
          </w:r>
        </w:p>
        <w:p w14:paraId="2B6C6334">
          <w:pPr>
            <w:pStyle w:val="10"/>
            <w:tabs>
              <w:tab w:val="right" w:leader="dot" w:pos="8306"/>
            </w:tabs>
            <w:rPr>
              <w:sz w:val="24"/>
            </w:rPr>
          </w:pPr>
          <w:r>
            <w:fldChar w:fldCharType="begin"/>
          </w:r>
          <w:r>
            <w:instrText xml:space="preserve"> HYPERLINK \l "_Toc26606" </w:instrText>
          </w:r>
          <w:r>
            <w:fldChar w:fldCharType="separate"/>
          </w:r>
          <w:r>
            <w:rPr>
              <w:kern w:val="0"/>
              <w:sz w:val="24"/>
            </w:rPr>
            <w:t>2.3 标准制定的意义</w:t>
          </w:r>
          <w:r>
            <w:rPr>
              <w:sz w:val="24"/>
            </w:rPr>
            <w:tab/>
          </w:r>
          <w:r>
            <w:rPr>
              <w:sz w:val="24"/>
            </w:rPr>
            <w:fldChar w:fldCharType="begin"/>
          </w:r>
          <w:r>
            <w:rPr>
              <w:sz w:val="24"/>
            </w:rPr>
            <w:instrText xml:space="preserve"> PAGEREF _Toc26606 \h </w:instrText>
          </w:r>
          <w:r>
            <w:rPr>
              <w:sz w:val="24"/>
            </w:rPr>
            <w:fldChar w:fldCharType="separate"/>
          </w:r>
          <w:r>
            <w:rPr>
              <w:sz w:val="24"/>
            </w:rPr>
            <w:t>8</w:t>
          </w:r>
          <w:r>
            <w:rPr>
              <w:sz w:val="24"/>
            </w:rPr>
            <w:fldChar w:fldCharType="end"/>
          </w:r>
          <w:r>
            <w:rPr>
              <w:sz w:val="24"/>
            </w:rPr>
            <w:fldChar w:fldCharType="end"/>
          </w:r>
        </w:p>
        <w:p w14:paraId="78267BBB">
          <w:pPr>
            <w:pStyle w:val="9"/>
            <w:tabs>
              <w:tab w:val="right" w:leader="dot" w:pos="8306"/>
            </w:tabs>
            <w:rPr>
              <w:sz w:val="24"/>
            </w:rPr>
          </w:pPr>
          <w:r>
            <w:fldChar w:fldCharType="begin"/>
          </w:r>
          <w:r>
            <w:instrText xml:space="preserve"> HYPERLINK \l "_Toc21701" </w:instrText>
          </w:r>
          <w:r>
            <w:fldChar w:fldCharType="separate"/>
          </w:r>
          <w:r>
            <w:rPr>
              <w:sz w:val="24"/>
            </w:rPr>
            <w:t>3 主要工作过程</w:t>
          </w:r>
          <w:r>
            <w:rPr>
              <w:sz w:val="24"/>
            </w:rPr>
            <w:tab/>
          </w:r>
          <w:r>
            <w:rPr>
              <w:sz w:val="24"/>
            </w:rPr>
            <w:fldChar w:fldCharType="begin"/>
          </w:r>
          <w:r>
            <w:rPr>
              <w:sz w:val="24"/>
            </w:rPr>
            <w:instrText xml:space="preserve"> PAGEREF _Toc21701 \h </w:instrText>
          </w:r>
          <w:r>
            <w:rPr>
              <w:sz w:val="24"/>
            </w:rPr>
            <w:fldChar w:fldCharType="separate"/>
          </w:r>
          <w:r>
            <w:rPr>
              <w:sz w:val="24"/>
            </w:rPr>
            <w:t>9</w:t>
          </w:r>
          <w:r>
            <w:rPr>
              <w:sz w:val="24"/>
            </w:rPr>
            <w:fldChar w:fldCharType="end"/>
          </w:r>
          <w:r>
            <w:rPr>
              <w:sz w:val="24"/>
            </w:rPr>
            <w:fldChar w:fldCharType="end"/>
          </w:r>
        </w:p>
        <w:p w14:paraId="7765BDD3">
          <w:pPr>
            <w:pStyle w:val="10"/>
            <w:tabs>
              <w:tab w:val="right" w:leader="dot" w:pos="8306"/>
            </w:tabs>
            <w:rPr>
              <w:sz w:val="24"/>
            </w:rPr>
          </w:pPr>
          <w:r>
            <w:fldChar w:fldCharType="begin"/>
          </w:r>
          <w:r>
            <w:instrText xml:space="preserve"> HYPERLINK \l "_Toc10986" </w:instrText>
          </w:r>
          <w:r>
            <w:fldChar w:fldCharType="separate"/>
          </w:r>
          <w:r>
            <w:rPr>
              <w:kern w:val="0"/>
              <w:sz w:val="24"/>
            </w:rPr>
            <w:t>3.1 开题</w:t>
          </w:r>
          <w:r>
            <w:rPr>
              <w:sz w:val="24"/>
            </w:rPr>
            <w:tab/>
          </w:r>
          <w:r>
            <w:rPr>
              <w:sz w:val="24"/>
            </w:rPr>
            <w:fldChar w:fldCharType="begin"/>
          </w:r>
          <w:r>
            <w:rPr>
              <w:sz w:val="24"/>
            </w:rPr>
            <w:instrText xml:space="preserve"> PAGEREF _Toc10986 \h </w:instrText>
          </w:r>
          <w:r>
            <w:rPr>
              <w:sz w:val="24"/>
            </w:rPr>
            <w:fldChar w:fldCharType="separate"/>
          </w:r>
          <w:r>
            <w:rPr>
              <w:sz w:val="24"/>
            </w:rPr>
            <w:t>9</w:t>
          </w:r>
          <w:r>
            <w:rPr>
              <w:sz w:val="24"/>
            </w:rPr>
            <w:fldChar w:fldCharType="end"/>
          </w:r>
          <w:r>
            <w:rPr>
              <w:sz w:val="24"/>
            </w:rPr>
            <w:fldChar w:fldCharType="end"/>
          </w:r>
        </w:p>
        <w:p w14:paraId="15304276">
          <w:pPr>
            <w:pStyle w:val="10"/>
            <w:tabs>
              <w:tab w:val="right" w:leader="dot" w:pos="8306"/>
            </w:tabs>
            <w:rPr>
              <w:sz w:val="24"/>
            </w:rPr>
          </w:pPr>
          <w:r>
            <w:fldChar w:fldCharType="begin"/>
          </w:r>
          <w:r>
            <w:instrText xml:space="preserve"> HYPERLINK \l "_Toc8570" </w:instrText>
          </w:r>
          <w:r>
            <w:fldChar w:fldCharType="separate"/>
          </w:r>
          <w:r>
            <w:rPr>
              <w:sz w:val="24"/>
            </w:rPr>
            <w:t>3.2内部研讨</w:t>
          </w:r>
          <w:r>
            <w:rPr>
              <w:sz w:val="24"/>
            </w:rPr>
            <w:tab/>
          </w:r>
          <w:r>
            <w:rPr>
              <w:sz w:val="24"/>
            </w:rPr>
            <w:fldChar w:fldCharType="begin"/>
          </w:r>
          <w:r>
            <w:rPr>
              <w:sz w:val="24"/>
            </w:rPr>
            <w:instrText xml:space="preserve"> PAGEREF _Toc8570 \h </w:instrText>
          </w:r>
          <w:r>
            <w:rPr>
              <w:sz w:val="24"/>
            </w:rPr>
            <w:fldChar w:fldCharType="separate"/>
          </w:r>
          <w:r>
            <w:rPr>
              <w:sz w:val="24"/>
            </w:rPr>
            <w:t>10</w:t>
          </w:r>
          <w:r>
            <w:rPr>
              <w:sz w:val="24"/>
            </w:rPr>
            <w:fldChar w:fldCharType="end"/>
          </w:r>
          <w:r>
            <w:rPr>
              <w:sz w:val="24"/>
            </w:rPr>
            <w:fldChar w:fldCharType="end"/>
          </w:r>
        </w:p>
        <w:p w14:paraId="7772779D">
          <w:pPr>
            <w:pStyle w:val="10"/>
            <w:tabs>
              <w:tab w:val="right" w:leader="dot" w:pos="8306"/>
            </w:tabs>
            <w:rPr>
              <w:sz w:val="24"/>
            </w:rPr>
          </w:pPr>
          <w:r>
            <w:fldChar w:fldCharType="begin"/>
          </w:r>
          <w:r>
            <w:instrText xml:space="preserve"> HYPERLINK \l "_Toc24386" </w:instrText>
          </w:r>
          <w:r>
            <w:fldChar w:fldCharType="separate"/>
          </w:r>
          <w:r>
            <w:rPr>
              <w:sz w:val="24"/>
            </w:rPr>
            <w:t>3.3专家咨询会</w:t>
          </w:r>
          <w:r>
            <w:rPr>
              <w:sz w:val="24"/>
            </w:rPr>
            <w:tab/>
          </w:r>
          <w:r>
            <w:rPr>
              <w:sz w:val="24"/>
            </w:rPr>
            <w:fldChar w:fldCharType="begin"/>
          </w:r>
          <w:r>
            <w:rPr>
              <w:sz w:val="24"/>
            </w:rPr>
            <w:instrText xml:space="preserve"> PAGEREF _Toc24386 \h </w:instrText>
          </w:r>
          <w:r>
            <w:rPr>
              <w:sz w:val="24"/>
            </w:rPr>
            <w:fldChar w:fldCharType="separate"/>
          </w:r>
          <w:r>
            <w:rPr>
              <w:sz w:val="24"/>
            </w:rPr>
            <w:t>11</w:t>
          </w:r>
          <w:r>
            <w:rPr>
              <w:sz w:val="24"/>
            </w:rPr>
            <w:fldChar w:fldCharType="end"/>
          </w:r>
          <w:r>
            <w:rPr>
              <w:sz w:val="24"/>
            </w:rPr>
            <w:fldChar w:fldCharType="end"/>
          </w:r>
        </w:p>
        <w:p w14:paraId="7D63BE90">
          <w:pPr>
            <w:pStyle w:val="9"/>
            <w:tabs>
              <w:tab w:val="right" w:leader="dot" w:pos="8306"/>
            </w:tabs>
            <w:rPr>
              <w:sz w:val="24"/>
            </w:rPr>
          </w:pPr>
          <w:r>
            <w:fldChar w:fldCharType="begin"/>
          </w:r>
          <w:r>
            <w:instrText xml:space="preserve"> HYPERLINK \l "_Toc17682" </w:instrText>
          </w:r>
          <w:r>
            <w:fldChar w:fldCharType="separate"/>
          </w:r>
          <w:r>
            <w:rPr>
              <w:sz w:val="24"/>
            </w:rPr>
            <w:t>4 编制原则和编制依据</w:t>
          </w:r>
          <w:r>
            <w:rPr>
              <w:sz w:val="24"/>
            </w:rPr>
            <w:tab/>
          </w:r>
          <w:r>
            <w:rPr>
              <w:sz w:val="24"/>
            </w:rPr>
            <w:fldChar w:fldCharType="begin"/>
          </w:r>
          <w:r>
            <w:rPr>
              <w:sz w:val="24"/>
            </w:rPr>
            <w:instrText xml:space="preserve"> PAGEREF _Toc17682 \h </w:instrText>
          </w:r>
          <w:r>
            <w:rPr>
              <w:sz w:val="24"/>
            </w:rPr>
            <w:fldChar w:fldCharType="separate"/>
          </w:r>
          <w:r>
            <w:rPr>
              <w:sz w:val="24"/>
            </w:rPr>
            <w:t>14</w:t>
          </w:r>
          <w:r>
            <w:rPr>
              <w:sz w:val="24"/>
            </w:rPr>
            <w:fldChar w:fldCharType="end"/>
          </w:r>
          <w:r>
            <w:rPr>
              <w:sz w:val="24"/>
            </w:rPr>
            <w:fldChar w:fldCharType="end"/>
          </w:r>
        </w:p>
        <w:p w14:paraId="76929651">
          <w:pPr>
            <w:pStyle w:val="10"/>
            <w:tabs>
              <w:tab w:val="right" w:leader="dot" w:pos="8306"/>
            </w:tabs>
            <w:rPr>
              <w:sz w:val="24"/>
            </w:rPr>
          </w:pPr>
          <w:r>
            <w:fldChar w:fldCharType="begin"/>
          </w:r>
          <w:r>
            <w:instrText xml:space="preserve"> HYPERLINK \l "_Toc24490" </w:instrText>
          </w:r>
          <w:r>
            <w:fldChar w:fldCharType="separate"/>
          </w:r>
          <w:r>
            <w:rPr>
              <w:sz w:val="24"/>
            </w:rPr>
            <w:t>4.1 编制原则</w:t>
          </w:r>
          <w:r>
            <w:rPr>
              <w:sz w:val="24"/>
            </w:rPr>
            <w:tab/>
          </w:r>
          <w:r>
            <w:rPr>
              <w:sz w:val="24"/>
            </w:rPr>
            <w:fldChar w:fldCharType="begin"/>
          </w:r>
          <w:r>
            <w:rPr>
              <w:sz w:val="24"/>
            </w:rPr>
            <w:instrText xml:space="preserve"> PAGEREF _Toc24490 \h </w:instrText>
          </w:r>
          <w:r>
            <w:rPr>
              <w:sz w:val="24"/>
            </w:rPr>
            <w:fldChar w:fldCharType="separate"/>
          </w:r>
          <w:r>
            <w:rPr>
              <w:sz w:val="24"/>
            </w:rPr>
            <w:t>14</w:t>
          </w:r>
          <w:r>
            <w:rPr>
              <w:sz w:val="24"/>
            </w:rPr>
            <w:fldChar w:fldCharType="end"/>
          </w:r>
          <w:r>
            <w:rPr>
              <w:sz w:val="24"/>
            </w:rPr>
            <w:fldChar w:fldCharType="end"/>
          </w:r>
        </w:p>
        <w:p w14:paraId="709D92F1">
          <w:pPr>
            <w:pStyle w:val="10"/>
            <w:tabs>
              <w:tab w:val="right" w:leader="dot" w:pos="8306"/>
            </w:tabs>
            <w:rPr>
              <w:sz w:val="24"/>
            </w:rPr>
          </w:pPr>
          <w:r>
            <w:fldChar w:fldCharType="begin"/>
          </w:r>
          <w:r>
            <w:instrText xml:space="preserve"> HYPERLINK \l "_Toc25552" </w:instrText>
          </w:r>
          <w:r>
            <w:fldChar w:fldCharType="separate"/>
          </w:r>
          <w:r>
            <w:rPr>
              <w:sz w:val="24"/>
            </w:rPr>
            <w:t>4.2制定依据</w:t>
          </w:r>
          <w:r>
            <w:rPr>
              <w:sz w:val="24"/>
            </w:rPr>
            <w:tab/>
          </w:r>
          <w:r>
            <w:rPr>
              <w:sz w:val="24"/>
            </w:rPr>
            <w:fldChar w:fldCharType="begin"/>
          </w:r>
          <w:r>
            <w:rPr>
              <w:sz w:val="24"/>
            </w:rPr>
            <w:instrText xml:space="preserve"> PAGEREF _Toc25552 \h </w:instrText>
          </w:r>
          <w:r>
            <w:rPr>
              <w:sz w:val="24"/>
            </w:rPr>
            <w:fldChar w:fldCharType="separate"/>
          </w:r>
          <w:r>
            <w:rPr>
              <w:sz w:val="24"/>
            </w:rPr>
            <w:t>14</w:t>
          </w:r>
          <w:r>
            <w:rPr>
              <w:sz w:val="24"/>
            </w:rPr>
            <w:fldChar w:fldCharType="end"/>
          </w:r>
          <w:r>
            <w:rPr>
              <w:sz w:val="24"/>
            </w:rPr>
            <w:fldChar w:fldCharType="end"/>
          </w:r>
        </w:p>
        <w:p w14:paraId="681B0895">
          <w:pPr>
            <w:pStyle w:val="10"/>
            <w:tabs>
              <w:tab w:val="right" w:leader="dot" w:pos="8306"/>
            </w:tabs>
            <w:rPr>
              <w:sz w:val="24"/>
            </w:rPr>
          </w:pPr>
          <w:r>
            <w:fldChar w:fldCharType="begin"/>
          </w:r>
          <w:r>
            <w:instrText xml:space="preserve"> HYPERLINK \l "_Toc14394" </w:instrText>
          </w:r>
          <w:r>
            <w:fldChar w:fldCharType="separate"/>
          </w:r>
          <w:r>
            <w:rPr>
              <w:kern w:val="0"/>
              <w:sz w:val="24"/>
            </w:rPr>
            <w:t>4.3与现行法律、法规、标准的关系</w:t>
          </w:r>
          <w:r>
            <w:rPr>
              <w:sz w:val="24"/>
            </w:rPr>
            <w:tab/>
          </w:r>
          <w:r>
            <w:rPr>
              <w:sz w:val="24"/>
            </w:rPr>
            <w:fldChar w:fldCharType="begin"/>
          </w:r>
          <w:r>
            <w:rPr>
              <w:sz w:val="24"/>
            </w:rPr>
            <w:instrText xml:space="preserve"> PAGEREF _Toc14394 \h </w:instrText>
          </w:r>
          <w:r>
            <w:rPr>
              <w:sz w:val="24"/>
            </w:rPr>
            <w:fldChar w:fldCharType="separate"/>
          </w:r>
          <w:r>
            <w:rPr>
              <w:sz w:val="24"/>
            </w:rPr>
            <w:t>18</w:t>
          </w:r>
          <w:r>
            <w:rPr>
              <w:sz w:val="24"/>
            </w:rPr>
            <w:fldChar w:fldCharType="end"/>
          </w:r>
          <w:r>
            <w:rPr>
              <w:sz w:val="24"/>
            </w:rPr>
            <w:fldChar w:fldCharType="end"/>
          </w:r>
        </w:p>
        <w:p w14:paraId="70251EA8">
          <w:pPr>
            <w:pStyle w:val="9"/>
            <w:tabs>
              <w:tab w:val="right" w:leader="dot" w:pos="8306"/>
            </w:tabs>
            <w:rPr>
              <w:sz w:val="24"/>
            </w:rPr>
          </w:pPr>
          <w:r>
            <w:fldChar w:fldCharType="begin"/>
          </w:r>
          <w:r>
            <w:instrText xml:space="preserve"> HYPERLINK \l "_Toc23486" </w:instrText>
          </w:r>
          <w:r>
            <w:fldChar w:fldCharType="separate"/>
          </w:r>
          <w:r>
            <w:rPr>
              <w:sz w:val="24"/>
            </w:rPr>
            <w:t>5 文件的主要技术内容</w:t>
          </w:r>
          <w:r>
            <w:rPr>
              <w:sz w:val="24"/>
            </w:rPr>
            <w:tab/>
          </w:r>
          <w:r>
            <w:rPr>
              <w:sz w:val="24"/>
            </w:rPr>
            <w:fldChar w:fldCharType="begin"/>
          </w:r>
          <w:r>
            <w:rPr>
              <w:sz w:val="24"/>
            </w:rPr>
            <w:instrText xml:space="preserve"> PAGEREF _Toc23486 \h </w:instrText>
          </w:r>
          <w:r>
            <w:rPr>
              <w:sz w:val="24"/>
            </w:rPr>
            <w:fldChar w:fldCharType="separate"/>
          </w:r>
          <w:r>
            <w:rPr>
              <w:sz w:val="24"/>
            </w:rPr>
            <w:t>19</w:t>
          </w:r>
          <w:r>
            <w:rPr>
              <w:sz w:val="24"/>
            </w:rPr>
            <w:fldChar w:fldCharType="end"/>
          </w:r>
          <w:r>
            <w:rPr>
              <w:sz w:val="24"/>
            </w:rPr>
            <w:fldChar w:fldCharType="end"/>
          </w:r>
        </w:p>
        <w:p w14:paraId="5B160DC3">
          <w:pPr>
            <w:pStyle w:val="10"/>
            <w:tabs>
              <w:tab w:val="right" w:leader="dot" w:pos="8306"/>
            </w:tabs>
            <w:rPr>
              <w:sz w:val="24"/>
            </w:rPr>
          </w:pPr>
          <w:r>
            <w:fldChar w:fldCharType="begin"/>
          </w:r>
          <w:r>
            <w:instrText xml:space="preserve"> HYPERLINK \l "_Toc2469" </w:instrText>
          </w:r>
          <w:r>
            <w:fldChar w:fldCharType="separate"/>
          </w:r>
          <w:r>
            <w:rPr>
              <w:kern w:val="0"/>
              <w:sz w:val="24"/>
            </w:rPr>
            <w:t>5.1 文件内容框架</w:t>
          </w:r>
          <w:r>
            <w:rPr>
              <w:sz w:val="24"/>
            </w:rPr>
            <w:tab/>
          </w:r>
          <w:r>
            <w:rPr>
              <w:sz w:val="24"/>
            </w:rPr>
            <w:fldChar w:fldCharType="begin"/>
          </w:r>
          <w:r>
            <w:rPr>
              <w:sz w:val="24"/>
            </w:rPr>
            <w:instrText xml:space="preserve"> PAGEREF _Toc2469 \h </w:instrText>
          </w:r>
          <w:r>
            <w:rPr>
              <w:sz w:val="24"/>
            </w:rPr>
            <w:fldChar w:fldCharType="separate"/>
          </w:r>
          <w:r>
            <w:rPr>
              <w:sz w:val="24"/>
            </w:rPr>
            <w:t>19</w:t>
          </w:r>
          <w:r>
            <w:rPr>
              <w:sz w:val="24"/>
            </w:rPr>
            <w:fldChar w:fldCharType="end"/>
          </w:r>
          <w:r>
            <w:rPr>
              <w:sz w:val="24"/>
            </w:rPr>
            <w:fldChar w:fldCharType="end"/>
          </w:r>
        </w:p>
        <w:p w14:paraId="781AE00E">
          <w:pPr>
            <w:pStyle w:val="10"/>
            <w:tabs>
              <w:tab w:val="right" w:leader="dot" w:pos="8306"/>
            </w:tabs>
            <w:rPr>
              <w:sz w:val="24"/>
            </w:rPr>
          </w:pPr>
          <w:r>
            <w:fldChar w:fldCharType="begin"/>
          </w:r>
          <w:r>
            <w:instrText xml:space="preserve"> HYPERLINK \l "_Toc29766" </w:instrText>
          </w:r>
          <w:r>
            <w:fldChar w:fldCharType="separate"/>
          </w:r>
          <w:r>
            <w:rPr>
              <w:kern w:val="0"/>
              <w:sz w:val="24"/>
            </w:rPr>
            <w:t>5.2 适用范围</w:t>
          </w:r>
          <w:r>
            <w:rPr>
              <w:sz w:val="24"/>
            </w:rPr>
            <w:tab/>
          </w:r>
          <w:r>
            <w:rPr>
              <w:sz w:val="24"/>
            </w:rPr>
            <w:fldChar w:fldCharType="begin"/>
          </w:r>
          <w:r>
            <w:rPr>
              <w:sz w:val="24"/>
            </w:rPr>
            <w:instrText xml:space="preserve"> PAGEREF _Toc29766 \h </w:instrText>
          </w:r>
          <w:r>
            <w:rPr>
              <w:sz w:val="24"/>
            </w:rPr>
            <w:fldChar w:fldCharType="separate"/>
          </w:r>
          <w:r>
            <w:rPr>
              <w:sz w:val="24"/>
            </w:rPr>
            <w:t>20</w:t>
          </w:r>
          <w:r>
            <w:rPr>
              <w:sz w:val="24"/>
            </w:rPr>
            <w:fldChar w:fldCharType="end"/>
          </w:r>
          <w:r>
            <w:rPr>
              <w:sz w:val="24"/>
            </w:rPr>
            <w:fldChar w:fldCharType="end"/>
          </w:r>
        </w:p>
        <w:p w14:paraId="3A1280B5">
          <w:pPr>
            <w:pStyle w:val="10"/>
            <w:tabs>
              <w:tab w:val="right" w:leader="dot" w:pos="8306"/>
            </w:tabs>
            <w:rPr>
              <w:sz w:val="24"/>
            </w:rPr>
          </w:pPr>
          <w:r>
            <w:fldChar w:fldCharType="begin"/>
          </w:r>
          <w:r>
            <w:instrText xml:space="preserve"> HYPERLINK \l "_Toc24149" </w:instrText>
          </w:r>
          <w:r>
            <w:fldChar w:fldCharType="separate"/>
          </w:r>
          <w:r>
            <w:rPr>
              <w:kern w:val="0"/>
              <w:sz w:val="24"/>
            </w:rPr>
            <w:t>5.3 规范性引用文件</w:t>
          </w:r>
          <w:r>
            <w:rPr>
              <w:sz w:val="24"/>
            </w:rPr>
            <w:tab/>
          </w:r>
          <w:r>
            <w:rPr>
              <w:sz w:val="24"/>
            </w:rPr>
            <w:fldChar w:fldCharType="begin"/>
          </w:r>
          <w:r>
            <w:rPr>
              <w:sz w:val="24"/>
            </w:rPr>
            <w:instrText xml:space="preserve"> PAGEREF _Toc24149 \h </w:instrText>
          </w:r>
          <w:r>
            <w:rPr>
              <w:sz w:val="24"/>
            </w:rPr>
            <w:fldChar w:fldCharType="separate"/>
          </w:r>
          <w:r>
            <w:rPr>
              <w:sz w:val="24"/>
            </w:rPr>
            <w:t>20</w:t>
          </w:r>
          <w:r>
            <w:rPr>
              <w:sz w:val="24"/>
            </w:rPr>
            <w:fldChar w:fldCharType="end"/>
          </w:r>
          <w:r>
            <w:rPr>
              <w:sz w:val="24"/>
            </w:rPr>
            <w:fldChar w:fldCharType="end"/>
          </w:r>
        </w:p>
        <w:p w14:paraId="72E070E6">
          <w:pPr>
            <w:pStyle w:val="10"/>
            <w:tabs>
              <w:tab w:val="right" w:leader="dot" w:pos="8306"/>
            </w:tabs>
            <w:rPr>
              <w:sz w:val="24"/>
            </w:rPr>
          </w:pPr>
          <w:r>
            <w:fldChar w:fldCharType="begin"/>
          </w:r>
          <w:r>
            <w:instrText xml:space="preserve"> HYPERLINK \l "_Toc19846" </w:instrText>
          </w:r>
          <w:r>
            <w:fldChar w:fldCharType="separate"/>
          </w:r>
          <w:r>
            <w:rPr>
              <w:kern w:val="0"/>
              <w:sz w:val="24"/>
            </w:rPr>
            <w:t>5.4术语及定义</w:t>
          </w:r>
          <w:r>
            <w:rPr>
              <w:sz w:val="24"/>
            </w:rPr>
            <w:tab/>
          </w:r>
          <w:r>
            <w:rPr>
              <w:sz w:val="24"/>
            </w:rPr>
            <w:fldChar w:fldCharType="begin"/>
          </w:r>
          <w:r>
            <w:rPr>
              <w:sz w:val="24"/>
            </w:rPr>
            <w:instrText xml:space="preserve"> PAGEREF _Toc19846 \h </w:instrText>
          </w:r>
          <w:r>
            <w:rPr>
              <w:sz w:val="24"/>
            </w:rPr>
            <w:fldChar w:fldCharType="separate"/>
          </w:r>
          <w:r>
            <w:rPr>
              <w:sz w:val="24"/>
            </w:rPr>
            <w:t>21</w:t>
          </w:r>
          <w:r>
            <w:rPr>
              <w:sz w:val="24"/>
            </w:rPr>
            <w:fldChar w:fldCharType="end"/>
          </w:r>
          <w:r>
            <w:rPr>
              <w:sz w:val="24"/>
            </w:rPr>
            <w:fldChar w:fldCharType="end"/>
          </w:r>
        </w:p>
        <w:p w14:paraId="27581CE5">
          <w:pPr>
            <w:pStyle w:val="10"/>
            <w:tabs>
              <w:tab w:val="right" w:leader="dot" w:pos="8306"/>
            </w:tabs>
            <w:rPr>
              <w:sz w:val="24"/>
            </w:rPr>
          </w:pPr>
          <w:r>
            <w:fldChar w:fldCharType="begin"/>
          </w:r>
          <w:r>
            <w:instrText xml:space="preserve"> HYPERLINK \l "_Toc23517" </w:instrText>
          </w:r>
          <w:r>
            <w:fldChar w:fldCharType="separate"/>
          </w:r>
          <w:r>
            <w:rPr>
              <w:kern w:val="0"/>
              <w:sz w:val="24"/>
            </w:rPr>
            <w:t>5.5监测原则与工作程序</w:t>
          </w:r>
          <w:r>
            <w:rPr>
              <w:sz w:val="24"/>
            </w:rPr>
            <w:tab/>
          </w:r>
          <w:r>
            <w:rPr>
              <w:sz w:val="24"/>
            </w:rPr>
            <w:fldChar w:fldCharType="begin"/>
          </w:r>
          <w:r>
            <w:rPr>
              <w:sz w:val="24"/>
            </w:rPr>
            <w:instrText xml:space="preserve"> PAGEREF _Toc23517 \h </w:instrText>
          </w:r>
          <w:r>
            <w:rPr>
              <w:sz w:val="24"/>
            </w:rPr>
            <w:fldChar w:fldCharType="separate"/>
          </w:r>
          <w:r>
            <w:rPr>
              <w:sz w:val="24"/>
            </w:rPr>
            <w:t>22</w:t>
          </w:r>
          <w:r>
            <w:rPr>
              <w:sz w:val="24"/>
            </w:rPr>
            <w:fldChar w:fldCharType="end"/>
          </w:r>
          <w:r>
            <w:rPr>
              <w:sz w:val="24"/>
            </w:rPr>
            <w:fldChar w:fldCharType="end"/>
          </w:r>
        </w:p>
        <w:p w14:paraId="7A59420C">
          <w:pPr>
            <w:pStyle w:val="5"/>
            <w:tabs>
              <w:tab w:val="right" w:leader="dot" w:pos="8306"/>
            </w:tabs>
            <w:rPr>
              <w:sz w:val="24"/>
            </w:rPr>
          </w:pPr>
          <w:r>
            <w:fldChar w:fldCharType="begin"/>
          </w:r>
          <w:r>
            <w:instrText xml:space="preserve"> HYPERLINK \l "_Toc19097" </w:instrText>
          </w:r>
          <w:r>
            <w:fldChar w:fldCharType="separate"/>
          </w:r>
          <w:r>
            <w:rPr>
              <w:bCs/>
              <w:sz w:val="24"/>
            </w:rPr>
            <w:t>5.5.1监测原则</w:t>
          </w:r>
          <w:r>
            <w:rPr>
              <w:sz w:val="24"/>
            </w:rPr>
            <w:tab/>
          </w:r>
          <w:r>
            <w:rPr>
              <w:sz w:val="24"/>
            </w:rPr>
            <w:fldChar w:fldCharType="begin"/>
          </w:r>
          <w:r>
            <w:rPr>
              <w:sz w:val="24"/>
            </w:rPr>
            <w:instrText xml:space="preserve"> PAGEREF _Toc19097 \h </w:instrText>
          </w:r>
          <w:r>
            <w:rPr>
              <w:sz w:val="24"/>
            </w:rPr>
            <w:fldChar w:fldCharType="separate"/>
          </w:r>
          <w:r>
            <w:rPr>
              <w:sz w:val="24"/>
            </w:rPr>
            <w:t>22</w:t>
          </w:r>
          <w:r>
            <w:rPr>
              <w:sz w:val="24"/>
            </w:rPr>
            <w:fldChar w:fldCharType="end"/>
          </w:r>
          <w:r>
            <w:rPr>
              <w:sz w:val="24"/>
            </w:rPr>
            <w:fldChar w:fldCharType="end"/>
          </w:r>
        </w:p>
        <w:p w14:paraId="4D47C3CA">
          <w:pPr>
            <w:pStyle w:val="5"/>
            <w:tabs>
              <w:tab w:val="right" w:leader="dot" w:pos="8306"/>
            </w:tabs>
            <w:rPr>
              <w:sz w:val="24"/>
            </w:rPr>
          </w:pPr>
          <w:r>
            <w:fldChar w:fldCharType="begin"/>
          </w:r>
          <w:r>
            <w:instrText xml:space="preserve"> HYPERLINK \l "_Toc31035" </w:instrText>
          </w:r>
          <w:r>
            <w:fldChar w:fldCharType="separate"/>
          </w:r>
          <w:r>
            <w:rPr>
              <w:bCs/>
              <w:sz w:val="24"/>
            </w:rPr>
            <w:t>5.5.2工作程序</w:t>
          </w:r>
          <w:r>
            <w:rPr>
              <w:sz w:val="24"/>
            </w:rPr>
            <w:tab/>
          </w:r>
          <w:r>
            <w:rPr>
              <w:sz w:val="24"/>
            </w:rPr>
            <w:fldChar w:fldCharType="begin"/>
          </w:r>
          <w:r>
            <w:rPr>
              <w:sz w:val="24"/>
            </w:rPr>
            <w:instrText xml:space="preserve"> PAGEREF _Toc31035 \h </w:instrText>
          </w:r>
          <w:r>
            <w:rPr>
              <w:sz w:val="24"/>
            </w:rPr>
            <w:fldChar w:fldCharType="separate"/>
          </w:r>
          <w:r>
            <w:rPr>
              <w:sz w:val="24"/>
            </w:rPr>
            <w:t>23</w:t>
          </w:r>
          <w:r>
            <w:rPr>
              <w:sz w:val="24"/>
            </w:rPr>
            <w:fldChar w:fldCharType="end"/>
          </w:r>
          <w:r>
            <w:rPr>
              <w:sz w:val="24"/>
            </w:rPr>
            <w:fldChar w:fldCharType="end"/>
          </w:r>
        </w:p>
        <w:p w14:paraId="552EF8EB">
          <w:pPr>
            <w:pStyle w:val="10"/>
            <w:tabs>
              <w:tab w:val="right" w:leader="dot" w:pos="8306"/>
            </w:tabs>
            <w:rPr>
              <w:sz w:val="24"/>
            </w:rPr>
          </w:pPr>
          <w:r>
            <w:fldChar w:fldCharType="begin"/>
          </w:r>
          <w:r>
            <w:instrText xml:space="preserve"> HYPERLINK \l "_Toc21702" </w:instrText>
          </w:r>
          <w:r>
            <w:fldChar w:fldCharType="separate"/>
          </w:r>
          <w:r>
            <w:rPr>
              <w:kern w:val="0"/>
              <w:sz w:val="24"/>
            </w:rPr>
            <w:t>5.6遥感监测解译与方法</w:t>
          </w:r>
          <w:r>
            <w:rPr>
              <w:sz w:val="24"/>
            </w:rPr>
            <w:tab/>
          </w:r>
          <w:r>
            <w:rPr>
              <w:sz w:val="24"/>
            </w:rPr>
            <w:fldChar w:fldCharType="begin"/>
          </w:r>
          <w:r>
            <w:rPr>
              <w:sz w:val="24"/>
            </w:rPr>
            <w:instrText xml:space="preserve"> PAGEREF _Toc21702 \h </w:instrText>
          </w:r>
          <w:r>
            <w:rPr>
              <w:sz w:val="24"/>
            </w:rPr>
            <w:fldChar w:fldCharType="separate"/>
          </w:r>
          <w:r>
            <w:rPr>
              <w:sz w:val="24"/>
            </w:rPr>
            <w:t>24</w:t>
          </w:r>
          <w:r>
            <w:rPr>
              <w:sz w:val="24"/>
            </w:rPr>
            <w:fldChar w:fldCharType="end"/>
          </w:r>
          <w:r>
            <w:rPr>
              <w:sz w:val="24"/>
            </w:rPr>
            <w:fldChar w:fldCharType="end"/>
          </w:r>
        </w:p>
        <w:p w14:paraId="061035BA">
          <w:pPr>
            <w:pStyle w:val="5"/>
            <w:tabs>
              <w:tab w:val="right" w:leader="dot" w:pos="8306"/>
            </w:tabs>
            <w:rPr>
              <w:sz w:val="24"/>
            </w:rPr>
          </w:pPr>
          <w:r>
            <w:fldChar w:fldCharType="begin"/>
          </w:r>
          <w:r>
            <w:instrText xml:space="preserve"> HYPERLINK \l "_Toc17411" </w:instrText>
          </w:r>
          <w:r>
            <w:fldChar w:fldCharType="separate"/>
          </w:r>
          <w:r>
            <w:rPr>
              <w:bCs/>
              <w:sz w:val="24"/>
            </w:rPr>
            <w:t>5.6.1资料准备与收集</w:t>
          </w:r>
          <w:r>
            <w:rPr>
              <w:sz w:val="24"/>
            </w:rPr>
            <w:tab/>
          </w:r>
          <w:r>
            <w:rPr>
              <w:sz w:val="24"/>
            </w:rPr>
            <w:fldChar w:fldCharType="begin"/>
          </w:r>
          <w:r>
            <w:rPr>
              <w:sz w:val="24"/>
            </w:rPr>
            <w:instrText xml:space="preserve"> PAGEREF _Toc17411 \h </w:instrText>
          </w:r>
          <w:r>
            <w:rPr>
              <w:sz w:val="24"/>
            </w:rPr>
            <w:fldChar w:fldCharType="separate"/>
          </w:r>
          <w:r>
            <w:rPr>
              <w:sz w:val="24"/>
            </w:rPr>
            <w:t>24</w:t>
          </w:r>
          <w:r>
            <w:rPr>
              <w:sz w:val="24"/>
            </w:rPr>
            <w:fldChar w:fldCharType="end"/>
          </w:r>
          <w:r>
            <w:rPr>
              <w:sz w:val="24"/>
            </w:rPr>
            <w:fldChar w:fldCharType="end"/>
          </w:r>
        </w:p>
        <w:p w14:paraId="36E9D8B1">
          <w:pPr>
            <w:pStyle w:val="5"/>
            <w:tabs>
              <w:tab w:val="right" w:leader="dot" w:pos="8306"/>
            </w:tabs>
            <w:rPr>
              <w:sz w:val="24"/>
            </w:rPr>
          </w:pPr>
          <w:r>
            <w:fldChar w:fldCharType="begin"/>
          </w:r>
          <w:r>
            <w:instrText xml:space="preserve"> HYPERLINK \l "_Toc2078" </w:instrText>
          </w:r>
          <w:r>
            <w:fldChar w:fldCharType="separate"/>
          </w:r>
          <w:r>
            <w:rPr>
              <w:bCs/>
              <w:sz w:val="24"/>
            </w:rPr>
            <w:t>5.5.2遥感监测内容</w:t>
          </w:r>
          <w:r>
            <w:rPr>
              <w:sz w:val="24"/>
            </w:rPr>
            <w:tab/>
          </w:r>
          <w:r>
            <w:rPr>
              <w:sz w:val="24"/>
            </w:rPr>
            <w:fldChar w:fldCharType="begin"/>
          </w:r>
          <w:r>
            <w:rPr>
              <w:sz w:val="24"/>
            </w:rPr>
            <w:instrText xml:space="preserve"> PAGEREF _Toc2078 \h </w:instrText>
          </w:r>
          <w:r>
            <w:rPr>
              <w:sz w:val="24"/>
            </w:rPr>
            <w:fldChar w:fldCharType="separate"/>
          </w:r>
          <w:r>
            <w:rPr>
              <w:sz w:val="24"/>
            </w:rPr>
            <w:t>24</w:t>
          </w:r>
          <w:r>
            <w:rPr>
              <w:sz w:val="24"/>
            </w:rPr>
            <w:fldChar w:fldCharType="end"/>
          </w:r>
          <w:r>
            <w:rPr>
              <w:sz w:val="24"/>
            </w:rPr>
            <w:fldChar w:fldCharType="end"/>
          </w:r>
        </w:p>
        <w:p w14:paraId="442ADA03">
          <w:pPr>
            <w:pStyle w:val="5"/>
            <w:tabs>
              <w:tab w:val="right" w:leader="dot" w:pos="8306"/>
            </w:tabs>
            <w:rPr>
              <w:sz w:val="24"/>
            </w:rPr>
          </w:pPr>
          <w:r>
            <w:fldChar w:fldCharType="begin"/>
          </w:r>
          <w:r>
            <w:instrText xml:space="preserve"> HYPERLINK \l "_Toc4" </w:instrText>
          </w:r>
          <w:r>
            <w:fldChar w:fldCharType="separate"/>
          </w:r>
          <w:r>
            <w:rPr>
              <w:bCs/>
              <w:sz w:val="24"/>
            </w:rPr>
            <w:t>5.5.3遥感解译方法</w:t>
          </w:r>
          <w:r>
            <w:rPr>
              <w:sz w:val="24"/>
            </w:rPr>
            <w:tab/>
          </w:r>
          <w:r>
            <w:rPr>
              <w:sz w:val="24"/>
            </w:rPr>
            <w:fldChar w:fldCharType="begin"/>
          </w:r>
          <w:r>
            <w:rPr>
              <w:sz w:val="24"/>
            </w:rPr>
            <w:instrText xml:space="preserve"> PAGEREF _Toc4 \h </w:instrText>
          </w:r>
          <w:r>
            <w:rPr>
              <w:sz w:val="24"/>
            </w:rPr>
            <w:fldChar w:fldCharType="separate"/>
          </w:r>
          <w:r>
            <w:rPr>
              <w:sz w:val="24"/>
            </w:rPr>
            <w:t>24</w:t>
          </w:r>
          <w:r>
            <w:rPr>
              <w:sz w:val="24"/>
            </w:rPr>
            <w:fldChar w:fldCharType="end"/>
          </w:r>
          <w:r>
            <w:rPr>
              <w:sz w:val="24"/>
            </w:rPr>
            <w:fldChar w:fldCharType="end"/>
          </w:r>
        </w:p>
        <w:p w14:paraId="3AFA8B84">
          <w:pPr>
            <w:pStyle w:val="10"/>
            <w:tabs>
              <w:tab w:val="right" w:leader="dot" w:pos="8306"/>
            </w:tabs>
            <w:rPr>
              <w:sz w:val="24"/>
            </w:rPr>
          </w:pPr>
          <w:r>
            <w:fldChar w:fldCharType="begin"/>
          </w:r>
          <w:r>
            <w:instrText xml:space="preserve"> HYPERLINK \l "_Toc7835" </w:instrText>
          </w:r>
          <w:r>
            <w:fldChar w:fldCharType="separate"/>
          </w:r>
          <w:r>
            <w:rPr>
              <w:kern w:val="0"/>
              <w:sz w:val="24"/>
            </w:rPr>
            <w:t>5.7现场调查</w:t>
          </w:r>
          <w:r>
            <w:rPr>
              <w:sz w:val="24"/>
            </w:rPr>
            <w:tab/>
          </w:r>
          <w:r>
            <w:rPr>
              <w:sz w:val="24"/>
            </w:rPr>
            <w:fldChar w:fldCharType="begin"/>
          </w:r>
          <w:r>
            <w:rPr>
              <w:sz w:val="24"/>
            </w:rPr>
            <w:instrText xml:space="preserve"> PAGEREF _Toc7835 \h </w:instrText>
          </w:r>
          <w:r>
            <w:rPr>
              <w:sz w:val="24"/>
            </w:rPr>
            <w:fldChar w:fldCharType="separate"/>
          </w:r>
          <w:r>
            <w:rPr>
              <w:sz w:val="24"/>
            </w:rPr>
            <w:t>26</w:t>
          </w:r>
          <w:r>
            <w:rPr>
              <w:sz w:val="24"/>
            </w:rPr>
            <w:fldChar w:fldCharType="end"/>
          </w:r>
          <w:r>
            <w:rPr>
              <w:sz w:val="24"/>
            </w:rPr>
            <w:fldChar w:fldCharType="end"/>
          </w:r>
        </w:p>
        <w:p w14:paraId="38C72C68">
          <w:pPr>
            <w:pStyle w:val="10"/>
            <w:tabs>
              <w:tab w:val="right" w:leader="dot" w:pos="8306"/>
            </w:tabs>
            <w:rPr>
              <w:sz w:val="24"/>
            </w:rPr>
          </w:pPr>
          <w:r>
            <w:fldChar w:fldCharType="begin"/>
          </w:r>
          <w:r>
            <w:instrText xml:space="preserve"> HYPERLINK \l "_Toc30512" </w:instrText>
          </w:r>
          <w:r>
            <w:fldChar w:fldCharType="separate"/>
          </w:r>
          <w:r>
            <w:rPr>
              <w:kern w:val="0"/>
              <w:sz w:val="24"/>
            </w:rPr>
            <w:t>5.8风险级别评价</w:t>
          </w:r>
          <w:r>
            <w:rPr>
              <w:sz w:val="24"/>
            </w:rPr>
            <w:tab/>
          </w:r>
          <w:r>
            <w:rPr>
              <w:sz w:val="24"/>
            </w:rPr>
            <w:fldChar w:fldCharType="begin"/>
          </w:r>
          <w:r>
            <w:rPr>
              <w:sz w:val="24"/>
            </w:rPr>
            <w:instrText xml:space="preserve"> PAGEREF _Toc30512 \h </w:instrText>
          </w:r>
          <w:r>
            <w:rPr>
              <w:sz w:val="24"/>
            </w:rPr>
            <w:fldChar w:fldCharType="separate"/>
          </w:r>
          <w:r>
            <w:rPr>
              <w:sz w:val="24"/>
            </w:rPr>
            <w:t>27</w:t>
          </w:r>
          <w:r>
            <w:rPr>
              <w:sz w:val="24"/>
            </w:rPr>
            <w:fldChar w:fldCharType="end"/>
          </w:r>
          <w:r>
            <w:rPr>
              <w:sz w:val="24"/>
            </w:rPr>
            <w:fldChar w:fldCharType="end"/>
          </w:r>
        </w:p>
        <w:p w14:paraId="4BFF695F">
          <w:pPr>
            <w:pStyle w:val="10"/>
            <w:tabs>
              <w:tab w:val="right" w:leader="dot" w:pos="8306"/>
            </w:tabs>
            <w:rPr>
              <w:sz w:val="24"/>
            </w:rPr>
          </w:pPr>
          <w:r>
            <w:fldChar w:fldCharType="begin"/>
          </w:r>
          <w:r>
            <w:instrText xml:space="preserve"> HYPERLINK \l "_Toc15064" </w:instrText>
          </w:r>
          <w:r>
            <w:fldChar w:fldCharType="separate"/>
          </w:r>
          <w:r>
            <w:rPr>
              <w:kern w:val="0"/>
              <w:sz w:val="24"/>
            </w:rPr>
            <w:t>5.9监测成果要求</w:t>
          </w:r>
          <w:r>
            <w:rPr>
              <w:sz w:val="24"/>
            </w:rPr>
            <w:tab/>
          </w:r>
          <w:r>
            <w:rPr>
              <w:sz w:val="24"/>
            </w:rPr>
            <w:fldChar w:fldCharType="begin"/>
          </w:r>
          <w:r>
            <w:rPr>
              <w:sz w:val="24"/>
            </w:rPr>
            <w:instrText xml:space="preserve"> PAGEREF _Toc15064 \h </w:instrText>
          </w:r>
          <w:r>
            <w:rPr>
              <w:sz w:val="24"/>
            </w:rPr>
            <w:fldChar w:fldCharType="separate"/>
          </w:r>
          <w:r>
            <w:rPr>
              <w:sz w:val="24"/>
            </w:rPr>
            <w:t>28</w:t>
          </w:r>
          <w:r>
            <w:rPr>
              <w:sz w:val="24"/>
            </w:rPr>
            <w:fldChar w:fldCharType="end"/>
          </w:r>
          <w:r>
            <w:rPr>
              <w:sz w:val="24"/>
            </w:rPr>
            <w:fldChar w:fldCharType="end"/>
          </w:r>
        </w:p>
        <w:p w14:paraId="207A4851">
          <w:pPr>
            <w:pStyle w:val="10"/>
            <w:tabs>
              <w:tab w:val="right" w:leader="dot" w:pos="8306"/>
            </w:tabs>
            <w:rPr>
              <w:sz w:val="24"/>
            </w:rPr>
          </w:pPr>
          <w:r>
            <w:fldChar w:fldCharType="begin"/>
          </w:r>
          <w:r>
            <w:instrText xml:space="preserve"> HYPERLINK \l "_Toc2135" </w:instrText>
          </w:r>
          <w:r>
            <w:fldChar w:fldCharType="separate"/>
          </w:r>
          <w:r>
            <w:rPr>
              <w:kern w:val="0"/>
              <w:sz w:val="24"/>
            </w:rPr>
            <w:t>5.10质量控制</w:t>
          </w:r>
          <w:r>
            <w:rPr>
              <w:sz w:val="24"/>
            </w:rPr>
            <w:tab/>
          </w:r>
          <w:r>
            <w:rPr>
              <w:sz w:val="24"/>
            </w:rPr>
            <w:fldChar w:fldCharType="begin"/>
          </w:r>
          <w:r>
            <w:rPr>
              <w:sz w:val="24"/>
            </w:rPr>
            <w:instrText xml:space="preserve"> PAGEREF _Toc2135 \h </w:instrText>
          </w:r>
          <w:r>
            <w:rPr>
              <w:sz w:val="24"/>
            </w:rPr>
            <w:fldChar w:fldCharType="separate"/>
          </w:r>
          <w:r>
            <w:rPr>
              <w:sz w:val="24"/>
            </w:rPr>
            <w:t>28</w:t>
          </w:r>
          <w:r>
            <w:rPr>
              <w:sz w:val="24"/>
            </w:rPr>
            <w:fldChar w:fldCharType="end"/>
          </w:r>
          <w:r>
            <w:rPr>
              <w:sz w:val="24"/>
            </w:rPr>
            <w:fldChar w:fldCharType="end"/>
          </w:r>
        </w:p>
        <w:p w14:paraId="0E3506FF">
          <w:pPr>
            <w:pStyle w:val="9"/>
            <w:tabs>
              <w:tab w:val="right" w:leader="dot" w:pos="8306"/>
            </w:tabs>
            <w:rPr>
              <w:sz w:val="24"/>
            </w:rPr>
          </w:pPr>
          <w:r>
            <w:fldChar w:fldCharType="begin"/>
          </w:r>
          <w:r>
            <w:instrText xml:space="preserve"> HYPERLINK \l "_Toc5221" </w:instrText>
          </w:r>
          <w:r>
            <w:fldChar w:fldCharType="separate"/>
          </w:r>
          <w:r>
            <w:rPr>
              <w:sz w:val="24"/>
            </w:rPr>
            <w:t>6 重大意见分歧的处理依据和结果</w:t>
          </w:r>
          <w:r>
            <w:rPr>
              <w:sz w:val="24"/>
            </w:rPr>
            <w:tab/>
          </w:r>
          <w:r>
            <w:rPr>
              <w:sz w:val="24"/>
            </w:rPr>
            <w:fldChar w:fldCharType="begin"/>
          </w:r>
          <w:r>
            <w:rPr>
              <w:sz w:val="24"/>
            </w:rPr>
            <w:instrText xml:space="preserve"> PAGEREF _Toc5221 \h </w:instrText>
          </w:r>
          <w:r>
            <w:rPr>
              <w:sz w:val="24"/>
            </w:rPr>
            <w:fldChar w:fldCharType="separate"/>
          </w:r>
          <w:r>
            <w:rPr>
              <w:sz w:val="24"/>
            </w:rPr>
            <w:t>29</w:t>
          </w:r>
          <w:r>
            <w:rPr>
              <w:sz w:val="24"/>
            </w:rPr>
            <w:fldChar w:fldCharType="end"/>
          </w:r>
          <w:r>
            <w:rPr>
              <w:sz w:val="24"/>
            </w:rPr>
            <w:fldChar w:fldCharType="end"/>
          </w:r>
        </w:p>
        <w:p w14:paraId="235A27A0">
          <w:pPr>
            <w:pStyle w:val="9"/>
            <w:tabs>
              <w:tab w:val="right" w:leader="dot" w:pos="8306"/>
            </w:tabs>
            <w:rPr>
              <w:sz w:val="24"/>
            </w:rPr>
          </w:pPr>
          <w:r>
            <w:fldChar w:fldCharType="begin"/>
          </w:r>
          <w:r>
            <w:instrText xml:space="preserve"> HYPERLINK \l "_Toc6343" </w:instrText>
          </w:r>
          <w:r>
            <w:fldChar w:fldCharType="separate"/>
          </w:r>
          <w:r>
            <w:rPr>
              <w:sz w:val="24"/>
            </w:rPr>
            <w:t>7与国内外同类标准的对比情况</w:t>
          </w:r>
          <w:r>
            <w:rPr>
              <w:sz w:val="24"/>
            </w:rPr>
            <w:tab/>
          </w:r>
          <w:r>
            <w:rPr>
              <w:sz w:val="24"/>
            </w:rPr>
            <w:fldChar w:fldCharType="begin"/>
          </w:r>
          <w:r>
            <w:rPr>
              <w:sz w:val="24"/>
            </w:rPr>
            <w:instrText xml:space="preserve"> PAGEREF _Toc6343 \h </w:instrText>
          </w:r>
          <w:r>
            <w:rPr>
              <w:sz w:val="24"/>
            </w:rPr>
            <w:fldChar w:fldCharType="separate"/>
          </w:r>
          <w:r>
            <w:rPr>
              <w:sz w:val="24"/>
            </w:rPr>
            <w:t>29</w:t>
          </w:r>
          <w:r>
            <w:rPr>
              <w:sz w:val="24"/>
            </w:rPr>
            <w:fldChar w:fldCharType="end"/>
          </w:r>
          <w:r>
            <w:rPr>
              <w:sz w:val="24"/>
            </w:rPr>
            <w:fldChar w:fldCharType="end"/>
          </w:r>
        </w:p>
        <w:p w14:paraId="54AEE770">
          <w:pPr>
            <w:pStyle w:val="9"/>
            <w:tabs>
              <w:tab w:val="right" w:leader="dot" w:pos="8306"/>
            </w:tabs>
            <w:rPr>
              <w:sz w:val="24"/>
            </w:rPr>
          </w:pPr>
          <w:r>
            <w:fldChar w:fldCharType="begin"/>
          </w:r>
          <w:r>
            <w:instrText xml:space="preserve"> HYPERLINK \l "_Toc16235" </w:instrText>
          </w:r>
          <w:r>
            <w:fldChar w:fldCharType="separate"/>
          </w:r>
          <w:r>
            <w:rPr>
              <w:sz w:val="24"/>
            </w:rPr>
            <w:t>8作为推荐性标准的建议及其理由</w:t>
          </w:r>
          <w:r>
            <w:rPr>
              <w:sz w:val="24"/>
            </w:rPr>
            <w:tab/>
          </w:r>
          <w:r>
            <w:rPr>
              <w:sz w:val="24"/>
            </w:rPr>
            <w:fldChar w:fldCharType="begin"/>
          </w:r>
          <w:r>
            <w:rPr>
              <w:sz w:val="24"/>
            </w:rPr>
            <w:instrText xml:space="preserve"> PAGEREF _Toc16235 \h </w:instrText>
          </w:r>
          <w:r>
            <w:rPr>
              <w:sz w:val="24"/>
            </w:rPr>
            <w:fldChar w:fldCharType="separate"/>
          </w:r>
          <w:r>
            <w:rPr>
              <w:sz w:val="24"/>
            </w:rPr>
            <w:t>32</w:t>
          </w:r>
          <w:r>
            <w:rPr>
              <w:sz w:val="24"/>
            </w:rPr>
            <w:fldChar w:fldCharType="end"/>
          </w:r>
          <w:r>
            <w:rPr>
              <w:sz w:val="24"/>
            </w:rPr>
            <w:fldChar w:fldCharType="end"/>
          </w:r>
        </w:p>
        <w:p w14:paraId="54F18402">
          <w:pPr>
            <w:pStyle w:val="9"/>
            <w:tabs>
              <w:tab w:val="right" w:leader="dot" w:pos="8306"/>
            </w:tabs>
            <w:rPr>
              <w:sz w:val="24"/>
            </w:rPr>
          </w:pPr>
          <w:r>
            <w:fldChar w:fldCharType="begin"/>
          </w:r>
          <w:r>
            <w:instrText xml:space="preserve"> HYPERLINK \l "_Toc26578" </w:instrText>
          </w:r>
          <w:r>
            <w:fldChar w:fldCharType="separate"/>
          </w:r>
          <w:r>
            <w:rPr>
              <w:sz w:val="24"/>
            </w:rPr>
            <w:t>9实施标准的措施</w:t>
          </w:r>
          <w:r>
            <w:rPr>
              <w:sz w:val="24"/>
            </w:rPr>
            <w:tab/>
          </w:r>
          <w:r>
            <w:rPr>
              <w:sz w:val="24"/>
            </w:rPr>
            <w:fldChar w:fldCharType="begin"/>
          </w:r>
          <w:r>
            <w:rPr>
              <w:sz w:val="24"/>
            </w:rPr>
            <w:instrText xml:space="preserve"> PAGEREF _Toc26578 \h </w:instrText>
          </w:r>
          <w:r>
            <w:rPr>
              <w:sz w:val="24"/>
            </w:rPr>
            <w:fldChar w:fldCharType="separate"/>
          </w:r>
          <w:r>
            <w:rPr>
              <w:sz w:val="24"/>
            </w:rPr>
            <w:t>32</w:t>
          </w:r>
          <w:r>
            <w:rPr>
              <w:sz w:val="24"/>
            </w:rPr>
            <w:fldChar w:fldCharType="end"/>
          </w:r>
          <w:r>
            <w:rPr>
              <w:sz w:val="24"/>
            </w:rPr>
            <w:fldChar w:fldCharType="end"/>
          </w:r>
        </w:p>
        <w:p w14:paraId="50623623">
          <w:pPr>
            <w:pStyle w:val="9"/>
            <w:tabs>
              <w:tab w:val="right" w:leader="dot" w:pos="8306"/>
            </w:tabs>
            <w:rPr>
              <w:sz w:val="24"/>
            </w:rPr>
          </w:pPr>
          <w:r>
            <w:fldChar w:fldCharType="begin"/>
          </w:r>
          <w:r>
            <w:instrText xml:space="preserve"> HYPERLINK \l "_Toc12953" </w:instrText>
          </w:r>
          <w:r>
            <w:fldChar w:fldCharType="separate"/>
          </w:r>
          <w:r>
            <w:rPr>
              <w:sz w:val="24"/>
            </w:rPr>
            <w:t>10 其它应说明的事项</w:t>
          </w:r>
          <w:r>
            <w:rPr>
              <w:sz w:val="24"/>
            </w:rPr>
            <w:tab/>
          </w:r>
          <w:r>
            <w:rPr>
              <w:sz w:val="24"/>
            </w:rPr>
            <w:fldChar w:fldCharType="begin"/>
          </w:r>
          <w:r>
            <w:rPr>
              <w:sz w:val="24"/>
            </w:rPr>
            <w:instrText xml:space="preserve"> PAGEREF _Toc12953 \h </w:instrText>
          </w:r>
          <w:r>
            <w:rPr>
              <w:sz w:val="24"/>
            </w:rPr>
            <w:fldChar w:fldCharType="separate"/>
          </w:r>
          <w:r>
            <w:rPr>
              <w:sz w:val="24"/>
            </w:rPr>
            <w:t>33</w:t>
          </w:r>
          <w:r>
            <w:rPr>
              <w:sz w:val="24"/>
            </w:rPr>
            <w:fldChar w:fldCharType="end"/>
          </w:r>
          <w:r>
            <w:rPr>
              <w:sz w:val="24"/>
            </w:rPr>
            <w:fldChar w:fldCharType="end"/>
          </w:r>
        </w:p>
        <w:p w14:paraId="62C3CEC1">
          <w:pPr>
            <w:pStyle w:val="9"/>
            <w:tabs>
              <w:tab w:val="right" w:leader="dot" w:pos="8306"/>
            </w:tabs>
          </w:pPr>
          <w:r>
            <w:fldChar w:fldCharType="begin"/>
          </w:r>
          <w:r>
            <w:instrText xml:space="preserve"> HYPERLINK \l "_Toc31617" </w:instrText>
          </w:r>
          <w:r>
            <w:fldChar w:fldCharType="separate"/>
          </w:r>
          <w:r>
            <w:rPr>
              <w:sz w:val="24"/>
            </w:rPr>
            <w:t>参考文献</w:t>
          </w:r>
          <w:r>
            <w:rPr>
              <w:sz w:val="24"/>
            </w:rPr>
            <w:tab/>
          </w:r>
          <w:r>
            <w:rPr>
              <w:sz w:val="24"/>
            </w:rPr>
            <w:fldChar w:fldCharType="begin"/>
          </w:r>
          <w:r>
            <w:rPr>
              <w:sz w:val="24"/>
            </w:rPr>
            <w:instrText xml:space="preserve"> PAGEREF _Toc31617 \h </w:instrText>
          </w:r>
          <w:r>
            <w:rPr>
              <w:sz w:val="24"/>
            </w:rPr>
            <w:fldChar w:fldCharType="separate"/>
          </w:r>
          <w:r>
            <w:rPr>
              <w:sz w:val="24"/>
            </w:rPr>
            <w:t>34</w:t>
          </w:r>
          <w:r>
            <w:rPr>
              <w:sz w:val="24"/>
            </w:rPr>
            <w:fldChar w:fldCharType="end"/>
          </w:r>
          <w:r>
            <w:rPr>
              <w:sz w:val="24"/>
            </w:rPr>
            <w:fldChar w:fldCharType="end"/>
          </w:r>
        </w:p>
        <w:p w14:paraId="0CDFAD7D">
          <w:r>
            <w:rPr>
              <w:bCs/>
              <w:lang w:val="zh-CN"/>
            </w:rPr>
            <w:fldChar w:fldCharType="end"/>
          </w:r>
        </w:p>
      </w:sdtContent>
    </w:sdt>
    <w:p w14:paraId="7C0F530C">
      <w:pPr>
        <w:rPr>
          <w:sz w:val="32"/>
        </w:rPr>
      </w:pPr>
      <w:r>
        <w:rPr>
          <w:sz w:val="32"/>
        </w:rPr>
        <w:br w:type="page"/>
      </w:r>
    </w:p>
    <w:p w14:paraId="72F1EDDD">
      <w:pPr>
        <w:spacing w:line="360" w:lineRule="auto"/>
        <w:ind w:firstLine="640"/>
        <w:jc w:val="center"/>
        <w:rPr>
          <w:rFonts w:ascii="黑体" w:hAnsi="黑体" w:eastAsia="黑体"/>
          <w:sz w:val="32"/>
          <w:szCs w:val="36"/>
        </w:rPr>
      </w:pPr>
      <w:r>
        <w:rPr>
          <w:rFonts w:hint="eastAsia" w:ascii="黑体" w:hAnsi="黑体" w:eastAsia="黑体"/>
          <w:sz w:val="32"/>
          <w:szCs w:val="36"/>
        </w:rPr>
        <w:t>《重点建设用地土壤污染遥感监测技术规范》</w:t>
      </w:r>
    </w:p>
    <w:p w14:paraId="463F36E3">
      <w:pPr>
        <w:spacing w:line="360" w:lineRule="auto"/>
        <w:ind w:firstLine="640"/>
        <w:jc w:val="center"/>
        <w:rPr>
          <w:rFonts w:ascii="黑体" w:hAnsi="黑体" w:eastAsia="黑体"/>
          <w:sz w:val="32"/>
          <w:szCs w:val="36"/>
        </w:rPr>
      </w:pPr>
      <w:r>
        <w:rPr>
          <w:rFonts w:hint="eastAsia" w:ascii="黑体" w:hAnsi="黑体" w:eastAsia="黑体"/>
          <w:sz w:val="32"/>
          <w:szCs w:val="36"/>
        </w:rPr>
        <w:t>（征求意见稿）编制说明</w:t>
      </w:r>
    </w:p>
    <w:p w14:paraId="02298932">
      <w:pPr>
        <w:pStyle w:val="2"/>
      </w:pPr>
      <w:bookmarkStart w:id="0" w:name="_Toc7625"/>
      <w:r>
        <w:rPr>
          <w:rFonts w:hint="eastAsia"/>
        </w:rPr>
        <w:t>1项目背景</w:t>
      </w:r>
      <w:bookmarkEnd w:id="0"/>
    </w:p>
    <w:p w14:paraId="0E80F7C4">
      <w:pPr>
        <w:pStyle w:val="3"/>
        <w:numPr>
          <w:ilvl w:val="0"/>
          <w:numId w:val="0"/>
        </w:numPr>
        <w:spacing w:line="416" w:lineRule="auto"/>
        <w:rPr>
          <w:rFonts w:eastAsia="黑体"/>
          <w:b w:val="0"/>
          <w:kern w:val="0"/>
          <w:sz w:val="32"/>
        </w:rPr>
      </w:pPr>
      <w:bookmarkStart w:id="1" w:name="_Toc16889"/>
      <w:r>
        <w:rPr>
          <w:rFonts w:hint="eastAsia" w:eastAsia="黑体"/>
          <w:b w:val="0"/>
          <w:kern w:val="0"/>
          <w:sz w:val="32"/>
        </w:rPr>
        <w:t>1.1任务来源</w:t>
      </w:r>
      <w:bookmarkEnd w:id="1"/>
    </w:p>
    <w:p w14:paraId="04ADE151">
      <w:pPr>
        <w:pStyle w:val="24"/>
        <w:widowControl/>
        <w:spacing w:line="360" w:lineRule="auto"/>
        <w:ind w:firstLine="480"/>
        <w:jc w:val="left"/>
        <w:rPr>
          <w:rFonts w:cs="宋体"/>
          <w:kern w:val="0"/>
          <w:sz w:val="24"/>
        </w:rPr>
      </w:pPr>
      <w:r>
        <w:rPr>
          <w:rFonts w:hint="eastAsia" w:cs="宋体"/>
          <w:kern w:val="0"/>
          <w:sz w:val="24"/>
        </w:rPr>
        <w:t>建设用地土壤污染防治是“十四五”时期深入打好污染防治攻坚战的重点任务。在建设用地土壤污染防治工作中，北京市一直坚持“预防为主、保护优先、分类管理、风险管控”的工作原则，立足首都城市战略定位，以首都发展为统领，“管源头、管地块、夯基础”，突出重点区域、行业和污染物，强化土壤污染管控和修复，有效防范风险，保障再开发利用地块的环境安全。</w:t>
      </w:r>
      <w:r>
        <w:rPr>
          <w:rFonts w:hint="eastAsia"/>
          <w:sz w:val="24"/>
          <w:szCs w:val="21"/>
        </w:rPr>
        <w:t>其中“管源头”指加强在产工业企业污染防控，</w:t>
      </w:r>
      <w:r>
        <w:rPr>
          <w:rFonts w:hint="eastAsia" w:cs="宋体"/>
          <w:kern w:val="0"/>
          <w:sz w:val="24"/>
        </w:rPr>
        <w:t>聚焦土壤污染重点监管单位、高中风险在产企业用地、危险废物集中利用处置企业、涉重金属重点行业企业、新改扩建企业等；“管地块”指的是</w:t>
      </w:r>
      <w:r>
        <w:rPr>
          <w:rFonts w:hint="eastAsia"/>
          <w:sz w:val="24"/>
          <w:szCs w:val="21"/>
        </w:rPr>
        <w:t>开展建设用地全过程风险防控，包括</w:t>
      </w:r>
      <w:r>
        <w:rPr>
          <w:rFonts w:hint="eastAsia" w:cs="宋体"/>
          <w:kern w:val="0"/>
          <w:sz w:val="24"/>
        </w:rPr>
        <w:t>关停退出工业企业原址用地筛查、土壤污染状况调查、风险管控和修复及后期管理。</w:t>
      </w:r>
    </w:p>
    <w:p w14:paraId="1DA99301">
      <w:pPr>
        <w:spacing w:line="360" w:lineRule="auto"/>
        <w:ind w:firstLine="480" w:firstLineChars="200"/>
        <w:rPr>
          <w:sz w:val="24"/>
          <w:szCs w:val="21"/>
        </w:rPr>
      </w:pPr>
      <w:r>
        <w:rPr>
          <w:sz w:val="24"/>
          <w:szCs w:val="32"/>
        </w:rPr>
        <w:t>虽然北京市土壤环境状况总体良好，但是防控建设用地土壤污染风险仍是全社会不容忽视的重要议题。尤其是石油加工、化工、电子、矿业采选、金属铸造、金属表面处理及加工、危险废物治理等土壤污染风险较高的行业。近年来，北京市对高风险地块、重点行业企业用地、拟再开发利用的建设用地等开展了土壤污染状况调查，累计纳入调查名录</w:t>
      </w:r>
      <w:r>
        <w:rPr>
          <w:rFonts w:hint="eastAsia"/>
          <w:sz w:val="24"/>
          <w:szCs w:val="32"/>
        </w:rPr>
        <w:t>的</w:t>
      </w:r>
      <w:r>
        <w:rPr>
          <w:sz w:val="24"/>
          <w:szCs w:val="32"/>
        </w:rPr>
        <w:t>地块500余个；生态环境部门</w:t>
      </w:r>
      <w:r>
        <w:rPr>
          <w:kern w:val="0"/>
          <w:sz w:val="24"/>
        </w:rPr>
        <w:t>每年开展上一年度关停退出工业企业原址用地筛查，目前已开展7000余家关停退出工业企业原址用地筛查，根据筛查结果动态更新疑似污染地块名单；</w:t>
      </w:r>
      <w:r>
        <w:rPr>
          <w:sz w:val="24"/>
          <w:szCs w:val="32"/>
        </w:rPr>
        <w:t>经筛查、调查及风险评估等，建立了需开展遥感监测的重点建设用地名单，目前包含地块100余个。</w:t>
      </w:r>
      <w:r>
        <w:rPr>
          <w:kern w:val="0"/>
          <w:sz w:val="24"/>
        </w:rPr>
        <w:t>在受污染建设用地的管控实践中，北京市和各区生态环境部门两级联动，创新探索遥感监测俯瞰现状变化的方式，形成“遥感监测+网格巡查+现场检查”执法模式，监测建设用地</w:t>
      </w:r>
      <w:r>
        <w:rPr>
          <w:rFonts w:hint="eastAsia"/>
          <w:kern w:val="0"/>
          <w:sz w:val="24"/>
        </w:rPr>
        <w:t>内</w:t>
      </w:r>
      <w:r>
        <w:rPr>
          <w:kern w:val="0"/>
          <w:sz w:val="24"/>
        </w:rPr>
        <w:t>违法违规开工建设情况</w:t>
      </w:r>
      <w:r>
        <w:rPr>
          <w:rFonts w:hint="eastAsia"/>
          <w:kern w:val="0"/>
          <w:sz w:val="24"/>
        </w:rPr>
        <w:t>及</w:t>
      </w:r>
      <w:r>
        <w:rPr>
          <w:kern w:val="0"/>
          <w:sz w:val="24"/>
        </w:rPr>
        <w:t>在产企业用地用途变更情况，并及时核查疑似存在违规开发建设的线索。</w:t>
      </w:r>
    </w:p>
    <w:p w14:paraId="0D795825">
      <w:pPr>
        <w:spacing w:line="360" w:lineRule="auto"/>
        <w:ind w:firstLine="480" w:firstLineChars="200"/>
        <w:rPr>
          <w:sz w:val="24"/>
          <w:szCs w:val="21"/>
        </w:rPr>
      </w:pPr>
      <w:r>
        <w:rPr>
          <w:rFonts w:hint="eastAsia"/>
          <w:sz w:val="24"/>
          <w:szCs w:val="21"/>
        </w:rPr>
        <w:t>为满足北京市建设用地土壤污染现状和生态环境管理需求，固化遥感监测技术应用成果，推广和强化技术支撑作用，北京市生态环境监测中心提出《重点建设用地土壤污染遥感监测技术规范》研究编制计划，并获批准。本项目是《北京市市场监督管理局关于印发2023年北京市地方标准制定项目计划的通知》（京市监发〔2023〕4号）公布的推荐性标准制定项目（一类），项目编号20231143。项目行业主管部门为北京市生态环境局。</w:t>
      </w:r>
    </w:p>
    <w:p w14:paraId="03374190">
      <w:pPr>
        <w:pStyle w:val="3"/>
        <w:numPr>
          <w:ilvl w:val="0"/>
          <w:numId w:val="0"/>
        </w:numPr>
        <w:spacing w:line="416" w:lineRule="auto"/>
        <w:rPr>
          <w:rFonts w:eastAsia="黑体"/>
          <w:b w:val="0"/>
          <w:kern w:val="0"/>
          <w:sz w:val="32"/>
        </w:rPr>
      </w:pPr>
      <w:bookmarkStart w:id="2" w:name="_Toc6161"/>
      <w:r>
        <w:rPr>
          <w:rFonts w:hint="eastAsia" w:eastAsia="黑体"/>
          <w:b w:val="0"/>
          <w:kern w:val="0"/>
          <w:sz w:val="32"/>
        </w:rPr>
        <w:t>1.2起草单位和主要起草人</w:t>
      </w:r>
      <w:bookmarkEnd w:id="2"/>
    </w:p>
    <w:p w14:paraId="79DAD4AD">
      <w:pPr>
        <w:spacing w:line="360" w:lineRule="auto"/>
        <w:ind w:firstLine="480" w:firstLineChars="200"/>
        <w:rPr>
          <w:sz w:val="24"/>
          <w:szCs w:val="21"/>
        </w:rPr>
      </w:pPr>
      <w:r>
        <w:rPr>
          <w:rFonts w:hint="eastAsia"/>
          <w:sz w:val="24"/>
          <w:szCs w:val="21"/>
        </w:rPr>
        <w:t>标准编制单位是北京市生态环境监测中心。北京市生态环境监测中心是北京市大气颗粒物监测重点实验室依托单位，研究实力雄厚。内设部门遥感监测室自2012年起长期从事生态环境遥感监测工作。编制单位拥有自2010年以来长时间序列的高分辨率遥感影像，自2020年开展重点建设用地土壤污染遥感监测，积累了丰富的技术和工作经验，持续获得财政专项项目经费支持。</w:t>
      </w:r>
    </w:p>
    <w:p w14:paraId="5B1DE6DC">
      <w:pPr>
        <w:spacing w:line="360" w:lineRule="auto"/>
        <w:ind w:firstLine="480" w:firstLineChars="200"/>
        <w:rPr>
          <w:sz w:val="24"/>
          <w:szCs w:val="21"/>
        </w:rPr>
      </w:pPr>
      <w:r>
        <w:rPr>
          <w:rFonts w:hint="eastAsia"/>
          <w:sz w:val="24"/>
          <w:szCs w:val="32"/>
        </w:rPr>
        <w:t>标准由北京市生态环境局归口并组织实施。</w:t>
      </w:r>
    </w:p>
    <w:p w14:paraId="252E79FD">
      <w:pPr>
        <w:spacing w:line="360" w:lineRule="auto"/>
        <w:ind w:firstLine="480" w:firstLineChars="200"/>
        <w:rPr>
          <w:sz w:val="24"/>
          <w:szCs w:val="21"/>
        </w:rPr>
      </w:pPr>
      <w:r>
        <w:rPr>
          <w:rFonts w:hint="eastAsia"/>
          <w:sz w:val="24"/>
          <w:szCs w:val="21"/>
        </w:rPr>
        <w:t>北京市生态环境监测中心作为主要起草单位，组成了标准编制专项小组，其中教授级高工2人、高级工程师</w:t>
      </w:r>
      <w:r>
        <w:rPr>
          <w:sz w:val="24"/>
          <w:szCs w:val="21"/>
        </w:rPr>
        <w:t>2</w:t>
      </w:r>
      <w:r>
        <w:rPr>
          <w:rFonts w:hint="eastAsia"/>
          <w:sz w:val="24"/>
          <w:szCs w:val="21"/>
        </w:rPr>
        <w:t>人、工程师及助理工程师6人。本标准主要起草人为：</w:t>
      </w:r>
      <w:bookmarkStart w:id="3" w:name="_Hlk131500836"/>
      <w:r>
        <w:rPr>
          <w:rFonts w:hint="eastAsia"/>
          <w:sz w:val="24"/>
          <w:szCs w:val="21"/>
        </w:rPr>
        <w:t>李金香，姜磊，邱昀，鹿海峰，孙爽，徐硕，宋小可，王新辉，李磊，晁晶迪</w:t>
      </w:r>
      <w:bookmarkEnd w:id="3"/>
      <w:r>
        <w:rPr>
          <w:rFonts w:hint="eastAsia"/>
          <w:sz w:val="24"/>
          <w:szCs w:val="21"/>
        </w:rPr>
        <w:t>。</w:t>
      </w:r>
    </w:p>
    <w:p w14:paraId="030AA040">
      <w:pPr>
        <w:pStyle w:val="2"/>
      </w:pPr>
      <w:bookmarkStart w:id="4" w:name="_Toc13379"/>
      <w:r>
        <w:rPr>
          <w:rFonts w:hint="eastAsia"/>
        </w:rPr>
        <w:t>2制定标准的必要性和意义</w:t>
      </w:r>
      <w:bookmarkEnd w:id="4"/>
    </w:p>
    <w:p w14:paraId="49B279B6">
      <w:pPr>
        <w:pStyle w:val="3"/>
        <w:numPr>
          <w:ilvl w:val="0"/>
          <w:numId w:val="0"/>
        </w:numPr>
        <w:spacing w:line="416" w:lineRule="auto"/>
        <w:rPr>
          <w:rFonts w:eastAsia="黑体"/>
          <w:b w:val="0"/>
          <w:kern w:val="0"/>
          <w:sz w:val="32"/>
        </w:rPr>
      </w:pPr>
      <w:bookmarkStart w:id="5" w:name="_Toc4332"/>
      <w:bookmarkStart w:id="6" w:name="_Toc490729005"/>
      <w:bookmarkStart w:id="7" w:name="_Toc103617111"/>
      <w:r>
        <w:rPr>
          <w:rFonts w:hint="eastAsia" w:eastAsia="黑体"/>
          <w:b w:val="0"/>
          <w:kern w:val="0"/>
          <w:sz w:val="32"/>
        </w:rPr>
        <w:t>2.1建设用地土壤污染相关标准的实施情况</w:t>
      </w:r>
      <w:bookmarkEnd w:id="5"/>
    </w:p>
    <w:p w14:paraId="5EF41961">
      <w:pPr>
        <w:pStyle w:val="24"/>
        <w:widowControl/>
        <w:spacing w:line="360" w:lineRule="auto"/>
        <w:ind w:firstLine="480"/>
        <w:rPr>
          <w:rFonts w:cs="宋体"/>
          <w:kern w:val="0"/>
          <w:sz w:val="24"/>
        </w:rPr>
      </w:pPr>
      <w:r>
        <w:rPr>
          <w:rFonts w:hint="eastAsia" w:cs="宋体"/>
          <w:kern w:val="0"/>
          <w:sz w:val="24"/>
        </w:rPr>
        <w:t>近年来，为加强建设用地土壤环境监管，管控污染地块对人体健康的风险，保障人居环境安全，服务土壤管理需求，许多省市开展了土壤污染监测活动。生态环境部与国家市场监督管理总局于2018年发布了《土壤环境质量 建设用地土壤污染风险管控标准》，规定了保护人体健康的建设用地土壤污染风险筛选值和管制值，以及监测、实施与监督要求。2019年生态环境部发布了修订版的《建设用地土壤污染状况调查技术导则》，规定建设用地土壤污染状况调查的原则、内容、程序和技术要求。为更加科学评估建设用地风险，生态环境部于2019年发布了修订版的《建设用地土壤污染风险评估技术导则》，详细规定了建设用地土壤污染风险评估的原则、内容、程序、方法和技术要求。</w:t>
      </w:r>
    </w:p>
    <w:p w14:paraId="557E7C0C">
      <w:pPr>
        <w:pStyle w:val="24"/>
        <w:widowControl/>
        <w:spacing w:line="360" w:lineRule="auto"/>
        <w:ind w:firstLine="480"/>
        <w:rPr>
          <w:rFonts w:cs="宋体"/>
          <w:kern w:val="0"/>
          <w:sz w:val="24"/>
        </w:rPr>
      </w:pPr>
      <w:r>
        <w:rPr>
          <w:rFonts w:hint="eastAsia" w:cs="宋体"/>
          <w:kern w:val="0"/>
          <w:sz w:val="24"/>
        </w:rPr>
        <w:t>北京市建设用地土壤污染防治标准指南体系正在逐步完善，发布了《建设用地土壤污染修复方案编制导则》（DB11/T 1280—2021）、《暂不开发利用受污染建设用地风险管控指南》（DB11/T 1967—2022）等土壤污染防治地方标准，在全国率先建立建设用地风险管控及修复标准体系，科学规范指导土壤污染防治工作。具体到遥感监测技术应用，尚缺乏标准和规范。</w:t>
      </w:r>
      <w:r>
        <w:rPr>
          <w:rFonts w:hint="eastAsia"/>
          <w:sz w:val="24"/>
          <w:szCs w:val="21"/>
        </w:rPr>
        <w:t>北京市于</w:t>
      </w:r>
      <w:r>
        <w:rPr>
          <w:sz w:val="24"/>
          <w:szCs w:val="21"/>
        </w:rPr>
        <w:t>2020</w:t>
      </w:r>
      <w:r>
        <w:rPr>
          <w:rFonts w:hint="eastAsia"/>
          <w:sz w:val="24"/>
          <w:szCs w:val="21"/>
        </w:rPr>
        <w:t>年开始开展重点建设用地土壤污染遥感监测研究。当时</w:t>
      </w:r>
      <w:r>
        <w:rPr>
          <w:rFonts w:hint="eastAsia" w:cs="宋体"/>
          <w:kern w:val="0"/>
          <w:sz w:val="24"/>
        </w:rPr>
        <w:t>监测指标、监测内容及监测流程等工作尚无已发布的技术标准可参考，</w:t>
      </w:r>
      <w:r>
        <w:rPr>
          <w:rFonts w:hint="eastAsia"/>
          <w:sz w:val="24"/>
          <w:szCs w:val="21"/>
        </w:rPr>
        <w:t>经过两年探索，目前北京市重点建设用地土壤污染遥感监测已初步进入业务化运行阶段，需要</w:t>
      </w:r>
      <w:r>
        <w:rPr>
          <w:rFonts w:hint="eastAsia" w:cs="宋体"/>
          <w:kern w:val="0"/>
          <w:sz w:val="24"/>
        </w:rPr>
        <w:t>固化成果，并保证重点建设用地遥感监测结果的可比性、持续性和可靠性</w:t>
      </w:r>
      <w:r>
        <w:rPr>
          <w:rFonts w:hint="eastAsia"/>
          <w:sz w:val="24"/>
          <w:szCs w:val="21"/>
        </w:rPr>
        <w:t>。</w:t>
      </w:r>
    </w:p>
    <w:p w14:paraId="7069C215">
      <w:pPr>
        <w:pStyle w:val="3"/>
        <w:numPr>
          <w:ilvl w:val="0"/>
          <w:numId w:val="0"/>
        </w:numPr>
        <w:spacing w:line="416" w:lineRule="auto"/>
        <w:rPr>
          <w:rFonts w:eastAsia="黑体"/>
          <w:b w:val="0"/>
          <w:kern w:val="0"/>
          <w:sz w:val="32"/>
        </w:rPr>
      </w:pPr>
      <w:bookmarkStart w:id="8" w:name="_Toc294"/>
      <w:r>
        <w:rPr>
          <w:rFonts w:hint="eastAsia" w:eastAsia="黑体"/>
          <w:b w:val="0"/>
          <w:kern w:val="0"/>
          <w:sz w:val="32"/>
        </w:rPr>
        <w:t>2.2 标准编制必要性</w:t>
      </w:r>
      <w:bookmarkEnd w:id="8"/>
    </w:p>
    <w:p w14:paraId="244784C9">
      <w:pPr>
        <w:spacing w:line="360" w:lineRule="auto"/>
        <w:rPr>
          <w:b/>
          <w:bCs/>
          <w:sz w:val="24"/>
          <w:szCs w:val="21"/>
        </w:rPr>
      </w:pPr>
      <w:bookmarkStart w:id="9" w:name="_Toc4100"/>
      <w:bookmarkStart w:id="10" w:name="_Toc131516431"/>
      <w:bookmarkStart w:id="11" w:name="_Toc26452"/>
      <w:r>
        <w:rPr>
          <w:rFonts w:hint="eastAsia"/>
          <w:b/>
          <w:bCs/>
          <w:sz w:val="24"/>
          <w:szCs w:val="21"/>
        </w:rPr>
        <w:t>2.2.1落实法律法规</w:t>
      </w:r>
      <w:r>
        <w:rPr>
          <w:b/>
          <w:bCs/>
          <w:sz w:val="24"/>
          <w:szCs w:val="21"/>
        </w:rPr>
        <w:t>对</w:t>
      </w:r>
      <w:r>
        <w:rPr>
          <w:rFonts w:hint="eastAsia"/>
          <w:b/>
          <w:bCs/>
          <w:sz w:val="24"/>
          <w:szCs w:val="21"/>
        </w:rPr>
        <w:t>建设用地土壤污染防治的迫切要求</w:t>
      </w:r>
      <w:bookmarkEnd w:id="9"/>
      <w:bookmarkEnd w:id="10"/>
      <w:bookmarkEnd w:id="11"/>
    </w:p>
    <w:p w14:paraId="66BDCEE3">
      <w:pPr>
        <w:pStyle w:val="24"/>
        <w:widowControl/>
        <w:spacing w:line="360" w:lineRule="auto"/>
        <w:ind w:firstLine="480"/>
        <w:rPr>
          <w:sz w:val="24"/>
        </w:rPr>
      </w:pPr>
      <w:r>
        <w:rPr>
          <w:rFonts w:hint="eastAsia"/>
          <w:sz w:val="24"/>
        </w:rPr>
        <w:t>土壤污染防治是三大污染防治攻坚战之一。近年来国家出台了《中华人民共和国土壤污染防治法》</w:t>
      </w:r>
      <w:r>
        <w:rPr>
          <w:rFonts w:hint="eastAsia" w:cs="宋体"/>
          <w:kern w:val="0"/>
          <w:sz w:val="24"/>
        </w:rPr>
        <w:t>（以下简称《土壤法》）</w:t>
      </w:r>
      <w:r>
        <w:rPr>
          <w:rFonts w:hint="eastAsia"/>
          <w:sz w:val="24"/>
        </w:rPr>
        <w:t>，北京市出台了《北京市土壤污染防治条例》</w:t>
      </w:r>
      <w:r>
        <w:rPr>
          <w:rFonts w:hint="eastAsia" w:cs="宋体"/>
          <w:kern w:val="0"/>
          <w:sz w:val="24"/>
        </w:rPr>
        <w:t>（以下简称《条例》），印发了</w:t>
      </w:r>
      <w:r>
        <w:rPr>
          <w:rFonts w:hint="eastAsia"/>
          <w:sz w:val="24"/>
        </w:rPr>
        <w:t>《北京市“十四五”时期土壤污染防治规划》等，明确了依法防治土壤污染、管控土壤环境风险的内容和要点。</w:t>
      </w:r>
      <w:r>
        <w:rPr>
          <w:rFonts w:hint="eastAsia" w:cs="宋体"/>
          <w:kern w:val="0"/>
          <w:sz w:val="24"/>
        </w:rPr>
        <w:t>此外，《条例》明确了“土壤污染防治应当坚持预防为主、保护优先、分类管理、风险管控、安全利用、污染担责、公众参与的原则”，对开发区工业企业、土壤污染重点监管单位、潜在污染工业企业、加油站、储油库、尾矿库等污染主体的土壤污染防治义务进行了明确规定，并要求对超筛选值地块、较高土壤污染风险地块等受污染建设用地开展土壤污染状况调查、风险管控和修复、后期管理等活动。标准将为上述各类污染主体和生态环境主管部门履行责任提供技术途径。</w:t>
      </w:r>
    </w:p>
    <w:p w14:paraId="1AB6B954">
      <w:pPr>
        <w:spacing w:line="360" w:lineRule="auto"/>
        <w:rPr>
          <w:b/>
          <w:bCs/>
          <w:sz w:val="24"/>
          <w:szCs w:val="21"/>
        </w:rPr>
      </w:pPr>
      <w:bookmarkStart w:id="12" w:name="_Toc11146"/>
      <w:bookmarkStart w:id="13" w:name="_Toc11831"/>
      <w:bookmarkStart w:id="14" w:name="_Toc131516432"/>
      <w:r>
        <w:rPr>
          <w:rFonts w:hint="eastAsia"/>
          <w:b/>
          <w:bCs/>
          <w:sz w:val="24"/>
          <w:szCs w:val="21"/>
        </w:rPr>
        <w:t>2.2.2提高管理效率和优化营商环境的迫切需求</w:t>
      </w:r>
      <w:bookmarkEnd w:id="12"/>
      <w:bookmarkEnd w:id="13"/>
      <w:bookmarkEnd w:id="14"/>
    </w:p>
    <w:p w14:paraId="6EF07D57">
      <w:pPr>
        <w:pStyle w:val="24"/>
        <w:widowControl/>
        <w:spacing w:line="360" w:lineRule="auto"/>
        <w:ind w:firstLine="480"/>
        <w:rPr>
          <w:sz w:val="24"/>
        </w:rPr>
      </w:pPr>
      <w:r>
        <w:rPr>
          <w:rFonts w:hint="eastAsia"/>
          <w:sz w:val="24"/>
        </w:rPr>
        <w:t>重点建设用地数量多且位置相对分散，风险活动时间上突发性强，而市区两级监管人员有限，依靠人海战术无法完成任务。使用卫星遥感技术可以实现定期远程监视筛查，对存在开发利用迹象的地块有针对性地开展现场核查，精准执法、精确打击，提高土壤环境监管效率，实现建设用地高效监管。此外，遥感技术可以推动重点建设用地日常化监管,形成良性闭环管理机制。采用新的土壤环境监管方法，以遥感监管发现的问题为线索，推动工作向下压实。通过建立规范化、标准化土壤环境问题遥感监测规范，支撑监管和执法效率提升。而监测-评价-管理闭环机制将高效防范土壤污染风险、保障重点建设用地安全开发利用。</w:t>
      </w:r>
    </w:p>
    <w:p w14:paraId="1B056ACB">
      <w:pPr>
        <w:spacing w:line="360" w:lineRule="auto"/>
        <w:rPr>
          <w:b/>
          <w:bCs/>
          <w:sz w:val="24"/>
          <w:szCs w:val="21"/>
        </w:rPr>
      </w:pPr>
      <w:bookmarkStart w:id="15" w:name="_Toc131516433"/>
      <w:bookmarkStart w:id="16" w:name="_Toc30439"/>
      <w:bookmarkStart w:id="17" w:name="_Toc24682"/>
      <w:r>
        <w:rPr>
          <w:rFonts w:hint="eastAsia"/>
          <w:b/>
          <w:bCs/>
          <w:sz w:val="24"/>
          <w:szCs w:val="21"/>
        </w:rPr>
        <w:t>2.2.3强化遥感技术应用、高质量服务土壤污染管理目标的技术需求</w:t>
      </w:r>
      <w:bookmarkEnd w:id="15"/>
      <w:bookmarkEnd w:id="16"/>
      <w:bookmarkEnd w:id="17"/>
    </w:p>
    <w:p w14:paraId="39DEAEB6">
      <w:pPr>
        <w:pStyle w:val="24"/>
        <w:widowControl/>
        <w:spacing w:line="360" w:lineRule="auto"/>
        <w:ind w:firstLine="480"/>
        <w:rPr>
          <w:sz w:val="24"/>
        </w:rPr>
      </w:pPr>
      <w:r>
        <w:rPr>
          <w:rFonts w:hint="eastAsia"/>
          <w:sz w:val="24"/>
        </w:rPr>
        <w:t>开展重点建设用地遥感监测指利用遥感影像动态监测重点建设用地内的变化情况，为捕捉违法开工建设行为提供线索支撑。监测过程主要包括：遥感影像处理、地块地理信息采集、地块动态变化监测、现场调查、风险识别与评价以及台账构建等多个技术领域的多个技术环节。由于卫星遥感影像可以全面、客观、科学反映地表覆盖，有效监控地块边界内从过去到现在的动态变化情况。依据多期遥感影像，能更有针对性地对变化活动迹象进行核实，确保开发活动合理合规。卫星遥感以及无人机遥感等技术正在市区两级生态环境、农业、自然资源等行业大量使用。为了确保遥感监测技术在建设用地环境风险监控中的规范使用，高质量高效率地服务建设用地安全利用风险防范，需要建立和发布土壤污染遥感监测技术规范。</w:t>
      </w:r>
    </w:p>
    <w:p w14:paraId="2EE1421A">
      <w:pPr>
        <w:pStyle w:val="3"/>
        <w:numPr>
          <w:ilvl w:val="0"/>
          <w:numId w:val="0"/>
        </w:numPr>
        <w:spacing w:line="416" w:lineRule="auto"/>
        <w:rPr>
          <w:rFonts w:eastAsia="黑体"/>
          <w:b w:val="0"/>
          <w:kern w:val="0"/>
          <w:sz w:val="32"/>
        </w:rPr>
      </w:pPr>
      <w:bookmarkStart w:id="18" w:name="_Toc26606"/>
      <w:r>
        <w:rPr>
          <w:rFonts w:hint="eastAsia" w:eastAsia="黑体"/>
          <w:b w:val="0"/>
          <w:kern w:val="0"/>
          <w:sz w:val="32"/>
        </w:rPr>
        <w:t>2.3 标准制定的意义</w:t>
      </w:r>
      <w:bookmarkEnd w:id="18"/>
    </w:p>
    <w:p w14:paraId="12B1ABF3">
      <w:pPr>
        <w:pStyle w:val="24"/>
        <w:widowControl/>
        <w:spacing w:line="360" w:lineRule="auto"/>
        <w:ind w:firstLine="480"/>
        <w:rPr>
          <w:sz w:val="24"/>
        </w:rPr>
      </w:pPr>
      <w:r>
        <w:rPr>
          <w:rFonts w:hint="eastAsia"/>
          <w:sz w:val="24"/>
        </w:rPr>
        <w:t>本文件借鉴国内外相关标准，综合考虑北京市重点建设用地土壤污染特点和管理需求，提出重点建设用地土壤污染遥感监测相关要求，契合重点建设用地闭环管理流程。将助力高效落实《土壤法》和《条例》要求，加强重点建设用地日常监管和风险管理，指导北京市各级行业主管部门和重点建设用地责任人等利用遥感监测技术开展土壤污染监测。</w:t>
      </w:r>
    </w:p>
    <w:p w14:paraId="451E4E36">
      <w:pPr>
        <w:pStyle w:val="24"/>
        <w:widowControl/>
        <w:spacing w:line="360" w:lineRule="auto"/>
        <w:ind w:firstLine="480"/>
        <w:rPr>
          <w:sz w:val="24"/>
        </w:rPr>
      </w:pPr>
      <w:r>
        <w:rPr>
          <w:rFonts w:hint="eastAsia"/>
          <w:sz w:val="24"/>
        </w:rPr>
        <w:t>本文件综合考虑北京市受污染建设用地特点和管理需求,规定了重点建设用地土壤污染遥感监测工作程序、监测内容与方法、现场调查、风险级别评价、监测成果以及质量控制的技术要求。</w:t>
      </w:r>
    </w:p>
    <w:p w14:paraId="36AB4BA7">
      <w:pPr>
        <w:pStyle w:val="24"/>
        <w:widowControl/>
        <w:spacing w:line="360" w:lineRule="auto"/>
        <w:ind w:firstLine="480"/>
        <w:rPr>
          <w:sz w:val="24"/>
        </w:rPr>
      </w:pPr>
    </w:p>
    <w:bookmarkEnd w:id="6"/>
    <w:bookmarkEnd w:id="7"/>
    <w:p w14:paraId="64821DEE">
      <w:pPr>
        <w:pStyle w:val="2"/>
      </w:pPr>
      <w:bookmarkStart w:id="19" w:name="_Toc21701"/>
      <w:bookmarkStart w:id="20" w:name="_Toc103617112"/>
      <w:r>
        <w:rPr>
          <w:rFonts w:hint="eastAsia"/>
        </w:rPr>
        <w:t>3</w:t>
      </w:r>
      <w:r>
        <w:t xml:space="preserve"> </w:t>
      </w:r>
      <w:r>
        <w:rPr>
          <w:rFonts w:hint="eastAsia"/>
        </w:rPr>
        <w:t>主要工作过程</w:t>
      </w:r>
      <w:bookmarkEnd w:id="19"/>
      <w:bookmarkEnd w:id="20"/>
    </w:p>
    <w:p w14:paraId="6EC3329D">
      <w:pPr>
        <w:pStyle w:val="3"/>
        <w:numPr>
          <w:ilvl w:val="0"/>
          <w:numId w:val="0"/>
        </w:numPr>
        <w:spacing w:line="416" w:lineRule="auto"/>
        <w:rPr>
          <w:rFonts w:eastAsia="黑体"/>
          <w:b w:val="0"/>
          <w:kern w:val="0"/>
          <w:sz w:val="32"/>
        </w:rPr>
      </w:pPr>
      <w:bookmarkStart w:id="21" w:name="_Toc10986"/>
      <w:r>
        <w:rPr>
          <w:rFonts w:hint="eastAsia" w:eastAsia="黑体"/>
          <w:b w:val="0"/>
          <w:kern w:val="0"/>
          <w:sz w:val="32"/>
        </w:rPr>
        <w:t>3.1 开题</w:t>
      </w:r>
      <w:bookmarkEnd w:id="21"/>
    </w:p>
    <w:p w14:paraId="5179943D">
      <w:pPr>
        <w:pStyle w:val="24"/>
        <w:widowControl/>
        <w:spacing w:line="360" w:lineRule="auto"/>
        <w:ind w:firstLine="480"/>
        <w:jc w:val="left"/>
        <w:rPr>
          <w:rFonts w:cs="宋体"/>
          <w:kern w:val="0"/>
          <w:sz w:val="24"/>
        </w:rPr>
      </w:pPr>
      <w:r>
        <w:rPr>
          <w:rFonts w:hint="eastAsia" w:cs="宋体"/>
          <w:kern w:val="0"/>
          <w:sz w:val="24"/>
        </w:rPr>
        <w:t>2023年2月16日，监测中心标准编制组举行标准启动会。</w:t>
      </w:r>
    </w:p>
    <w:p w14:paraId="4038D4E2">
      <w:pPr>
        <w:pStyle w:val="24"/>
        <w:widowControl/>
        <w:spacing w:line="360" w:lineRule="auto"/>
        <w:ind w:firstLine="480"/>
        <w:jc w:val="left"/>
        <w:rPr>
          <w:rFonts w:cs="宋体"/>
          <w:kern w:val="0"/>
          <w:sz w:val="24"/>
        </w:rPr>
      </w:pPr>
      <w:r>
        <w:rPr>
          <w:rFonts w:hint="eastAsia" w:cs="宋体"/>
          <w:kern w:val="0"/>
          <w:sz w:val="24"/>
        </w:rPr>
        <w:t>总结前期工作进展，确定两个方面的成果：一是重点建设用地遥感监测对土壤污染管理工作的支撑机制；二是关停退出工业企业原址用地和在产企业用地遥感监测指标体系构建和有效性初步验证。</w:t>
      </w:r>
    </w:p>
    <w:p w14:paraId="5F4BAB15">
      <w:pPr>
        <w:spacing w:line="360" w:lineRule="auto"/>
        <w:rPr>
          <w:b/>
          <w:bCs/>
          <w:sz w:val="24"/>
          <w:szCs w:val="21"/>
        </w:rPr>
      </w:pPr>
      <w:bookmarkStart w:id="22" w:name="_Toc131516437"/>
      <w:bookmarkStart w:id="23" w:name="_Toc5956"/>
      <w:bookmarkStart w:id="24" w:name="_Toc32044"/>
      <w:r>
        <w:rPr>
          <w:rFonts w:hint="eastAsia"/>
          <w:b/>
          <w:bCs/>
          <w:sz w:val="24"/>
          <w:szCs w:val="21"/>
        </w:rPr>
        <w:t>3.1.1完善重点建设用地土壤污染遥感监测体系</w:t>
      </w:r>
      <w:bookmarkEnd w:id="22"/>
      <w:bookmarkEnd w:id="23"/>
      <w:bookmarkEnd w:id="24"/>
    </w:p>
    <w:p w14:paraId="74EF1B51">
      <w:pPr>
        <w:pStyle w:val="24"/>
        <w:widowControl/>
        <w:spacing w:line="360" w:lineRule="auto"/>
        <w:ind w:firstLine="480"/>
        <w:jc w:val="left"/>
        <w:rPr>
          <w:rFonts w:cs="宋体"/>
          <w:kern w:val="0"/>
          <w:sz w:val="24"/>
        </w:rPr>
      </w:pPr>
      <w:r>
        <w:rPr>
          <w:rFonts w:hint="eastAsia" w:cs="宋体"/>
          <w:kern w:val="0"/>
          <w:sz w:val="24"/>
        </w:rPr>
        <w:t>自2020年起，利用亚米级高分辨率遥感影像，每月对全市重点建设用地块开展监测。建立了全过程遥感监管档案，包括地块的遥感影像图、现场情况、管控要求等信息。2021年在延续该监测任务的基础上，增加了对关停退出工业企业原址用地现状的遥感监测。全面摸底其土地利用现状及变化，杜绝关停后再利用，确保安全利用。2022年在延续前两年监测任务的基础上，增加了对在产企业用地重点监管单位的遥感监测工作。全面摸底在产企业用地内拆迁、新改扩建施工活动、土壤污染隐患等情况。在逐步实现对重点建设用地日常监管的同时，逐步确定了重点建设用地遥感监测指标、形成了资料收集、遥感解译、现场调查、风险级别评价和核查、整改及复核的闭环管理流程。</w:t>
      </w:r>
    </w:p>
    <w:p w14:paraId="13F7F8B3">
      <w:pPr>
        <w:spacing w:line="360" w:lineRule="auto"/>
        <w:rPr>
          <w:b/>
          <w:bCs/>
          <w:sz w:val="24"/>
          <w:szCs w:val="21"/>
        </w:rPr>
      </w:pPr>
      <w:bookmarkStart w:id="25" w:name="_Toc28136"/>
      <w:bookmarkStart w:id="26" w:name="_Toc18505"/>
      <w:bookmarkStart w:id="27" w:name="_Toc131516438"/>
      <w:r>
        <w:rPr>
          <w:rFonts w:hint="eastAsia"/>
          <w:b/>
          <w:bCs/>
          <w:sz w:val="24"/>
          <w:szCs w:val="21"/>
        </w:rPr>
        <w:t>3.1.2 重点建设用地遥感监测成果及对标准编制的启示</w:t>
      </w:r>
      <w:bookmarkEnd w:id="25"/>
      <w:bookmarkEnd w:id="26"/>
      <w:bookmarkEnd w:id="27"/>
    </w:p>
    <w:p w14:paraId="2B0CB1B0">
      <w:pPr>
        <w:spacing w:line="360" w:lineRule="auto"/>
        <w:ind w:firstLine="482" w:firstLineChars="200"/>
        <w:rPr>
          <w:sz w:val="24"/>
          <w:szCs w:val="21"/>
        </w:rPr>
      </w:pPr>
      <w:r>
        <w:rPr>
          <w:rFonts w:hint="eastAsia"/>
          <w:b/>
          <w:bCs/>
          <w:sz w:val="24"/>
          <w:szCs w:val="21"/>
        </w:rPr>
        <w:t>（1） 关停退出工业企业原址用地遥感监测</w:t>
      </w:r>
    </w:p>
    <w:p w14:paraId="21096B6E">
      <w:pPr>
        <w:pStyle w:val="24"/>
        <w:widowControl/>
        <w:spacing w:line="360" w:lineRule="auto"/>
        <w:ind w:firstLine="480"/>
        <w:jc w:val="left"/>
        <w:rPr>
          <w:rFonts w:cs="宋体"/>
          <w:kern w:val="0"/>
          <w:sz w:val="24"/>
        </w:rPr>
      </w:pPr>
      <w:r>
        <w:rPr>
          <w:rFonts w:hint="eastAsia" w:cs="宋体"/>
          <w:kern w:val="0"/>
          <w:sz w:val="24"/>
        </w:rPr>
        <w:t>初次对关停退出工业企业原址用地开展遥感监测时，按照拆除状态对关停退出工业企业原址用地划分为三类：一是企业原址未拆除；二是企业原址部分拆除；三是企业原址全部拆除。</w:t>
      </w:r>
    </w:p>
    <w:p w14:paraId="016B212C">
      <w:pPr>
        <w:pStyle w:val="24"/>
        <w:widowControl/>
        <w:spacing w:line="360" w:lineRule="auto"/>
        <w:ind w:firstLine="480"/>
        <w:jc w:val="left"/>
        <w:rPr>
          <w:rFonts w:cs="宋体"/>
          <w:kern w:val="0"/>
          <w:sz w:val="24"/>
        </w:rPr>
      </w:pPr>
      <w:r>
        <w:rPr>
          <w:rFonts w:hint="eastAsia" w:cs="宋体"/>
          <w:kern w:val="0"/>
          <w:sz w:val="24"/>
        </w:rPr>
        <w:t>对于未发生拆除的，在后续动态变化监测时，应关注新增拆除活动，包括原生产车间、固体废物堆场、生产装置/设备等建筑物或构筑物的拆除。对于部分拆除的，应关注新增拆除活动、土地平整、挖土、堆土、临时建筑搭建及地面硬化。监测到新增拆除活动后，应与属地核查是否有风险管控措施，是否对场地环境及周边造成污染。对于全部拆除的，在后续动态变化监测时，应关注施工建设活动。</w:t>
      </w:r>
    </w:p>
    <w:p w14:paraId="05E45008">
      <w:pPr>
        <w:pStyle w:val="24"/>
        <w:widowControl/>
        <w:spacing w:line="360" w:lineRule="auto"/>
        <w:ind w:firstLine="480"/>
        <w:jc w:val="left"/>
        <w:rPr>
          <w:rFonts w:cs="宋体"/>
          <w:kern w:val="0"/>
          <w:sz w:val="24"/>
        </w:rPr>
      </w:pPr>
      <w:r>
        <w:rPr>
          <w:rFonts w:hint="eastAsia" w:cs="宋体"/>
          <w:kern w:val="0"/>
          <w:sz w:val="24"/>
        </w:rPr>
        <w:t>根据现场调查经验，地块内的土壤调查、土壤修复工程、土壤风险管控属于正常施工活动。这些活动应与属地或主责部门核查是否备案，开展的土壤调查、土壤修复工程、土壤风险管控等活动也不可对场地环境及周边造成污染。</w:t>
      </w:r>
    </w:p>
    <w:p w14:paraId="22DEFB7B">
      <w:pPr>
        <w:pStyle w:val="24"/>
        <w:widowControl/>
        <w:spacing w:line="360" w:lineRule="auto"/>
        <w:ind w:firstLine="480"/>
        <w:jc w:val="left"/>
        <w:rPr>
          <w:rFonts w:cs="宋体"/>
          <w:kern w:val="0"/>
          <w:sz w:val="24"/>
        </w:rPr>
      </w:pPr>
      <w:r>
        <w:rPr>
          <w:rFonts w:hint="eastAsia" w:cs="宋体"/>
          <w:kern w:val="0"/>
          <w:sz w:val="24"/>
        </w:rPr>
        <w:t>此外，有些地块出现再利用情况，如建成公园、停车场、堆场、临时道路、临时仓库等。这些再利用情况是否经过报备、是否符合《土壤污染防治法》相关监管要求，需要与属地及主责部门进行核查。例如东风化工厂DF-02地块，遥感监测到该地块2017年上半年为企业厂房，2017年下半年开始拆除，2018年开始土地平整，2019年开始种树绿化，现为通州区城市绿心森林公园内部林地。现场核实地块内为生态保育核，属于封闭管控区域，正在通过自然修复的方式进行修复。因此，该地块内再利用情况符合相关要求，属于正常再利用行为。</w:t>
      </w:r>
    </w:p>
    <w:p w14:paraId="5F6261F9">
      <w:pPr>
        <w:spacing w:line="360" w:lineRule="auto"/>
        <w:ind w:firstLine="482" w:firstLineChars="200"/>
        <w:rPr>
          <w:b/>
          <w:bCs/>
          <w:sz w:val="24"/>
          <w:szCs w:val="21"/>
        </w:rPr>
      </w:pPr>
      <w:r>
        <w:rPr>
          <w:rFonts w:hint="eastAsia"/>
          <w:b/>
          <w:bCs/>
          <w:sz w:val="24"/>
          <w:szCs w:val="21"/>
        </w:rPr>
        <w:t>（2）在产企业用地遥感监测</w:t>
      </w:r>
    </w:p>
    <w:p w14:paraId="5C558886">
      <w:pPr>
        <w:pStyle w:val="24"/>
        <w:widowControl/>
        <w:spacing w:line="360" w:lineRule="auto"/>
        <w:ind w:firstLine="480"/>
        <w:jc w:val="left"/>
        <w:rPr>
          <w:rFonts w:cs="宋体"/>
          <w:kern w:val="0"/>
          <w:sz w:val="24"/>
        </w:rPr>
      </w:pPr>
      <w:r>
        <w:rPr>
          <w:rFonts w:hint="eastAsia" w:cs="宋体"/>
          <w:kern w:val="0"/>
          <w:sz w:val="24"/>
        </w:rPr>
        <w:t>在产企业用地内的动态变化情况分为两类，一是人类活动，二是土壤污染隐患。对于人类活动，如建筑物或构筑物的拆除、新改扩建，上述动态变化应与企业核实是否备案、施工活动是否有风险管控措施，是否对场地环境及周边造成污染。对于土壤污染隐患，如颜色异常的土壤、颜色异常的液体或水体、未硬化地面以及露天堆存等；监测到这些情况后，应现场调查土壤污染隐患，排查成因；关注污染物的使用、生产、贮存及三废处理情况；查看地块内的异常迹象，如罐、槽泄漏以及废物临时堆放污染痕迹；核实用地类型、水井、径流、公用设施。</w:t>
      </w:r>
    </w:p>
    <w:p w14:paraId="586376F6">
      <w:pPr>
        <w:pStyle w:val="3"/>
        <w:numPr>
          <w:ilvl w:val="0"/>
          <w:numId w:val="0"/>
        </w:numPr>
        <w:rPr>
          <w:rFonts w:eastAsia="黑体"/>
          <w:b w:val="0"/>
          <w:bCs w:val="0"/>
          <w:sz w:val="32"/>
        </w:rPr>
      </w:pPr>
      <w:bookmarkStart w:id="28" w:name="_Toc8570"/>
      <w:r>
        <w:rPr>
          <w:rFonts w:hint="eastAsia" w:eastAsia="黑体"/>
          <w:b w:val="0"/>
          <w:bCs w:val="0"/>
          <w:sz w:val="32"/>
        </w:rPr>
        <w:t>3</w:t>
      </w:r>
      <w:r>
        <w:rPr>
          <w:rFonts w:eastAsia="黑体"/>
          <w:b w:val="0"/>
          <w:bCs w:val="0"/>
          <w:sz w:val="32"/>
        </w:rPr>
        <w:t>.2</w:t>
      </w:r>
      <w:r>
        <w:rPr>
          <w:rFonts w:hint="eastAsia" w:eastAsia="黑体"/>
          <w:b w:val="0"/>
          <w:bCs w:val="0"/>
          <w:sz w:val="32"/>
        </w:rPr>
        <w:t>内部研讨</w:t>
      </w:r>
      <w:bookmarkEnd w:id="28"/>
    </w:p>
    <w:p w14:paraId="7AD7A5FD">
      <w:pPr>
        <w:spacing w:line="360" w:lineRule="auto"/>
        <w:rPr>
          <w:b/>
          <w:bCs/>
          <w:sz w:val="24"/>
          <w:szCs w:val="21"/>
        </w:rPr>
      </w:pPr>
      <w:bookmarkStart w:id="29" w:name="_Toc27514"/>
      <w:bookmarkStart w:id="30" w:name="_Toc131516440"/>
      <w:bookmarkStart w:id="31" w:name="_Toc9660"/>
      <w:r>
        <w:rPr>
          <w:rFonts w:hint="eastAsia"/>
          <w:b/>
          <w:bCs/>
          <w:sz w:val="24"/>
          <w:szCs w:val="21"/>
        </w:rPr>
        <w:t>3.2.1开展影像对比并确定影像规格</w:t>
      </w:r>
      <w:bookmarkEnd w:id="29"/>
      <w:bookmarkEnd w:id="30"/>
      <w:bookmarkEnd w:id="31"/>
    </w:p>
    <w:p w14:paraId="3E07C6F5">
      <w:pPr>
        <w:pStyle w:val="24"/>
        <w:widowControl/>
        <w:spacing w:line="360" w:lineRule="auto"/>
        <w:ind w:firstLine="480"/>
        <w:jc w:val="left"/>
        <w:rPr>
          <w:rFonts w:cs="宋体"/>
          <w:kern w:val="0"/>
          <w:sz w:val="24"/>
        </w:rPr>
      </w:pPr>
      <w:r>
        <w:rPr>
          <w:rFonts w:hint="eastAsia" w:cs="宋体"/>
          <w:kern w:val="0"/>
          <w:sz w:val="24"/>
        </w:rPr>
        <w:t>如表1所示，分别使用2.5米、1.5米、0.8米分辨率的遥感影像对重点建设用地进行遥感解译，分析不同空间分辨率影像的适用性。研究结果表明：由于地块内建设活动范围较小，为清楚识别地块内的人类活动及设备、装置情况，建议使用空间分辨率优于1米的高分辨率遥感影像，监测区域无云覆盖。</w:t>
      </w:r>
    </w:p>
    <w:p w14:paraId="4B687C25">
      <w:pPr>
        <w:spacing w:line="360" w:lineRule="auto"/>
        <w:rPr>
          <w:b/>
          <w:bCs/>
          <w:sz w:val="24"/>
          <w:szCs w:val="21"/>
        </w:rPr>
      </w:pPr>
      <w:bookmarkStart w:id="32" w:name="_Toc131516441"/>
      <w:bookmarkStart w:id="33" w:name="_Toc31249"/>
      <w:bookmarkStart w:id="34" w:name="_Toc27431"/>
      <w:r>
        <w:rPr>
          <w:rFonts w:hint="eastAsia"/>
          <w:b/>
          <w:bCs/>
          <w:sz w:val="24"/>
          <w:szCs w:val="21"/>
        </w:rPr>
        <w:t>3.2.2 遥感解译技术要求</w:t>
      </w:r>
      <w:bookmarkEnd w:id="32"/>
      <w:bookmarkEnd w:id="33"/>
      <w:bookmarkEnd w:id="34"/>
    </w:p>
    <w:p w14:paraId="026F7ACD">
      <w:pPr>
        <w:pStyle w:val="24"/>
        <w:widowControl/>
        <w:spacing w:line="360" w:lineRule="auto"/>
        <w:ind w:firstLine="480"/>
        <w:jc w:val="left"/>
        <w:rPr>
          <w:rFonts w:cs="宋体"/>
          <w:kern w:val="0"/>
          <w:sz w:val="24"/>
        </w:rPr>
      </w:pPr>
      <w:r>
        <w:rPr>
          <w:rFonts w:hint="eastAsia" w:cs="宋体"/>
          <w:kern w:val="0"/>
          <w:sz w:val="24"/>
        </w:rPr>
        <w:t>重点建设用地土壤污染遥感解译时要充分考虑重点建设用地的大小、形状、颜色、纹理、内部设施等特征，保证解译结果的边界准确，解译成果应以通用矢量格式存储。</w:t>
      </w:r>
    </w:p>
    <w:p w14:paraId="09C6B868">
      <w:pPr>
        <w:pStyle w:val="24"/>
        <w:widowControl/>
        <w:spacing w:line="360" w:lineRule="auto"/>
        <w:ind w:firstLine="0" w:firstLineChars="0"/>
        <w:jc w:val="left"/>
        <w:outlineLvl w:val="1"/>
        <w:rPr>
          <w:rFonts w:eastAsia="黑体"/>
          <w:sz w:val="32"/>
          <w:szCs w:val="32"/>
        </w:rPr>
      </w:pPr>
      <w:bookmarkStart w:id="35" w:name="_Toc24386"/>
      <w:r>
        <w:rPr>
          <w:rFonts w:hint="eastAsia" w:eastAsia="黑体"/>
          <w:sz w:val="32"/>
          <w:szCs w:val="32"/>
        </w:rPr>
        <w:t>3.3专家咨询会</w:t>
      </w:r>
      <w:bookmarkEnd w:id="35"/>
    </w:p>
    <w:p w14:paraId="279D2E86">
      <w:pPr>
        <w:pStyle w:val="24"/>
        <w:widowControl/>
        <w:spacing w:line="360" w:lineRule="auto"/>
        <w:ind w:firstLine="567" w:firstLineChars="0"/>
        <w:jc w:val="left"/>
        <w:rPr>
          <w:rFonts w:ascii="仿宋_GB2312" w:hAnsi="宋体" w:eastAsia="仿宋_GB2312"/>
          <w:sz w:val="32"/>
          <w:szCs w:val="32"/>
        </w:rPr>
      </w:pPr>
      <w:r>
        <w:rPr>
          <w:rFonts w:hint="eastAsia"/>
          <w:sz w:val="24"/>
        </w:rPr>
        <w:t>2023年3月15日，召开“重点建设用地土壤污染遥感监测技术规范”专家研讨会，征求标准制订专家、重点建设用地土壤污染监测行业内专家意见。来自生态环境部卫星环境应用中心、北京市标准研究院、自然资源部国土整治中心、北京市生态环境局污染源管理事务中心和北京市生态环境保护科学研究院的专家参加了会议。会后编制组就专家提出的意见和建议进行了两轮修改，采纳了35条意见。</w:t>
      </w:r>
      <w:r>
        <w:rPr>
          <w:rFonts w:ascii="仿宋_GB2312" w:hAnsi="宋体" w:eastAsia="仿宋_GB2312"/>
          <w:sz w:val="32"/>
          <w:szCs w:val="32"/>
        </w:rPr>
        <w:br w:type="page"/>
      </w:r>
    </w:p>
    <w:p w14:paraId="3279B36A">
      <w:pPr>
        <w:spacing w:line="360" w:lineRule="auto"/>
        <w:ind w:firstLine="640" w:firstLineChars="200"/>
        <w:outlineLvl w:val="2"/>
        <w:rPr>
          <w:rFonts w:ascii="仿宋_GB2312" w:hAnsi="宋体"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p>
    <w:p w14:paraId="4E20B6AA">
      <w:pPr>
        <w:spacing w:line="360" w:lineRule="auto"/>
        <w:ind w:firstLine="420" w:firstLineChars="200"/>
        <w:jc w:val="center"/>
        <w:rPr>
          <w:rFonts w:ascii="仿宋_GB2312" w:hAnsi="宋体" w:eastAsia="仿宋_GB2312"/>
          <w:sz w:val="32"/>
          <w:szCs w:val="32"/>
        </w:rPr>
      </w:pPr>
      <w:r>
        <w:rPr>
          <w:rFonts w:hint="eastAsia" w:ascii="黑体" w:hAnsi="黑体" w:eastAsia="黑体" w:cs="黑体"/>
          <w:szCs w:val="21"/>
        </w:rPr>
        <w:t>表1 不同空间分辨率遥感影像比对情况</w:t>
      </w:r>
    </w:p>
    <w:tbl>
      <w:tblPr>
        <w:tblStyle w:val="14"/>
        <w:tblW w:w="4717" w:type="pc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8"/>
        <w:gridCol w:w="4458"/>
        <w:gridCol w:w="4456"/>
      </w:tblGrid>
      <w:tr w14:paraId="7697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67" w:type="pct"/>
          </w:tcPr>
          <w:p w14:paraId="580C70EC">
            <w:pPr>
              <w:widowControl/>
              <w:jc w:val="center"/>
              <w:rPr>
                <w:rFonts w:ascii="宋体" w:hAnsi="宋体" w:cs="宋体"/>
                <w:b/>
                <w:bCs/>
                <w:kern w:val="0"/>
                <w:szCs w:val="21"/>
              </w:rPr>
            </w:pPr>
            <w:r>
              <w:rPr>
                <w:rFonts w:hint="eastAsia" w:ascii="宋体" w:hAnsi="宋体" w:cs="宋体"/>
                <w:b/>
                <w:bCs/>
                <w:kern w:val="0"/>
                <w:szCs w:val="21"/>
              </w:rPr>
              <w:t>2013（2</w:t>
            </w:r>
            <w:r>
              <w:rPr>
                <w:rFonts w:ascii="宋体" w:hAnsi="宋体" w:cs="宋体"/>
                <w:b/>
                <w:bCs/>
                <w:kern w:val="0"/>
                <w:szCs w:val="21"/>
              </w:rPr>
              <w:t>.5</w:t>
            </w:r>
            <w:r>
              <w:rPr>
                <w:rFonts w:hint="eastAsia" w:ascii="宋体" w:hAnsi="宋体" w:cs="宋体"/>
                <w:b/>
                <w:bCs/>
                <w:kern w:val="0"/>
                <w:szCs w:val="21"/>
              </w:rPr>
              <w:t>米）高分一号</w:t>
            </w:r>
          </w:p>
        </w:tc>
        <w:tc>
          <w:tcPr>
            <w:tcW w:w="1667" w:type="pct"/>
          </w:tcPr>
          <w:p w14:paraId="7054ED6A">
            <w:pPr>
              <w:widowControl/>
              <w:jc w:val="center"/>
              <w:rPr>
                <w:rFonts w:ascii="宋体" w:hAnsi="宋体" w:cs="宋体"/>
                <w:b/>
                <w:bCs/>
                <w:kern w:val="0"/>
                <w:szCs w:val="21"/>
              </w:rPr>
            </w:pPr>
            <w:r>
              <w:rPr>
                <w:rFonts w:hint="eastAsia" w:ascii="宋体" w:hAnsi="宋体" w:cs="宋体"/>
                <w:b/>
                <w:bCs/>
                <w:kern w:val="0"/>
                <w:szCs w:val="21"/>
              </w:rPr>
              <w:t>201</w:t>
            </w:r>
            <w:r>
              <w:rPr>
                <w:rFonts w:ascii="宋体" w:hAnsi="宋体" w:cs="宋体"/>
                <w:b/>
                <w:bCs/>
                <w:kern w:val="0"/>
                <w:szCs w:val="21"/>
              </w:rPr>
              <w:t>5</w:t>
            </w:r>
            <w:r>
              <w:rPr>
                <w:rFonts w:hint="eastAsia" w:ascii="宋体" w:hAnsi="宋体" w:cs="宋体"/>
                <w:b/>
                <w:bCs/>
                <w:kern w:val="0"/>
                <w:szCs w:val="21"/>
              </w:rPr>
              <w:t>（1.5米）S</w:t>
            </w:r>
            <w:r>
              <w:rPr>
                <w:rFonts w:ascii="宋体" w:hAnsi="宋体" w:cs="宋体"/>
                <w:b/>
                <w:bCs/>
                <w:kern w:val="0"/>
                <w:szCs w:val="21"/>
              </w:rPr>
              <w:t>POT6</w:t>
            </w:r>
          </w:p>
        </w:tc>
        <w:tc>
          <w:tcPr>
            <w:tcW w:w="1666" w:type="pct"/>
          </w:tcPr>
          <w:p w14:paraId="0524F9FE">
            <w:pPr>
              <w:widowControl/>
              <w:jc w:val="center"/>
              <w:rPr>
                <w:rFonts w:ascii="宋体" w:hAnsi="宋体" w:cs="宋体"/>
                <w:b/>
                <w:bCs/>
                <w:kern w:val="0"/>
                <w:szCs w:val="21"/>
              </w:rPr>
            </w:pPr>
            <w:r>
              <w:rPr>
                <w:rFonts w:hint="eastAsia" w:ascii="宋体" w:hAnsi="宋体" w:cs="宋体"/>
                <w:b/>
                <w:bCs/>
                <w:kern w:val="0"/>
                <w:szCs w:val="21"/>
              </w:rPr>
              <w:t>2017（0.8米）北京二号</w:t>
            </w:r>
          </w:p>
        </w:tc>
      </w:tr>
      <w:tr w14:paraId="7083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14:paraId="202A094A">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520000" cy="2520000"/>
                          </a:xfrm>
                          <a:prstGeom prst="rect">
                            <a:avLst/>
                          </a:prstGeom>
                        </pic:spPr>
                      </pic:pic>
                    </a:graphicData>
                  </a:graphic>
                </wp:inline>
              </w:drawing>
            </w:r>
          </w:p>
        </w:tc>
        <w:tc>
          <w:tcPr>
            <w:tcW w:w="1667" w:type="pct"/>
          </w:tcPr>
          <w:p w14:paraId="07B321A5">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520000" cy="2520000"/>
                          </a:xfrm>
                          <a:prstGeom prst="rect">
                            <a:avLst/>
                          </a:prstGeom>
                        </pic:spPr>
                      </pic:pic>
                    </a:graphicData>
                  </a:graphic>
                </wp:inline>
              </w:drawing>
            </w:r>
          </w:p>
        </w:tc>
        <w:tc>
          <w:tcPr>
            <w:tcW w:w="1666" w:type="pct"/>
          </w:tcPr>
          <w:p w14:paraId="7E1E6E89">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520000" cy="2520000"/>
                          </a:xfrm>
                          <a:prstGeom prst="rect">
                            <a:avLst/>
                          </a:prstGeom>
                        </pic:spPr>
                      </pic:pic>
                    </a:graphicData>
                  </a:graphic>
                </wp:inline>
              </w:drawing>
            </w:r>
          </w:p>
        </w:tc>
      </w:tr>
      <w:tr w14:paraId="74F3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14:paraId="7E3CD9F2">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520000" cy="2520000"/>
                          </a:xfrm>
                          <a:prstGeom prst="rect">
                            <a:avLst/>
                          </a:prstGeom>
                        </pic:spPr>
                      </pic:pic>
                    </a:graphicData>
                  </a:graphic>
                </wp:inline>
              </w:drawing>
            </w:r>
          </w:p>
        </w:tc>
        <w:tc>
          <w:tcPr>
            <w:tcW w:w="1667" w:type="pct"/>
          </w:tcPr>
          <w:p w14:paraId="7F8202C9">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520000" cy="2520000"/>
                          </a:xfrm>
                          <a:prstGeom prst="rect">
                            <a:avLst/>
                          </a:prstGeom>
                        </pic:spPr>
                      </pic:pic>
                    </a:graphicData>
                  </a:graphic>
                </wp:inline>
              </w:drawing>
            </w:r>
          </w:p>
        </w:tc>
        <w:tc>
          <w:tcPr>
            <w:tcW w:w="1666" w:type="pct"/>
          </w:tcPr>
          <w:p w14:paraId="39B1CC2F">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2520000" cy="2520000"/>
                          </a:xfrm>
                          <a:prstGeom prst="rect">
                            <a:avLst/>
                          </a:prstGeom>
                        </pic:spPr>
                      </pic:pic>
                    </a:graphicData>
                  </a:graphic>
                </wp:inline>
              </w:drawing>
            </w:r>
          </w:p>
        </w:tc>
      </w:tr>
      <w:tr w14:paraId="5165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14:paraId="2A851686">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2520000" cy="2520000"/>
                          </a:xfrm>
                          <a:prstGeom prst="rect">
                            <a:avLst/>
                          </a:prstGeom>
                        </pic:spPr>
                      </pic:pic>
                    </a:graphicData>
                  </a:graphic>
                </wp:inline>
              </w:drawing>
            </w:r>
          </w:p>
        </w:tc>
        <w:tc>
          <w:tcPr>
            <w:tcW w:w="1667" w:type="pct"/>
          </w:tcPr>
          <w:p w14:paraId="4EBDE852">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2520000" cy="2520000"/>
                          </a:xfrm>
                          <a:prstGeom prst="rect">
                            <a:avLst/>
                          </a:prstGeom>
                        </pic:spPr>
                      </pic:pic>
                    </a:graphicData>
                  </a:graphic>
                </wp:inline>
              </w:drawing>
            </w:r>
          </w:p>
        </w:tc>
        <w:tc>
          <w:tcPr>
            <w:tcW w:w="1666" w:type="pct"/>
          </w:tcPr>
          <w:p w14:paraId="6686833A">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2520000" cy="2520000"/>
                          </a:xfrm>
                          <a:prstGeom prst="rect">
                            <a:avLst/>
                          </a:prstGeom>
                        </pic:spPr>
                      </pic:pic>
                    </a:graphicData>
                  </a:graphic>
                </wp:inline>
              </w:drawing>
            </w:r>
          </w:p>
        </w:tc>
      </w:tr>
      <w:tr w14:paraId="1D1A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14:paraId="359836D8">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2520000" cy="2520000"/>
                          </a:xfrm>
                          <a:prstGeom prst="rect">
                            <a:avLst/>
                          </a:prstGeom>
                        </pic:spPr>
                      </pic:pic>
                    </a:graphicData>
                  </a:graphic>
                </wp:inline>
              </w:drawing>
            </w:r>
          </w:p>
        </w:tc>
        <w:tc>
          <w:tcPr>
            <w:tcW w:w="1667" w:type="pct"/>
          </w:tcPr>
          <w:p w14:paraId="2B7CCD9E">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2520000" cy="2520000"/>
                          </a:xfrm>
                          <a:prstGeom prst="rect">
                            <a:avLst/>
                          </a:prstGeom>
                        </pic:spPr>
                      </pic:pic>
                    </a:graphicData>
                  </a:graphic>
                </wp:inline>
              </w:drawing>
            </w:r>
          </w:p>
        </w:tc>
        <w:tc>
          <w:tcPr>
            <w:tcW w:w="1666" w:type="pct"/>
          </w:tcPr>
          <w:p w14:paraId="6DE8F55F">
            <w:pPr>
              <w:widowControl/>
              <w:rPr>
                <w:rFonts w:ascii="宋体" w:hAnsi="宋体" w:cs="宋体"/>
                <w:kern w:val="0"/>
                <w:szCs w:val="21"/>
              </w:rPr>
            </w:pPr>
            <w:r>
              <w:rPr>
                <w:rFonts w:ascii="宋体" w:hAnsi="宋体" w:cs="宋体"/>
                <w:kern w:val="0"/>
                <w:szCs w:val="21"/>
              </w:rPr>
              <w:drawing>
                <wp:inline distT="0" distB="0" distL="0" distR="0">
                  <wp:extent cx="2519680" cy="2519680"/>
                  <wp:effectExtent l="0" t="0" r="1397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2520000" cy="2520000"/>
                          </a:xfrm>
                          <a:prstGeom prst="rect">
                            <a:avLst/>
                          </a:prstGeom>
                        </pic:spPr>
                      </pic:pic>
                    </a:graphicData>
                  </a:graphic>
                </wp:inline>
              </w:drawing>
            </w:r>
          </w:p>
        </w:tc>
      </w:tr>
    </w:tbl>
    <w:p w14:paraId="0F93CBB3">
      <w:pPr>
        <w:widowControl/>
        <w:rPr>
          <w:rFonts w:ascii="宋体" w:hAnsi="宋体" w:cs="宋体"/>
          <w:kern w:val="0"/>
          <w:sz w:val="28"/>
          <w:szCs w:val="28"/>
        </w:rPr>
      </w:pPr>
    </w:p>
    <w:p w14:paraId="14AD484E">
      <w:pPr>
        <w:widowControl/>
        <w:rPr>
          <w:rFonts w:ascii="宋体" w:hAnsi="宋体" w:cs="宋体"/>
          <w:kern w:val="0"/>
          <w:sz w:val="28"/>
          <w:szCs w:val="28"/>
        </w:rPr>
        <w:sectPr>
          <w:pgSz w:w="16838" w:h="11906" w:orient="landscape"/>
          <w:pgMar w:top="709" w:right="1440" w:bottom="1134" w:left="1440" w:header="851" w:footer="992" w:gutter="0"/>
          <w:cols w:space="720" w:num="1"/>
          <w:docGrid w:type="lines" w:linePitch="312" w:charSpace="0"/>
        </w:sectPr>
      </w:pPr>
    </w:p>
    <w:p w14:paraId="25F278E3">
      <w:pPr>
        <w:pStyle w:val="2"/>
      </w:pPr>
      <w:bookmarkStart w:id="36" w:name="_Toc17682"/>
      <w:bookmarkStart w:id="37" w:name="_Toc103617113"/>
      <w:r>
        <w:rPr>
          <w:rFonts w:hint="eastAsia"/>
        </w:rPr>
        <w:t>4</w:t>
      </w:r>
      <w:r>
        <w:t xml:space="preserve"> </w:t>
      </w:r>
      <w:r>
        <w:rPr>
          <w:rFonts w:hint="eastAsia"/>
        </w:rPr>
        <w:t>编制原则和编制依据</w:t>
      </w:r>
      <w:bookmarkEnd w:id="36"/>
      <w:bookmarkEnd w:id="37"/>
    </w:p>
    <w:p w14:paraId="6214643F">
      <w:pPr>
        <w:pStyle w:val="3"/>
        <w:numPr>
          <w:ilvl w:val="0"/>
          <w:numId w:val="0"/>
        </w:numPr>
        <w:rPr>
          <w:rFonts w:eastAsia="黑体"/>
          <w:b w:val="0"/>
          <w:bCs w:val="0"/>
          <w:sz w:val="32"/>
        </w:rPr>
      </w:pPr>
      <w:bookmarkStart w:id="38" w:name="_Toc24490"/>
      <w:bookmarkStart w:id="39" w:name="_Toc103617114"/>
      <w:r>
        <w:rPr>
          <w:rFonts w:eastAsia="黑体"/>
          <w:b w:val="0"/>
          <w:bCs w:val="0"/>
          <w:sz w:val="32"/>
        </w:rPr>
        <w:t>4.1 编制原则</w:t>
      </w:r>
      <w:bookmarkEnd w:id="38"/>
      <w:bookmarkEnd w:id="39"/>
    </w:p>
    <w:p w14:paraId="43569F2D">
      <w:pPr>
        <w:spacing w:line="360" w:lineRule="auto"/>
        <w:rPr>
          <w:b/>
          <w:bCs/>
          <w:sz w:val="24"/>
          <w:szCs w:val="21"/>
        </w:rPr>
      </w:pPr>
      <w:bookmarkStart w:id="40" w:name="_Toc17235"/>
      <w:bookmarkStart w:id="41" w:name="_Toc131516445"/>
      <w:bookmarkStart w:id="42" w:name="_Toc13427"/>
      <w:r>
        <w:rPr>
          <w:rFonts w:hint="eastAsia"/>
          <w:b/>
          <w:bCs/>
          <w:sz w:val="24"/>
          <w:szCs w:val="21"/>
        </w:rPr>
        <w:t>4.2.1衔接相关法律法规</w:t>
      </w:r>
      <w:bookmarkEnd w:id="40"/>
      <w:bookmarkEnd w:id="41"/>
      <w:bookmarkEnd w:id="42"/>
    </w:p>
    <w:p w14:paraId="6D255677">
      <w:pPr>
        <w:spacing w:line="360" w:lineRule="auto"/>
        <w:ind w:firstLine="480" w:firstLineChars="200"/>
        <w:rPr>
          <w:sz w:val="24"/>
          <w:szCs w:val="21"/>
        </w:rPr>
      </w:pPr>
      <w:r>
        <w:rPr>
          <w:rFonts w:hint="eastAsia"/>
          <w:sz w:val="24"/>
          <w:szCs w:val="21"/>
        </w:rPr>
        <w:t>以国家和北京市现行生态环境相关法律、法规、政策和规划中重点建设用地土壤污染控制的相关要求为依据，符合各项法规要求，与现行相关标准协调衔接，满足环境监督管理要求。</w:t>
      </w:r>
    </w:p>
    <w:p w14:paraId="4C72FA42">
      <w:pPr>
        <w:spacing w:line="360" w:lineRule="auto"/>
        <w:rPr>
          <w:b/>
          <w:bCs/>
          <w:sz w:val="24"/>
          <w:szCs w:val="21"/>
        </w:rPr>
      </w:pPr>
      <w:bookmarkStart w:id="43" w:name="_Toc131516446"/>
      <w:bookmarkStart w:id="44" w:name="_Toc28247"/>
      <w:bookmarkStart w:id="45" w:name="_Toc16964"/>
      <w:r>
        <w:rPr>
          <w:rFonts w:hint="eastAsia"/>
          <w:b/>
          <w:bCs/>
          <w:sz w:val="24"/>
          <w:szCs w:val="21"/>
        </w:rPr>
        <w:t>4.2.2科学性、可行性和系统性</w:t>
      </w:r>
      <w:bookmarkEnd w:id="43"/>
      <w:bookmarkEnd w:id="44"/>
      <w:bookmarkEnd w:id="45"/>
    </w:p>
    <w:p w14:paraId="71F78686">
      <w:pPr>
        <w:spacing w:line="360" w:lineRule="auto"/>
        <w:ind w:firstLine="480" w:firstLineChars="200"/>
        <w:rPr>
          <w:sz w:val="24"/>
          <w:szCs w:val="21"/>
        </w:rPr>
      </w:pPr>
      <w:r>
        <w:rPr>
          <w:rFonts w:hint="eastAsia"/>
          <w:sz w:val="24"/>
          <w:szCs w:val="21"/>
        </w:rPr>
        <w:t>全面调研国内外建设用地土壤污染标准，充分借鉴北京市及其他省市已有的建设用地土壤污染遥感监测技术水平，基于北京市现有建设用地土壤污染现状，制定建设用地土壤污染遥感监测技术规范，形成重点建设用地土壤污染遥感解译、外业调查、风险研判和成果整理等规范化的工作要求。</w:t>
      </w:r>
    </w:p>
    <w:p w14:paraId="3FF0A6A2">
      <w:pPr>
        <w:spacing w:line="360" w:lineRule="auto"/>
        <w:rPr>
          <w:b/>
          <w:bCs/>
          <w:sz w:val="24"/>
          <w:szCs w:val="21"/>
        </w:rPr>
      </w:pPr>
      <w:bookmarkStart w:id="46" w:name="_Toc26145"/>
      <w:bookmarkStart w:id="47" w:name="_Toc23033"/>
      <w:bookmarkStart w:id="48" w:name="_Toc131516447"/>
      <w:r>
        <w:rPr>
          <w:rFonts w:hint="eastAsia"/>
          <w:b/>
          <w:bCs/>
          <w:sz w:val="24"/>
          <w:szCs w:val="21"/>
        </w:rPr>
        <w:t>4.2.3保护改善土壤生态环境</w:t>
      </w:r>
      <w:bookmarkEnd w:id="46"/>
      <w:bookmarkEnd w:id="47"/>
      <w:bookmarkEnd w:id="48"/>
    </w:p>
    <w:p w14:paraId="0E357AAF">
      <w:pPr>
        <w:spacing w:line="360" w:lineRule="auto"/>
        <w:ind w:firstLine="480" w:firstLineChars="200"/>
        <w:rPr>
          <w:sz w:val="24"/>
          <w:szCs w:val="21"/>
        </w:rPr>
      </w:pPr>
      <w:r>
        <w:rPr>
          <w:rFonts w:hint="eastAsia"/>
          <w:sz w:val="24"/>
          <w:szCs w:val="21"/>
        </w:rPr>
        <w:t>基于建设用地土壤污染特征，以降低建设用地土壤污染程度为目标，以公众对良好土壤生态环境的需求为导向，明确重点建设用地管理需求，提高重点建设用地安全利用水平。</w:t>
      </w:r>
    </w:p>
    <w:p w14:paraId="34B03948">
      <w:pPr>
        <w:pStyle w:val="3"/>
        <w:numPr>
          <w:ilvl w:val="0"/>
          <w:numId w:val="0"/>
        </w:numPr>
        <w:rPr>
          <w:rFonts w:eastAsia="黑体"/>
          <w:b w:val="0"/>
          <w:bCs w:val="0"/>
          <w:sz w:val="32"/>
        </w:rPr>
      </w:pPr>
      <w:bookmarkStart w:id="49" w:name="_Toc25552"/>
      <w:r>
        <w:rPr>
          <w:rFonts w:hint="eastAsia" w:eastAsia="黑体"/>
          <w:b w:val="0"/>
          <w:bCs w:val="0"/>
          <w:sz w:val="32"/>
        </w:rPr>
        <w:t>4.2制定依据</w:t>
      </w:r>
      <w:bookmarkEnd w:id="49"/>
    </w:p>
    <w:p w14:paraId="6792515A">
      <w:pPr>
        <w:spacing w:line="360" w:lineRule="auto"/>
        <w:ind w:firstLine="480" w:firstLineChars="200"/>
        <w:rPr>
          <w:sz w:val="24"/>
          <w:szCs w:val="21"/>
        </w:rPr>
      </w:pPr>
      <w:r>
        <w:rPr>
          <w:rFonts w:hint="eastAsia"/>
          <w:sz w:val="24"/>
          <w:szCs w:val="21"/>
        </w:rPr>
        <w:t>依据以下法律法规和政策文件，结合北京市重点建设用地土壤污染遥感监测业务化运行体系和经验编制本规范。</w:t>
      </w:r>
    </w:p>
    <w:p w14:paraId="7347CD7F">
      <w:pPr>
        <w:spacing w:line="360" w:lineRule="auto"/>
        <w:rPr>
          <w:b/>
          <w:bCs/>
          <w:sz w:val="24"/>
          <w:szCs w:val="21"/>
        </w:rPr>
      </w:pPr>
      <w:bookmarkStart w:id="50" w:name="_Toc31566"/>
      <w:bookmarkStart w:id="51" w:name="_Toc131516449"/>
      <w:bookmarkStart w:id="52" w:name="_Toc22723"/>
      <w:r>
        <w:rPr>
          <w:rFonts w:hint="eastAsia"/>
          <w:b/>
          <w:bCs/>
          <w:sz w:val="24"/>
          <w:szCs w:val="21"/>
        </w:rPr>
        <w:t>4.2.1中华人民共和国环境保护法</w:t>
      </w:r>
      <w:bookmarkEnd w:id="50"/>
      <w:bookmarkEnd w:id="51"/>
      <w:bookmarkEnd w:id="52"/>
    </w:p>
    <w:p w14:paraId="24A37F3E">
      <w:pPr>
        <w:spacing w:line="360" w:lineRule="auto"/>
        <w:ind w:firstLine="482" w:firstLineChars="200"/>
        <w:rPr>
          <w:sz w:val="24"/>
          <w:szCs w:val="21"/>
        </w:rPr>
      </w:pPr>
      <w:r>
        <w:rPr>
          <w:rFonts w:hint="eastAsia" w:ascii="仿宋_GB2312" w:eastAsia="仿宋_GB2312"/>
          <w:b/>
          <w:bCs/>
          <w:sz w:val="24"/>
        </w:rPr>
        <w:t>《中华人民共和国环境保护法》第十八条要求对环境状况开展调查及评价。</w:t>
      </w:r>
    </w:p>
    <w:p w14:paraId="2F553BFA">
      <w:pPr>
        <w:spacing w:line="360" w:lineRule="auto"/>
        <w:ind w:firstLine="480" w:firstLineChars="200"/>
        <w:rPr>
          <w:sz w:val="24"/>
          <w:szCs w:val="21"/>
        </w:rPr>
      </w:pPr>
      <w:r>
        <w:rPr>
          <w:rFonts w:hint="eastAsia"/>
          <w:sz w:val="24"/>
          <w:szCs w:val="21"/>
        </w:rPr>
        <w:t>第十八条 省级以上人民政府应当组织有关部门或者委托专业机构，对环境状况进行调查、评价，建立环境资源承载能力监测评价机制。</w:t>
      </w:r>
    </w:p>
    <w:p w14:paraId="73EAA01D">
      <w:pPr>
        <w:spacing w:line="360" w:lineRule="auto"/>
        <w:rPr>
          <w:b/>
          <w:bCs/>
          <w:sz w:val="24"/>
          <w:szCs w:val="21"/>
        </w:rPr>
      </w:pPr>
      <w:bookmarkStart w:id="53" w:name="_Toc1059"/>
      <w:bookmarkStart w:id="54" w:name="_Toc131516450"/>
      <w:bookmarkStart w:id="55" w:name="_Toc20696"/>
      <w:r>
        <w:rPr>
          <w:rFonts w:hint="eastAsia"/>
          <w:b/>
          <w:bCs/>
          <w:sz w:val="24"/>
          <w:szCs w:val="21"/>
        </w:rPr>
        <w:t>4.2.2中华人民共和国土壤污染防治法</w:t>
      </w:r>
      <w:bookmarkEnd w:id="53"/>
      <w:bookmarkEnd w:id="54"/>
      <w:bookmarkEnd w:id="55"/>
    </w:p>
    <w:p w14:paraId="0B0D5E84">
      <w:pPr>
        <w:spacing w:line="360" w:lineRule="auto"/>
        <w:ind w:firstLine="530" w:firstLineChars="220"/>
        <w:rPr>
          <w:rFonts w:ascii="仿宋_GB2312" w:eastAsia="仿宋_GB2312"/>
          <w:b/>
          <w:bCs/>
          <w:sz w:val="24"/>
        </w:rPr>
      </w:pPr>
      <w:r>
        <w:rPr>
          <w:rFonts w:hint="eastAsia" w:ascii="仿宋_GB2312" w:eastAsia="仿宋_GB2312"/>
          <w:b/>
          <w:bCs/>
          <w:sz w:val="24"/>
        </w:rPr>
        <w:t>《中华人民共和国土壤污染防治法》第十七条要求明确了建设用地重点监测范围。</w:t>
      </w:r>
    </w:p>
    <w:p w14:paraId="1AEFA9AC">
      <w:pPr>
        <w:pStyle w:val="24"/>
        <w:widowControl/>
        <w:spacing w:line="360" w:lineRule="auto"/>
        <w:ind w:firstLine="480"/>
        <w:rPr>
          <w:sz w:val="24"/>
        </w:rPr>
      </w:pPr>
      <w:r>
        <w:rPr>
          <w:rFonts w:hint="eastAsia"/>
          <w:sz w:val="24"/>
        </w:rPr>
        <w:t>“地方人民政府生态环境主管部门应当会同自然资源主管部门对下列建设用地地块进行重点监测：（一）曾用于生产、使用、贮存、回收、处置有毒有害物质的； （二）曾用于固体废物堆放、填埋的； （三）曾发生过重大、特大污染事故的；（四）国务院生态环境、自然资源主管部门规定的其他情形。”</w:t>
      </w:r>
    </w:p>
    <w:p w14:paraId="774CFC67">
      <w:pPr>
        <w:spacing w:line="360" w:lineRule="auto"/>
        <w:ind w:firstLine="482" w:firstLineChars="200"/>
        <w:rPr>
          <w:rFonts w:eastAsia="仿宋_GB2312"/>
          <w:sz w:val="24"/>
          <w:szCs w:val="21"/>
        </w:rPr>
      </w:pPr>
      <w:r>
        <w:rPr>
          <w:rFonts w:hint="eastAsia" w:ascii="仿宋_GB2312" w:eastAsia="仿宋_GB2312"/>
          <w:b/>
          <w:bCs/>
          <w:sz w:val="24"/>
        </w:rPr>
        <w:t>《中华人民共和国土壤污染防治法》第二十一条、第二十五条、第四十四条作为本标准开展重点建设用地遥感监测工作的依据。</w:t>
      </w:r>
    </w:p>
    <w:p w14:paraId="5F7C0236">
      <w:pPr>
        <w:spacing w:line="360" w:lineRule="auto"/>
        <w:ind w:firstLine="480" w:firstLineChars="200"/>
        <w:rPr>
          <w:sz w:val="24"/>
          <w:szCs w:val="21"/>
        </w:rPr>
      </w:pPr>
      <w:r>
        <w:rPr>
          <w:rFonts w:hint="eastAsia"/>
          <w:sz w:val="24"/>
          <w:szCs w:val="21"/>
        </w:rPr>
        <w:t>第二十一条　生态环境主管部门发现土壤污染重点监管单位监测数据异常，应当及时进行调查。设区的市级以上地方人民政府生态环境主管部门应当定期对土壤污染重点监管单位周边土壤进行监测。</w:t>
      </w:r>
    </w:p>
    <w:p w14:paraId="336DC921">
      <w:pPr>
        <w:pStyle w:val="24"/>
        <w:widowControl/>
        <w:spacing w:line="360" w:lineRule="auto"/>
        <w:ind w:firstLine="480"/>
        <w:rPr>
          <w:sz w:val="24"/>
          <w:szCs w:val="21"/>
        </w:rPr>
      </w:pPr>
      <w:r>
        <w:rPr>
          <w:rFonts w:hint="eastAsia"/>
          <w:sz w:val="24"/>
          <w:szCs w:val="21"/>
        </w:rPr>
        <w:t>第二十五条  地方人民政府生态环境主管部门应当定期对污水集中处理设施、固体废物处置设施周边土壤进行监测.</w:t>
      </w:r>
    </w:p>
    <w:p w14:paraId="15C9C5F7">
      <w:pPr>
        <w:spacing w:line="360" w:lineRule="auto"/>
        <w:ind w:firstLine="480" w:firstLineChars="200"/>
        <w:rPr>
          <w:sz w:val="24"/>
          <w:szCs w:val="21"/>
        </w:rPr>
      </w:pPr>
      <w:r>
        <w:rPr>
          <w:rFonts w:hint="eastAsia"/>
          <w:sz w:val="24"/>
          <w:szCs w:val="21"/>
        </w:rPr>
        <w:t>第四十四条　发生突发事件可能造成土壤污染的，地方人民政府及其有关部门和相关企业事业单位以及其他生产经营者应当立即采取应急措施，防止土壤污染，并依照本法规定做好土壤污染状况监测、调查和土壤污染风险评估、风险管控、修复等工作。</w:t>
      </w:r>
    </w:p>
    <w:p w14:paraId="78BC5970">
      <w:pPr>
        <w:spacing w:line="360" w:lineRule="auto"/>
        <w:ind w:firstLine="482" w:firstLineChars="200"/>
        <w:rPr>
          <w:sz w:val="24"/>
          <w:szCs w:val="21"/>
        </w:rPr>
      </w:pPr>
      <w:r>
        <w:rPr>
          <w:rFonts w:hint="eastAsia" w:ascii="仿宋_GB2312" w:eastAsia="仿宋_GB2312"/>
          <w:b/>
          <w:bCs/>
          <w:sz w:val="24"/>
        </w:rPr>
        <w:t>《中华人民共和国土壤污染防治法》第二十三条、第七十九条是本标准开展工矿企业土壤污染遥感监测的依据。</w:t>
      </w:r>
    </w:p>
    <w:p w14:paraId="6CC00D2E">
      <w:pPr>
        <w:spacing w:line="360" w:lineRule="auto"/>
        <w:ind w:firstLine="480" w:firstLineChars="200"/>
        <w:rPr>
          <w:sz w:val="24"/>
          <w:szCs w:val="21"/>
        </w:rPr>
      </w:pPr>
      <w:r>
        <w:rPr>
          <w:rFonts w:hint="eastAsia"/>
          <w:sz w:val="24"/>
          <w:szCs w:val="21"/>
        </w:rPr>
        <w:t>第二十三条　各级人民政府生态环境、自然资源主管部门应当依法加强对矿产资源开发区域土壤污染防治的监督管理，按照相关标准和总量控制的要求，严格控制可能造成土壤污染的重点污染物排放。尾矿库运营、管理单位应当按照规定，加强尾矿库的安全管理，采取措施防止土壤污染。危库、险库、病库以及其他需要重点监管的尾矿库的运营、管理单位应当按照规定，进行土壤污染状况监测和定期评估。</w:t>
      </w:r>
    </w:p>
    <w:p w14:paraId="1EC68258">
      <w:pPr>
        <w:spacing w:line="360" w:lineRule="auto"/>
        <w:ind w:firstLine="480" w:firstLineChars="200"/>
        <w:rPr>
          <w:sz w:val="24"/>
          <w:szCs w:val="21"/>
        </w:rPr>
      </w:pPr>
      <w:r>
        <w:rPr>
          <w:rFonts w:hint="eastAsia"/>
          <w:sz w:val="24"/>
          <w:szCs w:val="21"/>
        </w:rPr>
        <w:t>第七十九条　地方人民政府安全生产监督管理部门应当监督尾矿库运营、管理单位履行防治土壤污染的法定义务，防止其发生可能污染土壤的事故；地方人民政府生态环境主管部门应当加强对尾矿库土壤污染防治情况的监督检查和定期评估，发现风险隐患的，及时督促尾矿库运营、管理单位采取相应措施。</w:t>
      </w:r>
    </w:p>
    <w:p w14:paraId="40831B59">
      <w:pPr>
        <w:spacing w:line="360" w:lineRule="auto"/>
        <w:ind w:firstLine="482" w:firstLineChars="200"/>
        <w:rPr>
          <w:rFonts w:ascii="仿宋_GB2312" w:eastAsia="仿宋_GB2312"/>
          <w:b/>
          <w:bCs/>
          <w:sz w:val="24"/>
        </w:rPr>
      </w:pPr>
      <w:r>
        <w:rPr>
          <w:rFonts w:hint="eastAsia" w:ascii="仿宋_GB2312" w:eastAsia="仿宋_GB2312"/>
          <w:b/>
          <w:bCs/>
          <w:sz w:val="24"/>
        </w:rPr>
        <w:t>《中华人民共和国土壤污染防治法》第六十六条、第三十八条和第二十二条要求明确了关闭企业施工建设类指标和拆除活动类指标设置依据。</w:t>
      </w:r>
    </w:p>
    <w:p w14:paraId="00BCF3B6">
      <w:pPr>
        <w:pStyle w:val="24"/>
        <w:widowControl/>
        <w:spacing w:line="360" w:lineRule="auto"/>
        <w:ind w:firstLine="480"/>
        <w:rPr>
          <w:sz w:val="24"/>
        </w:rPr>
      </w:pPr>
      <w:r>
        <w:rPr>
          <w:rFonts w:hint="eastAsia"/>
          <w:sz w:val="24"/>
        </w:rPr>
        <w:t>“第六十六条未达到土壤污染风险评估报告确定的风险管控、修复目标的建设用地地块，禁止开工建设任何与风险管控、修复无关的项目。”</w:t>
      </w:r>
    </w:p>
    <w:p w14:paraId="6BDE4071">
      <w:pPr>
        <w:pStyle w:val="24"/>
        <w:widowControl/>
        <w:spacing w:line="360" w:lineRule="auto"/>
        <w:ind w:firstLine="480"/>
        <w:rPr>
          <w:sz w:val="24"/>
        </w:rPr>
      </w:pPr>
      <w:r>
        <w:rPr>
          <w:rFonts w:hint="eastAsia"/>
          <w:sz w:val="24"/>
        </w:rPr>
        <w:t>“第三十八条实施风险管控、修复活动，不得对土壤和周边环境造成新的污染。”</w:t>
      </w:r>
    </w:p>
    <w:p w14:paraId="485B1926">
      <w:pPr>
        <w:pStyle w:val="24"/>
        <w:widowControl/>
        <w:spacing w:line="360" w:lineRule="auto"/>
        <w:ind w:firstLine="480"/>
        <w:rPr>
          <w:rFonts w:ascii="仿宋_GB2312" w:eastAsia="仿宋_GB2312"/>
          <w:sz w:val="32"/>
        </w:rPr>
      </w:pPr>
      <w:r>
        <w:rPr>
          <w:rFonts w:hint="eastAsia"/>
          <w:sz w:val="24"/>
        </w:rPr>
        <w:t>“第二十二条要求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w:t>
      </w:r>
    </w:p>
    <w:p w14:paraId="69E0B3F9">
      <w:pPr>
        <w:spacing w:line="360" w:lineRule="auto"/>
        <w:ind w:firstLine="530" w:firstLineChars="220"/>
        <w:rPr>
          <w:rFonts w:ascii="仿宋_GB2312" w:eastAsia="仿宋_GB2312"/>
          <w:b/>
          <w:bCs/>
          <w:sz w:val="24"/>
        </w:rPr>
      </w:pPr>
      <w:r>
        <w:rPr>
          <w:rFonts w:hint="eastAsia" w:ascii="仿宋_GB2312" w:eastAsia="仿宋_GB2312"/>
          <w:b/>
          <w:bCs/>
          <w:sz w:val="24"/>
        </w:rPr>
        <w:t>《中华人民共和国土壤污染防治法》第十九条、第二十二条作为本标准中在产企业用地内监测指标中拆除活动、建设活动类指标的设定依据；环境隐患指标设定参照第二十一要求。</w:t>
      </w:r>
    </w:p>
    <w:p w14:paraId="6C654A3F">
      <w:pPr>
        <w:pStyle w:val="24"/>
        <w:widowControl/>
        <w:spacing w:line="360" w:lineRule="auto"/>
        <w:ind w:firstLine="480"/>
        <w:rPr>
          <w:rFonts w:ascii="仿宋_GB2312" w:eastAsia="仿宋_GB2312"/>
          <w:sz w:val="32"/>
        </w:rPr>
      </w:pPr>
      <w:r>
        <w:rPr>
          <w:rFonts w:hint="eastAsia"/>
          <w:sz w:val="24"/>
        </w:rPr>
        <w:t>“第十九条要求生产、使用、贮存、运输、回收、处置、排放有毒有害物质的单位和个人，应当采取有效措施，防止有毒有害物质渗漏、流失、扬散，避免土壤受到污染。”</w:t>
      </w:r>
    </w:p>
    <w:p w14:paraId="04DE3738">
      <w:pPr>
        <w:pStyle w:val="24"/>
        <w:widowControl/>
        <w:spacing w:line="360" w:lineRule="auto"/>
        <w:ind w:firstLine="480"/>
        <w:rPr>
          <w:sz w:val="24"/>
        </w:rPr>
      </w:pPr>
      <w:r>
        <w:rPr>
          <w:rFonts w:hint="eastAsia"/>
          <w:sz w:val="24"/>
        </w:rPr>
        <w:t>“第二十二条要求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w:t>
      </w:r>
    </w:p>
    <w:p w14:paraId="5BF91B36">
      <w:pPr>
        <w:pStyle w:val="24"/>
        <w:widowControl/>
        <w:spacing w:line="360" w:lineRule="auto"/>
        <w:ind w:firstLine="480"/>
        <w:rPr>
          <w:sz w:val="24"/>
        </w:rPr>
      </w:pPr>
      <w:r>
        <w:rPr>
          <w:rFonts w:hint="eastAsia"/>
          <w:sz w:val="24"/>
        </w:rPr>
        <w:t>“第二十一条要求土壤污染重点监管单位应当履行下列义务： （一）严格控制有毒有害物质排放，并按年度向生态环境主管部门报告排放情况； （二）建立土壤污染隐患排查制度，保证持续有效防止有毒有害物质渗漏、流失、扬散；（三）制定、实施自行监测方案，并将监测数据报生态环境主管部门。”</w:t>
      </w:r>
    </w:p>
    <w:p w14:paraId="7E95C579">
      <w:pPr>
        <w:spacing w:line="360" w:lineRule="auto"/>
        <w:ind w:firstLine="482" w:firstLineChars="200"/>
        <w:rPr>
          <w:rFonts w:eastAsia="仿宋_GB2312"/>
          <w:sz w:val="24"/>
          <w:szCs w:val="21"/>
        </w:rPr>
      </w:pPr>
      <w:r>
        <w:rPr>
          <w:rFonts w:hint="eastAsia" w:ascii="仿宋_GB2312" w:eastAsia="仿宋_GB2312"/>
          <w:b/>
          <w:bCs/>
          <w:sz w:val="24"/>
        </w:rPr>
        <w:t>《中华人民共和国土壤污染防治法》第三十二条、第五十条明确了禁止新、改、扩建可能造成土壤污染项目的区域。</w:t>
      </w:r>
    </w:p>
    <w:p w14:paraId="52C5B183">
      <w:pPr>
        <w:spacing w:line="360" w:lineRule="auto"/>
        <w:ind w:firstLine="480" w:firstLineChars="200"/>
        <w:rPr>
          <w:sz w:val="24"/>
          <w:szCs w:val="21"/>
        </w:rPr>
      </w:pPr>
      <w:r>
        <w:rPr>
          <w:rFonts w:hint="eastAsia"/>
          <w:sz w:val="24"/>
          <w:szCs w:val="21"/>
        </w:rPr>
        <w:t>第三十二条　县级以上地方人民政府及其有关部门应当按照土地利用总体规划和城乡规划，严格执行相关行业企业布局选址要求，禁止在居民区和学校、医院、疗养院、养老院等单位周边新建、改建、扩建可能造成土壤污染的建设项目。</w:t>
      </w:r>
    </w:p>
    <w:p w14:paraId="0537C07E">
      <w:pPr>
        <w:spacing w:line="360" w:lineRule="auto"/>
        <w:ind w:firstLine="480" w:firstLineChars="200"/>
        <w:rPr>
          <w:sz w:val="24"/>
          <w:szCs w:val="21"/>
        </w:rPr>
      </w:pPr>
      <w:r>
        <w:rPr>
          <w:rFonts w:hint="eastAsia"/>
          <w:sz w:val="24"/>
          <w:szCs w:val="21"/>
        </w:rPr>
        <w:t>第五十条  在永久基本农田集中区域，不得新建可能造成土壤污染的建设项目；已经建成的，应当限期关闭拆除。</w:t>
      </w:r>
    </w:p>
    <w:p w14:paraId="46E04357">
      <w:pPr>
        <w:spacing w:line="360" w:lineRule="auto"/>
        <w:rPr>
          <w:b/>
          <w:bCs/>
          <w:sz w:val="24"/>
          <w:szCs w:val="21"/>
        </w:rPr>
      </w:pPr>
      <w:bookmarkStart w:id="56" w:name="_Toc14571"/>
      <w:bookmarkStart w:id="57" w:name="_Toc131516451"/>
      <w:bookmarkStart w:id="58" w:name="_Toc30927"/>
      <w:r>
        <w:rPr>
          <w:rFonts w:hint="eastAsia"/>
          <w:b/>
          <w:bCs/>
          <w:sz w:val="24"/>
          <w:szCs w:val="21"/>
        </w:rPr>
        <w:t>4.2.3《北京市土壤污染防治条例》</w:t>
      </w:r>
      <w:bookmarkEnd w:id="56"/>
      <w:bookmarkEnd w:id="57"/>
      <w:bookmarkEnd w:id="58"/>
    </w:p>
    <w:p w14:paraId="248448D5">
      <w:pPr>
        <w:spacing w:line="360" w:lineRule="auto"/>
        <w:ind w:firstLine="482" w:firstLineChars="200"/>
        <w:rPr>
          <w:rFonts w:eastAsia="仿宋_GB2312"/>
          <w:sz w:val="24"/>
          <w:szCs w:val="21"/>
        </w:rPr>
      </w:pPr>
      <w:r>
        <w:rPr>
          <w:rFonts w:hint="eastAsia" w:ascii="仿宋_GB2312" w:eastAsia="仿宋_GB2312"/>
          <w:b/>
          <w:bCs/>
          <w:sz w:val="24"/>
        </w:rPr>
        <w:t>《北京市土壤污染防治条例》第八条是本标准开展重点建设用地土壤污染监测的依据。</w:t>
      </w:r>
    </w:p>
    <w:p w14:paraId="01EAE042">
      <w:pPr>
        <w:spacing w:line="360" w:lineRule="auto"/>
        <w:ind w:firstLine="480" w:firstLineChars="200"/>
        <w:rPr>
          <w:sz w:val="24"/>
          <w:szCs w:val="21"/>
        </w:rPr>
      </w:pPr>
      <w:r>
        <w:rPr>
          <w:rFonts w:hint="eastAsia"/>
          <w:sz w:val="24"/>
          <w:szCs w:val="21"/>
        </w:rPr>
        <w:t>第八条 本市实行土壤污染防治相关信息共享制度。本市支持土壤污染监测、预防、评估、风险管控和修复等科学技术的研究开发、成果转化应用以及国际交流与合作。</w:t>
      </w:r>
    </w:p>
    <w:p w14:paraId="2AAA0564">
      <w:pPr>
        <w:spacing w:line="360" w:lineRule="auto"/>
        <w:ind w:firstLine="482" w:firstLineChars="200"/>
        <w:rPr>
          <w:sz w:val="24"/>
          <w:szCs w:val="21"/>
        </w:rPr>
      </w:pPr>
      <w:r>
        <w:rPr>
          <w:rFonts w:hint="eastAsia" w:ascii="仿宋_GB2312" w:eastAsia="仿宋_GB2312"/>
          <w:b/>
          <w:bCs/>
          <w:sz w:val="24"/>
        </w:rPr>
        <w:t>《北京市土壤污染防治条例》第三十七条、第四十三条是本标准监测重点建设用地新、改、扩建建筑和设施的依据。</w:t>
      </w:r>
    </w:p>
    <w:p w14:paraId="579D96C2">
      <w:pPr>
        <w:spacing w:line="360" w:lineRule="auto"/>
        <w:ind w:firstLine="480" w:firstLineChars="200"/>
        <w:rPr>
          <w:sz w:val="24"/>
          <w:szCs w:val="21"/>
        </w:rPr>
      </w:pPr>
      <w:r>
        <w:rPr>
          <w:rFonts w:hint="eastAsia"/>
          <w:sz w:val="24"/>
          <w:szCs w:val="21"/>
        </w:rPr>
        <w:t>第三十七条 应当完成但未完成土壤污染状况调查的，或者土壤中污染物含量超过建设用地土壤污染风险管控标准筛选值且尚未完成土壤污染风险评估的，禁止开工建设任何与土壤污染风险管控和修复无关的项目。</w:t>
      </w:r>
    </w:p>
    <w:p w14:paraId="53AD819E">
      <w:pPr>
        <w:spacing w:line="360" w:lineRule="auto"/>
        <w:ind w:firstLine="480" w:firstLineChars="200"/>
        <w:rPr>
          <w:sz w:val="24"/>
          <w:szCs w:val="21"/>
        </w:rPr>
      </w:pPr>
      <w:r>
        <w:rPr>
          <w:rFonts w:hint="eastAsia"/>
          <w:sz w:val="24"/>
          <w:szCs w:val="21"/>
        </w:rPr>
        <w:t>第四十三条 未达到土壤污染风险评估报告确定的风险管控、修复目标的建设用地地块，禁止开工建设任何与风险管控、修复无关的项目。</w:t>
      </w:r>
    </w:p>
    <w:p w14:paraId="42526EE1">
      <w:pPr>
        <w:spacing w:line="360" w:lineRule="auto"/>
        <w:rPr>
          <w:b/>
          <w:bCs/>
          <w:sz w:val="24"/>
          <w:szCs w:val="21"/>
        </w:rPr>
      </w:pPr>
      <w:bookmarkStart w:id="59" w:name="_Toc131516452"/>
      <w:bookmarkStart w:id="60" w:name="_Toc13612"/>
      <w:bookmarkStart w:id="61" w:name="_Toc951"/>
      <w:r>
        <w:rPr>
          <w:rFonts w:hint="eastAsia"/>
          <w:b/>
          <w:bCs/>
          <w:sz w:val="24"/>
          <w:szCs w:val="21"/>
        </w:rPr>
        <w:t>4.2.4《北京市“十四五”时期土壤污染防治规划》</w:t>
      </w:r>
      <w:bookmarkEnd w:id="59"/>
      <w:bookmarkEnd w:id="60"/>
      <w:bookmarkEnd w:id="61"/>
    </w:p>
    <w:p w14:paraId="6F747777">
      <w:pPr>
        <w:spacing w:line="360" w:lineRule="auto"/>
        <w:ind w:firstLine="530" w:firstLineChars="220"/>
        <w:rPr>
          <w:rFonts w:ascii="仿宋_GB2312" w:eastAsia="仿宋_GB2312"/>
          <w:b/>
          <w:bCs/>
          <w:sz w:val="24"/>
        </w:rPr>
      </w:pPr>
      <w:r>
        <w:rPr>
          <w:rFonts w:hint="eastAsia" w:ascii="仿宋_GB2312" w:eastAsia="仿宋_GB2312"/>
          <w:b/>
          <w:bCs/>
          <w:sz w:val="24"/>
        </w:rPr>
        <w:t>《北京市“十四五”时期土壤污染防治规划》主要任务2和4是本标准中地块遥感监测与评价流程、闭环管理的设计理念依据。</w:t>
      </w:r>
    </w:p>
    <w:p w14:paraId="6218063E">
      <w:pPr>
        <w:pStyle w:val="24"/>
        <w:widowControl/>
        <w:spacing w:line="360" w:lineRule="auto"/>
        <w:ind w:firstLine="480"/>
        <w:rPr>
          <w:sz w:val="24"/>
        </w:rPr>
      </w:pPr>
      <w:r>
        <w:rPr>
          <w:rFonts w:hint="eastAsia"/>
          <w:sz w:val="24"/>
        </w:rPr>
        <w:t>任务2：“全面加强建设用地风险管控”，严格全过程风险管控：把好“入口关”，关停退出工业企业原址用地筛查，应查尽查；监管“全过程”，管理暂不开发地块、科学防控风险、落实建设用地土壤污染风险管控和修复名录制度；把好“出口关”，……经评估达到风险管控、修复目标的，方可开发利用；探索“环境修复+开发建设”模式，加强后期管理实施情况监督检查”。</w:t>
      </w:r>
    </w:p>
    <w:p w14:paraId="4EB455A9">
      <w:pPr>
        <w:pStyle w:val="24"/>
        <w:widowControl/>
        <w:spacing w:line="360" w:lineRule="auto"/>
        <w:ind w:firstLine="480"/>
        <w:rPr>
          <w:sz w:val="24"/>
        </w:rPr>
      </w:pPr>
      <w:r>
        <w:rPr>
          <w:rFonts w:hint="eastAsia"/>
          <w:sz w:val="24"/>
        </w:rPr>
        <w:t>任务4：“提升现代化治理能力”，健全法规标准体系，完善监测网络，打好“遥感监测+网格巡查+现场检查”执法组合拳，深化宣传教育，推进治理体系和治理能力现代化。</w:t>
      </w:r>
    </w:p>
    <w:p w14:paraId="774705C3">
      <w:pPr>
        <w:spacing w:line="360" w:lineRule="auto"/>
        <w:rPr>
          <w:b/>
          <w:bCs/>
          <w:sz w:val="24"/>
          <w:szCs w:val="21"/>
        </w:rPr>
      </w:pPr>
      <w:bookmarkStart w:id="62" w:name="_Toc131516453"/>
      <w:bookmarkStart w:id="63" w:name="_Toc69"/>
      <w:bookmarkStart w:id="64" w:name="_Toc5962"/>
      <w:r>
        <w:rPr>
          <w:rFonts w:hint="eastAsia"/>
          <w:b/>
          <w:bCs/>
          <w:sz w:val="24"/>
          <w:szCs w:val="21"/>
        </w:rPr>
        <w:t>4.2.5《污染地块开发利用遥感监管技术指南》</w:t>
      </w:r>
      <w:bookmarkEnd w:id="62"/>
      <w:bookmarkEnd w:id="63"/>
      <w:bookmarkEnd w:id="64"/>
    </w:p>
    <w:p w14:paraId="7AB51414">
      <w:pPr>
        <w:spacing w:line="360" w:lineRule="auto"/>
        <w:ind w:firstLine="530" w:firstLineChars="220"/>
        <w:rPr>
          <w:rFonts w:ascii="仿宋_GB2312" w:eastAsia="仿宋_GB2312"/>
          <w:b/>
          <w:bCs/>
          <w:sz w:val="24"/>
        </w:rPr>
      </w:pPr>
      <w:r>
        <w:rPr>
          <w:rFonts w:hint="eastAsia" w:ascii="仿宋_GB2312" w:eastAsia="仿宋_GB2312"/>
          <w:b/>
          <w:bCs/>
          <w:sz w:val="24"/>
        </w:rPr>
        <w:t>生态环境部发文要求对建设用地开展遥感监管。</w:t>
      </w:r>
    </w:p>
    <w:p w14:paraId="0FD0486B">
      <w:pPr>
        <w:pStyle w:val="24"/>
        <w:widowControl/>
        <w:spacing w:line="360" w:lineRule="auto"/>
        <w:ind w:firstLine="480"/>
        <w:rPr>
          <w:sz w:val="24"/>
        </w:rPr>
      </w:pPr>
      <w:r>
        <w:rPr>
          <w:rFonts w:hint="eastAsia"/>
          <w:sz w:val="24"/>
        </w:rPr>
        <w:t>环办土壤函〔2020〕416号附件关于印发《污染地块开发利用遥感监管技术指南》的通知中要求对“全国污染地块土壤环境管理信息系统”（以下简称污染地块信息系统）中地块、各地公开的建设用地土壤污染风险管控和修复名录中地块开发利用情况开展遥感监管。</w:t>
      </w:r>
    </w:p>
    <w:p w14:paraId="4476DBCE">
      <w:pPr>
        <w:pStyle w:val="3"/>
        <w:numPr>
          <w:ilvl w:val="0"/>
          <w:numId w:val="0"/>
        </w:numPr>
        <w:spacing w:line="416" w:lineRule="auto"/>
        <w:rPr>
          <w:rFonts w:eastAsia="黑体"/>
          <w:b w:val="0"/>
          <w:kern w:val="0"/>
          <w:sz w:val="32"/>
        </w:rPr>
      </w:pPr>
      <w:bookmarkStart w:id="65" w:name="_Toc14394"/>
      <w:r>
        <w:rPr>
          <w:rFonts w:hint="eastAsia" w:eastAsia="黑体"/>
          <w:b w:val="0"/>
          <w:kern w:val="0"/>
          <w:sz w:val="32"/>
        </w:rPr>
        <w:t>4.3与现行法律、法规、标准的关系</w:t>
      </w:r>
      <w:bookmarkEnd w:id="65"/>
    </w:p>
    <w:p w14:paraId="1EDB4AC0">
      <w:pPr>
        <w:spacing w:line="360" w:lineRule="auto"/>
        <w:ind w:firstLine="482" w:firstLineChars="200"/>
        <w:rPr>
          <w:sz w:val="24"/>
          <w:szCs w:val="21"/>
        </w:rPr>
      </w:pPr>
      <w:r>
        <w:rPr>
          <w:rFonts w:hint="eastAsia"/>
          <w:b/>
          <w:bCs/>
          <w:sz w:val="24"/>
          <w:szCs w:val="21"/>
        </w:rPr>
        <w:t>4.3.1与现行法律、法规的关系</w:t>
      </w:r>
    </w:p>
    <w:p w14:paraId="5DCF6437">
      <w:pPr>
        <w:spacing w:line="360" w:lineRule="auto"/>
        <w:ind w:firstLine="480" w:firstLineChars="200"/>
        <w:rPr>
          <w:sz w:val="24"/>
          <w:szCs w:val="21"/>
        </w:rPr>
      </w:pPr>
      <w:r>
        <w:rPr>
          <w:rFonts w:hint="eastAsia"/>
          <w:sz w:val="24"/>
          <w:szCs w:val="21"/>
        </w:rPr>
        <w:t>本标准是依据《中华人民共和国环境保护法》（2014年修订）、《中华人民共和国土壤污染防治法》（2018年颁布）和《北京市土壤污染防治条例》（2022年颁布）等土壤污染法律法规的相关条款制定的地方推荐性标准，有效衔接《土壤污染防治行动计划》（国发〔2016〕31号）和《</w:t>
      </w:r>
      <w:r>
        <w:rPr>
          <w:rFonts w:hint="eastAsia"/>
          <w:sz w:val="24"/>
        </w:rPr>
        <w:t>北京市“十四五”时期土壤污染防治规划</w:t>
      </w:r>
      <w:r>
        <w:rPr>
          <w:rFonts w:hint="eastAsia"/>
          <w:sz w:val="24"/>
          <w:szCs w:val="21"/>
        </w:rPr>
        <w:t>》（京环发〔2022〕6号），用于规范重点建设用地土壤污染遥感监测的技术要求，提高重点建设用地土壤污染遥感监测的准确性与延续性，服务土壤环境管理需要，保护和改善土壤环境质量。</w:t>
      </w:r>
    </w:p>
    <w:p w14:paraId="78448238">
      <w:pPr>
        <w:spacing w:line="360" w:lineRule="auto"/>
        <w:ind w:firstLine="482" w:firstLineChars="200"/>
        <w:rPr>
          <w:sz w:val="24"/>
          <w:szCs w:val="21"/>
        </w:rPr>
      </w:pPr>
      <w:r>
        <w:rPr>
          <w:rFonts w:hint="eastAsia"/>
          <w:b/>
          <w:bCs/>
          <w:sz w:val="24"/>
          <w:szCs w:val="21"/>
        </w:rPr>
        <w:t>4.3.2与现行标准的关系</w:t>
      </w:r>
    </w:p>
    <w:p w14:paraId="7744A24A">
      <w:pPr>
        <w:spacing w:line="360" w:lineRule="auto"/>
        <w:ind w:firstLine="480" w:firstLineChars="200"/>
        <w:rPr>
          <w:sz w:val="24"/>
          <w:szCs w:val="21"/>
        </w:rPr>
      </w:pPr>
      <w:r>
        <w:rPr>
          <w:rFonts w:hint="eastAsia"/>
          <w:sz w:val="24"/>
          <w:szCs w:val="21"/>
        </w:rPr>
        <w:t>十八大以来，国家持续加强生态环境保护力度，遥感作为监测领域的重要手段，是生态环境保护的重要组成部分。重点建设用地作为土壤污染的重要源头，是土壤环境污染的潜在风险源。但是，目前国内外未见到重点建设用地遥感影像解译的相关技术规范，因此，本规范的制定十分迫切，将有助于实现重点建设用地土壤污染遥感监测业务化，提高监测效率。</w:t>
      </w:r>
    </w:p>
    <w:p w14:paraId="1F12EC24">
      <w:pPr>
        <w:spacing w:line="360" w:lineRule="auto"/>
        <w:ind w:firstLine="480" w:firstLineChars="200"/>
        <w:rPr>
          <w:sz w:val="24"/>
          <w:szCs w:val="21"/>
        </w:rPr>
      </w:pPr>
      <w:r>
        <w:rPr>
          <w:rFonts w:hint="eastAsia"/>
          <w:sz w:val="24"/>
          <w:szCs w:val="21"/>
        </w:rPr>
        <w:t>本标准是对建设用地土壤污染调查、风险评估、场地修复系列标准（HJ25系列）在日常监管环节的延伸扩展，以高分辨率遥感监测技术连续自动、覆盖范围广、监测速度快、地物信息清晰、成本低且长期动态监测等优点，实现高效、快速、连续、动态的建设用地土壤污染监测。</w:t>
      </w:r>
    </w:p>
    <w:p w14:paraId="33F9F347">
      <w:pPr>
        <w:spacing w:line="360" w:lineRule="auto"/>
        <w:ind w:firstLine="480" w:firstLineChars="200"/>
        <w:rPr>
          <w:sz w:val="24"/>
          <w:szCs w:val="21"/>
        </w:rPr>
      </w:pPr>
      <w:r>
        <w:rPr>
          <w:rFonts w:hint="eastAsia"/>
          <w:sz w:val="24"/>
          <w:szCs w:val="21"/>
        </w:rPr>
        <w:t>相关测绘标准，本标准采用《数字测绘成果质量要求》（GB/T 17941—2008）、《数字测绘成果质量检查与验收》（GB/T 18316—2008）、《国家基本比例尺地图1:</w:t>
      </w:r>
      <w:r>
        <w:rPr>
          <w:sz w:val="24"/>
          <w:szCs w:val="21"/>
        </w:rPr>
        <w:t>5000 1:10000</w:t>
      </w:r>
      <w:r>
        <w:rPr>
          <w:rFonts w:hint="eastAsia"/>
          <w:sz w:val="24"/>
          <w:szCs w:val="21"/>
        </w:rPr>
        <w:t>正射影像地图》（GB</w:t>
      </w:r>
      <w:r>
        <w:rPr>
          <w:sz w:val="24"/>
          <w:szCs w:val="21"/>
        </w:rPr>
        <w:t>/</w:t>
      </w:r>
      <w:r>
        <w:rPr>
          <w:rFonts w:hint="eastAsia"/>
          <w:sz w:val="24"/>
          <w:szCs w:val="21"/>
        </w:rPr>
        <w:t>T</w:t>
      </w:r>
      <w:r>
        <w:rPr>
          <w:sz w:val="24"/>
          <w:szCs w:val="21"/>
        </w:rPr>
        <w:t xml:space="preserve"> 33182</w:t>
      </w:r>
      <w:r>
        <w:rPr>
          <w:rFonts w:hint="eastAsia"/>
          <w:sz w:val="24"/>
          <w:szCs w:val="21"/>
        </w:rPr>
        <w:t>）《数字正射影像质量检验技术规程》（</w:t>
      </w:r>
      <w:r>
        <w:rPr>
          <w:sz w:val="24"/>
          <w:szCs w:val="21"/>
        </w:rPr>
        <w:t>CH/T 1027</w:t>
      </w:r>
      <w:r>
        <w:rPr>
          <w:rFonts w:hint="eastAsia"/>
          <w:sz w:val="24"/>
          <w:szCs w:val="21"/>
        </w:rPr>
        <w:t>）评价高分辨率遥感影像的技术参数和质量要求；采用《基础地理信息 1:10 000地形要素数据规范》（GB/T 33462—2016）和《基础地理信息 1:</w:t>
      </w:r>
      <w:r>
        <w:rPr>
          <w:sz w:val="24"/>
          <w:szCs w:val="21"/>
        </w:rPr>
        <w:t>50</w:t>
      </w:r>
      <w:r>
        <w:rPr>
          <w:rFonts w:hint="eastAsia"/>
          <w:sz w:val="24"/>
          <w:szCs w:val="21"/>
        </w:rPr>
        <w:t xml:space="preserve"> 000地形要素数据规范》（</w:t>
      </w:r>
      <w:r>
        <w:rPr>
          <w:sz w:val="24"/>
          <w:szCs w:val="21"/>
        </w:rPr>
        <w:t>GB/T 33183</w:t>
      </w:r>
      <w:r>
        <w:rPr>
          <w:rFonts w:hint="eastAsia"/>
          <w:sz w:val="24"/>
          <w:szCs w:val="21"/>
        </w:rPr>
        <w:t>）规范解译成果质量指标。</w:t>
      </w:r>
    </w:p>
    <w:p w14:paraId="16F6A83D">
      <w:pPr>
        <w:spacing w:line="360" w:lineRule="auto"/>
        <w:ind w:firstLine="480" w:firstLineChars="200"/>
        <w:rPr>
          <w:sz w:val="24"/>
          <w:szCs w:val="21"/>
        </w:rPr>
      </w:pPr>
      <w:r>
        <w:rPr>
          <w:rFonts w:hint="eastAsia"/>
          <w:sz w:val="24"/>
          <w:szCs w:val="21"/>
        </w:rPr>
        <w:t>土壤污染相关环境标准，在地块信息收集阶段，执行《土壤环境质量 建设用地土壤污染风险管控标准》（GB 36600—2018），与环办土壤函〔2020〕416号《污染地块开发利用遥感监管技术指南》相比，参照了此技术指南中对污染地块的工作流程和部分指标，以可执行为原则，对开发利用活动遥感识别指标进行了细化和修改，新增了对重点监管单位的遥感识别指标，扩展了地块基础信息要求、地块纳入和移除条件、现场核查指标体系和两级反馈、在产企业用地遥感监测指标体系、风险级别评价等级等内容。</w:t>
      </w:r>
    </w:p>
    <w:p w14:paraId="0FA0DD8B">
      <w:pPr>
        <w:spacing w:line="360" w:lineRule="auto"/>
        <w:ind w:firstLine="480" w:firstLineChars="200"/>
        <w:rPr>
          <w:sz w:val="24"/>
          <w:szCs w:val="21"/>
        </w:rPr>
      </w:pPr>
      <w:r>
        <w:rPr>
          <w:rFonts w:hint="eastAsia"/>
          <w:sz w:val="24"/>
          <w:szCs w:val="21"/>
        </w:rPr>
        <w:t>承接国内外已有相关标准，在参考《建筑施工裸地遥感监测技术导则》（T/CECS 995—2022）和《入河（海）排污口排查整治无人机遥感解译技术规范》（HJ 1234—2021）基础上，本标准拓展已有的建设用地监测方法，作为《矿产资源开发遥感监测技术规范》（</w:t>
      </w:r>
      <w:r>
        <w:rPr>
          <w:sz w:val="24"/>
          <w:szCs w:val="21"/>
        </w:rPr>
        <w:t>DZ/T 0266—2014</w:t>
      </w:r>
      <w:r>
        <w:rPr>
          <w:rFonts w:hint="eastAsia"/>
          <w:sz w:val="24"/>
          <w:szCs w:val="21"/>
        </w:rPr>
        <w:t>）</w:t>
      </w:r>
      <w:r>
        <w:rPr>
          <w:sz w:val="24"/>
          <w:szCs w:val="21"/>
        </w:rPr>
        <w:t>、《煤化工企业土壤污染隐患排查管理规程》</w:t>
      </w:r>
      <w:r>
        <w:rPr>
          <w:rFonts w:hint="eastAsia"/>
          <w:sz w:val="24"/>
          <w:szCs w:val="21"/>
        </w:rPr>
        <w:t>（</w:t>
      </w:r>
      <w:r>
        <w:rPr>
          <w:sz w:val="24"/>
          <w:szCs w:val="21"/>
        </w:rPr>
        <w:t>NB/T 10749—2021</w:t>
      </w:r>
      <w:r>
        <w:rPr>
          <w:rFonts w:hint="eastAsia"/>
          <w:sz w:val="24"/>
          <w:szCs w:val="21"/>
        </w:rPr>
        <w:t>）和</w:t>
      </w:r>
      <w:r>
        <w:rPr>
          <w:sz w:val="24"/>
          <w:szCs w:val="21"/>
        </w:rPr>
        <w:t>《Soil quality—Sampling—Part5：Guidance on the procedure for the investigation of urban and industrial sites with regard to soil contamination》</w:t>
      </w:r>
      <w:r>
        <w:rPr>
          <w:rFonts w:hint="eastAsia"/>
          <w:sz w:val="24"/>
          <w:szCs w:val="21"/>
        </w:rPr>
        <w:t>（</w:t>
      </w:r>
      <w:r>
        <w:rPr>
          <w:sz w:val="24"/>
          <w:szCs w:val="21"/>
        </w:rPr>
        <w:t>ISO 10381—5:2005</w:t>
      </w:r>
      <w:r>
        <w:rPr>
          <w:rFonts w:hint="eastAsia"/>
          <w:sz w:val="24"/>
          <w:szCs w:val="21"/>
        </w:rPr>
        <w:t>）等标准的重要技术补充，完善建设用地监测体系，以遥感手段提高建设用地动态变化监测的时效性。</w:t>
      </w:r>
    </w:p>
    <w:p w14:paraId="295FC582">
      <w:pPr>
        <w:pStyle w:val="2"/>
      </w:pPr>
      <w:bookmarkStart w:id="66" w:name="_Toc23486"/>
      <w:bookmarkStart w:id="67" w:name="_Toc103617125"/>
      <w:r>
        <w:t xml:space="preserve">5 </w:t>
      </w:r>
      <w:r>
        <w:rPr>
          <w:rFonts w:hint="eastAsia"/>
        </w:rPr>
        <w:t>文件的主要技术内容</w:t>
      </w:r>
      <w:bookmarkEnd w:id="66"/>
      <w:bookmarkEnd w:id="67"/>
    </w:p>
    <w:p w14:paraId="5A28E5EA">
      <w:pPr>
        <w:pStyle w:val="3"/>
        <w:numPr>
          <w:ilvl w:val="0"/>
          <w:numId w:val="0"/>
        </w:numPr>
        <w:spacing w:line="416" w:lineRule="auto"/>
        <w:rPr>
          <w:rFonts w:eastAsia="黑体"/>
          <w:b w:val="0"/>
          <w:kern w:val="0"/>
          <w:sz w:val="32"/>
        </w:rPr>
      </w:pPr>
      <w:bookmarkStart w:id="68" w:name="_Toc103617126"/>
      <w:bookmarkStart w:id="69" w:name="_Toc2469"/>
      <w:r>
        <w:rPr>
          <w:rFonts w:hint="eastAsia" w:eastAsia="黑体"/>
          <w:b w:val="0"/>
          <w:kern w:val="0"/>
          <w:sz w:val="32"/>
        </w:rPr>
        <w:t>5.1 文件内容框架</w:t>
      </w:r>
      <w:bookmarkEnd w:id="68"/>
      <w:bookmarkEnd w:id="69"/>
    </w:p>
    <w:p w14:paraId="6E092C1B">
      <w:pPr>
        <w:spacing w:line="360" w:lineRule="auto"/>
        <w:ind w:firstLine="480" w:firstLineChars="200"/>
        <w:rPr>
          <w:sz w:val="24"/>
          <w:szCs w:val="21"/>
        </w:rPr>
      </w:pPr>
      <w:r>
        <w:rPr>
          <w:rFonts w:hint="eastAsia"/>
          <w:sz w:val="24"/>
          <w:szCs w:val="21"/>
        </w:rPr>
        <w:t>本标准包括范围，规范性引用文件，术语和定义，监测原则与工作程序，遥感解译，现场调查，风险级别评价，重点建设用地监测成果规范化要求，质量控制共九部分。</w:t>
      </w:r>
    </w:p>
    <w:p w14:paraId="70EDE970">
      <w:pPr>
        <w:spacing w:line="360" w:lineRule="auto"/>
        <w:ind w:firstLine="482" w:firstLineChars="200"/>
        <w:rPr>
          <w:sz w:val="24"/>
          <w:szCs w:val="21"/>
        </w:rPr>
      </w:pPr>
      <w:r>
        <w:rPr>
          <w:rFonts w:hint="eastAsia"/>
          <w:b/>
          <w:bCs/>
          <w:sz w:val="24"/>
          <w:szCs w:val="21"/>
        </w:rPr>
        <w:t>（1）范围</w:t>
      </w:r>
      <w:r>
        <w:rPr>
          <w:rFonts w:hint="eastAsia"/>
          <w:sz w:val="24"/>
          <w:szCs w:val="21"/>
        </w:rPr>
        <w:t>：本标准的主要内容和适用范围。</w:t>
      </w:r>
    </w:p>
    <w:p w14:paraId="72216199">
      <w:pPr>
        <w:spacing w:line="360" w:lineRule="auto"/>
        <w:ind w:firstLine="482" w:firstLineChars="200"/>
        <w:rPr>
          <w:sz w:val="24"/>
          <w:szCs w:val="21"/>
        </w:rPr>
      </w:pPr>
      <w:r>
        <w:rPr>
          <w:rFonts w:hint="eastAsia"/>
          <w:b/>
          <w:bCs/>
          <w:sz w:val="24"/>
          <w:szCs w:val="21"/>
        </w:rPr>
        <w:t>（2）规范性引用文件</w:t>
      </w:r>
      <w:r>
        <w:rPr>
          <w:rFonts w:hint="eastAsia"/>
          <w:sz w:val="24"/>
          <w:szCs w:val="21"/>
        </w:rPr>
        <w:t>：本标准中引用的标准。</w:t>
      </w:r>
    </w:p>
    <w:p w14:paraId="05AA2ACA">
      <w:pPr>
        <w:spacing w:line="360" w:lineRule="auto"/>
        <w:ind w:firstLine="482" w:firstLineChars="200"/>
        <w:rPr>
          <w:sz w:val="24"/>
          <w:szCs w:val="21"/>
        </w:rPr>
      </w:pPr>
      <w:r>
        <w:rPr>
          <w:rFonts w:hint="eastAsia"/>
          <w:b/>
          <w:bCs/>
          <w:sz w:val="24"/>
          <w:szCs w:val="21"/>
        </w:rPr>
        <w:t>（3）术语和定义</w:t>
      </w:r>
      <w:r>
        <w:rPr>
          <w:rFonts w:hint="eastAsia"/>
          <w:sz w:val="24"/>
          <w:szCs w:val="21"/>
        </w:rPr>
        <w:t>：本标准中关键词的解释。</w:t>
      </w:r>
    </w:p>
    <w:p w14:paraId="6C3832C4">
      <w:pPr>
        <w:spacing w:line="360" w:lineRule="auto"/>
        <w:ind w:firstLine="482" w:firstLineChars="200"/>
        <w:rPr>
          <w:sz w:val="24"/>
          <w:szCs w:val="21"/>
        </w:rPr>
      </w:pPr>
      <w:r>
        <w:rPr>
          <w:rFonts w:hint="eastAsia"/>
          <w:b/>
          <w:bCs/>
          <w:sz w:val="24"/>
          <w:szCs w:val="21"/>
        </w:rPr>
        <w:t>（4）监测原则与工作程序</w:t>
      </w:r>
      <w:r>
        <w:rPr>
          <w:rFonts w:hint="eastAsia"/>
          <w:sz w:val="24"/>
          <w:szCs w:val="21"/>
        </w:rPr>
        <w:t>：本标准中监测需要遵循的基本原则和工作程序。</w:t>
      </w:r>
    </w:p>
    <w:p w14:paraId="43006990">
      <w:pPr>
        <w:spacing w:line="360" w:lineRule="auto"/>
        <w:ind w:firstLine="482" w:firstLineChars="200"/>
        <w:rPr>
          <w:sz w:val="24"/>
          <w:szCs w:val="21"/>
        </w:rPr>
      </w:pPr>
      <w:r>
        <w:rPr>
          <w:rFonts w:hint="eastAsia"/>
          <w:b/>
          <w:bCs/>
          <w:sz w:val="24"/>
          <w:szCs w:val="21"/>
        </w:rPr>
        <w:t>（5）遥感解译</w:t>
      </w:r>
      <w:r>
        <w:rPr>
          <w:rFonts w:hint="eastAsia"/>
          <w:sz w:val="24"/>
          <w:szCs w:val="21"/>
        </w:rPr>
        <w:t>：本标准中遥感监测重点建设用地土壤污染的主要内容和采用的方法。</w:t>
      </w:r>
    </w:p>
    <w:p w14:paraId="01DE8392">
      <w:pPr>
        <w:spacing w:line="360" w:lineRule="auto"/>
        <w:ind w:firstLine="482" w:firstLineChars="200"/>
        <w:rPr>
          <w:sz w:val="24"/>
          <w:szCs w:val="21"/>
        </w:rPr>
      </w:pPr>
      <w:r>
        <w:rPr>
          <w:rFonts w:hint="eastAsia"/>
          <w:b/>
          <w:bCs/>
          <w:sz w:val="24"/>
          <w:szCs w:val="21"/>
        </w:rPr>
        <w:t>（6）现场调查</w:t>
      </w:r>
      <w:r>
        <w:rPr>
          <w:rFonts w:hint="eastAsia"/>
          <w:sz w:val="24"/>
          <w:szCs w:val="21"/>
        </w:rPr>
        <w:t>：本标准中外业调查的准备工作、注意事项及调查内容。</w:t>
      </w:r>
    </w:p>
    <w:p w14:paraId="506A2BBD">
      <w:pPr>
        <w:spacing w:line="360" w:lineRule="auto"/>
        <w:ind w:firstLine="482" w:firstLineChars="200"/>
        <w:rPr>
          <w:sz w:val="24"/>
          <w:szCs w:val="21"/>
        </w:rPr>
      </w:pPr>
      <w:r>
        <w:rPr>
          <w:rFonts w:hint="eastAsia"/>
          <w:b/>
          <w:bCs/>
          <w:sz w:val="24"/>
          <w:szCs w:val="21"/>
        </w:rPr>
        <w:t>（7）风险级别评价</w:t>
      </w:r>
      <w:r>
        <w:rPr>
          <w:rFonts w:hint="eastAsia"/>
          <w:sz w:val="24"/>
          <w:szCs w:val="21"/>
        </w:rPr>
        <w:t>：本标准中风险级别评价的参考指标、评价基准。</w:t>
      </w:r>
    </w:p>
    <w:p w14:paraId="141CD83E">
      <w:pPr>
        <w:spacing w:line="360" w:lineRule="auto"/>
        <w:ind w:firstLine="482" w:firstLineChars="200"/>
        <w:rPr>
          <w:sz w:val="24"/>
          <w:szCs w:val="21"/>
        </w:rPr>
      </w:pPr>
      <w:r>
        <w:rPr>
          <w:rFonts w:hint="eastAsia"/>
          <w:b/>
          <w:bCs/>
          <w:sz w:val="24"/>
          <w:szCs w:val="21"/>
        </w:rPr>
        <w:t>（8）监测成果要求</w:t>
      </w:r>
      <w:r>
        <w:rPr>
          <w:rFonts w:hint="eastAsia"/>
          <w:sz w:val="24"/>
          <w:szCs w:val="21"/>
        </w:rPr>
        <w:t>：本标准中监测台账、遥感解译成果、现场调查成果、专题图成果、报告编写的要求。</w:t>
      </w:r>
    </w:p>
    <w:p w14:paraId="31A08031">
      <w:pPr>
        <w:spacing w:line="360" w:lineRule="auto"/>
        <w:ind w:firstLine="482" w:firstLineChars="200"/>
        <w:rPr>
          <w:sz w:val="24"/>
          <w:szCs w:val="21"/>
        </w:rPr>
      </w:pPr>
      <w:r>
        <w:rPr>
          <w:rFonts w:hint="eastAsia"/>
          <w:b/>
          <w:bCs/>
          <w:sz w:val="24"/>
          <w:szCs w:val="21"/>
        </w:rPr>
        <w:t>（9）质量控制</w:t>
      </w:r>
      <w:r>
        <w:rPr>
          <w:rFonts w:hint="eastAsia"/>
          <w:sz w:val="24"/>
          <w:szCs w:val="21"/>
        </w:rPr>
        <w:t>：本标准中对遥感影像、遥感解译、现场调查和整体流程的质量要求。</w:t>
      </w:r>
    </w:p>
    <w:p w14:paraId="75629E15">
      <w:pPr>
        <w:pStyle w:val="3"/>
        <w:numPr>
          <w:ilvl w:val="0"/>
          <w:numId w:val="0"/>
        </w:numPr>
        <w:spacing w:line="416" w:lineRule="auto"/>
        <w:rPr>
          <w:rFonts w:eastAsia="黑体"/>
          <w:b w:val="0"/>
          <w:kern w:val="0"/>
          <w:sz w:val="32"/>
        </w:rPr>
      </w:pPr>
      <w:bookmarkStart w:id="70" w:name="_Toc29766"/>
      <w:bookmarkStart w:id="71" w:name="_Toc103617127"/>
      <w:r>
        <w:rPr>
          <w:rFonts w:hint="eastAsia" w:eastAsia="黑体"/>
          <w:b w:val="0"/>
          <w:kern w:val="0"/>
          <w:sz w:val="32"/>
        </w:rPr>
        <w:t>5.2 适用范围</w:t>
      </w:r>
      <w:bookmarkEnd w:id="70"/>
      <w:bookmarkEnd w:id="71"/>
    </w:p>
    <w:p w14:paraId="63577401">
      <w:pPr>
        <w:spacing w:line="360" w:lineRule="auto"/>
        <w:ind w:firstLine="480" w:firstLineChars="200"/>
        <w:rPr>
          <w:sz w:val="24"/>
          <w:szCs w:val="21"/>
        </w:rPr>
      </w:pPr>
      <w:r>
        <w:rPr>
          <w:rFonts w:hint="eastAsia"/>
          <w:sz w:val="24"/>
          <w:szCs w:val="21"/>
        </w:rPr>
        <w:t>本文件规定了重点建设用地土壤污染遥感监测原则与工作程序、遥感解译、现场调查、风险级别评价、监测成果以及质量控制的技术要求。</w:t>
      </w:r>
    </w:p>
    <w:p w14:paraId="2D0A2541">
      <w:pPr>
        <w:spacing w:line="360" w:lineRule="auto"/>
        <w:ind w:firstLine="480" w:firstLineChars="200"/>
        <w:rPr>
          <w:sz w:val="24"/>
          <w:szCs w:val="21"/>
        </w:rPr>
      </w:pPr>
      <w:r>
        <w:rPr>
          <w:rFonts w:hint="eastAsia"/>
          <w:sz w:val="24"/>
          <w:szCs w:val="21"/>
        </w:rPr>
        <w:t>本文件适用于利用遥感监测开展重点建设用地土壤污染的日常监管和风险级别评价，包括关停退出工业企业原址用地和在产企业用地。其他相关地块土壤污染遥感监测工作可参照开展。</w:t>
      </w:r>
    </w:p>
    <w:p w14:paraId="7943EEC0">
      <w:pPr>
        <w:pStyle w:val="3"/>
        <w:numPr>
          <w:ilvl w:val="0"/>
          <w:numId w:val="0"/>
        </w:numPr>
        <w:spacing w:line="416" w:lineRule="auto"/>
        <w:rPr>
          <w:rFonts w:eastAsia="黑体"/>
          <w:b w:val="0"/>
          <w:kern w:val="0"/>
          <w:sz w:val="32"/>
        </w:rPr>
      </w:pPr>
      <w:bookmarkStart w:id="72" w:name="_Toc24149"/>
      <w:r>
        <w:rPr>
          <w:rFonts w:hint="eastAsia" w:eastAsia="黑体"/>
          <w:b w:val="0"/>
          <w:kern w:val="0"/>
          <w:sz w:val="32"/>
        </w:rPr>
        <w:t>5.3 规范性引用文件</w:t>
      </w:r>
      <w:bookmarkEnd w:id="72"/>
    </w:p>
    <w:p w14:paraId="3E2B282C">
      <w:pPr>
        <w:spacing w:line="360" w:lineRule="auto"/>
        <w:ind w:firstLine="480" w:firstLineChars="200"/>
        <w:rPr>
          <w:sz w:val="24"/>
          <w:szCs w:val="21"/>
        </w:rPr>
      </w:pPr>
      <w:r>
        <w:rPr>
          <w:rFonts w:hint="eastAsia"/>
          <w:sz w:val="24"/>
          <w:szCs w:val="21"/>
        </w:rPr>
        <w:t>GB/T 17941 数字测绘成果质量要求</w:t>
      </w:r>
    </w:p>
    <w:p w14:paraId="18B0F388">
      <w:pPr>
        <w:spacing w:line="360" w:lineRule="auto"/>
        <w:ind w:firstLine="480" w:firstLineChars="200"/>
        <w:rPr>
          <w:sz w:val="24"/>
          <w:szCs w:val="21"/>
        </w:rPr>
      </w:pPr>
      <w:r>
        <w:rPr>
          <w:rFonts w:hint="eastAsia"/>
          <w:sz w:val="24"/>
          <w:szCs w:val="21"/>
        </w:rPr>
        <w:t>GB/T 18316 数字测绘成果质量检查与验收</w:t>
      </w:r>
    </w:p>
    <w:p w14:paraId="577B7030">
      <w:pPr>
        <w:spacing w:line="360" w:lineRule="auto"/>
        <w:ind w:firstLine="480" w:firstLineChars="200"/>
        <w:rPr>
          <w:sz w:val="24"/>
          <w:szCs w:val="21"/>
        </w:rPr>
      </w:pPr>
      <w:r>
        <w:rPr>
          <w:rFonts w:hint="eastAsia"/>
          <w:sz w:val="24"/>
          <w:szCs w:val="21"/>
        </w:rPr>
        <w:t>GB</w:t>
      </w:r>
      <w:r>
        <w:rPr>
          <w:sz w:val="24"/>
          <w:szCs w:val="21"/>
        </w:rPr>
        <w:t>/</w:t>
      </w:r>
      <w:r>
        <w:rPr>
          <w:rFonts w:hint="eastAsia"/>
          <w:sz w:val="24"/>
          <w:szCs w:val="21"/>
        </w:rPr>
        <w:t>T</w:t>
      </w:r>
      <w:r>
        <w:rPr>
          <w:sz w:val="24"/>
          <w:szCs w:val="21"/>
        </w:rPr>
        <w:t xml:space="preserve"> 33182 </w:t>
      </w:r>
      <w:r>
        <w:rPr>
          <w:rFonts w:hint="eastAsia"/>
          <w:sz w:val="24"/>
          <w:szCs w:val="21"/>
        </w:rPr>
        <w:t>国家基本比例尺地图1:</w:t>
      </w:r>
      <w:r>
        <w:rPr>
          <w:sz w:val="24"/>
          <w:szCs w:val="21"/>
        </w:rPr>
        <w:t>5000 1:10000</w:t>
      </w:r>
      <w:r>
        <w:rPr>
          <w:rFonts w:hint="eastAsia"/>
          <w:sz w:val="24"/>
          <w:szCs w:val="21"/>
        </w:rPr>
        <w:t>正射影像地图</w:t>
      </w:r>
    </w:p>
    <w:p w14:paraId="358BBBBA">
      <w:pPr>
        <w:spacing w:line="360" w:lineRule="auto"/>
        <w:ind w:firstLine="480" w:firstLineChars="200"/>
        <w:rPr>
          <w:sz w:val="24"/>
          <w:szCs w:val="21"/>
        </w:rPr>
      </w:pPr>
      <w:r>
        <w:rPr>
          <w:rFonts w:hint="eastAsia"/>
          <w:sz w:val="24"/>
          <w:szCs w:val="21"/>
        </w:rPr>
        <w:t>GB 36600 土壤环境质量 建设用地土壤污染风险管控标准（试行）</w:t>
      </w:r>
    </w:p>
    <w:p w14:paraId="4CADA3B0">
      <w:pPr>
        <w:spacing w:after="319" w:afterLines="100" w:line="360" w:lineRule="auto"/>
        <w:ind w:firstLine="480" w:firstLineChars="200"/>
        <w:rPr>
          <w:sz w:val="24"/>
          <w:szCs w:val="21"/>
        </w:rPr>
      </w:pPr>
      <w:r>
        <w:rPr>
          <w:rFonts w:hint="eastAsia"/>
          <w:sz w:val="24"/>
          <w:szCs w:val="21"/>
        </w:rPr>
        <w:t>CH/T 1027 数字正射影像质量检查技术规程</w:t>
      </w:r>
    </w:p>
    <w:p w14:paraId="3C6D7DF7">
      <w:pPr>
        <w:spacing w:line="360" w:lineRule="auto"/>
        <w:ind w:firstLine="480" w:firstLineChars="200"/>
        <w:rPr>
          <w:sz w:val="24"/>
          <w:szCs w:val="21"/>
        </w:rPr>
      </w:pPr>
      <w:r>
        <w:rPr>
          <w:rFonts w:hint="eastAsia"/>
          <w:sz w:val="24"/>
          <w:szCs w:val="21"/>
        </w:rPr>
        <w:t>本标准“9.2.1 遥感解译成果质量”，应符合《数字测绘成果质量要求》（GB/T 17941）中数字线划图的要求；</w:t>
      </w:r>
    </w:p>
    <w:p w14:paraId="4F863D34">
      <w:pPr>
        <w:spacing w:line="360" w:lineRule="auto"/>
        <w:ind w:firstLine="480" w:firstLineChars="200"/>
        <w:rPr>
          <w:sz w:val="24"/>
          <w:szCs w:val="21"/>
          <w:highlight w:val="yellow"/>
        </w:rPr>
      </w:pPr>
      <w:r>
        <w:rPr>
          <w:rFonts w:hint="eastAsia"/>
          <w:sz w:val="24"/>
          <w:szCs w:val="21"/>
        </w:rPr>
        <w:t>本标准“9.2.2 遥感解译验收与质量评定”，应符合《数字测绘成果质量检查与验收》（GB/T 18316）中过程检查、最终检查、验收、质量评价体系的要求；</w:t>
      </w:r>
    </w:p>
    <w:p w14:paraId="6BE6D0E0">
      <w:pPr>
        <w:spacing w:line="360" w:lineRule="auto"/>
        <w:ind w:firstLine="480" w:firstLineChars="200"/>
        <w:rPr>
          <w:sz w:val="24"/>
          <w:szCs w:val="21"/>
        </w:rPr>
      </w:pPr>
      <w:r>
        <w:rPr>
          <w:rFonts w:hint="eastAsia"/>
          <w:sz w:val="24"/>
          <w:szCs w:val="21"/>
        </w:rPr>
        <w:t>本标准“</w:t>
      </w:r>
      <w:r>
        <w:rPr>
          <w:sz w:val="24"/>
          <w:szCs w:val="21"/>
        </w:rPr>
        <w:t xml:space="preserve">9.1.1 </w:t>
      </w:r>
      <w:r>
        <w:rPr>
          <w:rFonts w:hint="eastAsia"/>
          <w:sz w:val="24"/>
          <w:szCs w:val="21"/>
        </w:rPr>
        <w:t>所用数字正射影像的质量”，应符合《国家基本比例尺地图1:</w:t>
      </w:r>
      <w:r>
        <w:rPr>
          <w:sz w:val="24"/>
          <w:szCs w:val="21"/>
        </w:rPr>
        <w:t>5000 1:10000</w:t>
      </w:r>
      <w:r>
        <w:rPr>
          <w:rFonts w:hint="eastAsia"/>
          <w:sz w:val="24"/>
          <w:szCs w:val="21"/>
        </w:rPr>
        <w:t>正射影像地图》（GB</w:t>
      </w:r>
      <w:r>
        <w:rPr>
          <w:sz w:val="24"/>
          <w:szCs w:val="21"/>
        </w:rPr>
        <w:t>/</w:t>
      </w:r>
      <w:r>
        <w:rPr>
          <w:rFonts w:hint="eastAsia"/>
          <w:sz w:val="24"/>
          <w:szCs w:val="21"/>
        </w:rPr>
        <w:t>T</w:t>
      </w:r>
      <w:r>
        <w:rPr>
          <w:sz w:val="24"/>
          <w:szCs w:val="21"/>
        </w:rPr>
        <w:t xml:space="preserve"> 33182</w:t>
      </w:r>
      <w:r>
        <w:rPr>
          <w:rFonts w:hint="eastAsia"/>
          <w:sz w:val="24"/>
          <w:szCs w:val="21"/>
        </w:rPr>
        <w:t>）中质量检验的要求；</w:t>
      </w:r>
    </w:p>
    <w:p w14:paraId="10E80B2D">
      <w:pPr>
        <w:spacing w:line="360" w:lineRule="auto"/>
        <w:ind w:firstLine="480" w:firstLineChars="200"/>
        <w:rPr>
          <w:sz w:val="24"/>
          <w:szCs w:val="21"/>
        </w:rPr>
      </w:pPr>
      <w:r>
        <w:rPr>
          <w:rFonts w:hint="eastAsia"/>
          <w:sz w:val="24"/>
          <w:szCs w:val="21"/>
        </w:rPr>
        <w:t>本标准“5.1.3 地理信息资料获取” 中建设用地分类标准适用《土壤环境质量 建设用地土壤污染风险管控标准（试行）》GB 36600的建设用地分类要求；</w:t>
      </w:r>
    </w:p>
    <w:p w14:paraId="3101831B">
      <w:pPr>
        <w:spacing w:line="360" w:lineRule="auto"/>
        <w:ind w:firstLine="480" w:firstLineChars="200"/>
        <w:rPr>
          <w:sz w:val="24"/>
          <w:szCs w:val="21"/>
        </w:rPr>
      </w:pPr>
      <w:r>
        <w:rPr>
          <w:rFonts w:hint="eastAsia"/>
          <w:sz w:val="24"/>
          <w:szCs w:val="21"/>
        </w:rPr>
        <w:t>本标准“9.1.1 数字正射影像质量检验”，应符合《数字正射影像质量检查技术规程》（CH/T 1027）中基本要求、工作流程、检验内容及方法、质量评定的要求。</w:t>
      </w:r>
    </w:p>
    <w:p w14:paraId="220F80C5">
      <w:pPr>
        <w:pStyle w:val="3"/>
        <w:numPr>
          <w:ilvl w:val="0"/>
          <w:numId w:val="0"/>
        </w:numPr>
        <w:spacing w:line="416" w:lineRule="auto"/>
        <w:rPr>
          <w:rFonts w:eastAsia="黑体"/>
          <w:b w:val="0"/>
          <w:kern w:val="0"/>
          <w:sz w:val="32"/>
        </w:rPr>
      </w:pPr>
      <w:bookmarkStart w:id="73" w:name="_Toc19846"/>
      <w:r>
        <w:rPr>
          <w:rFonts w:hint="eastAsia" w:eastAsia="黑体"/>
          <w:b w:val="0"/>
          <w:kern w:val="0"/>
          <w:sz w:val="32"/>
        </w:rPr>
        <w:t>5.4术语及定义</w:t>
      </w:r>
      <w:bookmarkEnd w:id="73"/>
    </w:p>
    <w:p w14:paraId="47CBD6DD">
      <w:pPr>
        <w:spacing w:line="360" w:lineRule="auto"/>
        <w:ind w:firstLine="480" w:firstLineChars="200"/>
        <w:rPr>
          <w:sz w:val="24"/>
          <w:szCs w:val="21"/>
        </w:rPr>
      </w:pPr>
      <w:r>
        <w:rPr>
          <w:rFonts w:hint="eastAsia"/>
          <w:sz w:val="24"/>
          <w:szCs w:val="21"/>
        </w:rPr>
        <w:t>本文件对重点建设用地土壤污染遥感监测中涉及的常见名词进行了定义，包括重点建设用地、数字正射影像、重点监测单元、解译标志、重点建设用地人类活动、土壤污染隐患。</w:t>
      </w:r>
    </w:p>
    <w:p w14:paraId="71FEB932">
      <w:pPr>
        <w:spacing w:line="360" w:lineRule="auto"/>
        <w:rPr>
          <w:b/>
          <w:bCs/>
          <w:sz w:val="24"/>
          <w:szCs w:val="21"/>
        </w:rPr>
      </w:pPr>
      <w:bookmarkStart w:id="74" w:name="_Toc131516460"/>
      <w:bookmarkStart w:id="75" w:name="_Toc13900"/>
      <w:bookmarkStart w:id="76" w:name="_Toc10585"/>
      <w:r>
        <w:rPr>
          <w:rFonts w:hint="eastAsia"/>
          <w:b/>
          <w:bCs/>
          <w:sz w:val="24"/>
          <w:szCs w:val="21"/>
        </w:rPr>
        <w:t>5.4.1重点建设用地 priority site of land for construction</w:t>
      </w:r>
      <w:bookmarkEnd w:id="74"/>
      <w:bookmarkEnd w:id="75"/>
      <w:bookmarkEnd w:id="76"/>
    </w:p>
    <w:p w14:paraId="541395FE">
      <w:pPr>
        <w:spacing w:line="360" w:lineRule="auto"/>
        <w:ind w:firstLine="480" w:firstLineChars="200"/>
        <w:rPr>
          <w:sz w:val="24"/>
          <w:szCs w:val="21"/>
        </w:rPr>
      </w:pPr>
      <w:r>
        <w:rPr>
          <w:rFonts w:hint="eastAsia"/>
          <w:sz w:val="24"/>
          <w:szCs w:val="21"/>
        </w:rPr>
        <w:t>《中华人民共和国土壤污染防治法》中要求地方人民政府生态环境主管部门应当会同自然资源主管部门对下列建设用地地块进行重点监测：（一）曾用于生产、使用、贮存、回收、处置有毒有害物质的；（二）曾用于固体废物堆放、填埋的；（三）曾发生过重大、特大污染事故的；（四）国务院生态环境、自然资源主管部门规定的其他情形。本标准的重点建设用地术语参考《中华人民共和国土壤污染防治法》中的重点监测建设用地地块的说明进行定义。不包含垃圾填埋场。</w:t>
      </w:r>
    </w:p>
    <w:p w14:paraId="0E6E2198">
      <w:pPr>
        <w:spacing w:line="360" w:lineRule="auto"/>
        <w:rPr>
          <w:b/>
          <w:bCs/>
          <w:sz w:val="24"/>
          <w:szCs w:val="21"/>
        </w:rPr>
      </w:pPr>
      <w:bookmarkStart w:id="77" w:name="_Toc23965"/>
      <w:bookmarkStart w:id="78" w:name="_Toc131516461"/>
      <w:bookmarkStart w:id="79" w:name="_Toc9562"/>
      <w:r>
        <w:rPr>
          <w:rFonts w:hint="eastAsia"/>
          <w:b/>
          <w:bCs/>
          <w:sz w:val="24"/>
          <w:szCs w:val="21"/>
        </w:rPr>
        <w:t>5.4.2数字正射影像 digital orthophoto map （DOM）</w:t>
      </w:r>
      <w:bookmarkEnd w:id="77"/>
      <w:bookmarkEnd w:id="78"/>
      <w:bookmarkEnd w:id="79"/>
    </w:p>
    <w:p w14:paraId="320B8269">
      <w:pPr>
        <w:spacing w:line="360" w:lineRule="auto"/>
        <w:ind w:firstLine="480" w:firstLineChars="200"/>
        <w:rPr>
          <w:sz w:val="24"/>
          <w:szCs w:val="21"/>
          <w:highlight w:val="red"/>
        </w:rPr>
      </w:pPr>
      <w:r>
        <w:rPr>
          <w:rFonts w:hint="eastAsia"/>
          <w:sz w:val="24"/>
          <w:szCs w:val="21"/>
        </w:rPr>
        <w:t xml:space="preserve">参考了CH/T 9008.3—2010中“数字正射影像图”的定义，取其中的地表航空航天影像经垂直投影而生成影像数据。 </w:t>
      </w:r>
    </w:p>
    <w:p w14:paraId="7E96C6D7">
      <w:pPr>
        <w:spacing w:line="360" w:lineRule="auto"/>
        <w:rPr>
          <w:b/>
          <w:bCs/>
          <w:sz w:val="24"/>
          <w:szCs w:val="21"/>
        </w:rPr>
      </w:pPr>
      <w:bookmarkStart w:id="80" w:name="_Toc25862"/>
      <w:bookmarkStart w:id="81" w:name="_Toc131516462"/>
      <w:bookmarkStart w:id="82" w:name="_Toc29871"/>
      <w:r>
        <w:rPr>
          <w:rFonts w:hint="eastAsia"/>
          <w:b/>
          <w:bCs/>
          <w:sz w:val="24"/>
          <w:szCs w:val="21"/>
        </w:rPr>
        <w:t>5.4.3重点监测单元 key monitoring unit</w:t>
      </w:r>
      <w:bookmarkEnd w:id="80"/>
      <w:bookmarkEnd w:id="81"/>
      <w:bookmarkEnd w:id="82"/>
    </w:p>
    <w:p w14:paraId="795717FE">
      <w:pPr>
        <w:spacing w:line="360" w:lineRule="auto"/>
        <w:ind w:firstLine="480" w:firstLineChars="200"/>
        <w:rPr>
          <w:sz w:val="24"/>
          <w:szCs w:val="21"/>
        </w:rPr>
      </w:pPr>
      <w:r>
        <w:rPr>
          <w:rFonts w:hint="eastAsia"/>
          <w:sz w:val="24"/>
          <w:szCs w:val="21"/>
        </w:rPr>
        <w:t>《工业企业土壤和地下水自行监测技术指南（试行）》中“重点监测单元”指“企业根据排查认为可能通过渗漏、流失、扬散等途径导致土壤或地下水污染，需开展监测的重点场所或重点设施设备”。本标准中的监测对象为重点建设用地，因此，本标准中定义的重点监测单元特指重点建设用地中的土壤污染相关场所或设施设备。</w:t>
      </w:r>
    </w:p>
    <w:p w14:paraId="1D406F13">
      <w:pPr>
        <w:spacing w:line="360" w:lineRule="auto"/>
        <w:rPr>
          <w:b/>
          <w:bCs/>
          <w:sz w:val="24"/>
          <w:szCs w:val="21"/>
        </w:rPr>
      </w:pPr>
      <w:bookmarkStart w:id="83" w:name="_Toc12955"/>
      <w:bookmarkStart w:id="84" w:name="_Toc131516463"/>
      <w:bookmarkStart w:id="85" w:name="_Toc3112"/>
      <w:r>
        <w:rPr>
          <w:rFonts w:hint="eastAsia"/>
          <w:b/>
          <w:bCs/>
          <w:sz w:val="24"/>
          <w:szCs w:val="21"/>
        </w:rPr>
        <w:t>5.4.4解译标志 interpretation sign</w:t>
      </w:r>
      <w:bookmarkEnd w:id="83"/>
      <w:bookmarkEnd w:id="84"/>
      <w:bookmarkEnd w:id="85"/>
    </w:p>
    <w:p w14:paraId="4BF1F2DC">
      <w:pPr>
        <w:spacing w:line="360" w:lineRule="auto"/>
        <w:ind w:firstLine="480" w:firstLineChars="200"/>
        <w:rPr>
          <w:sz w:val="24"/>
        </w:rPr>
      </w:pPr>
      <w:r>
        <w:rPr>
          <w:rFonts w:hint="eastAsia"/>
          <w:sz w:val="24"/>
          <w:szCs w:val="21"/>
        </w:rPr>
        <w:t>定义与HJ 1236—2021，3.4相同。</w:t>
      </w:r>
    </w:p>
    <w:p w14:paraId="1BFEBC4A">
      <w:pPr>
        <w:spacing w:line="360" w:lineRule="auto"/>
        <w:rPr>
          <w:b/>
          <w:bCs/>
          <w:sz w:val="24"/>
          <w:szCs w:val="21"/>
        </w:rPr>
      </w:pPr>
      <w:bookmarkStart w:id="86" w:name="_Toc8387"/>
      <w:bookmarkStart w:id="87" w:name="_Toc131516464"/>
      <w:bookmarkStart w:id="88" w:name="_Toc12513"/>
      <w:r>
        <w:rPr>
          <w:rFonts w:hint="eastAsia"/>
          <w:b/>
          <w:bCs/>
          <w:sz w:val="24"/>
          <w:szCs w:val="21"/>
        </w:rPr>
        <w:t>5.4.5重点建设用地人类活动 human activities in land for construction</w:t>
      </w:r>
      <w:bookmarkEnd w:id="86"/>
      <w:bookmarkEnd w:id="87"/>
      <w:bookmarkEnd w:id="88"/>
    </w:p>
    <w:p w14:paraId="168A189C">
      <w:pPr>
        <w:spacing w:line="360" w:lineRule="auto"/>
        <w:ind w:firstLine="480" w:firstLineChars="200"/>
        <w:rPr>
          <w:sz w:val="24"/>
          <w:szCs w:val="21"/>
        </w:rPr>
      </w:pPr>
      <w:r>
        <w:rPr>
          <w:rFonts w:hint="eastAsia"/>
          <w:sz w:val="24"/>
          <w:szCs w:val="21"/>
        </w:rPr>
        <w:t>《生态保护红线内人类活动生态环境影响评价技术指南（征求意见稿）</w:t>
      </w:r>
      <w:bookmarkStart w:id="124" w:name="_GoBack"/>
      <w:bookmarkEnd w:id="124"/>
      <w:r>
        <w:rPr>
          <w:rFonts w:hint="eastAsia"/>
          <w:sz w:val="24"/>
          <w:szCs w:val="21"/>
        </w:rPr>
        <w:t>》中“生态保护红线人类活动”指“拟在生态保护红线内发生，影响生态保护红线生态环境状况的各类开发建设及生产、生活活动，包括矿产资源开发、基础设施建设、农林生产、养殖生产、旅游、生态修复和其他类活动等”。由于本标准中监测对象为重点建设用地，涉及的相关人类活动主要指对建筑的新改扩建、拆除、为恢复土壤环境采取的工程措施等，参照其框架但未引用其内容。</w:t>
      </w:r>
    </w:p>
    <w:p w14:paraId="4ADED537">
      <w:pPr>
        <w:spacing w:line="360" w:lineRule="auto"/>
        <w:rPr>
          <w:b/>
          <w:bCs/>
          <w:sz w:val="24"/>
          <w:szCs w:val="21"/>
        </w:rPr>
      </w:pPr>
      <w:bookmarkStart w:id="89" w:name="_Toc2461"/>
      <w:bookmarkStart w:id="90" w:name="_Toc20379"/>
      <w:bookmarkStart w:id="91" w:name="_Toc131516465"/>
      <w:r>
        <w:rPr>
          <w:rFonts w:hint="eastAsia"/>
          <w:b/>
          <w:bCs/>
          <w:sz w:val="24"/>
          <w:szCs w:val="21"/>
        </w:rPr>
        <w:t>5.4.6土壤污染隐患 latent risk of soil contamination</w:t>
      </w:r>
      <w:bookmarkEnd w:id="89"/>
      <w:bookmarkEnd w:id="90"/>
      <w:bookmarkEnd w:id="91"/>
    </w:p>
    <w:p w14:paraId="61A66FD4">
      <w:pPr>
        <w:spacing w:line="360" w:lineRule="auto"/>
        <w:ind w:firstLine="480" w:firstLineChars="200"/>
        <w:rPr>
          <w:sz w:val="24"/>
          <w:szCs w:val="21"/>
        </w:rPr>
      </w:pPr>
      <w:r>
        <w:rPr>
          <w:rFonts w:hint="eastAsia"/>
          <w:sz w:val="24"/>
          <w:szCs w:val="21"/>
        </w:rPr>
        <w:t>《重点监管单位土壤污染隐患排查指南（试行）》中“土壤污染隐患”指“重点监管单位某一特定场所或者设施设备存在发生有毒有害物质渗漏、流失、扬散的风险，可能对土壤造成污染”。本标准中的重点建设用地范围较重点监管单位更广，土壤污染隐患指可能造成土壤环境污染的潜在设施、设备等重点关注的目标物，因而本文件参考《重点监管单位土壤污染隐患排查指南（试行）》中的“土壤污染隐患”，修改定义。</w:t>
      </w:r>
    </w:p>
    <w:p w14:paraId="491CF17B">
      <w:pPr>
        <w:spacing w:line="360" w:lineRule="auto"/>
        <w:rPr>
          <w:b/>
          <w:bCs/>
          <w:sz w:val="24"/>
          <w:szCs w:val="21"/>
        </w:rPr>
      </w:pPr>
      <w:bookmarkStart w:id="92" w:name="_Toc20910"/>
      <w:bookmarkStart w:id="93" w:name="_Toc131516466"/>
      <w:bookmarkStart w:id="94" w:name="_Toc7435"/>
      <w:r>
        <w:rPr>
          <w:rFonts w:hint="eastAsia"/>
          <w:b/>
          <w:bCs/>
          <w:sz w:val="24"/>
          <w:szCs w:val="21"/>
        </w:rPr>
        <w:t>5.4.7总体精度 overall accuracy</w:t>
      </w:r>
      <w:bookmarkEnd w:id="92"/>
      <w:bookmarkEnd w:id="93"/>
      <w:bookmarkEnd w:id="94"/>
    </w:p>
    <w:p w14:paraId="7668D0E0">
      <w:pPr>
        <w:spacing w:line="360" w:lineRule="auto"/>
        <w:ind w:firstLine="480" w:firstLineChars="200"/>
        <w:rPr>
          <w:sz w:val="24"/>
          <w:szCs w:val="21"/>
        </w:rPr>
      </w:pPr>
      <w:r>
        <w:rPr>
          <w:rFonts w:hint="eastAsia"/>
          <w:sz w:val="24"/>
          <w:szCs w:val="21"/>
        </w:rPr>
        <w:t>定义与HJ 1236—2021，3.8相同。</w:t>
      </w:r>
    </w:p>
    <w:p w14:paraId="2E220F5F">
      <w:pPr>
        <w:pStyle w:val="3"/>
        <w:numPr>
          <w:ilvl w:val="0"/>
          <w:numId w:val="0"/>
        </w:numPr>
        <w:spacing w:line="416" w:lineRule="auto"/>
        <w:rPr>
          <w:rFonts w:eastAsia="黑体"/>
          <w:b w:val="0"/>
          <w:kern w:val="0"/>
          <w:sz w:val="32"/>
        </w:rPr>
      </w:pPr>
      <w:bookmarkStart w:id="95" w:name="_Toc23517"/>
      <w:r>
        <w:rPr>
          <w:rFonts w:hint="eastAsia" w:eastAsia="黑体"/>
          <w:b w:val="0"/>
          <w:kern w:val="0"/>
          <w:sz w:val="32"/>
        </w:rPr>
        <w:t>5.5监测原则与工作程序</w:t>
      </w:r>
      <w:bookmarkEnd w:id="95"/>
    </w:p>
    <w:p w14:paraId="6BB47BDC">
      <w:pPr>
        <w:spacing w:line="360" w:lineRule="auto"/>
        <w:rPr>
          <w:b/>
          <w:bCs/>
          <w:sz w:val="24"/>
          <w:szCs w:val="21"/>
        </w:rPr>
      </w:pPr>
      <w:bookmarkStart w:id="96" w:name="_Toc131516468"/>
      <w:bookmarkStart w:id="97" w:name="_Toc29142"/>
      <w:bookmarkStart w:id="98" w:name="_Toc19097"/>
      <w:r>
        <w:rPr>
          <w:rFonts w:hint="eastAsia"/>
          <w:b/>
          <w:bCs/>
          <w:sz w:val="24"/>
          <w:szCs w:val="21"/>
        </w:rPr>
        <w:t>5.5.1监测原则</w:t>
      </w:r>
      <w:bookmarkEnd w:id="96"/>
      <w:bookmarkEnd w:id="97"/>
      <w:bookmarkEnd w:id="98"/>
    </w:p>
    <w:p w14:paraId="0600AAA6">
      <w:pPr>
        <w:spacing w:line="360" w:lineRule="auto"/>
        <w:ind w:firstLine="480" w:firstLineChars="200"/>
        <w:rPr>
          <w:sz w:val="24"/>
          <w:szCs w:val="21"/>
        </w:rPr>
      </w:pPr>
      <w:r>
        <w:rPr>
          <w:rFonts w:hint="eastAsia"/>
          <w:sz w:val="24"/>
          <w:szCs w:val="21"/>
        </w:rPr>
        <w:t>监测原则是保证重点建设用地遥感监测结果具有可靠性、可比性和准确性的前提，本标准规定重点建设用地遥感监测需要遵循科学性、通用性、天地一体化和与管理结合的原则。科学性指对监测过程、风险级别评价及监测结果等进行规定，能够保证监测的规范性和可比性。通用性能够满足不同主体对遥感监测的需求，保证监测流程与方法能够具有普遍适用性。天地一体化结合遥感监测和外业调查，保证监测结果的准确性。与管理结合指在开展监测活动中需要考虑满足管理需求，实现遥感监测数据的支撑作用，保证监测结果能够落地，发挥实际效益。</w:t>
      </w:r>
    </w:p>
    <w:p w14:paraId="629F625E">
      <w:pPr>
        <w:spacing w:line="360" w:lineRule="auto"/>
        <w:rPr>
          <w:b/>
          <w:bCs/>
          <w:sz w:val="24"/>
          <w:szCs w:val="21"/>
        </w:rPr>
      </w:pPr>
      <w:bookmarkStart w:id="99" w:name="_Toc6387"/>
      <w:bookmarkStart w:id="100" w:name="_Toc131516469"/>
      <w:bookmarkStart w:id="101" w:name="_Toc31035"/>
      <w:r>
        <w:rPr>
          <w:rFonts w:hint="eastAsia"/>
          <w:b/>
          <w:bCs/>
          <w:sz w:val="24"/>
          <w:szCs w:val="21"/>
        </w:rPr>
        <w:t>5.5.2工作程序</w:t>
      </w:r>
      <w:bookmarkEnd w:id="99"/>
      <w:bookmarkEnd w:id="100"/>
      <w:bookmarkEnd w:id="101"/>
    </w:p>
    <w:p w14:paraId="178D959B">
      <w:pPr>
        <w:spacing w:line="360" w:lineRule="auto"/>
        <w:ind w:firstLine="480" w:firstLineChars="200"/>
        <w:rPr>
          <w:sz w:val="24"/>
          <w:szCs w:val="21"/>
        </w:rPr>
      </w:pPr>
      <w:r>
        <w:rPr>
          <w:rFonts w:hint="eastAsia"/>
          <w:sz w:val="24"/>
          <w:szCs w:val="21"/>
        </w:rPr>
        <w:t>确定重点建设用地监测对象是提升遥感监测时效性的重要前提，本文件规定遥感监测对象主要包括关停退出工业企业原址用地及在产企业用地，其纳入与退出应符合土壤污染管理的要求。遥感监测对象的纳入包括但不限于下列条件之一：</w:t>
      </w:r>
    </w:p>
    <w:p w14:paraId="2DB10C8A">
      <w:pPr>
        <w:spacing w:line="360" w:lineRule="auto"/>
        <w:ind w:firstLine="480" w:firstLineChars="200"/>
        <w:rPr>
          <w:sz w:val="24"/>
          <w:szCs w:val="21"/>
        </w:rPr>
      </w:pPr>
      <w:r>
        <w:rPr>
          <w:rFonts w:hint="eastAsia"/>
          <w:sz w:val="24"/>
          <w:szCs w:val="21"/>
        </w:rPr>
        <w:t>（1）生态环境主管部门公布的建设用地土壤污染风险管控与修复名录中地块；</w:t>
      </w:r>
    </w:p>
    <w:p w14:paraId="7C3ACA91">
      <w:pPr>
        <w:spacing w:line="360" w:lineRule="auto"/>
        <w:ind w:firstLine="480" w:firstLineChars="200"/>
        <w:rPr>
          <w:sz w:val="24"/>
          <w:szCs w:val="21"/>
        </w:rPr>
      </w:pPr>
      <w:r>
        <w:rPr>
          <w:rFonts w:hint="eastAsia"/>
          <w:sz w:val="24"/>
          <w:szCs w:val="21"/>
        </w:rPr>
        <w:t>（2）生态环境主管部门公布的土壤污染重点监管单位名录内企业所在地块；</w:t>
      </w:r>
    </w:p>
    <w:p w14:paraId="767A24F8">
      <w:pPr>
        <w:spacing w:line="360" w:lineRule="auto"/>
        <w:ind w:firstLine="480" w:firstLineChars="200"/>
        <w:rPr>
          <w:sz w:val="24"/>
          <w:szCs w:val="21"/>
        </w:rPr>
      </w:pPr>
      <w:r>
        <w:rPr>
          <w:rFonts w:hint="eastAsia"/>
          <w:sz w:val="24"/>
          <w:szCs w:val="21"/>
        </w:rPr>
        <w:t>（3）发生重大、特大污染事故的建设用地地块；</w:t>
      </w:r>
    </w:p>
    <w:p w14:paraId="46E92785">
      <w:pPr>
        <w:spacing w:line="360" w:lineRule="auto"/>
        <w:ind w:firstLine="480" w:firstLineChars="200"/>
        <w:rPr>
          <w:sz w:val="24"/>
          <w:szCs w:val="21"/>
        </w:rPr>
      </w:pPr>
      <w:r>
        <w:rPr>
          <w:rFonts w:hint="eastAsia"/>
          <w:sz w:val="24"/>
          <w:szCs w:val="21"/>
        </w:rPr>
        <w:t>（4）其他根据土壤污染防治相关信息确定的应重点管控的建设用地地块。</w:t>
      </w:r>
    </w:p>
    <w:p w14:paraId="799DE2AB">
      <w:pPr>
        <w:spacing w:line="360" w:lineRule="auto"/>
        <w:ind w:firstLine="480" w:firstLineChars="200"/>
        <w:rPr>
          <w:sz w:val="24"/>
          <w:szCs w:val="21"/>
        </w:rPr>
      </w:pPr>
      <w:r>
        <w:rPr>
          <w:rFonts w:hint="eastAsia"/>
          <w:sz w:val="24"/>
          <w:szCs w:val="21"/>
        </w:rPr>
        <w:t>当监测对象不再满足纳入条件时，应退出重点建设用地遥感监测范围。</w:t>
      </w:r>
    </w:p>
    <w:p w14:paraId="390DB3A8">
      <w:pPr>
        <w:spacing w:line="360" w:lineRule="auto"/>
        <w:ind w:firstLine="480" w:firstLineChars="200"/>
        <w:rPr>
          <w:sz w:val="24"/>
          <w:szCs w:val="21"/>
        </w:rPr>
      </w:pPr>
      <w:r>
        <w:rPr>
          <w:rFonts w:hint="eastAsia"/>
          <w:sz w:val="24"/>
          <w:szCs w:val="21"/>
        </w:rPr>
        <w:t>重点建设用地不仅涉及的类型多，而且重点建设用地内因人类活动导致的施工活动也存在差异，需要规定监测的工作流程，保证遥感监测和现场调查过程的科学性、规范性和客观性。监测流程的主要步骤如下：</w:t>
      </w:r>
    </w:p>
    <w:p w14:paraId="5DB1FF7C">
      <w:pPr>
        <w:spacing w:line="360" w:lineRule="auto"/>
        <w:ind w:firstLine="480" w:firstLineChars="200"/>
        <w:rPr>
          <w:sz w:val="24"/>
          <w:szCs w:val="21"/>
        </w:rPr>
      </w:pPr>
      <w:r>
        <w:rPr>
          <w:rFonts w:hint="eastAsia"/>
          <w:sz w:val="24"/>
          <w:szCs w:val="21"/>
        </w:rPr>
        <w:t>（1）</w:t>
      </w:r>
      <w:r>
        <w:rPr>
          <w:rFonts w:hint="eastAsia"/>
          <w:b/>
          <w:bCs/>
          <w:sz w:val="24"/>
          <w:szCs w:val="21"/>
        </w:rPr>
        <w:t>资料准备</w:t>
      </w:r>
      <w:r>
        <w:rPr>
          <w:rFonts w:hint="eastAsia"/>
          <w:sz w:val="24"/>
          <w:szCs w:val="21"/>
        </w:rPr>
        <w:t>。收集准备重点建设用地关注范围内的历史资料、地理信息、遥感影像等，为后续解译工作做准备。</w:t>
      </w:r>
    </w:p>
    <w:p w14:paraId="10A30E84">
      <w:pPr>
        <w:spacing w:line="360" w:lineRule="auto"/>
        <w:ind w:firstLine="480" w:firstLineChars="200"/>
        <w:rPr>
          <w:sz w:val="24"/>
          <w:szCs w:val="21"/>
        </w:rPr>
      </w:pPr>
      <w:r>
        <w:rPr>
          <w:rFonts w:hint="eastAsia"/>
          <w:sz w:val="24"/>
          <w:szCs w:val="21"/>
        </w:rPr>
        <w:t>（2）</w:t>
      </w:r>
      <w:r>
        <w:rPr>
          <w:rFonts w:hint="eastAsia"/>
          <w:b/>
          <w:bCs/>
          <w:sz w:val="24"/>
          <w:szCs w:val="21"/>
        </w:rPr>
        <w:t>遥感解译</w:t>
      </w:r>
      <w:r>
        <w:rPr>
          <w:rFonts w:hint="eastAsia"/>
          <w:sz w:val="24"/>
          <w:szCs w:val="21"/>
        </w:rPr>
        <w:t>。根据解译标志获取监测范围内不同时相的建筑物、构筑物、设施设备信息，掌握其变化情况。</w:t>
      </w:r>
    </w:p>
    <w:p w14:paraId="5A70A8F4">
      <w:pPr>
        <w:spacing w:line="360" w:lineRule="auto"/>
        <w:ind w:firstLine="480" w:firstLineChars="200"/>
        <w:rPr>
          <w:sz w:val="24"/>
          <w:szCs w:val="21"/>
        </w:rPr>
      </w:pPr>
      <w:r>
        <w:rPr>
          <w:rFonts w:hint="eastAsia"/>
          <w:sz w:val="24"/>
          <w:szCs w:val="21"/>
        </w:rPr>
        <w:t>（3）</w:t>
      </w:r>
      <w:r>
        <w:rPr>
          <w:rFonts w:hint="eastAsia"/>
          <w:b/>
          <w:bCs/>
          <w:sz w:val="24"/>
          <w:szCs w:val="21"/>
        </w:rPr>
        <w:t>现场调查</w:t>
      </w:r>
      <w:r>
        <w:rPr>
          <w:rFonts w:hint="eastAsia"/>
          <w:sz w:val="24"/>
          <w:szCs w:val="21"/>
        </w:rPr>
        <w:t>。根据遥感解译结果确定是否开展现场调查，掌握重点建设用地污染实际情况。</w:t>
      </w:r>
    </w:p>
    <w:p w14:paraId="2F0E9207">
      <w:pPr>
        <w:spacing w:line="360" w:lineRule="auto"/>
        <w:ind w:firstLine="480" w:firstLineChars="200"/>
        <w:rPr>
          <w:sz w:val="24"/>
          <w:szCs w:val="21"/>
        </w:rPr>
      </w:pPr>
      <w:r>
        <w:rPr>
          <w:rFonts w:hint="eastAsia"/>
          <w:sz w:val="24"/>
          <w:szCs w:val="21"/>
        </w:rPr>
        <w:t xml:space="preserve"> （</w:t>
      </w:r>
      <w:r>
        <w:rPr>
          <w:sz w:val="24"/>
          <w:szCs w:val="21"/>
        </w:rPr>
        <w:t>4</w:t>
      </w:r>
      <w:r>
        <w:rPr>
          <w:rFonts w:hint="eastAsia"/>
          <w:sz w:val="24"/>
          <w:szCs w:val="21"/>
        </w:rPr>
        <w:t>）</w:t>
      </w:r>
      <w:r>
        <w:rPr>
          <w:rFonts w:hint="eastAsia"/>
          <w:b/>
          <w:bCs/>
          <w:sz w:val="24"/>
          <w:szCs w:val="21"/>
        </w:rPr>
        <w:t>风险级别评价</w:t>
      </w:r>
      <w:r>
        <w:rPr>
          <w:rFonts w:hint="eastAsia"/>
          <w:sz w:val="24"/>
          <w:szCs w:val="21"/>
        </w:rPr>
        <w:t>。结合遥感解译、现场核查结果、历史信息及风险级别评价规则进行综合研判，确定重点建设用地的风险级别评价结果。</w:t>
      </w:r>
    </w:p>
    <w:p w14:paraId="5D04D3E8">
      <w:pPr>
        <w:spacing w:line="360" w:lineRule="auto"/>
        <w:ind w:firstLine="480" w:firstLineChars="200"/>
        <w:rPr>
          <w:sz w:val="24"/>
          <w:szCs w:val="21"/>
        </w:rPr>
      </w:pPr>
      <w:r>
        <w:rPr>
          <w:rFonts w:hint="eastAsia"/>
          <w:sz w:val="24"/>
          <w:szCs w:val="21"/>
        </w:rPr>
        <w:t>（</w:t>
      </w:r>
      <w:r>
        <w:rPr>
          <w:sz w:val="24"/>
          <w:szCs w:val="21"/>
        </w:rPr>
        <w:t>5</w:t>
      </w:r>
      <w:r>
        <w:rPr>
          <w:rFonts w:hint="eastAsia"/>
          <w:sz w:val="24"/>
          <w:szCs w:val="21"/>
        </w:rPr>
        <w:t>）</w:t>
      </w:r>
      <w:r>
        <w:rPr>
          <w:rFonts w:hint="eastAsia"/>
          <w:b/>
          <w:bCs/>
          <w:sz w:val="24"/>
          <w:szCs w:val="21"/>
        </w:rPr>
        <w:t>核查整改与复核</w:t>
      </w:r>
      <w:r>
        <w:rPr>
          <w:rFonts w:hint="eastAsia"/>
          <w:sz w:val="24"/>
          <w:szCs w:val="21"/>
        </w:rPr>
        <w:t>。将风险级别高的报送主责部门，由其制定整改措施，发回复核信息。</w:t>
      </w:r>
    </w:p>
    <w:p w14:paraId="1D42626B">
      <w:pPr>
        <w:spacing w:line="360" w:lineRule="auto"/>
        <w:ind w:firstLine="480" w:firstLineChars="200"/>
        <w:rPr>
          <w:sz w:val="24"/>
          <w:szCs w:val="21"/>
        </w:rPr>
      </w:pPr>
      <w:r>
        <w:rPr>
          <w:rFonts w:hint="eastAsia"/>
          <w:sz w:val="24"/>
          <w:szCs w:val="21"/>
        </w:rPr>
        <w:t>（</w:t>
      </w:r>
      <w:r>
        <w:rPr>
          <w:sz w:val="24"/>
          <w:szCs w:val="21"/>
        </w:rPr>
        <w:t>6</w:t>
      </w:r>
      <w:r>
        <w:rPr>
          <w:rFonts w:hint="eastAsia"/>
          <w:sz w:val="24"/>
          <w:szCs w:val="21"/>
        </w:rPr>
        <w:t>）</w:t>
      </w:r>
      <w:r>
        <w:rPr>
          <w:rFonts w:hint="eastAsia"/>
          <w:b/>
          <w:bCs/>
          <w:sz w:val="24"/>
          <w:szCs w:val="21"/>
        </w:rPr>
        <w:t>编制报告和建立台账。</w:t>
      </w:r>
      <w:r>
        <w:rPr>
          <w:rFonts w:hint="eastAsia"/>
          <w:sz w:val="24"/>
          <w:szCs w:val="21"/>
        </w:rPr>
        <w:t>编制监测报告。建立台账，及时更新重点建设用地土壤污染延续/终止信息。</w:t>
      </w:r>
    </w:p>
    <w:p w14:paraId="16C6755F">
      <w:pPr>
        <w:spacing w:line="360" w:lineRule="auto"/>
        <w:ind w:firstLine="480" w:firstLineChars="200"/>
        <w:rPr>
          <w:sz w:val="24"/>
          <w:szCs w:val="21"/>
        </w:rPr>
      </w:pPr>
      <w:r>
        <w:rPr>
          <w:rFonts w:hint="eastAsia"/>
          <w:sz w:val="24"/>
          <w:szCs w:val="21"/>
        </w:rPr>
        <w:t>（</w:t>
      </w:r>
      <w:r>
        <w:rPr>
          <w:sz w:val="24"/>
          <w:szCs w:val="21"/>
        </w:rPr>
        <w:t>7</w:t>
      </w:r>
      <w:r>
        <w:rPr>
          <w:rFonts w:hint="eastAsia"/>
          <w:sz w:val="24"/>
          <w:szCs w:val="21"/>
        </w:rPr>
        <w:t>）</w:t>
      </w:r>
      <w:r>
        <w:rPr>
          <w:rFonts w:hint="eastAsia"/>
          <w:b/>
          <w:bCs/>
          <w:sz w:val="24"/>
          <w:szCs w:val="21"/>
        </w:rPr>
        <w:t>质量控制</w:t>
      </w:r>
      <w:r>
        <w:rPr>
          <w:rFonts w:hint="eastAsia"/>
          <w:sz w:val="24"/>
          <w:szCs w:val="21"/>
        </w:rPr>
        <w:t>。质量控制贯穿重点建设用地土壤污染遥感监测、评估全过程，需要对遥感监测、外业核查和报告编制等进行质量控制，不满足质控要求的监测结果需重新开展监测、评估工作。</w:t>
      </w:r>
    </w:p>
    <w:p w14:paraId="56917076">
      <w:pPr>
        <w:pStyle w:val="3"/>
        <w:numPr>
          <w:ilvl w:val="0"/>
          <w:numId w:val="0"/>
        </w:numPr>
        <w:spacing w:line="416" w:lineRule="auto"/>
        <w:rPr>
          <w:rFonts w:eastAsia="黑体"/>
          <w:b w:val="0"/>
          <w:kern w:val="0"/>
          <w:sz w:val="32"/>
        </w:rPr>
      </w:pPr>
      <w:bookmarkStart w:id="102" w:name="_Toc21702"/>
      <w:r>
        <w:rPr>
          <w:rFonts w:hint="eastAsia" w:eastAsia="黑体"/>
          <w:b w:val="0"/>
          <w:kern w:val="0"/>
          <w:sz w:val="32"/>
        </w:rPr>
        <w:t>5.6遥感解译</w:t>
      </w:r>
      <w:bookmarkEnd w:id="102"/>
    </w:p>
    <w:p w14:paraId="24944C7D">
      <w:pPr>
        <w:spacing w:line="360" w:lineRule="auto"/>
        <w:ind w:firstLine="480" w:firstLineChars="200"/>
        <w:rPr>
          <w:sz w:val="24"/>
          <w:szCs w:val="21"/>
        </w:rPr>
      </w:pPr>
      <w:r>
        <w:rPr>
          <w:rFonts w:hint="eastAsia"/>
          <w:sz w:val="24"/>
          <w:szCs w:val="21"/>
        </w:rPr>
        <w:t>重点建设用地涉及多行业，监测内容差异大、监测方法多样，本文件规定遥感解译的内容与方法，确保重点建设用地土壤污染遥感监测具有可比性和可靠性。</w:t>
      </w:r>
    </w:p>
    <w:p w14:paraId="68472748">
      <w:pPr>
        <w:spacing w:line="360" w:lineRule="auto"/>
        <w:rPr>
          <w:b/>
          <w:bCs/>
          <w:sz w:val="24"/>
          <w:szCs w:val="21"/>
        </w:rPr>
      </w:pPr>
      <w:bookmarkStart w:id="103" w:name="_Toc131516471"/>
      <w:bookmarkStart w:id="104" w:name="_Toc17411"/>
      <w:bookmarkStart w:id="105" w:name="_Toc32537"/>
      <w:r>
        <w:rPr>
          <w:rFonts w:hint="eastAsia"/>
          <w:b/>
          <w:bCs/>
          <w:sz w:val="24"/>
          <w:szCs w:val="21"/>
        </w:rPr>
        <w:t>5.6.1资料准备与收集</w:t>
      </w:r>
      <w:bookmarkEnd w:id="103"/>
      <w:bookmarkEnd w:id="104"/>
      <w:bookmarkEnd w:id="105"/>
    </w:p>
    <w:p w14:paraId="0CBAE720">
      <w:pPr>
        <w:spacing w:line="360" w:lineRule="auto"/>
        <w:ind w:firstLine="480" w:firstLineChars="200"/>
        <w:rPr>
          <w:sz w:val="24"/>
          <w:szCs w:val="21"/>
        </w:rPr>
      </w:pPr>
      <w:r>
        <w:rPr>
          <w:rFonts w:hint="eastAsia"/>
          <w:sz w:val="24"/>
          <w:szCs w:val="21"/>
        </w:rPr>
        <w:t>资料准备与收集是开展重点建设用地遥感监测的基础性工作和必要前提，获取地块矢量边界和基础信息资料有助于我们确定重点建设用地的监测范围、掌握重点建设用地历史运营情况等，预判可能产生土壤污染的对象。遥感影像图是开展重点建设用地监测的基础，影像质量直接决定解译成果是否可靠，因此，开展解译的遥感影像图要满足质量要求，提高解译结果的精度。</w:t>
      </w:r>
    </w:p>
    <w:p w14:paraId="794174AA">
      <w:pPr>
        <w:spacing w:line="360" w:lineRule="auto"/>
        <w:rPr>
          <w:b/>
          <w:bCs/>
          <w:sz w:val="24"/>
          <w:szCs w:val="21"/>
        </w:rPr>
      </w:pPr>
      <w:bookmarkStart w:id="106" w:name="_Toc131516472"/>
      <w:bookmarkStart w:id="107" w:name="_Toc2078"/>
      <w:bookmarkStart w:id="108" w:name="_Toc16600"/>
      <w:r>
        <w:rPr>
          <w:rFonts w:hint="eastAsia"/>
          <w:b/>
          <w:bCs/>
          <w:sz w:val="24"/>
          <w:szCs w:val="21"/>
        </w:rPr>
        <w:t>5.5.2遥感解译内容</w:t>
      </w:r>
      <w:bookmarkEnd w:id="106"/>
      <w:bookmarkEnd w:id="107"/>
      <w:bookmarkEnd w:id="108"/>
    </w:p>
    <w:p w14:paraId="5F2586E1">
      <w:pPr>
        <w:spacing w:line="360" w:lineRule="auto"/>
        <w:ind w:firstLine="480" w:firstLineChars="200"/>
        <w:rPr>
          <w:sz w:val="24"/>
          <w:szCs w:val="21"/>
        </w:rPr>
      </w:pPr>
      <w:r>
        <w:rPr>
          <w:rFonts w:hint="eastAsia"/>
          <w:sz w:val="24"/>
          <w:szCs w:val="21"/>
        </w:rPr>
        <w:t>明确重点建设用地遥感解译内容有助于更好地开展解译工作，重点建设单位分为关停退出工业企业原址用地和在产企业用地两类。针对关停退出工业企业原址用地，涉及的人类活动主要是拆除活动、修复活动及开发建设活动。针对在产企业用地，涉及的人类活动主要是根据前后时相重点建设用地遥感影像变化情况确定建筑物、构筑物及设施设备拆除、新建、改建和扩建活动等，以及由于人类活动导致土壤存在异常的地块。</w:t>
      </w:r>
    </w:p>
    <w:p w14:paraId="3DB45FF2">
      <w:pPr>
        <w:spacing w:line="360" w:lineRule="auto"/>
        <w:rPr>
          <w:b/>
          <w:bCs/>
          <w:sz w:val="24"/>
          <w:szCs w:val="21"/>
        </w:rPr>
      </w:pPr>
      <w:bookmarkStart w:id="109" w:name="_Toc27429"/>
      <w:bookmarkStart w:id="110" w:name="_Toc131516473"/>
      <w:bookmarkStart w:id="111" w:name="_Toc4"/>
      <w:r>
        <w:rPr>
          <w:rFonts w:hint="eastAsia"/>
          <w:b/>
          <w:bCs/>
          <w:sz w:val="24"/>
          <w:szCs w:val="21"/>
        </w:rPr>
        <w:t>5.5.3遥感解译方法</w:t>
      </w:r>
      <w:bookmarkEnd w:id="109"/>
      <w:bookmarkEnd w:id="110"/>
      <w:bookmarkEnd w:id="111"/>
    </w:p>
    <w:p w14:paraId="4BD1AA91">
      <w:pPr>
        <w:spacing w:line="360" w:lineRule="auto"/>
        <w:ind w:firstLine="480" w:firstLineChars="200"/>
        <w:rPr>
          <w:sz w:val="24"/>
          <w:szCs w:val="21"/>
        </w:rPr>
      </w:pPr>
      <w:r>
        <w:rPr>
          <w:rFonts w:hint="eastAsia"/>
          <w:sz w:val="24"/>
          <w:szCs w:val="21"/>
        </w:rPr>
        <w:t>开展重点建设用地遥感解译时，根据解译标志准确判断目标物、提取变化图斑是遥感解译结果是否准确的关键。本文件规定对重点建设用地内变化指标按面状图斑解译，进行信息提取时可采用人工目视解译和人工智能识别方式，提取时应参考表2及表3中解译标志及特征描述开展解译工作。当监测对象影像特征显著，且识别精度达到要求时，可以选择采用人工智能识别方式。需要说明的是，不同尺寸的目标物在影像上的表征不同，解译时需要综合考虑经济性和科学性，选择合适分辨率的影像，并采用合适的比例尺，使目标物在影像上清晰可识别，保证解译精度。</w:t>
      </w:r>
    </w:p>
    <w:p w14:paraId="45896CD8">
      <w:pPr>
        <w:spacing w:line="360" w:lineRule="auto"/>
        <w:ind w:firstLine="480" w:firstLineChars="200"/>
        <w:rPr>
          <w:sz w:val="24"/>
          <w:szCs w:val="21"/>
        </w:rPr>
      </w:pPr>
    </w:p>
    <w:p w14:paraId="44217116">
      <w:pPr>
        <w:spacing w:line="360" w:lineRule="auto"/>
        <w:ind w:firstLine="480" w:firstLineChars="200"/>
        <w:rPr>
          <w:sz w:val="24"/>
          <w:szCs w:val="21"/>
        </w:rPr>
      </w:pPr>
    </w:p>
    <w:p w14:paraId="51FC31EE">
      <w:pPr>
        <w:spacing w:line="360" w:lineRule="auto"/>
        <w:ind w:firstLine="480" w:firstLineChars="200"/>
        <w:rPr>
          <w:sz w:val="24"/>
          <w:szCs w:val="21"/>
        </w:rPr>
      </w:pPr>
    </w:p>
    <w:p w14:paraId="5314689A">
      <w:pPr>
        <w:pStyle w:val="29"/>
        <w:numPr>
          <w:ilvl w:val="255"/>
          <w:numId w:val="0"/>
        </w:numPr>
        <w:spacing w:before="0" w:beforeLines="0" w:after="0" w:afterLines="0" w:line="360" w:lineRule="auto"/>
      </w:pPr>
      <w:r>
        <w:rPr>
          <w:rFonts w:hint="eastAsia"/>
        </w:rPr>
        <w:t>表2 重点建设用地人类活动遥感解译标志及特征描述</w:t>
      </w:r>
    </w:p>
    <w:tbl>
      <w:tblPr>
        <w:tblStyle w:val="14"/>
        <w:tblW w:w="84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80"/>
        <w:gridCol w:w="2183"/>
        <w:gridCol w:w="2680"/>
        <w:gridCol w:w="2715"/>
      </w:tblGrid>
      <w:tr w14:paraId="36264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881" w:type="dxa"/>
            <w:tcBorders>
              <w:top w:val="single" w:color="auto" w:sz="8" w:space="0"/>
              <w:bottom w:val="single" w:color="auto" w:sz="8" w:space="0"/>
            </w:tcBorders>
            <w:shd w:val="clear" w:color="auto" w:fill="auto"/>
            <w:vAlign w:val="center"/>
          </w:tcPr>
          <w:p w14:paraId="50FDC06C">
            <w:pPr>
              <w:pStyle w:val="31"/>
              <w:widowControl w:val="0"/>
            </w:pPr>
            <w:r>
              <w:rPr>
                <w:rFonts w:hint="eastAsia"/>
              </w:rPr>
              <w:t>指标类型</w:t>
            </w:r>
          </w:p>
        </w:tc>
        <w:tc>
          <w:tcPr>
            <w:tcW w:w="2187" w:type="dxa"/>
            <w:tcBorders>
              <w:top w:val="single" w:color="auto" w:sz="8" w:space="0"/>
              <w:bottom w:val="single" w:color="auto" w:sz="8" w:space="0"/>
            </w:tcBorders>
            <w:shd w:val="clear" w:color="auto" w:fill="auto"/>
            <w:vAlign w:val="center"/>
          </w:tcPr>
          <w:p w14:paraId="31CBDF54">
            <w:pPr>
              <w:pStyle w:val="31"/>
              <w:widowControl w:val="0"/>
            </w:pPr>
            <w:r>
              <w:rPr>
                <w:rFonts w:hint="eastAsia"/>
              </w:rPr>
              <w:t>解译标志特征描述</w:t>
            </w:r>
          </w:p>
        </w:tc>
        <w:tc>
          <w:tcPr>
            <w:tcW w:w="5390" w:type="dxa"/>
            <w:gridSpan w:val="2"/>
            <w:tcBorders>
              <w:top w:val="single" w:color="auto" w:sz="8" w:space="0"/>
              <w:bottom w:val="single" w:color="auto" w:sz="8" w:space="0"/>
            </w:tcBorders>
            <w:shd w:val="clear" w:color="auto" w:fill="auto"/>
            <w:vAlign w:val="center"/>
          </w:tcPr>
          <w:p w14:paraId="75436929">
            <w:pPr>
              <w:pStyle w:val="31"/>
              <w:widowControl w:val="0"/>
            </w:pPr>
            <w:r>
              <w:rPr>
                <w:rFonts w:hint="eastAsia"/>
              </w:rPr>
              <w:t>影像特征（示例）</w:t>
            </w:r>
          </w:p>
        </w:tc>
      </w:tr>
      <w:tr w14:paraId="6632A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81" w:type="dxa"/>
            <w:tcBorders>
              <w:top w:val="single" w:color="auto" w:sz="8" w:space="0"/>
            </w:tcBorders>
            <w:shd w:val="clear" w:color="auto" w:fill="auto"/>
            <w:vAlign w:val="center"/>
          </w:tcPr>
          <w:p w14:paraId="76710D57">
            <w:pPr>
              <w:pStyle w:val="31"/>
              <w:widowControl w:val="0"/>
            </w:pPr>
            <w:r>
              <w:rPr>
                <w:rFonts w:hint="eastAsia" w:hAnsi="宋体"/>
                <w:szCs w:val="18"/>
              </w:rPr>
              <w:t>拆除（普通建筑物拆除）</w:t>
            </w:r>
          </w:p>
        </w:tc>
        <w:tc>
          <w:tcPr>
            <w:tcW w:w="2187" w:type="dxa"/>
            <w:tcBorders>
              <w:top w:val="single" w:color="auto" w:sz="8" w:space="0"/>
            </w:tcBorders>
            <w:shd w:val="clear" w:color="auto" w:fill="auto"/>
            <w:vAlign w:val="center"/>
          </w:tcPr>
          <w:p w14:paraId="6A19B88A">
            <w:pPr>
              <w:pStyle w:val="31"/>
              <w:widowControl w:val="0"/>
              <w:rPr>
                <w:rFonts w:hAnsi="宋体"/>
                <w:szCs w:val="18"/>
              </w:rPr>
            </w:pPr>
            <w:r>
              <w:rPr>
                <w:rFonts w:hint="eastAsia" w:hAnsi="宋体"/>
                <w:szCs w:val="18"/>
              </w:rPr>
              <w:t>应使用前后时相两期影像进行对比分析。前时相影像中地物呈现建筑物特征，后时像无建筑物特征、转为平地特征的，解译为拆除。</w:t>
            </w:r>
          </w:p>
        </w:tc>
        <w:tc>
          <w:tcPr>
            <w:tcW w:w="2680" w:type="dxa"/>
            <w:tcBorders>
              <w:top w:val="single" w:color="auto" w:sz="8" w:space="0"/>
            </w:tcBorders>
            <w:shd w:val="clear" w:color="auto" w:fill="auto"/>
            <w:vAlign w:val="center"/>
          </w:tcPr>
          <w:p w14:paraId="77C982BC">
            <w:pPr>
              <w:jc w:val="center"/>
              <w:rPr>
                <w:rFonts w:ascii="宋体" w:hAnsi="宋体"/>
                <w:sz w:val="18"/>
                <w:szCs w:val="18"/>
              </w:rPr>
            </w:pPr>
            <w:r>
              <w:rPr>
                <w:rFonts w:hint="eastAsia" w:ascii="宋体" w:hAnsi="宋体"/>
                <w:sz w:val="18"/>
                <w:szCs w:val="18"/>
              </w:rPr>
              <w:drawing>
                <wp:inline distT="0" distB="0" distL="0" distR="0">
                  <wp:extent cx="1695450" cy="1695450"/>
                  <wp:effectExtent l="0" t="0" r="0" b="0"/>
                  <wp:docPr id="12"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95450" cy="1695450"/>
                          </a:xfrm>
                          <a:prstGeom prst="rect">
                            <a:avLst/>
                          </a:prstGeom>
                          <a:noFill/>
                          <a:ln>
                            <a:noFill/>
                          </a:ln>
                        </pic:spPr>
                      </pic:pic>
                    </a:graphicData>
                  </a:graphic>
                </wp:inline>
              </w:drawing>
            </w:r>
          </w:p>
        </w:tc>
        <w:tc>
          <w:tcPr>
            <w:tcW w:w="2710" w:type="dxa"/>
            <w:tcBorders>
              <w:top w:val="single" w:color="auto" w:sz="8" w:space="0"/>
            </w:tcBorders>
            <w:shd w:val="clear" w:color="auto" w:fill="auto"/>
            <w:vAlign w:val="center"/>
          </w:tcPr>
          <w:p w14:paraId="08A96920">
            <w:pPr>
              <w:jc w:val="center"/>
              <w:rPr>
                <w:rFonts w:ascii="宋体" w:hAnsi="宋体"/>
                <w:sz w:val="18"/>
                <w:szCs w:val="18"/>
              </w:rPr>
            </w:pPr>
            <w:r>
              <w:rPr>
                <w:rFonts w:hint="eastAsia" w:ascii="宋体" w:hAnsi="宋体"/>
                <w:sz w:val="18"/>
                <w:szCs w:val="18"/>
              </w:rPr>
              <w:drawing>
                <wp:inline distT="0" distB="0" distL="0" distR="0">
                  <wp:extent cx="1714500" cy="1714500"/>
                  <wp:effectExtent l="0" t="0" r="0" b="0"/>
                  <wp:docPr id="1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14500" cy="1714500"/>
                          </a:xfrm>
                          <a:prstGeom prst="rect">
                            <a:avLst/>
                          </a:prstGeom>
                          <a:noFill/>
                          <a:ln>
                            <a:noFill/>
                          </a:ln>
                        </pic:spPr>
                      </pic:pic>
                    </a:graphicData>
                  </a:graphic>
                </wp:inline>
              </w:drawing>
            </w:r>
          </w:p>
        </w:tc>
      </w:tr>
      <w:tr w14:paraId="4CC8D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81" w:type="dxa"/>
            <w:shd w:val="clear" w:color="auto" w:fill="auto"/>
            <w:vAlign w:val="center"/>
          </w:tcPr>
          <w:p w14:paraId="40A8C14A">
            <w:pPr>
              <w:pStyle w:val="31"/>
              <w:widowControl w:val="0"/>
            </w:pPr>
            <w:r>
              <w:rPr>
                <w:rFonts w:hint="eastAsia" w:hAnsi="宋体"/>
                <w:szCs w:val="18"/>
              </w:rPr>
              <w:t>临时建筑</w:t>
            </w:r>
          </w:p>
        </w:tc>
        <w:tc>
          <w:tcPr>
            <w:tcW w:w="2187" w:type="dxa"/>
            <w:shd w:val="clear" w:color="auto" w:fill="auto"/>
            <w:vAlign w:val="center"/>
          </w:tcPr>
          <w:p w14:paraId="250C06FB">
            <w:pPr>
              <w:pStyle w:val="31"/>
              <w:widowControl w:val="0"/>
            </w:pPr>
            <w:r>
              <w:rPr>
                <w:rFonts w:hint="eastAsia" w:hAnsi="宋体"/>
                <w:szCs w:val="18"/>
              </w:rPr>
              <w:t>指施工工地内部临时搭建的工棚，在影像中呈现建筑物特征，布局规整，且屋顶通常为金属材质，而非水泥结构。</w:t>
            </w:r>
          </w:p>
        </w:tc>
        <w:tc>
          <w:tcPr>
            <w:tcW w:w="2680" w:type="dxa"/>
            <w:shd w:val="clear" w:color="auto" w:fill="auto"/>
            <w:vAlign w:val="center"/>
          </w:tcPr>
          <w:p w14:paraId="59748F84">
            <w:pPr>
              <w:pStyle w:val="31"/>
              <w:widowControl w:val="0"/>
            </w:pPr>
            <w:r>
              <w:drawing>
                <wp:inline distT="0" distB="0" distL="0" distR="0">
                  <wp:extent cx="1536065" cy="1530350"/>
                  <wp:effectExtent l="0" t="0" r="698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36065" cy="1530350"/>
                          </a:xfrm>
                          <a:prstGeom prst="rect">
                            <a:avLst/>
                          </a:prstGeom>
                          <a:noFill/>
                        </pic:spPr>
                      </pic:pic>
                    </a:graphicData>
                  </a:graphic>
                </wp:inline>
              </w:drawing>
            </w:r>
          </w:p>
        </w:tc>
        <w:tc>
          <w:tcPr>
            <w:tcW w:w="2710" w:type="dxa"/>
            <w:shd w:val="clear" w:color="auto" w:fill="auto"/>
            <w:vAlign w:val="center"/>
          </w:tcPr>
          <w:p w14:paraId="67B2ADF7">
            <w:pPr>
              <w:pStyle w:val="31"/>
              <w:widowControl w:val="0"/>
            </w:pPr>
            <w:r>
              <w:drawing>
                <wp:inline distT="0" distB="0" distL="0" distR="0">
                  <wp:extent cx="1536065" cy="1536065"/>
                  <wp:effectExtent l="0" t="0" r="698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36065" cy="1536065"/>
                          </a:xfrm>
                          <a:prstGeom prst="rect">
                            <a:avLst/>
                          </a:prstGeom>
                          <a:noFill/>
                        </pic:spPr>
                      </pic:pic>
                    </a:graphicData>
                  </a:graphic>
                </wp:inline>
              </w:drawing>
            </w:r>
          </w:p>
        </w:tc>
      </w:tr>
      <w:tr w14:paraId="01DBB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81" w:type="dxa"/>
            <w:shd w:val="clear" w:color="auto" w:fill="auto"/>
            <w:vAlign w:val="center"/>
          </w:tcPr>
          <w:p w14:paraId="4FC53A86">
            <w:pPr>
              <w:pStyle w:val="31"/>
              <w:widowControl w:val="0"/>
            </w:pPr>
            <w:r>
              <w:rPr>
                <w:rFonts w:hint="eastAsia" w:hAnsi="宋体"/>
                <w:szCs w:val="18"/>
              </w:rPr>
              <w:t>土壤开挖</w:t>
            </w:r>
          </w:p>
        </w:tc>
        <w:tc>
          <w:tcPr>
            <w:tcW w:w="2187" w:type="dxa"/>
            <w:shd w:val="clear" w:color="auto" w:fill="auto"/>
            <w:vAlign w:val="center"/>
          </w:tcPr>
          <w:p w14:paraId="5C62FFB1">
            <w:pPr>
              <w:pStyle w:val="31"/>
              <w:widowControl w:val="0"/>
            </w:pPr>
            <w:r>
              <w:rPr>
                <w:rFonts w:hint="eastAsia" w:hAnsi="宋体"/>
                <w:szCs w:val="18"/>
              </w:rPr>
              <w:t>指影像中有作业面、呈现挖掘迹象，通常地块内会有挖掘机械。</w:t>
            </w:r>
          </w:p>
        </w:tc>
        <w:tc>
          <w:tcPr>
            <w:tcW w:w="2680" w:type="dxa"/>
            <w:shd w:val="clear" w:color="auto" w:fill="auto"/>
            <w:vAlign w:val="center"/>
          </w:tcPr>
          <w:p w14:paraId="5CF82169">
            <w:pPr>
              <w:pStyle w:val="31"/>
              <w:widowControl w:val="0"/>
            </w:pPr>
            <w:r>
              <w:drawing>
                <wp:inline distT="0" distB="0" distL="0" distR="0">
                  <wp:extent cx="1530350" cy="1530350"/>
                  <wp:effectExtent l="0" t="0" r="1270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30350" cy="1530350"/>
                          </a:xfrm>
                          <a:prstGeom prst="rect">
                            <a:avLst/>
                          </a:prstGeom>
                          <a:noFill/>
                        </pic:spPr>
                      </pic:pic>
                    </a:graphicData>
                  </a:graphic>
                </wp:inline>
              </w:drawing>
            </w:r>
          </w:p>
        </w:tc>
        <w:tc>
          <w:tcPr>
            <w:tcW w:w="2710" w:type="dxa"/>
            <w:shd w:val="clear" w:color="auto" w:fill="auto"/>
            <w:vAlign w:val="center"/>
          </w:tcPr>
          <w:p w14:paraId="36269981">
            <w:pPr>
              <w:pStyle w:val="31"/>
              <w:widowControl w:val="0"/>
            </w:pPr>
            <w:r>
              <w:drawing>
                <wp:inline distT="0" distB="0" distL="0" distR="0">
                  <wp:extent cx="1530350" cy="1536065"/>
                  <wp:effectExtent l="0" t="0" r="1270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30350" cy="1536065"/>
                          </a:xfrm>
                          <a:prstGeom prst="rect">
                            <a:avLst/>
                          </a:prstGeom>
                          <a:noFill/>
                        </pic:spPr>
                      </pic:pic>
                    </a:graphicData>
                  </a:graphic>
                </wp:inline>
              </w:drawing>
            </w:r>
          </w:p>
        </w:tc>
      </w:tr>
      <w:tr w14:paraId="0C6E6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81" w:type="dxa"/>
            <w:shd w:val="clear" w:color="auto" w:fill="auto"/>
            <w:vAlign w:val="center"/>
          </w:tcPr>
          <w:p w14:paraId="6493FD38">
            <w:pPr>
              <w:pStyle w:val="31"/>
              <w:widowControl w:val="0"/>
            </w:pPr>
            <w:r>
              <w:rPr>
                <w:rFonts w:hint="eastAsia" w:hAnsi="宋体"/>
                <w:szCs w:val="18"/>
              </w:rPr>
              <w:t>堆放、存放施工材料</w:t>
            </w:r>
          </w:p>
        </w:tc>
        <w:tc>
          <w:tcPr>
            <w:tcW w:w="2187" w:type="dxa"/>
            <w:shd w:val="clear" w:color="auto" w:fill="auto"/>
            <w:vAlign w:val="center"/>
          </w:tcPr>
          <w:p w14:paraId="1C663C2B">
            <w:pPr>
              <w:pStyle w:val="31"/>
              <w:widowControl w:val="0"/>
            </w:pPr>
            <w:r>
              <w:rPr>
                <w:rFonts w:hint="eastAsia" w:hAnsi="宋体"/>
                <w:szCs w:val="18"/>
              </w:rPr>
              <w:t>堆放、存放的施工材料在</w:t>
            </w:r>
            <w:r>
              <w:rPr>
                <w:rFonts w:hAnsi="宋体"/>
                <w:szCs w:val="18"/>
              </w:rPr>
              <w:t>影像</w:t>
            </w:r>
            <w:r>
              <w:rPr>
                <w:rFonts w:hint="eastAsia" w:hAnsi="宋体"/>
                <w:szCs w:val="18"/>
              </w:rPr>
              <w:t>上呈现纹理不平整特征，通常有明显高度，在影像中形成阴影。</w:t>
            </w:r>
          </w:p>
        </w:tc>
        <w:tc>
          <w:tcPr>
            <w:tcW w:w="2680" w:type="dxa"/>
            <w:shd w:val="clear" w:color="auto" w:fill="auto"/>
            <w:vAlign w:val="center"/>
          </w:tcPr>
          <w:p w14:paraId="191EFA8A">
            <w:pPr>
              <w:pStyle w:val="31"/>
              <w:widowControl w:val="0"/>
            </w:pPr>
            <w:r>
              <w:drawing>
                <wp:inline distT="0" distB="0" distL="0" distR="0">
                  <wp:extent cx="1560830" cy="1560830"/>
                  <wp:effectExtent l="0" t="0" r="127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60830" cy="1560830"/>
                          </a:xfrm>
                          <a:prstGeom prst="rect">
                            <a:avLst/>
                          </a:prstGeom>
                          <a:noFill/>
                        </pic:spPr>
                      </pic:pic>
                    </a:graphicData>
                  </a:graphic>
                </wp:inline>
              </w:drawing>
            </w:r>
          </w:p>
        </w:tc>
        <w:tc>
          <w:tcPr>
            <w:tcW w:w="2710" w:type="dxa"/>
            <w:shd w:val="clear" w:color="auto" w:fill="auto"/>
            <w:vAlign w:val="center"/>
          </w:tcPr>
          <w:p w14:paraId="547E4D75">
            <w:pPr>
              <w:pStyle w:val="31"/>
              <w:widowControl w:val="0"/>
            </w:pPr>
            <w:r>
              <w:drawing>
                <wp:inline distT="0" distB="0" distL="0" distR="0">
                  <wp:extent cx="1560830" cy="1560830"/>
                  <wp:effectExtent l="0" t="0" r="127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60830" cy="1560830"/>
                          </a:xfrm>
                          <a:prstGeom prst="rect">
                            <a:avLst/>
                          </a:prstGeom>
                          <a:noFill/>
                        </pic:spPr>
                      </pic:pic>
                    </a:graphicData>
                  </a:graphic>
                </wp:inline>
              </w:drawing>
            </w:r>
          </w:p>
        </w:tc>
      </w:tr>
    </w:tbl>
    <w:p w14:paraId="034DF2A4">
      <w:pPr>
        <w:pStyle w:val="62"/>
        <w:numPr>
          <w:ilvl w:val="1"/>
          <w:numId w:val="0"/>
        </w:numPr>
        <w:spacing w:before="159" w:after="159"/>
      </w:pPr>
    </w:p>
    <w:p w14:paraId="6062339A">
      <w:pPr>
        <w:pStyle w:val="62"/>
        <w:numPr>
          <w:ilvl w:val="1"/>
          <w:numId w:val="0"/>
        </w:numPr>
        <w:spacing w:before="159" w:after="159"/>
      </w:pPr>
    </w:p>
    <w:p w14:paraId="3262735D">
      <w:pPr>
        <w:pStyle w:val="62"/>
        <w:numPr>
          <w:ilvl w:val="1"/>
          <w:numId w:val="0"/>
        </w:numPr>
        <w:spacing w:before="159" w:after="159"/>
      </w:pPr>
    </w:p>
    <w:p w14:paraId="05F08E28">
      <w:pPr>
        <w:pStyle w:val="62"/>
        <w:numPr>
          <w:ilvl w:val="1"/>
          <w:numId w:val="0"/>
        </w:numPr>
        <w:spacing w:before="159" w:after="159"/>
      </w:pPr>
    </w:p>
    <w:p w14:paraId="788A4010">
      <w:pPr>
        <w:pStyle w:val="62"/>
        <w:numPr>
          <w:ilvl w:val="1"/>
          <w:numId w:val="0"/>
        </w:numPr>
        <w:spacing w:before="159" w:after="159"/>
      </w:pPr>
    </w:p>
    <w:p w14:paraId="6AC8941B">
      <w:pPr>
        <w:pStyle w:val="62"/>
        <w:numPr>
          <w:ilvl w:val="1"/>
          <w:numId w:val="0"/>
        </w:numPr>
        <w:spacing w:before="159" w:after="159"/>
      </w:pPr>
      <w:r>
        <w:rPr>
          <w:rFonts w:hint="eastAsia"/>
        </w:rPr>
        <w:t>表3 重点建设用地内土壤污染隐患遥感解译标志及特征描述</w:t>
      </w:r>
    </w:p>
    <w:tbl>
      <w:tblPr>
        <w:tblStyle w:val="14"/>
        <w:tblW w:w="8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10"/>
        <w:gridCol w:w="2829"/>
        <w:gridCol w:w="2200"/>
        <w:gridCol w:w="2295"/>
      </w:tblGrid>
      <w:tr w14:paraId="698CC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017" w:type="dxa"/>
            <w:tcBorders>
              <w:top w:val="single" w:color="auto" w:sz="8" w:space="0"/>
              <w:bottom w:val="single" w:color="auto" w:sz="8" w:space="0"/>
            </w:tcBorders>
            <w:shd w:val="clear" w:color="auto" w:fill="auto"/>
            <w:vAlign w:val="center"/>
          </w:tcPr>
          <w:p w14:paraId="2BE6B809">
            <w:pPr>
              <w:pStyle w:val="31"/>
              <w:widowControl w:val="0"/>
            </w:pPr>
            <w:r>
              <w:rPr>
                <w:rFonts w:hint="eastAsia"/>
              </w:rPr>
              <w:t>土壤污染隐患</w:t>
            </w:r>
          </w:p>
        </w:tc>
        <w:tc>
          <w:tcPr>
            <w:tcW w:w="2852" w:type="dxa"/>
            <w:tcBorders>
              <w:top w:val="single" w:color="auto" w:sz="8" w:space="0"/>
              <w:bottom w:val="single" w:color="auto" w:sz="8" w:space="0"/>
            </w:tcBorders>
            <w:shd w:val="clear" w:color="auto" w:fill="auto"/>
            <w:vAlign w:val="center"/>
          </w:tcPr>
          <w:p w14:paraId="4D2EFE38">
            <w:pPr>
              <w:pStyle w:val="31"/>
              <w:widowControl w:val="0"/>
            </w:pPr>
            <w:r>
              <w:rPr>
                <w:rFonts w:hint="eastAsia"/>
              </w:rPr>
              <w:t>解译标志特征描述</w:t>
            </w:r>
          </w:p>
        </w:tc>
        <w:tc>
          <w:tcPr>
            <w:tcW w:w="4465" w:type="dxa"/>
            <w:gridSpan w:val="2"/>
            <w:tcBorders>
              <w:top w:val="single" w:color="auto" w:sz="8" w:space="0"/>
              <w:bottom w:val="single" w:color="auto" w:sz="8" w:space="0"/>
            </w:tcBorders>
            <w:shd w:val="clear" w:color="auto" w:fill="auto"/>
            <w:vAlign w:val="center"/>
          </w:tcPr>
          <w:p w14:paraId="1EDB9917">
            <w:pPr>
              <w:pStyle w:val="31"/>
              <w:widowControl w:val="0"/>
            </w:pPr>
            <w:r>
              <w:rPr>
                <w:rFonts w:hint="eastAsia"/>
              </w:rPr>
              <w:t>影像特征</w:t>
            </w:r>
          </w:p>
        </w:tc>
      </w:tr>
      <w:tr w14:paraId="4EB18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17" w:type="dxa"/>
            <w:tcBorders>
              <w:top w:val="single" w:color="auto" w:sz="8" w:space="0"/>
            </w:tcBorders>
            <w:shd w:val="clear" w:color="auto" w:fill="auto"/>
            <w:vAlign w:val="center"/>
          </w:tcPr>
          <w:p w14:paraId="59947045">
            <w:pPr>
              <w:pStyle w:val="31"/>
              <w:widowControl w:val="0"/>
            </w:pPr>
            <w:r>
              <w:rPr>
                <w:rFonts w:hint="eastAsia" w:hAnsi="宋体"/>
              </w:rPr>
              <w:t>未硬化地面</w:t>
            </w:r>
          </w:p>
        </w:tc>
        <w:tc>
          <w:tcPr>
            <w:tcW w:w="2852" w:type="dxa"/>
            <w:tcBorders>
              <w:top w:val="single" w:color="auto" w:sz="8" w:space="0"/>
            </w:tcBorders>
            <w:shd w:val="clear" w:color="auto" w:fill="auto"/>
            <w:vAlign w:val="center"/>
          </w:tcPr>
          <w:p w14:paraId="2EA3F117">
            <w:pPr>
              <w:pStyle w:val="31"/>
              <w:widowControl w:val="0"/>
            </w:pPr>
            <w:r>
              <w:rPr>
                <w:rFonts w:hint="eastAsia"/>
              </w:rPr>
              <w:t>在影像上纹理一般呈现棕黄色。</w:t>
            </w:r>
          </w:p>
        </w:tc>
        <w:tc>
          <w:tcPr>
            <w:tcW w:w="2200" w:type="dxa"/>
            <w:tcBorders>
              <w:top w:val="single" w:color="auto" w:sz="8" w:space="0"/>
            </w:tcBorders>
            <w:shd w:val="clear" w:color="auto" w:fill="auto"/>
            <w:vAlign w:val="center"/>
          </w:tcPr>
          <w:p w14:paraId="6264DA04">
            <w:pPr>
              <w:pStyle w:val="31"/>
              <w:widowControl w:val="0"/>
            </w:pPr>
            <w:r>
              <w:drawing>
                <wp:inline distT="0" distB="0" distL="0" distR="0">
                  <wp:extent cx="1384935" cy="1384935"/>
                  <wp:effectExtent l="0" t="0" r="571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1384935" cy="1384935"/>
                          </a:xfrm>
                          <a:prstGeom prst="rect">
                            <a:avLst/>
                          </a:prstGeom>
                        </pic:spPr>
                      </pic:pic>
                    </a:graphicData>
                  </a:graphic>
                </wp:inline>
              </w:drawing>
            </w:r>
          </w:p>
        </w:tc>
        <w:tc>
          <w:tcPr>
            <w:tcW w:w="2265" w:type="dxa"/>
            <w:tcBorders>
              <w:top w:val="single" w:color="auto" w:sz="8" w:space="0"/>
            </w:tcBorders>
            <w:shd w:val="clear" w:color="auto" w:fill="auto"/>
            <w:vAlign w:val="center"/>
          </w:tcPr>
          <w:p w14:paraId="520CC36A">
            <w:pPr>
              <w:pStyle w:val="31"/>
              <w:widowControl w:val="0"/>
            </w:pPr>
            <w:r>
              <w:drawing>
                <wp:inline distT="0" distB="0" distL="0" distR="0">
                  <wp:extent cx="1431925" cy="1381760"/>
                  <wp:effectExtent l="0" t="0" r="15875"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6"/>
                          <a:stretch>
                            <a:fillRect/>
                          </a:stretch>
                        </pic:blipFill>
                        <pic:spPr>
                          <a:xfrm>
                            <a:off x="0" y="0"/>
                            <a:ext cx="1433780" cy="1383921"/>
                          </a:xfrm>
                          <a:prstGeom prst="rect">
                            <a:avLst/>
                          </a:prstGeom>
                        </pic:spPr>
                      </pic:pic>
                    </a:graphicData>
                  </a:graphic>
                </wp:inline>
              </w:drawing>
            </w:r>
          </w:p>
        </w:tc>
      </w:tr>
      <w:tr w14:paraId="0169D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17" w:type="dxa"/>
            <w:shd w:val="clear" w:color="auto" w:fill="auto"/>
            <w:vAlign w:val="center"/>
          </w:tcPr>
          <w:p w14:paraId="0C51FBD0">
            <w:pPr>
              <w:pStyle w:val="31"/>
              <w:widowControl w:val="0"/>
            </w:pPr>
            <w:r>
              <w:rPr>
                <w:rFonts w:hint="eastAsia" w:hAnsi="宋体"/>
              </w:rPr>
              <w:t>颜色异常土壤</w:t>
            </w:r>
          </w:p>
        </w:tc>
        <w:tc>
          <w:tcPr>
            <w:tcW w:w="2852" w:type="dxa"/>
            <w:shd w:val="clear" w:color="auto" w:fill="auto"/>
            <w:vAlign w:val="center"/>
          </w:tcPr>
          <w:p w14:paraId="4035FF94">
            <w:pPr>
              <w:jc w:val="center"/>
            </w:pPr>
            <w:r>
              <w:rPr>
                <w:rFonts w:hint="eastAsia" w:ascii="宋体" w:hAnsi="宋体"/>
                <w:sz w:val="18"/>
                <w:szCs w:val="18"/>
              </w:rPr>
              <w:t>北京地区正常土壤在影像上呈棕黄色纹理。若监测到颜色异于正常土壤的地块，如颜色呈黑色或者其他颜色，应进行识别提取。</w:t>
            </w:r>
          </w:p>
        </w:tc>
        <w:tc>
          <w:tcPr>
            <w:tcW w:w="2200" w:type="dxa"/>
            <w:shd w:val="clear" w:color="auto" w:fill="auto"/>
            <w:vAlign w:val="center"/>
          </w:tcPr>
          <w:p w14:paraId="729AA043">
            <w:pPr>
              <w:jc w:val="center"/>
              <w:rPr>
                <w:sz w:val="18"/>
              </w:rPr>
            </w:pPr>
            <w:r>
              <w:rPr>
                <w:sz w:val="18"/>
              </w:rPr>
              <w:drawing>
                <wp:inline distT="0" distB="0" distL="0" distR="0">
                  <wp:extent cx="1339850" cy="1312545"/>
                  <wp:effectExtent l="0" t="0" r="1270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1344010" cy="1316765"/>
                          </a:xfrm>
                          <a:prstGeom prst="rect">
                            <a:avLst/>
                          </a:prstGeom>
                        </pic:spPr>
                      </pic:pic>
                    </a:graphicData>
                  </a:graphic>
                </wp:inline>
              </w:drawing>
            </w:r>
          </w:p>
          <w:p w14:paraId="31031FD4">
            <w:pPr>
              <w:pStyle w:val="31"/>
              <w:widowControl w:val="0"/>
            </w:pPr>
            <w:r>
              <w:rPr>
                <w:rFonts w:hint="eastAsia"/>
              </w:rPr>
              <w:t>正常土壤</w:t>
            </w:r>
          </w:p>
        </w:tc>
        <w:tc>
          <w:tcPr>
            <w:tcW w:w="2265" w:type="dxa"/>
            <w:shd w:val="clear" w:color="auto" w:fill="auto"/>
            <w:vAlign w:val="center"/>
          </w:tcPr>
          <w:p w14:paraId="5FE8DAA9">
            <w:pPr>
              <w:jc w:val="center"/>
              <w:rPr>
                <w:sz w:val="18"/>
              </w:rPr>
            </w:pPr>
            <w:r>
              <w:rPr>
                <w:sz w:val="18"/>
              </w:rPr>
              <w:drawing>
                <wp:inline distT="0" distB="0" distL="0" distR="0">
                  <wp:extent cx="1431925" cy="1431925"/>
                  <wp:effectExtent l="0" t="0" r="15875" b="158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34041" cy="1434041"/>
                          </a:xfrm>
                          <a:prstGeom prst="rect">
                            <a:avLst/>
                          </a:prstGeom>
                          <a:noFill/>
                        </pic:spPr>
                      </pic:pic>
                    </a:graphicData>
                  </a:graphic>
                </wp:inline>
              </w:drawing>
            </w:r>
          </w:p>
          <w:p w14:paraId="03196CA6">
            <w:pPr>
              <w:pStyle w:val="31"/>
              <w:widowControl w:val="0"/>
            </w:pPr>
            <w:r>
              <w:rPr>
                <w:rFonts w:hint="eastAsia"/>
              </w:rPr>
              <w:t>存在颜色异常土壤</w:t>
            </w:r>
          </w:p>
        </w:tc>
      </w:tr>
      <w:tr w14:paraId="28E7E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17" w:type="dxa"/>
            <w:shd w:val="clear" w:color="auto" w:fill="auto"/>
            <w:vAlign w:val="center"/>
          </w:tcPr>
          <w:p w14:paraId="550FA96A">
            <w:pPr>
              <w:pStyle w:val="31"/>
              <w:widowControl w:val="0"/>
            </w:pPr>
            <w:r>
              <w:rPr>
                <w:rFonts w:hint="eastAsia" w:hAnsi="宋体" w:cs="宋体"/>
              </w:rPr>
              <w:t>露天存放颜色异常液体</w:t>
            </w:r>
          </w:p>
        </w:tc>
        <w:tc>
          <w:tcPr>
            <w:tcW w:w="2852" w:type="dxa"/>
            <w:shd w:val="clear" w:color="auto" w:fill="auto"/>
            <w:vAlign w:val="center"/>
          </w:tcPr>
          <w:p w14:paraId="54E32310">
            <w:pPr>
              <w:jc w:val="center"/>
            </w:pPr>
            <w:r>
              <w:rPr>
                <w:rFonts w:hint="eastAsia" w:ascii="宋体" w:hAnsi="宋体"/>
                <w:sz w:val="18"/>
                <w:szCs w:val="18"/>
              </w:rPr>
              <w:t>正常水体在影像上呈蓝色，若监测到颜色异于正常水体（绿色、红色或其他颜色）应进行识别提取。</w:t>
            </w:r>
          </w:p>
        </w:tc>
        <w:tc>
          <w:tcPr>
            <w:tcW w:w="2200" w:type="dxa"/>
            <w:shd w:val="clear" w:color="auto" w:fill="auto"/>
            <w:vAlign w:val="center"/>
          </w:tcPr>
          <w:p w14:paraId="28C50890">
            <w:pPr>
              <w:jc w:val="center"/>
              <w:rPr>
                <w:sz w:val="18"/>
              </w:rPr>
            </w:pPr>
            <w:r>
              <w:rPr>
                <w:sz w:val="18"/>
              </w:rPr>
              <w:drawing>
                <wp:inline distT="0" distB="0" distL="0" distR="0">
                  <wp:extent cx="1352550" cy="1256030"/>
                  <wp:effectExtent l="0" t="0" r="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9"/>
                          <a:stretch>
                            <a:fillRect/>
                          </a:stretch>
                        </pic:blipFill>
                        <pic:spPr>
                          <a:xfrm>
                            <a:off x="0" y="0"/>
                            <a:ext cx="1352550" cy="1256030"/>
                          </a:xfrm>
                          <a:prstGeom prst="rect">
                            <a:avLst/>
                          </a:prstGeom>
                        </pic:spPr>
                      </pic:pic>
                    </a:graphicData>
                  </a:graphic>
                </wp:inline>
              </w:drawing>
            </w:r>
          </w:p>
          <w:p w14:paraId="29E6376F">
            <w:pPr>
              <w:pStyle w:val="31"/>
              <w:widowControl w:val="0"/>
            </w:pPr>
            <w:r>
              <w:rPr>
                <w:rFonts w:hint="eastAsia"/>
              </w:rPr>
              <w:t>正常水体颜色</w:t>
            </w:r>
          </w:p>
        </w:tc>
        <w:tc>
          <w:tcPr>
            <w:tcW w:w="2265" w:type="dxa"/>
            <w:shd w:val="clear" w:color="auto" w:fill="auto"/>
            <w:vAlign w:val="center"/>
          </w:tcPr>
          <w:p w14:paraId="7FE95CDC">
            <w:pPr>
              <w:jc w:val="center"/>
              <w:rPr>
                <w:rFonts w:ascii="宋体" w:hAnsi="宋体" w:cs="宋体"/>
                <w:sz w:val="18"/>
              </w:rPr>
            </w:pPr>
            <w:r>
              <w:rPr>
                <w:rFonts w:hint="eastAsia" w:ascii="宋体" w:hAnsi="宋体" w:cs="宋体"/>
                <w:sz w:val="18"/>
              </w:rPr>
              <w:drawing>
                <wp:inline distT="0" distB="0" distL="114300" distR="114300">
                  <wp:extent cx="1420495" cy="1249680"/>
                  <wp:effectExtent l="0" t="0" r="8255" b="7620"/>
                  <wp:docPr id="58" name="图片 58" descr="44838065c70ab04d716c63a90b36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4838065c70ab04d716c63a90b36c74"/>
                          <pic:cNvPicPr>
                            <a:picLocks noChangeAspect="1"/>
                          </pic:cNvPicPr>
                        </pic:nvPicPr>
                        <pic:blipFill>
                          <a:blip r:embed="rId30"/>
                          <a:srcRect l="10617" t="9804" r="33167" b="28782"/>
                          <a:stretch>
                            <a:fillRect/>
                          </a:stretch>
                        </pic:blipFill>
                        <pic:spPr>
                          <a:xfrm>
                            <a:off x="0" y="0"/>
                            <a:ext cx="1426875" cy="1254738"/>
                          </a:xfrm>
                          <a:prstGeom prst="rect">
                            <a:avLst/>
                          </a:prstGeom>
                        </pic:spPr>
                      </pic:pic>
                    </a:graphicData>
                  </a:graphic>
                </wp:inline>
              </w:drawing>
            </w:r>
          </w:p>
          <w:p w14:paraId="369C6553">
            <w:pPr>
              <w:pStyle w:val="31"/>
              <w:widowControl w:val="0"/>
            </w:pPr>
            <w:r>
              <w:rPr>
                <w:rFonts w:hint="eastAsia" w:hAnsi="宋体" w:cs="宋体"/>
              </w:rPr>
              <w:t>颜色异常液体</w:t>
            </w:r>
          </w:p>
        </w:tc>
      </w:tr>
      <w:tr w14:paraId="10C51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17" w:type="dxa"/>
            <w:shd w:val="clear" w:color="auto" w:fill="auto"/>
            <w:vAlign w:val="center"/>
          </w:tcPr>
          <w:p w14:paraId="64D4481E">
            <w:pPr>
              <w:pStyle w:val="31"/>
              <w:widowControl w:val="0"/>
            </w:pPr>
            <w:r>
              <w:rPr>
                <w:rFonts w:hint="eastAsia" w:hAnsi="宋体"/>
              </w:rPr>
              <w:t>露天料堆</w:t>
            </w:r>
          </w:p>
        </w:tc>
        <w:tc>
          <w:tcPr>
            <w:tcW w:w="2852" w:type="dxa"/>
            <w:shd w:val="clear" w:color="auto" w:fill="auto"/>
            <w:vAlign w:val="center"/>
          </w:tcPr>
          <w:p w14:paraId="3EDF9D5C">
            <w:r>
              <w:rPr>
                <w:rFonts w:hint="eastAsia" w:ascii="宋体" w:hAnsi="宋体"/>
                <w:sz w:val="18"/>
                <w:szCs w:val="18"/>
              </w:rPr>
              <w:t>监测</w:t>
            </w:r>
            <w:r>
              <w:rPr>
                <w:rFonts w:hint="eastAsia" w:ascii="宋体" w:hAnsi="宋体"/>
                <w:sz w:val="18"/>
              </w:rPr>
              <w:t>在产企业边界内，堆放原材料或产品未加苫盖或遮蔽情况。</w:t>
            </w:r>
          </w:p>
        </w:tc>
        <w:tc>
          <w:tcPr>
            <w:tcW w:w="2200" w:type="dxa"/>
            <w:shd w:val="clear" w:color="auto" w:fill="auto"/>
            <w:vAlign w:val="center"/>
          </w:tcPr>
          <w:p w14:paraId="23A4B2EE">
            <w:pPr>
              <w:pStyle w:val="31"/>
              <w:widowControl w:val="0"/>
            </w:pPr>
            <w:r>
              <w:drawing>
                <wp:inline distT="0" distB="0" distL="114300" distR="114300">
                  <wp:extent cx="1384300" cy="1294130"/>
                  <wp:effectExtent l="0" t="0" r="6350" b="1270"/>
                  <wp:docPr id="59" name="图片 59" descr="9570983865db87c2d91853d68dc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570983865db87c2d91853d68dc8260"/>
                          <pic:cNvPicPr>
                            <a:picLocks noChangeAspect="1"/>
                          </pic:cNvPicPr>
                        </pic:nvPicPr>
                        <pic:blipFill>
                          <a:blip r:embed="rId31"/>
                          <a:stretch>
                            <a:fillRect/>
                          </a:stretch>
                        </pic:blipFill>
                        <pic:spPr>
                          <a:xfrm>
                            <a:off x="0" y="0"/>
                            <a:ext cx="1385180" cy="1294783"/>
                          </a:xfrm>
                          <a:prstGeom prst="rect">
                            <a:avLst/>
                          </a:prstGeom>
                        </pic:spPr>
                      </pic:pic>
                    </a:graphicData>
                  </a:graphic>
                </wp:inline>
              </w:drawing>
            </w:r>
          </w:p>
        </w:tc>
        <w:tc>
          <w:tcPr>
            <w:tcW w:w="2265" w:type="dxa"/>
            <w:shd w:val="clear" w:color="auto" w:fill="auto"/>
            <w:vAlign w:val="center"/>
          </w:tcPr>
          <w:p w14:paraId="00712C82">
            <w:pPr>
              <w:pStyle w:val="31"/>
              <w:widowControl w:val="0"/>
            </w:pPr>
            <w:r>
              <w:rPr>
                <w:rFonts w:hint="eastAsia" w:eastAsia="仿宋_GB2312"/>
              </w:rPr>
              <w:drawing>
                <wp:inline distT="0" distB="0" distL="0" distR="0">
                  <wp:extent cx="1409700" cy="1285240"/>
                  <wp:effectExtent l="0" t="0" r="0" b="1016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9700" cy="1285240"/>
                          </a:xfrm>
                          <a:prstGeom prst="rect">
                            <a:avLst/>
                          </a:prstGeom>
                        </pic:spPr>
                      </pic:pic>
                    </a:graphicData>
                  </a:graphic>
                </wp:inline>
              </w:drawing>
            </w:r>
          </w:p>
        </w:tc>
      </w:tr>
    </w:tbl>
    <w:p w14:paraId="73B9D2F4">
      <w:pPr>
        <w:pStyle w:val="3"/>
        <w:numPr>
          <w:ilvl w:val="0"/>
          <w:numId w:val="0"/>
        </w:numPr>
        <w:spacing w:line="416" w:lineRule="auto"/>
        <w:rPr>
          <w:rFonts w:eastAsia="黑体"/>
          <w:b w:val="0"/>
          <w:kern w:val="0"/>
          <w:sz w:val="32"/>
        </w:rPr>
      </w:pPr>
      <w:bookmarkStart w:id="112" w:name="_Toc7835"/>
      <w:r>
        <w:rPr>
          <w:rFonts w:hint="eastAsia" w:eastAsia="黑体"/>
          <w:b w:val="0"/>
          <w:kern w:val="0"/>
          <w:sz w:val="32"/>
        </w:rPr>
        <w:t>5.7现场调查</w:t>
      </w:r>
      <w:bookmarkEnd w:id="112"/>
    </w:p>
    <w:p w14:paraId="3ADED1BD">
      <w:pPr>
        <w:spacing w:line="360" w:lineRule="auto"/>
        <w:ind w:firstLine="480" w:firstLineChars="200"/>
        <w:rPr>
          <w:sz w:val="24"/>
        </w:rPr>
      </w:pPr>
      <w:r>
        <w:rPr>
          <w:rFonts w:hint="eastAsia"/>
          <w:sz w:val="24"/>
        </w:rPr>
        <w:t>遥感解译工作结束后，需要对存在人类活动和土壤隐患的重点建设用地开展外业核查。为保证外业核查工作顺利开展，应提前对外业人员进行培训，包括调查内容和需要准备的调查材料，确保外业核查全面、真实、有效。外业核查出发前，应检查调查过程中需要用到的设备、资料等，避免因设备及资料缺失导致调查过程中断。采用访问、现场踏勘等多种形式开展现场调查，现场核查过程中，应首先核查重点建设用地边界、位置、名称等基本信息，并将核查结果如实填写在外业调查记录表上，对人类活动场所和土壤污染隐患地块进行拍照，为全方位反映现场情况，要从三个方位进行拍摄。调查的内容涉及拆除活动、新改扩建活动、施工活动、土壤污染隐患和转为他用的重点建设用地等。最后，结合遥感解译和外业核查结果综合研判重点建设用地土壤污染情况。</w:t>
      </w:r>
    </w:p>
    <w:p w14:paraId="112121E5">
      <w:pPr>
        <w:pStyle w:val="3"/>
        <w:numPr>
          <w:ilvl w:val="0"/>
          <w:numId w:val="0"/>
        </w:numPr>
        <w:spacing w:line="416" w:lineRule="auto"/>
        <w:rPr>
          <w:rFonts w:eastAsia="黑体"/>
          <w:b w:val="0"/>
          <w:kern w:val="0"/>
          <w:sz w:val="32"/>
          <w:highlight w:val="red"/>
        </w:rPr>
      </w:pPr>
      <w:bookmarkStart w:id="113" w:name="_Toc30512"/>
      <w:r>
        <w:rPr>
          <w:rFonts w:hint="eastAsia" w:eastAsia="黑体"/>
          <w:b w:val="0"/>
          <w:kern w:val="0"/>
          <w:sz w:val="32"/>
        </w:rPr>
        <w:t>5.8风险级别评价</w:t>
      </w:r>
      <w:bookmarkEnd w:id="113"/>
    </w:p>
    <w:p w14:paraId="3F1E06B0">
      <w:pPr>
        <w:spacing w:line="360" w:lineRule="auto"/>
        <w:ind w:firstLine="480" w:firstLineChars="200"/>
        <w:rPr>
          <w:sz w:val="24"/>
        </w:rPr>
      </w:pPr>
      <w:r>
        <w:rPr>
          <w:rFonts w:hint="eastAsia"/>
          <w:sz w:val="24"/>
        </w:rPr>
        <w:t>重点建设用地土壤污染风险等级划分结果是管理部门开展执法的重要依据，该风险研判结果可以为属地土壤污染主管部门开展治理行动提供坚实的数据支撑。</w:t>
      </w:r>
    </w:p>
    <w:p w14:paraId="7DF36620">
      <w:pPr>
        <w:spacing w:line="360" w:lineRule="auto"/>
        <w:ind w:firstLine="480" w:firstLineChars="200"/>
        <w:rPr>
          <w:sz w:val="24"/>
        </w:rPr>
      </w:pPr>
      <w:r>
        <w:rPr>
          <w:rFonts w:hint="eastAsia"/>
          <w:sz w:val="24"/>
        </w:rPr>
        <w:t>为保证判断结果的全面性、整体性，本标准在划分土壤污染风险等级时综合考虑地块及周边地区土地利用方式、地下水、水系分布情况，以及敏感人群暴露程度分布情况，并进行多因子矩阵分析。重点建设用地内活动风险等级判断共划分为四级，风险研判依据及表征情况如表4所示。</w:t>
      </w:r>
    </w:p>
    <w:p w14:paraId="7DA1D1CE">
      <w:pPr>
        <w:pStyle w:val="29"/>
        <w:numPr>
          <w:ilvl w:val="0"/>
          <w:numId w:val="0"/>
        </w:numPr>
        <w:spacing w:before="0" w:beforeLines="0" w:after="0" w:afterLines="0" w:line="360" w:lineRule="auto"/>
      </w:pPr>
      <w:r>
        <w:rPr>
          <w:rFonts w:hint="eastAsia"/>
        </w:rPr>
        <w:t>表4 重点建设用地内土壤污染风险级别</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51"/>
        <w:gridCol w:w="1027"/>
        <w:gridCol w:w="1390"/>
        <w:gridCol w:w="5152"/>
      </w:tblGrid>
      <w:tr w14:paraId="2AD0A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830" w:type="dxa"/>
            <w:tcBorders>
              <w:top w:val="single" w:color="auto" w:sz="8" w:space="0"/>
              <w:bottom w:val="single" w:color="auto" w:sz="8" w:space="0"/>
            </w:tcBorders>
            <w:shd w:val="clear" w:color="auto" w:fill="auto"/>
            <w:vAlign w:val="center"/>
          </w:tcPr>
          <w:p w14:paraId="43FAD987">
            <w:pPr>
              <w:pStyle w:val="31"/>
              <w:widowControl w:val="0"/>
            </w:pPr>
            <w:r>
              <w:rPr>
                <w:rFonts w:hint="eastAsia"/>
              </w:rPr>
              <w:t>风险级别</w:t>
            </w:r>
          </w:p>
        </w:tc>
        <w:tc>
          <w:tcPr>
            <w:tcW w:w="1145" w:type="dxa"/>
            <w:tcBorders>
              <w:top w:val="single" w:color="auto" w:sz="8" w:space="0"/>
              <w:bottom w:val="single" w:color="auto" w:sz="8" w:space="0"/>
            </w:tcBorders>
            <w:shd w:val="clear" w:color="auto" w:fill="auto"/>
            <w:vAlign w:val="center"/>
          </w:tcPr>
          <w:p w14:paraId="0977D61B">
            <w:pPr>
              <w:pStyle w:val="31"/>
              <w:widowControl w:val="0"/>
            </w:pPr>
            <w:r>
              <w:rPr>
                <w:rFonts w:hint="eastAsia"/>
              </w:rPr>
              <w:t>风险级别代表颜色</w:t>
            </w:r>
          </w:p>
        </w:tc>
        <w:tc>
          <w:tcPr>
            <w:tcW w:w="1559" w:type="dxa"/>
            <w:tcBorders>
              <w:top w:val="single" w:color="auto" w:sz="8" w:space="0"/>
              <w:bottom w:val="single" w:color="auto" w:sz="8" w:space="0"/>
            </w:tcBorders>
            <w:shd w:val="clear" w:color="auto" w:fill="auto"/>
            <w:vAlign w:val="center"/>
          </w:tcPr>
          <w:p w14:paraId="555D76EA">
            <w:pPr>
              <w:pStyle w:val="31"/>
              <w:widowControl w:val="0"/>
            </w:pPr>
            <w:r>
              <w:rPr>
                <w:rFonts w:hint="eastAsia"/>
              </w:rPr>
              <w:t>地块类型</w:t>
            </w:r>
          </w:p>
        </w:tc>
        <w:tc>
          <w:tcPr>
            <w:tcW w:w="5800" w:type="dxa"/>
            <w:tcBorders>
              <w:top w:val="single" w:color="auto" w:sz="8" w:space="0"/>
              <w:bottom w:val="single" w:color="auto" w:sz="8" w:space="0"/>
            </w:tcBorders>
            <w:shd w:val="clear" w:color="auto" w:fill="auto"/>
            <w:vAlign w:val="center"/>
          </w:tcPr>
          <w:p w14:paraId="7DA7D62E">
            <w:pPr>
              <w:pStyle w:val="31"/>
              <w:widowControl w:val="0"/>
            </w:pPr>
            <w:r>
              <w:rPr>
                <w:rFonts w:hint="eastAsia"/>
              </w:rPr>
              <w:t>活动类型</w:t>
            </w:r>
          </w:p>
        </w:tc>
      </w:tr>
      <w:tr w14:paraId="1D909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restart"/>
            <w:tcBorders>
              <w:top w:val="single" w:color="auto" w:sz="8" w:space="0"/>
            </w:tcBorders>
            <w:shd w:val="clear" w:color="auto" w:fill="auto"/>
            <w:vAlign w:val="center"/>
          </w:tcPr>
          <w:p w14:paraId="21B614CB">
            <w:pPr>
              <w:pStyle w:val="31"/>
              <w:widowControl w:val="0"/>
            </w:pPr>
            <w:r>
              <w:rPr>
                <w:rFonts w:hint="eastAsia"/>
              </w:rPr>
              <w:t>零级</w:t>
            </w:r>
          </w:p>
        </w:tc>
        <w:tc>
          <w:tcPr>
            <w:tcW w:w="1145" w:type="dxa"/>
            <w:vMerge w:val="restart"/>
            <w:tcBorders>
              <w:top w:val="single" w:color="auto" w:sz="8" w:space="0"/>
            </w:tcBorders>
            <w:shd w:val="clear" w:color="auto" w:fill="auto"/>
            <w:vAlign w:val="center"/>
          </w:tcPr>
          <w:p w14:paraId="614873EE">
            <w:pPr>
              <w:pStyle w:val="31"/>
              <w:widowControl w:val="0"/>
            </w:pPr>
            <w:r>
              <w:rPr>
                <w:rFonts w:hint="eastAsia"/>
              </w:rPr>
              <w:t>蓝色</w:t>
            </w:r>
          </w:p>
        </w:tc>
        <w:tc>
          <w:tcPr>
            <w:tcW w:w="1559" w:type="dxa"/>
            <w:tcBorders>
              <w:top w:val="single" w:color="auto" w:sz="8" w:space="0"/>
            </w:tcBorders>
            <w:shd w:val="clear" w:color="auto" w:fill="auto"/>
            <w:vAlign w:val="center"/>
          </w:tcPr>
          <w:p w14:paraId="3394568A">
            <w:pPr>
              <w:pStyle w:val="31"/>
              <w:widowControl w:val="0"/>
            </w:pPr>
            <w:r>
              <w:rPr>
                <w:rFonts w:hint="eastAsia"/>
              </w:rPr>
              <w:t>关停退出工业企业原址用地</w:t>
            </w:r>
          </w:p>
        </w:tc>
        <w:tc>
          <w:tcPr>
            <w:tcW w:w="5800" w:type="dxa"/>
            <w:tcBorders>
              <w:top w:val="single" w:color="auto" w:sz="8" w:space="0"/>
            </w:tcBorders>
            <w:shd w:val="clear" w:color="auto" w:fill="auto"/>
            <w:vAlign w:val="center"/>
          </w:tcPr>
          <w:p w14:paraId="5CC8C73F">
            <w:pPr>
              <w:pStyle w:val="31"/>
              <w:widowControl w:val="0"/>
            </w:pPr>
            <w:r>
              <w:rPr>
                <w:rFonts w:hint="eastAsia"/>
              </w:rPr>
              <w:t>拆除活动（拆除设施为普通建筑物）；土壤修复活动；风险管控活动；公园建设活动（建成，地块范围内封闭管理）；公园建设活动（在建）；正规停车场建设活动（闲置）</w:t>
            </w:r>
          </w:p>
        </w:tc>
      </w:tr>
      <w:tr w14:paraId="4F067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continue"/>
            <w:shd w:val="clear" w:color="auto" w:fill="auto"/>
            <w:vAlign w:val="center"/>
          </w:tcPr>
          <w:p w14:paraId="4E14DA85">
            <w:pPr>
              <w:pStyle w:val="31"/>
              <w:widowControl w:val="0"/>
            </w:pPr>
          </w:p>
        </w:tc>
        <w:tc>
          <w:tcPr>
            <w:tcW w:w="1145" w:type="dxa"/>
            <w:vMerge w:val="continue"/>
            <w:shd w:val="clear" w:color="auto" w:fill="auto"/>
            <w:vAlign w:val="center"/>
          </w:tcPr>
          <w:p w14:paraId="110FF4EA">
            <w:pPr>
              <w:pStyle w:val="31"/>
              <w:widowControl w:val="0"/>
            </w:pPr>
          </w:p>
        </w:tc>
        <w:tc>
          <w:tcPr>
            <w:tcW w:w="1559" w:type="dxa"/>
            <w:shd w:val="clear" w:color="auto" w:fill="auto"/>
            <w:vAlign w:val="center"/>
          </w:tcPr>
          <w:p w14:paraId="2C336B42">
            <w:pPr>
              <w:pStyle w:val="31"/>
              <w:widowControl w:val="0"/>
            </w:pPr>
            <w:r>
              <w:rPr>
                <w:rFonts w:hint="eastAsia"/>
              </w:rPr>
              <w:t>在产企业用地</w:t>
            </w:r>
          </w:p>
        </w:tc>
        <w:tc>
          <w:tcPr>
            <w:tcW w:w="5800" w:type="dxa"/>
            <w:shd w:val="clear" w:color="auto" w:fill="auto"/>
            <w:vAlign w:val="center"/>
          </w:tcPr>
          <w:p w14:paraId="4BA689EF">
            <w:pPr>
              <w:pStyle w:val="31"/>
              <w:widowControl w:val="0"/>
            </w:pPr>
            <w:r>
              <w:rPr>
                <w:rFonts w:hint="eastAsia"/>
              </w:rPr>
              <w:t>拆除活动（拆除设施为普通建筑物）；新建活动（已备案）；改建活动（已备案）；扩建活动（已备案）</w:t>
            </w:r>
          </w:p>
        </w:tc>
      </w:tr>
      <w:tr w14:paraId="4AAA0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restart"/>
            <w:shd w:val="clear" w:color="auto" w:fill="auto"/>
            <w:vAlign w:val="center"/>
          </w:tcPr>
          <w:p w14:paraId="450ABD86">
            <w:pPr>
              <w:pStyle w:val="31"/>
              <w:widowControl w:val="0"/>
            </w:pPr>
            <w:r>
              <w:rPr>
                <w:rFonts w:hint="eastAsia"/>
              </w:rPr>
              <w:t>一级</w:t>
            </w:r>
          </w:p>
        </w:tc>
        <w:tc>
          <w:tcPr>
            <w:tcW w:w="1145" w:type="dxa"/>
            <w:vMerge w:val="restart"/>
            <w:shd w:val="clear" w:color="auto" w:fill="auto"/>
            <w:vAlign w:val="center"/>
          </w:tcPr>
          <w:p w14:paraId="4815A096">
            <w:pPr>
              <w:pStyle w:val="31"/>
              <w:widowControl w:val="0"/>
            </w:pPr>
            <w:r>
              <w:rPr>
                <w:rFonts w:hint="eastAsia"/>
              </w:rPr>
              <w:t>黄色</w:t>
            </w:r>
          </w:p>
        </w:tc>
        <w:tc>
          <w:tcPr>
            <w:tcW w:w="1559" w:type="dxa"/>
            <w:shd w:val="clear" w:color="auto" w:fill="auto"/>
            <w:vAlign w:val="center"/>
          </w:tcPr>
          <w:p w14:paraId="00BE6B58">
            <w:pPr>
              <w:pStyle w:val="31"/>
              <w:widowControl w:val="0"/>
            </w:pPr>
            <w:r>
              <w:rPr>
                <w:rFonts w:hint="eastAsia"/>
              </w:rPr>
              <w:t>关停退出工业企业原址用地</w:t>
            </w:r>
          </w:p>
        </w:tc>
        <w:tc>
          <w:tcPr>
            <w:tcW w:w="5800" w:type="dxa"/>
            <w:shd w:val="clear" w:color="auto" w:fill="auto"/>
            <w:vAlign w:val="center"/>
          </w:tcPr>
          <w:p w14:paraId="2428C212">
            <w:pPr>
              <w:pStyle w:val="31"/>
              <w:widowControl w:val="0"/>
            </w:pPr>
            <w:r>
              <w:rPr>
                <w:rFonts w:hint="eastAsia"/>
              </w:rPr>
              <w:t>拆除活动（拆除设施为大气环保设施、废水处理区）；正规停车场建设活动（在建）；车辆非正规临时停放</w:t>
            </w:r>
          </w:p>
        </w:tc>
      </w:tr>
      <w:tr w14:paraId="5BF79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continue"/>
            <w:shd w:val="clear" w:color="auto" w:fill="auto"/>
            <w:vAlign w:val="center"/>
          </w:tcPr>
          <w:p w14:paraId="77115C6D">
            <w:pPr>
              <w:pStyle w:val="31"/>
              <w:widowControl w:val="0"/>
            </w:pPr>
          </w:p>
        </w:tc>
        <w:tc>
          <w:tcPr>
            <w:tcW w:w="1145" w:type="dxa"/>
            <w:vMerge w:val="continue"/>
            <w:shd w:val="clear" w:color="auto" w:fill="auto"/>
            <w:vAlign w:val="center"/>
          </w:tcPr>
          <w:p w14:paraId="7013C2EC">
            <w:pPr>
              <w:pStyle w:val="31"/>
              <w:widowControl w:val="0"/>
            </w:pPr>
          </w:p>
        </w:tc>
        <w:tc>
          <w:tcPr>
            <w:tcW w:w="1559" w:type="dxa"/>
            <w:shd w:val="clear" w:color="auto" w:fill="auto"/>
            <w:vAlign w:val="center"/>
          </w:tcPr>
          <w:p w14:paraId="4129C55B">
            <w:pPr>
              <w:pStyle w:val="31"/>
              <w:widowControl w:val="0"/>
            </w:pPr>
            <w:r>
              <w:rPr>
                <w:rFonts w:hint="eastAsia"/>
              </w:rPr>
              <w:t>在产企业用地</w:t>
            </w:r>
          </w:p>
        </w:tc>
        <w:tc>
          <w:tcPr>
            <w:tcW w:w="5800" w:type="dxa"/>
            <w:shd w:val="clear" w:color="auto" w:fill="auto"/>
            <w:vAlign w:val="center"/>
          </w:tcPr>
          <w:p w14:paraId="7A850401">
            <w:pPr>
              <w:pStyle w:val="31"/>
              <w:widowControl w:val="0"/>
            </w:pPr>
            <w:r>
              <w:rPr>
                <w:rFonts w:hint="eastAsia"/>
              </w:rPr>
              <w:t>拆除活动（拆除设施为大气环保设施、废水处理区）</w:t>
            </w:r>
          </w:p>
        </w:tc>
      </w:tr>
      <w:tr w14:paraId="5528D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restart"/>
            <w:shd w:val="clear" w:color="auto" w:fill="auto"/>
            <w:vAlign w:val="center"/>
          </w:tcPr>
          <w:p w14:paraId="43DAAB0B">
            <w:pPr>
              <w:pStyle w:val="31"/>
              <w:widowControl w:val="0"/>
            </w:pPr>
            <w:r>
              <w:rPr>
                <w:rFonts w:hint="eastAsia"/>
              </w:rPr>
              <w:t>二级</w:t>
            </w:r>
          </w:p>
        </w:tc>
        <w:tc>
          <w:tcPr>
            <w:tcW w:w="1145" w:type="dxa"/>
            <w:vMerge w:val="restart"/>
            <w:shd w:val="clear" w:color="auto" w:fill="auto"/>
            <w:vAlign w:val="center"/>
          </w:tcPr>
          <w:p w14:paraId="36E09612">
            <w:pPr>
              <w:pStyle w:val="31"/>
              <w:widowControl w:val="0"/>
            </w:pPr>
            <w:r>
              <w:rPr>
                <w:rFonts w:hint="eastAsia"/>
              </w:rPr>
              <w:t>橙色</w:t>
            </w:r>
          </w:p>
        </w:tc>
        <w:tc>
          <w:tcPr>
            <w:tcW w:w="1559" w:type="dxa"/>
            <w:shd w:val="clear" w:color="auto" w:fill="auto"/>
            <w:vAlign w:val="center"/>
          </w:tcPr>
          <w:p w14:paraId="60E9F88B">
            <w:pPr>
              <w:pStyle w:val="31"/>
              <w:widowControl w:val="0"/>
            </w:pPr>
            <w:r>
              <w:rPr>
                <w:rFonts w:hint="eastAsia"/>
              </w:rPr>
              <w:t>关停退出工业企业原址用地</w:t>
            </w:r>
          </w:p>
        </w:tc>
        <w:tc>
          <w:tcPr>
            <w:tcW w:w="5800" w:type="dxa"/>
            <w:shd w:val="clear" w:color="auto" w:fill="auto"/>
            <w:vAlign w:val="center"/>
          </w:tcPr>
          <w:p w14:paraId="0AF0DBB1">
            <w:pPr>
              <w:pStyle w:val="31"/>
              <w:widowControl w:val="0"/>
            </w:pPr>
            <w:r>
              <w:rPr>
                <w:rFonts w:hint="eastAsia"/>
              </w:rPr>
              <w:t>拆除活动（拆除设施为生产车间，生产装置、储罐，产品及原辅料材料堆存区、固体废物堆场）；房屋建设活动（在建、建成闲置）；存在其他人类活动</w:t>
            </w:r>
          </w:p>
        </w:tc>
      </w:tr>
      <w:tr w14:paraId="77443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continue"/>
            <w:shd w:val="clear" w:color="auto" w:fill="auto"/>
            <w:vAlign w:val="center"/>
          </w:tcPr>
          <w:p w14:paraId="1BDBA73D">
            <w:pPr>
              <w:pStyle w:val="31"/>
              <w:widowControl w:val="0"/>
            </w:pPr>
          </w:p>
        </w:tc>
        <w:tc>
          <w:tcPr>
            <w:tcW w:w="1145" w:type="dxa"/>
            <w:vMerge w:val="continue"/>
            <w:shd w:val="clear" w:color="auto" w:fill="auto"/>
            <w:vAlign w:val="center"/>
          </w:tcPr>
          <w:p w14:paraId="54AB9511">
            <w:pPr>
              <w:pStyle w:val="31"/>
              <w:widowControl w:val="0"/>
            </w:pPr>
          </w:p>
        </w:tc>
        <w:tc>
          <w:tcPr>
            <w:tcW w:w="1559" w:type="dxa"/>
            <w:shd w:val="clear" w:color="auto" w:fill="auto"/>
            <w:vAlign w:val="center"/>
          </w:tcPr>
          <w:p w14:paraId="55829912">
            <w:pPr>
              <w:pStyle w:val="31"/>
              <w:widowControl w:val="0"/>
            </w:pPr>
            <w:r>
              <w:rPr>
                <w:rFonts w:hint="eastAsia"/>
              </w:rPr>
              <w:t>在产企业用地</w:t>
            </w:r>
          </w:p>
        </w:tc>
        <w:tc>
          <w:tcPr>
            <w:tcW w:w="5800" w:type="dxa"/>
            <w:shd w:val="clear" w:color="auto" w:fill="auto"/>
            <w:vAlign w:val="center"/>
          </w:tcPr>
          <w:p w14:paraId="0E3736F6">
            <w:pPr>
              <w:pStyle w:val="31"/>
              <w:widowControl w:val="0"/>
            </w:pPr>
            <w:r>
              <w:rPr>
                <w:rFonts w:hint="eastAsia"/>
              </w:rPr>
              <w:t>拆除活动（拆除设施为生产车间，生产装置、储罐，产品及原辅料材料堆存区、固体废物堆场）；存在未硬化地面；存在颜色异常土壤；存在露天存放颜色异常液体；存在露天料堆；存在其他土壤污染风险</w:t>
            </w:r>
          </w:p>
        </w:tc>
      </w:tr>
      <w:tr w14:paraId="785D9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restart"/>
            <w:shd w:val="clear" w:color="auto" w:fill="auto"/>
            <w:vAlign w:val="center"/>
          </w:tcPr>
          <w:p w14:paraId="0E587F8C">
            <w:pPr>
              <w:pStyle w:val="31"/>
              <w:widowControl w:val="0"/>
            </w:pPr>
            <w:r>
              <w:rPr>
                <w:rFonts w:hint="eastAsia"/>
              </w:rPr>
              <w:t>三级</w:t>
            </w:r>
          </w:p>
        </w:tc>
        <w:tc>
          <w:tcPr>
            <w:tcW w:w="1145" w:type="dxa"/>
            <w:vMerge w:val="restart"/>
            <w:shd w:val="clear" w:color="auto" w:fill="auto"/>
            <w:vAlign w:val="center"/>
          </w:tcPr>
          <w:p w14:paraId="7421E4F7">
            <w:pPr>
              <w:pStyle w:val="31"/>
              <w:widowControl w:val="0"/>
            </w:pPr>
            <w:r>
              <w:rPr>
                <w:rFonts w:hint="eastAsia"/>
              </w:rPr>
              <w:t>红色</w:t>
            </w:r>
          </w:p>
        </w:tc>
        <w:tc>
          <w:tcPr>
            <w:tcW w:w="1559" w:type="dxa"/>
            <w:shd w:val="clear" w:color="auto" w:fill="auto"/>
            <w:vAlign w:val="center"/>
          </w:tcPr>
          <w:p w14:paraId="5359C008">
            <w:pPr>
              <w:pStyle w:val="31"/>
              <w:widowControl w:val="0"/>
            </w:pPr>
            <w:r>
              <w:rPr>
                <w:rFonts w:hint="eastAsia"/>
              </w:rPr>
              <w:t>关停退出工业企业原址用地</w:t>
            </w:r>
          </w:p>
        </w:tc>
        <w:tc>
          <w:tcPr>
            <w:tcW w:w="5800" w:type="dxa"/>
            <w:shd w:val="clear" w:color="auto" w:fill="auto"/>
            <w:vAlign w:val="center"/>
          </w:tcPr>
          <w:p w14:paraId="3528C6C1">
            <w:pPr>
              <w:pStyle w:val="31"/>
              <w:widowControl w:val="0"/>
            </w:pPr>
            <w:r>
              <w:rPr>
                <w:rFonts w:hint="eastAsia"/>
              </w:rPr>
              <w:t>土壤污染突发事件；房屋建设活动（在售、在住）；公园建设活动（建成，地块范围内可通行）；非正规停车场建设活动（在营）；其他再开发利用活动</w:t>
            </w:r>
          </w:p>
        </w:tc>
      </w:tr>
      <w:tr w14:paraId="23357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30" w:type="dxa"/>
            <w:vMerge w:val="continue"/>
            <w:shd w:val="clear" w:color="auto" w:fill="auto"/>
            <w:vAlign w:val="center"/>
          </w:tcPr>
          <w:p w14:paraId="39863A96">
            <w:pPr>
              <w:pStyle w:val="31"/>
              <w:widowControl w:val="0"/>
            </w:pPr>
          </w:p>
        </w:tc>
        <w:tc>
          <w:tcPr>
            <w:tcW w:w="1145" w:type="dxa"/>
            <w:vMerge w:val="continue"/>
            <w:shd w:val="clear" w:color="auto" w:fill="auto"/>
            <w:vAlign w:val="center"/>
          </w:tcPr>
          <w:p w14:paraId="6D82632F">
            <w:pPr>
              <w:pStyle w:val="31"/>
              <w:widowControl w:val="0"/>
            </w:pPr>
          </w:p>
        </w:tc>
        <w:tc>
          <w:tcPr>
            <w:tcW w:w="1559" w:type="dxa"/>
            <w:shd w:val="clear" w:color="auto" w:fill="auto"/>
            <w:vAlign w:val="center"/>
          </w:tcPr>
          <w:p w14:paraId="3E23E1FC">
            <w:pPr>
              <w:pStyle w:val="31"/>
              <w:widowControl w:val="0"/>
            </w:pPr>
            <w:r>
              <w:rPr>
                <w:rFonts w:hint="eastAsia"/>
              </w:rPr>
              <w:t>在产企业用地</w:t>
            </w:r>
          </w:p>
        </w:tc>
        <w:tc>
          <w:tcPr>
            <w:tcW w:w="5800" w:type="dxa"/>
            <w:shd w:val="clear" w:color="auto" w:fill="auto"/>
            <w:vAlign w:val="center"/>
          </w:tcPr>
          <w:p w14:paraId="01A14735">
            <w:pPr>
              <w:pStyle w:val="31"/>
              <w:widowControl w:val="0"/>
            </w:pPr>
            <w:r>
              <w:rPr>
                <w:rFonts w:hint="eastAsia"/>
              </w:rPr>
              <w:t>土壤污染突发事件；新/改/扩建活动（未备案）</w:t>
            </w:r>
          </w:p>
        </w:tc>
      </w:tr>
    </w:tbl>
    <w:p w14:paraId="55B2B798">
      <w:pPr>
        <w:pStyle w:val="3"/>
        <w:numPr>
          <w:ilvl w:val="0"/>
          <w:numId w:val="0"/>
        </w:numPr>
        <w:spacing w:line="416" w:lineRule="auto"/>
        <w:rPr>
          <w:rFonts w:eastAsia="黑体"/>
          <w:b w:val="0"/>
          <w:kern w:val="0"/>
          <w:sz w:val="32"/>
          <w:highlight w:val="red"/>
        </w:rPr>
      </w:pPr>
      <w:bookmarkStart w:id="114" w:name="_Toc15064"/>
      <w:r>
        <w:rPr>
          <w:rFonts w:hint="eastAsia" w:eastAsia="黑体"/>
          <w:b w:val="0"/>
          <w:kern w:val="0"/>
          <w:sz w:val="32"/>
        </w:rPr>
        <w:t>5.9监测成果要求</w:t>
      </w:r>
      <w:bookmarkEnd w:id="114"/>
    </w:p>
    <w:p w14:paraId="443A2F21">
      <w:pPr>
        <w:spacing w:line="360" w:lineRule="auto"/>
        <w:ind w:firstLine="480" w:firstLineChars="200"/>
        <w:rPr>
          <w:sz w:val="24"/>
        </w:rPr>
      </w:pPr>
      <w:r>
        <w:rPr>
          <w:rFonts w:hint="eastAsia"/>
          <w:sz w:val="24"/>
        </w:rPr>
        <w:t>为保证监测成果的统一性、可比性，监测成果在格式、内容、命名方式等方面需要满足规范化要求。本文件中监测成果指为了追溯及构建重点建设用地信息形成的电子及纸质材料，包括监测台账、遥感解译、现场调查、专题图制作、报告编写。遥感解译结果表征重点建设用地遥感监测到的人类活动及土壤污染隐患，现场调查结果是查证重点建设用地内污染隐患的重要依据，监测台账是重点建设用地历史信息的合集，专题图制作及报告编写是遥感解译及现场调查的总结、归纳及表征。</w:t>
      </w:r>
    </w:p>
    <w:p w14:paraId="072ECC2D">
      <w:pPr>
        <w:spacing w:line="360" w:lineRule="auto"/>
        <w:ind w:firstLine="482" w:firstLineChars="200"/>
        <w:rPr>
          <w:sz w:val="24"/>
        </w:rPr>
      </w:pPr>
      <w:r>
        <w:rPr>
          <w:rFonts w:hint="eastAsia"/>
          <w:b/>
          <w:bCs/>
          <w:sz w:val="24"/>
        </w:rPr>
        <w:t>监测台账</w:t>
      </w:r>
      <w:r>
        <w:rPr>
          <w:rFonts w:hint="eastAsia"/>
          <w:sz w:val="24"/>
        </w:rPr>
        <w:t>要求包括各重点建设用地的基础信息资料、背景资料、历史遥感影像、遥感解译结果、现场调查结果、环境风险等级等，保证各地块历史信息可追溯。</w:t>
      </w:r>
    </w:p>
    <w:p w14:paraId="295B7CE4">
      <w:pPr>
        <w:spacing w:line="360" w:lineRule="auto"/>
        <w:ind w:firstLine="482" w:firstLineChars="200"/>
        <w:rPr>
          <w:sz w:val="24"/>
        </w:rPr>
      </w:pPr>
      <w:r>
        <w:rPr>
          <w:rFonts w:hint="eastAsia"/>
          <w:b/>
          <w:bCs/>
          <w:sz w:val="24"/>
        </w:rPr>
        <w:t>遥感解译</w:t>
      </w:r>
      <w:r>
        <w:rPr>
          <w:rFonts w:hint="eastAsia"/>
          <w:sz w:val="24"/>
        </w:rPr>
        <w:t>结果的图斑为通用矢量格式，矢量图斑相关属性信息应在属性表中体现，为保证属性表的可读性，缺省字段应满足本标准的规定。</w:t>
      </w:r>
    </w:p>
    <w:p w14:paraId="35D3068E">
      <w:pPr>
        <w:spacing w:line="360" w:lineRule="auto"/>
        <w:ind w:firstLine="482" w:firstLineChars="200"/>
        <w:rPr>
          <w:sz w:val="24"/>
        </w:rPr>
      </w:pPr>
      <w:r>
        <w:rPr>
          <w:rFonts w:hint="eastAsia"/>
          <w:b/>
          <w:bCs/>
          <w:sz w:val="24"/>
        </w:rPr>
        <w:t>现场调查</w:t>
      </w:r>
      <w:r>
        <w:rPr>
          <w:rFonts w:hint="eastAsia"/>
          <w:sz w:val="24"/>
        </w:rPr>
        <w:t>过程中，调查表的填写、现场照片的命名等需要满足本标准规定的命名格式要求。</w:t>
      </w:r>
    </w:p>
    <w:p w14:paraId="7BAF3340">
      <w:pPr>
        <w:spacing w:line="360" w:lineRule="auto"/>
        <w:ind w:firstLine="482" w:firstLineChars="200"/>
        <w:rPr>
          <w:sz w:val="24"/>
        </w:rPr>
      </w:pPr>
      <w:r>
        <w:rPr>
          <w:rFonts w:hint="eastAsia"/>
          <w:b/>
          <w:bCs/>
          <w:sz w:val="24"/>
        </w:rPr>
        <w:t>专题图</w:t>
      </w:r>
      <w:r>
        <w:rPr>
          <w:rFonts w:hint="eastAsia"/>
          <w:sz w:val="24"/>
        </w:rPr>
        <w:t>用来体现重点建设用地的空间分布及重点建设用地的特定属性，本标准要求专题图必须有图名（黑体）、图例、比例尺（单位：千米）、指北针、编码（应在图廓的左下角和右下角分别标注制图时间和制图单位，采用宋体）等信息，为保证重点建设用地面积与监测面积一致，建议采用WebMercator投影。图例中符号的图形、大小、颜色等应严格保持同主图符号一致，图例应放置在图幅的右下方。其他制图要求参照GB/T 33462和GB/T 33183执行。</w:t>
      </w:r>
    </w:p>
    <w:p w14:paraId="0B4E0AE6">
      <w:pPr>
        <w:spacing w:line="360" w:lineRule="auto"/>
        <w:ind w:firstLine="482" w:firstLineChars="200"/>
        <w:rPr>
          <w:sz w:val="24"/>
          <w:highlight w:val="red"/>
        </w:rPr>
      </w:pPr>
      <w:r>
        <w:rPr>
          <w:rFonts w:hint="eastAsia"/>
          <w:b/>
          <w:bCs/>
          <w:sz w:val="24"/>
        </w:rPr>
        <w:t>报告编写</w:t>
      </w:r>
      <w:r>
        <w:rPr>
          <w:rFonts w:hint="eastAsia"/>
          <w:sz w:val="24"/>
        </w:rPr>
        <w:t>内容应涵盖监测对象范围、遥感解译结果、现场调查结果、综合判断结论、风险级别信息和结论，以文字、表格的形式介绍地块基本信息及监测结论。</w:t>
      </w:r>
    </w:p>
    <w:p w14:paraId="4C04DBB7">
      <w:pPr>
        <w:pStyle w:val="3"/>
        <w:numPr>
          <w:ilvl w:val="0"/>
          <w:numId w:val="0"/>
        </w:numPr>
        <w:spacing w:line="416" w:lineRule="auto"/>
        <w:rPr>
          <w:rFonts w:eastAsia="黑体"/>
          <w:b w:val="0"/>
          <w:kern w:val="0"/>
          <w:sz w:val="32"/>
        </w:rPr>
      </w:pPr>
      <w:bookmarkStart w:id="115" w:name="_Toc2135"/>
      <w:r>
        <w:rPr>
          <w:rFonts w:hint="eastAsia" w:eastAsia="黑体"/>
          <w:b w:val="0"/>
          <w:kern w:val="0"/>
          <w:sz w:val="32"/>
        </w:rPr>
        <w:t>5.10质量控制</w:t>
      </w:r>
      <w:bookmarkEnd w:id="115"/>
    </w:p>
    <w:p w14:paraId="716DE43A">
      <w:pPr>
        <w:spacing w:line="360" w:lineRule="auto"/>
        <w:ind w:firstLine="480" w:firstLineChars="200"/>
        <w:rPr>
          <w:sz w:val="24"/>
        </w:rPr>
      </w:pPr>
      <w:r>
        <w:rPr>
          <w:rFonts w:hint="eastAsia"/>
          <w:sz w:val="24"/>
        </w:rPr>
        <w:t>质量控制贯穿重点建设用地遥感监测整个过程，具体需要进行质量控制的对象包括遥感影像、遥感解译、现场调查，各个环节出现不符合质量控制要求的内容，均要求返工，直到各个流程均符合质控要求。</w:t>
      </w:r>
    </w:p>
    <w:p w14:paraId="1FD982BA">
      <w:pPr>
        <w:spacing w:line="360" w:lineRule="auto"/>
        <w:ind w:firstLine="480" w:firstLineChars="200"/>
        <w:rPr>
          <w:sz w:val="24"/>
        </w:rPr>
      </w:pPr>
      <w:r>
        <w:rPr>
          <w:rFonts w:hint="eastAsia"/>
          <w:sz w:val="24"/>
        </w:rPr>
        <w:t>遥感影像质量直接决定解译结果的准确度，本文件规定影像需采用数字正射影像，数字正射影像的质量应符合GB/T 33182的规定，数字正射影像质量检验基本要求、工作流程、检验方法和质量评定方法应符合CH/T 1027的规定。</w:t>
      </w:r>
    </w:p>
    <w:p w14:paraId="7678E492">
      <w:pPr>
        <w:spacing w:line="360" w:lineRule="auto"/>
        <w:ind w:firstLine="480" w:firstLineChars="200"/>
        <w:rPr>
          <w:sz w:val="24"/>
        </w:rPr>
      </w:pPr>
      <w:r>
        <w:rPr>
          <w:rFonts w:hint="eastAsia"/>
          <w:sz w:val="24"/>
        </w:rPr>
        <w:t>遥感解译成果质量，应符合</w:t>
      </w:r>
      <w:r>
        <w:rPr>
          <w:rFonts w:hint="eastAsia"/>
          <w:sz w:val="24"/>
          <w:szCs w:val="21"/>
        </w:rPr>
        <w:t>《数字测绘成果质量要求》（GB/T 17941）中数字线划图的要求</w:t>
      </w:r>
      <w:r>
        <w:rPr>
          <w:rFonts w:hint="eastAsia"/>
          <w:sz w:val="24"/>
        </w:rPr>
        <w:t>。</w:t>
      </w:r>
    </w:p>
    <w:p w14:paraId="16E5AE6D">
      <w:pPr>
        <w:spacing w:line="360" w:lineRule="auto"/>
        <w:ind w:firstLine="480" w:firstLineChars="200"/>
        <w:rPr>
          <w:sz w:val="24"/>
        </w:rPr>
      </w:pPr>
      <w:r>
        <w:rPr>
          <w:rFonts w:hint="eastAsia"/>
          <w:sz w:val="24"/>
        </w:rPr>
        <w:t>遥感解译验收与质量评定，应符合GB/T 18316的规定，以服务于重点建设用地精细化管理需求。主要包括解译边界、解译属性、解译成果坐标系、解译总体精度。</w:t>
      </w:r>
    </w:p>
    <w:p w14:paraId="046148F8">
      <w:pPr>
        <w:spacing w:line="360" w:lineRule="auto"/>
        <w:ind w:firstLine="480" w:firstLineChars="200"/>
        <w:rPr>
          <w:sz w:val="24"/>
        </w:rPr>
      </w:pPr>
      <w:r>
        <w:rPr>
          <w:rFonts w:hint="eastAsia"/>
          <w:sz w:val="24"/>
        </w:rPr>
        <w:t>为保证现场调查信息全面，现场调查表信息尽量填写完整、正确，不存在指标空缺。</w:t>
      </w:r>
    </w:p>
    <w:p w14:paraId="2338FC81">
      <w:pPr>
        <w:pStyle w:val="2"/>
      </w:pPr>
      <w:bookmarkStart w:id="116" w:name="_Toc5221"/>
      <w:r>
        <w:rPr>
          <w:rFonts w:hint="eastAsia"/>
        </w:rPr>
        <w:t>6</w:t>
      </w:r>
      <w:r>
        <w:t xml:space="preserve"> </w:t>
      </w:r>
      <w:r>
        <w:rPr>
          <w:rFonts w:hint="eastAsia"/>
        </w:rPr>
        <w:t>重大意见分歧的处理依据和结果</w:t>
      </w:r>
      <w:bookmarkEnd w:id="116"/>
    </w:p>
    <w:p w14:paraId="5C3BB35C">
      <w:pPr>
        <w:spacing w:line="360" w:lineRule="auto"/>
        <w:rPr>
          <w:rFonts w:ascii="黑体" w:hAnsi="黑体" w:eastAsia="黑体" w:cs="黑体"/>
          <w:sz w:val="32"/>
          <w:szCs w:val="32"/>
        </w:rPr>
      </w:pPr>
    </w:p>
    <w:p w14:paraId="795CA9BC">
      <w:pPr>
        <w:pStyle w:val="2"/>
      </w:pPr>
      <w:bookmarkStart w:id="117" w:name="_Toc6343"/>
      <w:r>
        <w:rPr>
          <w:rFonts w:hint="eastAsia"/>
        </w:rPr>
        <w:t>7与国内外同类标准的对比情况</w:t>
      </w:r>
      <w:bookmarkEnd w:id="117"/>
    </w:p>
    <w:p w14:paraId="72E87EEA">
      <w:pPr>
        <w:spacing w:line="360" w:lineRule="auto"/>
        <w:ind w:firstLine="480" w:firstLineChars="200"/>
        <w:rPr>
          <w:sz w:val="24"/>
          <w:szCs w:val="21"/>
        </w:rPr>
      </w:pPr>
      <w:r>
        <w:rPr>
          <w:rFonts w:hint="eastAsia"/>
          <w:sz w:val="24"/>
          <w:szCs w:val="21"/>
        </w:rPr>
        <w:t>目前，国内外现行的关于建设用地土壤污染调查管理和遥感监测的标准主要有三个，分别是《矿产资源开发遥感监测技术规范》（</w:t>
      </w:r>
      <w:r>
        <w:rPr>
          <w:sz w:val="24"/>
          <w:szCs w:val="21"/>
        </w:rPr>
        <w:t>DZ/T 0266—2014</w:t>
      </w:r>
      <w:r>
        <w:rPr>
          <w:rFonts w:hint="eastAsia"/>
          <w:sz w:val="24"/>
          <w:szCs w:val="21"/>
        </w:rPr>
        <w:t>）</w:t>
      </w:r>
      <w:r>
        <w:rPr>
          <w:sz w:val="24"/>
          <w:szCs w:val="21"/>
        </w:rPr>
        <w:t>、《煤化工企业土壤污染隐患排查管理规程》</w:t>
      </w:r>
      <w:r>
        <w:rPr>
          <w:rFonts w:hint="eastAsia"/>
          <w:sz w:val="24"/>
          <w:szCs w:val="21"/>
        </w:rPr>
        <w:t>（</w:t>
      </w:r>
      <w:r>
        <w:rPr>
          <w:sz w:val="24"/>
          <w:szCs w:val="21"/>
        </w:rPr>
        <w:t>NB/T 10749—2021</w:t>
      </w:r>
      <w:r>
        <w:rPr>
          <w:rFonts w:hint="eastAsia"/>
          <w:sz w:val="24"/>
          <w:szCs w:val="21"/>
        </w:rPr>
        <w:t>）、</w:t>
      </w:r>
      <w:r>
        <w:rPr>
          <w:sz w:val="24"/>
          <w:szCs w:val="21"/>
        </w:rPr>
        <w:t>《Soil quality—Sampling—Part5：Guidance on the procedure for the investigation of urban and industrial sites with regard to soil contamination》</w:t>
      </w:r>
      <w:r>
        <w:rPr>
          <w:rFonts w:hint="eastAsia"/>
          <w:sz w:val="24"/>
          <w:szCs w:val="21"/>
        </w:rPr>
        <w:t>（</w:t>
      </w:r>
      <w:r>
        <w:rPr>
          <w:sz w:val="24"/>
          <w:szCs w:val="21"/>
        </w:rPr>
        <w:t>ISO 10381—5:2005</w:t>
      </w:r>
      <w:r>
        <w:rPr>
          <w:rFonts w:hint="eastAsia"/>
          <w:sz w:val="24"/>
          <w:szCs w:val="21"/>
        </w:rPr>
        <w:t>）、《建筑施工裸地遥感监测技术导则》（T/CECS 995—2022）和《入河（海）排污口排查整治无人机遥感解译技术规范》（HJ 1234—2021）。本标准与上述四个标准的比较见表5。</w:t>
      </w:r>
    </w:p>
    <w:p w14:paraId="5C59CD51">
      <w:pPr>
        <w:spacing w:line="360" w:lineRule="auto"/>
        <w:ind w:firstLine="480" w:firstLineChars="200"/>
        <w:rPr>
          <w:sz w:val="24"/>
          <w:szCs w:val="21"/>
        </w:rPr>
      </w:pPr>
      <w:r>
        <w:rPr>
          <w:rFonts w:hint="eastAsia"/>
          <w:sz w:val="24"/>
          <w:szCs w:val="21"/>
        </w:rPr>
        <w:t>与国内外有关标准相比，本标准在适用范围、调查对象、数据资料准备和调查指标方面存在差异。</w:t>
      </w:r>
    </w:p>
    <w:p w14:paraId="7C26956E">
      <w:pPr>
        <w:spacing w:line="360" w:lineRule="auto"/>
        <w:ind w:firstLine="480" w:firstLineChars="200"/>
        <w:rPr>
          <w:sz w:val="24"/>
          <w:szCs w:val="21"/>
        </w:rPr>
      </w:pPr>
      <w:r>
        <w:rPr>
          <w:rFonts w:hint="eastAsia"/>
          <w:sz w:val="24"/>
          <w:szCs w:val="21"/>
        </w:rPr>
        <w:t>适用范围：本标准的适用范围更广，建设用地涵盖了矿产资源、煤化工企业、制造业和工业等用地，可推广性更强。</w:t>
      </w:r>
    </w:p>
    <w:p w14:paraId="6F3FAA93">
      <w:pPr>
        <w:spacing w:line="360" w:lineRule="auto"/>
        <w:ind w:firstLine="480" w:firstLineChars="200"/>
        <w:rPr>
          <w:sz w:val="24"/>
          <w:szCs w:val="21"/>
        </w:rPr>
      </w:pPr>
      <w:r>
        <w:rPr>
          <w:rFonts w:hint="eastAsia"/>
          <w:sz w:val="24"/>
          <w:szCs w:val="21"/>
        </w:rPr>
        <w:t>目的任务：本标准的制定是为了动态监测建设用地土壤污染的变化情况，能够实时有效掌握重点建设用地上人类活动及土壤污染隐患等情况。</w:t>
      </w:r>
    </w:p>
    <w:p w14:paraId="787FAEED">
      <w:pPr>
        <w:spacing w:line="360" w:lineRule="auto"/>
        <w:ind w:firstLine="480" w:firstLineChars="200"/>
        <w:rPr>
          <w:sz w:val="24"/>
          <w:szCs w:val="21"/>
        </w:rPr>
      </w:pPr>
      <w:r>
        <w:rPr>
          <w:rFonts w:hint="eastAsia"/>
          <w:sz w:val="24"/>
          <w:szCs w:val="21"/>
        </w:rPr>
        <w:t>调查对象：本标准的调查对象是制造业、采矿业等受人类活动影响比较大且容易导致土壤污染的区域，相比国内外已有标准，本标准的调查对象针对性强且范围更广。</w:t>
      </w:r>
    </w:p>
    <w:p w14:paraId="5566BF18">
      <w:pPr>
        <w:spacing w:line="360" w:lineRule="auto"/>
        <w:ind w:firstLine="480" w:firstLineChars="200"/>
        <w:rPr>
          <w:sz w:val="24"/>
          <w:szCs w:val="21"/>
        </w:rPr>
      </w:pPr>
      <w:r>
        <w:rPr>
          <w:rFonts w:hint="eastAsia"/>
          <w:sz w:val="24"/>
          <w:szCs w:val="21"/>
        </w:rPr>
        <w:t>调查手段：本标准建议采用遥感监测和外业调查的方式监测重点建设用地土壤污染变化情况，相比之下，时效性更强，准确度更高。</w:t>
      </w:r>
    </w:p>
    <w:p w14:paraId="61BDE571">
      <w:pPr>
        <w:spacing w:line="360" w:lineRule="auto"/>
        <w:ind w:firstLine="480" w:firstLineChars="200"/>
        <w:rPr>
          <w:sz w:val="24"/>
          <w:szCs w:val="21"/>
        </w:rPr>
      </w:pPr>
      <w:r>
        <w:rPr>
          <w:rFonts w:hint="eastAsia"/>
          <w:sz w:val="24"/>
          <w:szCs w:val="21"/>
        </w:rPr>
        <w:t>数据资料准备：本标准建议充分结合各类数据，提高监测结果和风险等级结果的判别精度。</w:t>
      </w:r>
    </w:p>
    <w:p w14:paraId="4D180534">
      <w:pPr>
        <w:spacing w:line="360" w:lineRule="auto"/>
        <w:ind w:firstLine="480" w:firstLineChars="200"/>
        <w:rPr>
          <w:sz w:val="24"/>
          <w:szCs w:val="21"/>
        </w:rPr>
      </w:pPr>
      <w:r>
        <w:rPr>
          <w:rFonts w:hint="eastAsia"/>
          <w:sz w:val="24"/>
          <w:szCs w:val="21"/>
        </w:rPr>
        <w:t>调查指标：本标准中的调查指标囊括了从开工建设到关停整个生命周期的相关人类活动，监测指标更全面。</w:t>
      </w:r>
    </w:p>
    <w:p w14:paraId="2D8C7DF9">
      <w:pPr>
        <w:rPr>
          <w:sz w:val="24"/>
          <w:szCs w:val="21"/>
        </w:rPr>
      </w:pPr>
      <w:r>
        <w:rPr>
          <w:rFonts w:hint="eastAsia"/>
          <w:sz w:val="24"/>
          <w:szCs w:val="21"/>
        </w:rPr>
        <w:br w:type="page"/>
      </w:r>
    </w:p>
    <w:p w14:paraId="7E268800">
      <w:pPr>
        <w:spacing w:line="360" w:lineRule="auto"/>
        <w:ind w:firstLine="480" w:firstLineChars="200"/>
        <w:rPr>
          <w:sz w:val="24"/>
          <w:szCs w:val="21"/>
        </w:rPr>
        <w:sectPr>
          <w:pgSz w:w="11906" w:h="16838"/>
          <w:pgMar w:top="1440" w:right="1803" w:bottom="1440" w:left="1803" w:header="851" w:footer="992" w:gutter="0"/>
          <w:cols w:space="0" w:num="1"/>
          <w:docGrid w:type="lines" w:linePitch="319" w:charSpace="0"/>
        </w:sectPr>
      </w:pPr>
    </w:p>
    <w:p w14:paraId="2BCE8BAC">
      <w:pPr>
        <w:spacing w:line="360" w:lineRule="auto"/>
        <w:ind w:firstLine="480" w:firstLineChars="200"/>
        <w:rPr>
          <w:sz w:val="24"/>
          <w:szCs w:val="21"/>
        </w:rPr>
      </w:pPr>
    </w:p>
    <w:p w14:paraId="2DD11690">
      <w:pPr>
        <w:spacing w:line="360" w:lineRule="auto"/>
        <w:jc w:val="center"/>
        <w:rPr>
          <w:rFonts w:eastAsia="仿宋_GB2312"/>
          <w:b/>
          <w:bCs/>
          <w:sz w:val="30"/>
          <w:szCs w:val="30"/>
        </w:rPr>
      </w:pPr>
      <w:r>
        <w:rPr>
          <w:rFonts w:hint="eastAsia" w:ascii="黑体" w:eastAsia="黑体"/>
          <w:kern w:val="0"/>
          <w:szCs w:val="20"/>
        </w:rPr>
        <w:t>表5 本标准与国内外相关标准的对比</w:t>
      </w:r>
    </w:p>
    <w:tbl>
      <w:tblPr>
        <w:tblStyle w:val="14"/>
        <w:tblW w:w="15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414"/>
        <w:gridCol w:w="1914"/>
        <w:gridCol w:w="2004"/>
        <w:gridCol w:w="2155"/>
        <w:gridCol w:w="1950"/>
        <w:gridCol w:w="3629"/>
      </w:tblGrid>
      <w:tr w14:paraId="032F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217" w:type="dxa"/>
          </w:tcPr>
          <w:p w14:paraId="495B4AF5">
            <w:pPr>
              <w:spacing w:line="48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对比指标</w:t>
            </w:r>
          </w:p>
        </w:tc>
        <w:tc>
          <w:tcPr>
            <w:tcW w:w="2414" w:type="dxa"/>
          </w:tcPr>
          <w:p w14:paraId="4E577F21">
            <w:pPr>
              <w:spacing w:line="48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本标准</w:t>
            </w:r>
          </w:p>
        </w:tc>
        <w:tc>
          <w:tcPr>
            <w:tcW w:w="1914" w:type="dxa"/>
          </w:tcPr>
          <w:p w14:paraId="0DB504EF">
            <w:pPr>
              <w:jc w:val="center"/>
              <w:rPr>
                <w:rFonts w:ascii="仿宋_GB2312" w:hAnsi="仿宋_GB2312" w:eastAsia="仿宋_GB2312" w:cs="仿宋_GB2312"/>
                <w:b/>
                <w:bCs/>
                <w:sz w:val="24"/>
              </w:rPr>
            </w:pPr>
            <w:r>
              <w:rPr>
                <w:rFonts w:hint="eastAsia" w:ascii="仿宋_GB2312" w:hAnsi="仿宋_GB2312" w:eastAsia="仿宋_GB2312" w:cs="仿宋_GB2312"/>
                <w:b/>
                <w:bCs/>
                <w:sz w:val="24"/>
              </w:rPr>
              <w:t>DZ/T 0266—2014</w:t>
            </w:r>
          </w:p>
        </w:tc>
        <w:tc>
          <w:tcPr>
            <w:tcW w:w="2004" w:type="dxa"/>
          </w:tcPr>
          <w:p w14:paraId="748B0689">
            <w:pPr>
              <w:jc w:val="center"/>
              <w:rPr>
                <w:rFonts w:ascii="仿宋_GB2312" w:hAnsi="仿宋_GB2312" w:eastAsia="仿宋_GB2312" w:cs="仿宋_GB2312"/>
                <w:b/>
                <w:bCs/>
                <w:sz w:val="24"/>
              </w:rPr>
            </w:pPr>
            <w:r>
              <w:rPr>
                <w:rFonts w:hint="eastAsia" w:ascii="仿宋_GB2312" w:hAnsi="仿宋_GB2312" w:eastAsia="仿宋_GB2312" w:cs="仿宋_GB2312"/>
                <w:b/>
                <w:bCs/>
                <w:sz w:val="24"/>
              </w:rPr>
              <w:t>NB/T 10749—2021</w:t>
            </w:r>
          </w:p>
        </w:tc>
        <w:tc>
          <w:tcPr>
            <w:tcW w:w="2155" w:type="dxa"/>
          </w:tcPr>
          <w:p w14:paraId="14869B13">
            <w:pPr>
              <w:jc w:val="center"/>
              <w:rPr>
                <w:rFonts w:ascii="仿宋_GB2312" w:hAnsi="仿宋_GB2312" w:eastAsia="仿宋_GB2312" w:cs="仿宋_GB2312"/>
                <w:b/>
                <w:bCs/>
                <w:sz w:val="24"/>
              </w:rPr>
            </w:pPr>
            <w:r>
              <w:rPr>
                <w:rFonts w:hint="eastAsia" w:ascii="仿宋_GB2312" w:hAnsi="仿宋_GB2312" w:eastAsia="仿宋_GB2312" w:cs="仿宋_GB2312"/>
                <w:b/>
                <w:bCs/>
                <w:sz w:val="24"/>
              </w:rPr>
              <w:t>ISO 10381—5:2005</w:t>
            </w:r>
          </w:p>
        </w:tc>
        <w:tc>
          <w:tcPr>
            <w:tcW w:w="1950" w:type="dxa"/>
          </w:tcPr>
          <w:p w14:paraId="0AF7F18F">
            <w:pPr>
              <w:jc w:val="center"/>
              <w:rPr>
                <w:rFonts w:ascii="仿宋_GB2312" w:hAnsi="仿宋_GB2312" w:eastAsia="仿宋_GB2312" w:cs="仿宋_GB2312"/>
                <w:b/>
                <w:bCs/>
                <w:sz w:val="24"/>
              </w:rPr>
            </w:pPr>
            <w:r>
              <w:rPr>
                <w:rFonts w:hint="eastAsia" w:ascii="仿宋_GB2312" w:hAnsi="仿宋_GB2312" w:eastAsia="仿宋_GB2312" w:cs="仿宋_GB2312"/>
                <w:b/>
                <w:bCs/>
                <w:sz w:val="24"/>
              </w:rPr>
              <w:t>T/CECS995—2022</w:t>
            </w:r>
          </w:p>
        </w:tc>
        <w:tc>
          <w:tcPr>
            <w:tcW w:w="3629" w:type="dxa"/>
          </w:tcPr>
          <w:p w14:paraId="64FAC3A1">
            <w:pPr>
              <w:spacing w:line="48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HJ 1234—2021</w:t>
            </w:r>
          </w:p>
        </w:tc>
      </w:tr>
      <w:tr w14:paraId="6028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217" w:type="dxa"/>
          </w:tcPr>
          <w:p w14:paraId="5D980883">
            <w:pPr>
              <w:jc w:val="center"/>
              <w:rPr>
                <w:rFonts w:ascii="仿宋_GB2312" w:hAnsi="仿宋_GB2312" w:eastAsia="仿宋_GB2312" w:cs="仿宋_GB2312"/>
                <w:b/>
                <w:bCs/>
                <w:sz w:val="24"/>
              </w:rPr>
            </w:pPr>
            <w:r>
              <w:rPr>
                <w:rFonts w:hint="eastAsia" w:ascii="仿宋_GB2312" w:hAnsi="仿宋_GB2312" w:eastAsia="仿宋_GB2312" w:cs="仿宋_GB2312"/>
                <w:b/>
                <w:bCs/>
                <w:sz w:val="24"/>
              </w:rPr>
              <w:t>适用范围</w:t>
            </w:r>
          </w:p>
        </w:tc>
        <w:tc>
          <w:tcPr>
            <w:tcW w:w="2414" w:type="dxa"/>
          </w:tcPr>
          <w:p w14:paraId="2C8B751E">
            <w:pPr>
              <w:rPr>
                <w:rFonts w:ascii="仿宋_GB2312" w:hAnsi="仿宋_GB2312" w:eastAsia="仿宋_GB2312" w:cs="仿宋_GB2312"/>
                <w:sz w:val="24"/>
              </w:rPr>
            </w:pPr>
            <w:r>
              <w:rPr>
                <w:rFonts w:hint="eastAsia" w:ascii="仿宋_GB2312" w:hAnsi="仿宋_GB2312" w:eastAsia="仿宋_GB2312" w:cs="仿宋_GB2312"/>
                <w:sz w:val="24"/>
              </w:rPr>
              <w:t>建设用地</w:t>
            </w:r>
          </w:p>
        </w:tc>
        <w:tc>
          <w:tcPr>
            <w:tcW w:w="1914" w:type="dxa"/>
          </w:tcPr>
          <w:p w14:paraId="7D18BD1D">
            <w:pPr>
              <w:rPr>
                <w:rFonts w:ascii="仿宋_GB2312" w:hAnsi="仿宋_GB2312" w:eastAsia="仿宋_GB2312" w:cs="仿宋_GB2312"/>
                <w:sz w:val="24"/>
              </w:rPr>
            </w:pPr>
            <w:r>
              <w:rPr>
                <w:rFonts w:hint="eastAsia" w:ascii="仿宋_GB2312" w:hAnsi="仿宋_GB2312" w:eastAsia="仿宋_GB2312" w:cs="仿宋_GB2312"/>
                <w:sz w:val="24"/>
              </w:rPr>
              <w:t>矿产资源用地</w:t>
            </w:r>
          </w:p>
        </w:tc>
        <w:tc>
          <w:tcPr>
            <w:tcW w:w="2004" w:type="dxa"/>
          </w:tcPr>
          <w:p w14:paraId="391BEABC">
            <w:pPr>
              <w:rPr>
                <w:rFonts w:ascii="仿宋_GB2312" w:hAnsi="仿宋_GB2312" w:eastAsia="仿宋_GB2312" w:cs="仿宋_GB2312"/>
                <w:sz w:val="24"/>
              </w:rPr>
            </w:pPr>
            <w:r>
              <w:rPr>
                <w:rFonts w:hint="eastAsia" w:ascii="仿宋_GB2312" w:hAnsi="仿宋_GB2312" w:eastAsia="仿宋_GB2312" w:cs="仿宋_GB2312"/>
                <w:sz w:val="24"/>
              </w:rPr>
              <w:t>煤化工企业</w:t>
            </w:r>
          </w:p>
        </w:tc>
        <w:tc>
          <w:tcPr>
            <w:tcW w:w="2155" w:type="dxa"/>
          </w:tcPr>
          <w:p w14:paraId="7F090908">
            <w:pPr>
              <w:rPr>
                <w:rFonts w:ascii="仿宋_GB2312" w:hAnsi="仿宋_GB2312" w:eastAsia="仿宋_GB2312" w:cs="仿宋_GB2312"/>
                <w:sz w:val="24"/>
              </w:rPr>
            </w:pPr>
            <w:r>
              <w:rPr>
                <w:rFonts w:hint="eastAsia" w:ascii="仿宋_GB2312" w:hAnsi="仿宋_GB2312" w:eastAsia="仿宋_GB2312" w:cs="仿宋_GB2312"/>
                <w:sz w:val="24"/>
              </w:rPr>
              <w:t>城市和工业</w:t>
            </w:r>
          </w:p>
        </w:tc>
        <w:tc>
          <w:tcPr>
            <w:tcW w:w="1950" w:type="dxa"/>
          </w:tcPr>
          <w:p w14:paraId="18AC76D6">
            <w:pPr>
              <w:rPr>
                <w:rFonts w:ascii="仿宋_GB2312" w:hAnsi="仿宋_GB2312" w:eastAsia="仿宋_GB2312" w:cs="仿宋_GB2312"/>
                <w:sz w:val="24"/>
              </w:rPr>
            </w:pPr>
            <w:r>
              <w:rPr>
                <w:rFonts w:hint="eastAsia" w:ascii="仿宋_GB2312" w:hAnsi="仿宋_GB2312" w:eastAsia="仿宋_GB2312" w:cs="仿宋_GB2312"/>
                <w:sz w:val="24"/>
              </w:rPr>
              <w:t>裸地</w:t>
            </w:r>
          </w:p>
        </w:tc>
        <w:tc>
          <w:tcPr>
            <w:tcW w:w="3629" w:type="dxa"/>
          </w:tcPr>
          <w:p w14:paraId="2B57BE32">
            <w:pPr>
              <w:rPr>
                <w:rFonts w:ascii="仿宋_GB2312" w:hAnsi="仿宋_GB2312" w:eastAsia="仿宋_GB2312" w:cs="仿宋_GB2312"/>
                <w:sz w:val="24"/>
              </w:rPr>
            </w:pPr>
            <w:r>
              <w:rPr>
                <w:rFonts w:hint="eastAsia" w:ascii="仿宋_GB2312" w:hAnsi="仿宋_GB2312" w:eastAsia="仿宋_GB2312" w:cs="仿宋_GB2312"/>
                <w:sz w:val="24"/>
              </w:rPr>
              <w:t>入河（海）排污口</w:t>
            </w:r>
          </w:p>
        </w:tc>
      </w:tr>
      <w:tr w14:paraId="2634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217" w:type="dxa"/>
          </w:tcPr>
          <w:p w14:paraId="02F0F47C">
            <w:pPr>
              <w:spacing w:line="60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目的任务</w:t>
            </w:r>
          </w:p>
        </w:tc>
        <w:tc>
          <w:tcPr>
            <w:tcW w:w="2414" w:type="dxa"/>
          </w:tcPr>
          <w:p w14:paraId="70DFF4B0">
            <w:pPr>
              <w:rPr>
                <w:rFonts w:ascii="仿宋_GB2312" w:hAnsi="仿宋_GB2312" w:eastAsia="仿宋_GB2312" w:cs="仿宋_GB2312"/>
                <w:sz w:val="24"/>
              </w:rPr>
            </w:pPr>
            <w:r>
              <w:rPr>
                <w:rFonts w:hint="eastAsia" w:ascii="仿宋_GB2312" w:hAnsi="仿宋_GB2312" w:eastAsia="仿宋_GB2312" w:cs="仿宋_GB2312"/>
                <w:sz w:val="24"/>
              </w:rPr>
              <w:t>土壤污染风险动态监测</w:t>
            </w:r>
          </w:p>
        </w:tc>
        <w:tc>
          <w:tcPr>
            <w:tcW w:w="1914" w:type="dxa"/>
          </w:tcPr>
          <w:p w14:paraId="5ABAF442">
            <w:pPr>
              <w:rPr>
                <w:rFonts w:ascii="仿宋_GB2312" w:hAnsi="仿宋_GB2312" w:eastAsia="仿宋_GB2312" w:cs="仿宋_GB2312"/>
                <w:sz w:val="24"/>
              </w:rPr>
            </w:pPr>
            <w:r>
              <w:rPr>
                <w:rFonts w:hint="eastAsia" w:ascii="仿宋_GB2312" w:hAnsi="仿宋_GB2312" w:eastAsia="仿宋_GB2312" w:cs="仿宋_GB2312"/>
                <w:sz w:val="24"/>
              </w:rPr>
              <w:t>支撑矿区环境整治</w:t>
            </w:r>
          </w:p>
        </w:tc>
        <w:tc>
          <w:tcPr>
            <w:tcW w:w="2004" w:type="dxa"/>
          </w:tcPr>
          <w:p w14:paraId="51395D2B">
            <w:pPr>
              <w:rPr>
                <w:rFonts w:ascii="仿宋_GB2312" w:hAnsi="仿宋_GB2312" w:eastAsia="仿宋_GB2312" w:cs="仿宋_GB2312"/>
                <w:sz w:val="24"/>
              </w:rPr>
            </w:pPr>
            <w:r>
              <w:rPr>
                <w:rFonts w:hint="eastAsia" w:ascii="仿宋_GB2312" w:hAnsi="仿宋_GB2312" w:eastAsia="仿宋_GB2312" w:cs="仿宋_GB2312"/>
                <w:sz w:val="24"/>
              </w:rPr>
              <w:t>土壤污染隐患排查</w:t>
            </w:r>
          </w:p>
        </w:tc>
        <w:tc>
          <w:tcPr>
            <w:tcW w:w="2155" w:type="dxa"/>
          </w:tcPr>
          <w:p w14:paraId="20B8289E">
            <w:pPr>
              <w:rPr>
                <w:rFonts w:ascii="仿宋_GB2312" w:hAnsi="仿宋_GB2312" w:eastAsia="仿宋_GB2312" w:cs="仿宋_GB2312"/>
                <w:sz w:val="24"/>
              </w:rPr>
            </w:pPr>
            <w:r>
              <w:rPr>
                <w:rFonts w:hint="eastAsia" w:ascii="仿宋_GB2312" w:hAnsi="仿宋_GB2312" w:eastAsia="仿宋_GB2312" w:cs="仿宋_GB2312"/>
                <w:sz w:val="24"/>
              </w:rPr>
              <w:t>土壤污染调查</w:t>
            </w:r>
          </w:p>
        </w:tc>
        <w:tc>
          <w:tcPr>
            <w:tcW w:w="1950" w:type="dxa"/>
          </w:tcPr>
          <w:p w14:paraId="53FB01C0">
            <w:pPr>
              <w:rPr>
                <w:rFonts w:ascii="仿宋_GB2312" w:hAnsi="仿宋_GB2312" w:eastAsia="仿宋_GB2312" w:cs="仿宋_GB2312"/>
                <w:sz w:val="24"/>
              </w:rPr>
            </w:pPr>
            <w:r>
              <w:rPr>
                <w:rFonts w:hint="eastAsia" w:ascii="仿宋_GB2312" w:hAnsi="仿宋_GB2312" w:eastAsia="仿宋_GB2312" w:cs="仿宋_GB2312"/>
                <w:sz w:val="24"/>
              </w:rPr>
              <w:t>支撑建筑施工裸地管理</w:t>
            </w:r>
          </w:p>
        </w:tc>
        <w:tc>
          <w:tcPr>
            <w:tcW w:w="3629" w:type="dxa"/>
          </w:tcPr>
          <w:p w14:paraId="5F7F001C">
            <w:pPr>
              <w:rPr>
                <w:rFonts w:ascii="仿宋_GB2312" w:hAnsi="仿宋_GB2312" w:eastAsia="仿宋_GB2312" w:cs="仿宋_GB2312"/>
                <w:sz w:val="24"/>
              </w:rPr>
            </w:pPr>
            <w:r>
              <w:rPr>
                <w:rFonts w:hint="eastAsia" w:ascii="仿宋_GB2312" w:hAnsi="仿宋_GB2312" w:eastAsia="仿宋_GB2312" w:cs="仿宋_GB2312"/>
                <w:sz w:val="24"/>
              </w:rPr>
              <w:t>入河（海）排污口排查工作</w:t>
            </w:r>
          </w:p>
        </w:tc>
      </w:tr>
      <w:tr w14:paraId="387D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17" w:type="dxa"/>
          </w:tcPr>
          <w:p w14:paraId="379ACB4B">
            <w:pPr>
              <w:spacing w:line="48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调查对象</w:t>
            </w:r>
          </w:p>
        </w:tc>
        <w:tc>
          <w:tcPr>
            <w:tcW w:w="2414" w:type="dxa"/>
          </w:tcPr>
          <w:p w14:paraId="4875DC14">
            <w:pPr>
              <w:rPr>
                <w:rFonts w:ascii="仿宋_GB2312" w:hAnsi="仿宋_GB2312" w:eastAsia="仿宋_GB2312" w:cs="仿宋_GB2312"/>
                <w:sz w:val="24"/>
              </w:rPr>
            </w:pPr>
            <w:r>
              <w:rPr>
                <w:rFonts w:hint="eastAsia" w:ascii="仿宋_GB2312" w:hAnsi="仿宋_GB2312" w:eastAsia="仿宋_GB2312" w:cs="仿宋_GB2312"/>
                <w:sz w:val="24"/>
              </w:rPr>
              <w:t>制造业、采矿业</w:t>
            </w:r>
          </w:p>
        </w:tc>
        <w:tc>
          <w:tcPr>
            <w:tcW w:w="1914" w:type="dxa"/>
          </w:tcPr>
          <w:p w14:paraId="6C88D151">
            <w:pPr>
              <w:rPr>
                <w:rFonts w:ascii="仿宋_GB2312" w:hAnsi="仿宋_GB2312" w:eastAsia="仿宋_GB2312" w:cs="仿宋_GB2312"/>
                <w:sz w:val="24"/>
              </w:rPr>
            </w:pPr>
            <w:r>
              <w:rPr>
                <w:rFonts w:hint="eastAsia" w:ascii="仿宋_GB2312" w:hAnsi="仿宋_GB2312" w:eastAsia="仿宋_GB2312" w:cs="仿宋_GB2312"/>
                <w:sz w:val="24"/>
              </w:rPr>
              <w:t>矿区</w:t>
            </w:r>
          </w:p>
        </w:tc>
        <w:tc>
          <w:tcPr>
            <w:tcW w:w="2004" w:type="dxa"/>
          </w:tcPr>
          <w:p w14:paraId="57D2F966">
            <w:pPr>
              <w:rPr>
                <w:rFonts w:ascii="仿宋_GB2312" w:hAnsi="仿宋_GB2312" w:eastAsia="仿宋_GB2312" w:cs="仿宋_GB2312"/>
                <w:sz w:val="24"/>
              </w:rPr>
            </w:pPr>
            <w:r>
              <w:rPr>
                <w:rFonts w:hint="eastAsia" w:ascii="仿宋_GB2312" w:hAnsi="仿宋_GB2312" w:eastAsia="仿宋_GB2312" w:cs="仿宋_GB2312"/>
                <w:sz w:val="24"/>
              </w:rPr>
              <w:t>煤化工企业</w:t>
            </w:r>
          </w:p>
        </w:tc>
        <w:tc>
          <w:tcPr>
            <w:tcW w:w="2155" w:type="dxa"/>
          </w:tcPr>
          <w:p w14:paraId="53B6AA53">
            <w:pPr>
              <w:rPr>
                <w:rFonts w:ascii="仿宋_GB2312" w:hAnsi="仿宋_GB2312" w:eastAsia="仿宋_GB2312" w:cs="仿宋_GB2312"/>
                <w:sz w:val="24"/>
              </w:rPr>
            </w:pPr>
            <w:r>
              <w:rPr>
                <w:rFonts w:hint="eastAsia" w:ascii="仿宋_GB2312" w:hAnsi="仿宋_GB2312" w:eastAsia="仿宋_GB2312" w:cs="仿宋_GB2312"/>
                <w:sz w:val="24"/>
              </w:rPr>
              <w:t>工业和城市用地</w:t>
            </w:r>
          </w:p>
        </w:tc>
        <w:tc>
          <w:tcPr>
            <w:tcW w:w="1950" w:type="dxa"/>
          </w:tcPr>
          <w:p w14:paraId="21B11E0D">
            <w:pPr>
              <w:rPr>
                <w:rFonts w:ascii="仿宋_GB2312" w:hAnsi="仿宋_GB2312" w:eastAsia="仿宋_GB2312" w:cs="仿宋_GB2312"/>
                <w:sz w:val="24"/>
              </w:rPr>
            </w:pPr>
            <w:r>
              <w:rPr>
                <w:rFonts w:hint="eastAsia" w:ascii="仿宋_GB2312" w:hAnsi="仿宋_GB2312" w:eastAsia="仿宋_GB2312" w:cs="仿宋_GB2312"/>
                <w:sz w:val="24"/>
              </w:rPr>
              <w:t>建筑施工场地</w:t>
            </w:r>
          </w:p>
        </w:tc>
        <w:tc>
          <w:tcPr>
            <w:tcW w:w="3629" w:type="dxa"/>
          </w:tcPr>
          <w:p w14:paraId="22DAA1C8">
            <w:pPr>
              <w:rPr>
                <w:rFonts w:ascii="仿宋_GB2312" w:hAnsi="仿宋_GB2312" w:eastAsia="仿宋_GB2312" w:cs="仿宋_GB2312"/>
                <w:sz w:val="24"/>
              </w:rPr>
            </w:pPr>
            <w:r>
              <w:rPr>
                <w:rFonts w:hint="eastAsia" w:ascii="仿宋_GB2312" w:hAnsi="仿宋_GB2312" w:eastAsia="仿宋_GB2312" w:cs="仿宋_GB2312"/>
                <w:sz w:val="24"/>
              </w:rPr>
              <w:t>直接或通过管道、沟、渠等排污通道向环境水体排放污水的口门</w:t>
            </w:r>
          </w:p>
        </w:tc>
      </w:tr>
      <w:tr w14:paraId="54CA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217" w:type="dxa"/>
          </w:tcPr>
          <w:p w14:paraId="3532686E">
            <w:pPr>
              <w:spacing w:line="72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调查手段</w:t>
            </w:r>
          </w:p>
        </w:tc>
        <w:tc>
          <w:tcPr>
            <w:tcW w:w="2414" w:type="dxa"/>
          </w:tcPr>
          <w:p w14:paraId="69DD0AFE">
            <w:pPr>
              <w:rPr>
                <w:rFonts w:ascii="仿宋_GB2312" w:hAnsi="仿宋_GB2312" w:eastAsia="仿宋_GB2312" w:cs="仿宋_GB2312"/>
                <w:sz w:val="24"/>
              </w:rPr>
            </w:pPr>
            <w:r>
              <w:rPr>
                <w:rFonts w:hint="eastAsia" w:ascii="仿宋_GB2312" w:hAnsi="仿宋_GB2312" w:eastAsia="仿宋_GB2312" w:cs="仿宋_GB2312"/>
                <w:sz w:val="24"/>
              </w:rPr>
              <w:t>文献资料查询、现场踏勘、遥感监测</w:t>
            </w:r>
          </w:p>
        </w:tc>
        <w:tc>
          <w:tcPr>
            <w:tcW w:w="1914" w:type="dxa"/>
          </w:tcPr>
          <w:p w14:paraId="5FFB939B">
            <w:pPr>
              <w:rPr>
                <w:rFonts w:ascii="仿宋_GB2312" w:hAnsi="仿宋_GB2312" w:eastAsia="仿宋_GB2312" w:cs="仿宋_GB2312"/>
                <w:sz w:val="24"/>
              </w:rPr>
            </w:pPr>
            <w:r>
              <w:rPr>
                <w:rFonts w:hint="eastAsia" w:ascii="仿宋_GB2312" w:hAnsi="仿宋_GB2312" w:eastAsia="仿宋_GB2312" w:cs="仿宋_GB2312"/>
                <w:sz w:val="24"/>
              </w:rPr>
              <w:t>遥感监测</w:t>
            </w:r>
          </w:p>
        </w:tc>
        <w:tc>
          <w:tcPr>
            <w:tcW w:w="2004" w:type="dxa"/>
          </w:tcPr>
          <w:p w14:paraId="515A7946">
            <w:pPr>
              <w:rPr>
                <w:rFonts w:ascii="仿宋_GB2312" w:hAnsi="仿宋_GB2312" w:eastAsia="仿宋_GB2312" w:cs="仿宋_GB2312"/>
                <w:sz w:val="24"/>
              </w:rPr>
            </w:pPr>
            <w:r>
              <w:rPr>
                <w:rFonts w:hint="eastAsia" w:ascii="仿宋_GB2312" w:hAnsi="仿宋_GB2312" w:eastAsia="仿宋_GB2312" w:cs="仿宋_GB2312"/>
                <w:sz w:val="24"/>
              </w:rPr>
              <w:t>文献资料查询、日常检查、视频监控、采样监测</w:t>
            </w:r>
          </w:p>
        </w:tc>
        <w:tc>
          <w:tcPr>
            <w:tcW w:w="2155" w:type="dxa"/>
          </w:tcPr>
          <w:p w14:paraId="16EB55B6">
            <w:pPr>
              <w:rPr>
                <w:rFonts w:ascii="仿宋_GB2312" w:hAnsi="仿宋_GB2312" w:eastAsia="仿宋_GB2312" w:cs="仿宋_GB2312"/>
                <w:sz w:val="24"/>
              </w:rPr>
            </w:pPr>
            <w:r>
              <w:rPr>
                <w:rFonts w:hint="eastAsia" w:ascii="仿宋_GB2312" w:hAnsi="仿宋_GB2312" w:eastAsia="仿宋_GB2312" w:cs="仿宋_GB2312"/>
                <w:sz w:val="24"/>
              </w:rPr>
              <w:t>现场调查和采样</w:t>
            </w:r>
          </w:p>
        </w:tc>
        <w:tc>
          <w:tcPr>
            <w:tcW w:w="1950" w:type="dxa"/>
          </w:tcPr>
          <w:p w14:paraId="5D43F471">
            <w:pPr>
              <w:rPr>
                <w:rFonts w:ascii="仿宋_GB2312" w:hAnsi="仿宋_GB2312" w:eastAsia="仿宋_GB2312" w:cs="仿宋_GB2312"/>
                <w:sz w:val="24"/>
              </w:rPr>
            </w:pPr>
            <w:r>
              <w:rPr>
                <w:rFonts w:hint="eastAsia" w:ascii="仿宋_GB2312" w:hAnsi="仿宋_GB2312" w:eastAsia="仿宋_GB2312" w:cs="仿宋_GB2312"/>
                <w:sz w:val="24"/>
              </w:rPr>
              <w:t>外业调查、遥感监测</w:t>
            </w:r>
          </w:p>
        </w:tc>
        <w:tc>
          <w:tcPr>
            <w:tcW w:w="3629" w:type="dxa"/>
          </w:tcPr>
          <w:p w14:paraId="13057E47">
            <w:pPr>
              <w:rPr>
                <w:rFonts w:ascii="仿宋_GB2312" w:hAnsi="仿宋_GB2312" w:eastAsia="仿宋_GB2312" w:cs="仿宋_GB2312"/>
                <w:sz w:val="24"/>
              </w:rPr>
            </w:pPr>
            <w:r>
              <w:rPr>
                <w:rFonts w:hint="eastAsia" w:ascii="仿宋_GB2312" w:hAnsi="仿宋_GB2312" w:eastAsia="仿宋_GB2312" w:cs="仿宋_GB2312"/>
                <w:sz w:val="24"/>
              </w:rPr>
              <w:t>实地调查、无人机航测</w:t>
            </w:r>
          </w:p>
        </w:tc>
      </w:tr>
      <w:tr w14:paraId="3AAF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17" w:type="dxa"/>
          </w:tcPr>
          <w:p w14:paraId="68675685">
            <w:pPr>
              <w:spacing w:line="48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数据资料准备</w:t>
            </w:r>
          </w:p>
        </w:tc>
        <w:tc>
          <w:tcPr>
            <w:tcW w:w="2414" w:type="dxa"/>
          </w:tcPr>
          <w:p w14:paraId="5F6F2B18">
            <w:pPr>
              <w:rPr>
                <w:rFonts w:ascii="仿宋_GB2312" w:hAnsi="仿宋_GB2312" w:eastAsia="仿宋_GB2312" w:cs="仿宋_GB2312"/>
                <w:sz w:val="24"/>
              </w:rPr>
            </w:pPr>
            <w:r>
              <w:rPr>
                <w:rFonts w:hint="eastAsia" w:ascii="仿宋_GB2312" w:hAnsi="仿宋_GB2312" w:eastAsia="仿宋_GB2312" w:cs="仿宋_GB2312"/>
                <w:sz w:val="24"/>
              </w:rPr>
              <w:t>历史资料、现场踏勘资料、遥感影像</w:t>
            </w:r>
          </w:p>
        </w:tc>
        <w:tc>
          <w:tcPr>
            <w:tcW w:w="1914" w:type="dxa"/>
          </w:tcPr>
          <w:p w14:paraId="46D51E72">
            <w:pPr>
              <w:rPr>
                <w:rFonts w:ascii="仿宋_GB2312" w:hAnsi="仿宋_GB2312" w:eastAsia="仿宋_GB2312" w:cs="仿宋_GB2312"/>
                <w:sz w:val="24"/>
              </w:rPr>
            </w:pPr>
            <w:r>
              <w:rPr>
                <w:rFonts w:hint="eastAsia" w:ascii="仿宋_GB2312" w:hAnsi="仿宋_GB2312" w:eastAsia="仿宋_GB2312" w:cs="仿宋_GB2312"/>
                <w:sz w:val="24"/>
              </w:rPr>
              <w:t>野外踏勘资料、遥感影像资料</w:t>
            </w:r>
          </w:p>
        </w:tc>
        <w:tc>
          <w:tcPr>
            <w:tcW w:w="2004" w:type="dxa"/>
          </w:tcPr>
          <w:p w14:paraId="78FDD660">
            <w:pPr>
              <w:rPr>
                <w:rFonts w:ascii="仿宋_GB2312" w:hAnsi="仿宋_GB2312" w:eastAsia="仿宋_GB2312" w:cs="仿宋_GB2312"/>
                <w:sz w:val="24"/>
              </w:rPr>
            </w:pPr>
            <w:r>
              <w:rPr>
                <w:rFonts w:hint="eastAsia" w:ascii="仿宋_GB2312" w:hAnsi="仿宋_GB2312" w:eastAsia="仿宋_GB2312" w:cs="仿宋_GB2312"/>
                <w:sz w:val="24"/>
              </w:rPr>
              <w:t>现场调查资料、采样分析资料</w:t>
            </w:r>
          </w:p>
        </w:tc>
        <w:tc>
          <w:tcPr>
            <w:tcW w:w="2155" w:type="dxa"/>
          </w:tcPr>
          <w:p w14:paraId="3D160E59">
            <w:pPr>
              <w:rPr>
                <w:rFonts w:ascii="仿宋_GB2312" w:hAnsi="仿宋_GB2312" w:eastAsia="仿宋_GB2312" w:cs="仿宋_GB2312"/>
                <w:sz w:val="24"/>
              </w:rPr>
            </w:pPr>
            <w:r>
              <w:rPr>
                <w:rFonts w:hint="eastAsia" w:ascii="仿宋_GB2312" w:hAnsi="仿宋_GB2312" w:eastAsia="仿宋_GB2312" w:cs="仿宋_GB2312"/>
                <w:sz w:val="24"/>
              </w:rPr>
              <w:t>现场调查资料</w:t>
            </w:r>
          </w:p>
        </w:tc>
        <w:tc>
          <w:tcPr>
            <w:tcW w:w="1950" w:type="dxa"/>
          </w:tcPr>
          <w:p w14:paraId="12312E59">
            <w:pPr>
              <w:rPr>
                <w:rFonts w:ascii="仿宋_GB2312" w:hAnsi="仿宋_GB2312" w:eastAsia="仿宋_GB2312" w:cs="仿宋_GB2312"/>
                <w:sz w:val="24"/>
              </w:rPr>
            </w:pPr>
            <w:r>
              <w:rPr>
                <w:rFonts w:hint="eastAsia" w:ascii="仿宋_GB2312" w:hAnsi="仿宋_GB2312" w:eastAsia="仿宋_GB2312" w:cs="仿宋_GB2312"/>
                <w:sz w:val="24"/>
              </w:rPr>
              <w:t>外业调查收集资料、遥感影像</w:t>
            </w:r>
          </w:p>
        </w:tc>
        <w:tc>
          <w:tcPr>
            <w:tcW w:w="3629" w:type="dxa"/>
          </w:tcPr>
          <w:p w14:paraId="03CBC0C9">
            <w:pPr>
              <w:rPr>
                <w:rFonts w:ascii="仿宋_GB2312" w:hAnsi="仿宋_GB2312" w:eastAsia="仿宋_GB2312" w:cs="仿宋_GB2312"/>
                <w:sz w:val="24"/>
              </w:rPr>
            </w:pPr>
            <w:r>
              <w:rPr>
                <w:rFonts w:hint="eastAsia" w:ascii="仿宋_GB2312" w:hAnsi="仿宋_GB2312" w:eastAsia="仿宋_GB2312" w:cs="仿宋_GB2312"/>
                <w:sz w:val="24"/>
              </w:rPr>
              <w:t>无人机影像资料、现场照片</w:t>
            </w:r>
          </w:p>
        </w:tc>
      </w:tr>
      <w:tr w14:paraId="4D32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1217" w:type="dxa"/>
          </w:tcPr>
          <w:p w14:paraId="7D6E59FA">
            <w:pPr>
              <w:spacing w:line="120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调查指标</w:t>
            </w:r>
          </w:p>
        </w:tc>
        <w:tc>
          <w:tcPr>
            <w:tcW w:w="2414" w:type="dxa"/>
          </w:tcPr>
          <w:p w14:paraId="0D7EC548">
            <w:pPr>
              <w:rPr>
                <w:rFonts w:ascii="仿宋_GB2312" w:hAnsi="仿宋_GB2312" w:eastAsia="仿宋_GB2312" w:cs="仿宋_GB2312"/>
                <w:sz w:val="24"/>
              </w:rPr>
            </w:pPr>
            <w:r>
              <w:rPr>
                <w:rFonts w:hint="eastAsia" w:ascii="仿宋_GB2312" w:hAnsi="仿宋_GB2312" w:eastAsia="仿宋_GB2312" w:cs="仿宋_GB2312"/>
                <w:sz w:val="24"/>
              </w:rPr>
              <w:t>拆除活动、施工活动-修复工程、施工活动-开发建设、新改扩建活动及其他人类活动</w:t>
            </w:r>
          </w:p>
        </w:tc>
        <w:tc>
          <w:tcPr>
            <w:tcW w:w="1914" w:type="dxa"/>
          </w:tcPr>
          <w:p w14:paraId="53631F91">
            <w:pPr>
              <w:rPr>
                <w:rFonts w:ascii="仿宋_GB2312" w:hAnsi="仿宋_GB2312" w:eastAsia="仿宋_GB2312" w:cs="仿宋_GB2312"/>
                <w:sz w:val="24"/>
              </w:rPr>
            </w:pPr>
            <w:r>
              <w:rPr>
                <w:rFonts w:hint="eastAsia" w:ascii="仿宋_GB2312" w:hAnsi="仿宋_GB2312" w:eastAsia="仿宋_GB2312" w:cs="仿宋_GB2312"/>
                <w:sz w:val="24"/>
              </w:rPr>
              <w:t>矿产开采存续、关停状况，矿产活动采区范围、矿区污染分布及矿区地质环境恢复治理</w:t>
            </w:r>
          </w:p>
        </w:tc>
        <w:tc>
          <w:tcPr>
            <w:tcW w:w="2004" w:type="dxa"/>
          </w:tcPr>
          <w:p w14:paraId="1CBED14C">
            <w:pPr>
              <w:rPr>
                <w:rFonts w:ascii="仿宋_GB2312" w:hAnsi="仿宋_GB2312" w:eastAsia="仿宋_GB2312" w:cs="仿宋_GB2312"/>
                <w:sz w:val="24"/>
              </w:rPr>
            </w:pPr>
            <w:r>
              <w:rPr>
                <w:rFonts w:hint="eastAsia" w:ascii="仿宋_GB2312" w:hAnsi="仿宋_GB2312" w:eastAsia="仿宋_GB2312" w:cs="仿宋_GB2312"/>
                <w:sz w:val="24"/>
              </w:rPr>
              <w:t>排查企业概况、生产情况、周边环境特征及企业生产与管理过程中的环境污染信息</w:t>
            </w:r>
          </w:p>
        </w:tc>
        <w:tc>
          <w:tcPr>
            <w:tcW w:w="2155" w:type="dxa"/>
          </w:tcPr>
          <w:p w14:paraId="5F701F5B">
            <w:pPr>
              <w:rPr>
                <w:rFonts w:ascii="仿宋_GB2312" w:hAnsi="仿宋_GB2312" w:eastAsia="仿宋_GB2312" w:cs="仿宋_GB2312"/>
                <w:sz w:val="24"/>
              </w:rPr>
            </w:pPr>
            <w:r>
              <w:rPr>
                <w:rFonts w:hint="eastAsia" w:ascii="仿宋_GB2312" w:hAnsi="仿宋_GB2312" w:eastAsia="仿宋_GB2312" w:cs="仿宋_GB2312"/>
                <w:sz w:val="24"/>
              </w:rPr>
              <w:t>地质、土壤及水文信息</w:t>
            </w:r>
          </w:p>
        </w:tc>
        <w:tc>
          <w:tcPr>
            <w:tcW w:w="1950" w:type="dxa"/>
          </w:tcPr>
          <w:p w14:paraId="6B6FE296">
            <w:pPr>
              <w:rPr>
                <w:rFonts w:ascii="仿宋_GB2312" w:hAnsi="仿宋_GB2312" w:eastAsia="仿宋_GB2312" w:cs="仿宋_GB2312"/>
                <w:sz w:val="24"/>
              </w:rPr>
            </w:pPr>
            <w:r>
              <w:rPr>
                <w:rFonts w:hint="eastAsia" w:ascii="仿宋_GB2312" w:hAnsi="仿宋_GB2312" w:eastAsia="仿宋_GB2312" w:cs="仿宋_GB2312"/>
                <w:sz w:val="24"/>
              </w:rPr>
              <w:t>房屋建筑、建通建设、绿化工地、水务工地、拆迁工地等施工过程中的裸露地面</w:t>
            </w:r>
          </w:p>
        </w:tc>
        <w:tc>
          <w:tcPr>
            <w:tcW w:w="3629" w:type="dxa"/>
          </w:tcPr>
          <w:p w14:paraId="3E549059">
            <w:pPr>
              <w:rPr>
                <w:rFonts w:ascii="仿宋_GB2312" w:hAnsi="仿宋_GB2312" w:eastAsia="仿宋_GB2312" w:cs="仿宋_GB2312"/>
                <w:sz w:val="24"/>
              </w:rPr>
            </w:pPr>
            <w:r>
              <w:rPr>
                <w:rFonts w:hint="eastAsia" w:ascii="仿宋_GB2312" w:hAnsi="仿宋_GB2312" w:eastAsia="仿宋_GB2312" w:cs="仿宋_GB2312"/>
                <w:sz w:val="24"/>
              </w:rPr>
              <w:t>工矿企业排污口，规模化水产养殖排污口，规模化畜禽养殖排污口，农村生活污水散排污口，大中型灌溉区排口，城镇污水处理厂排污口，工矿企业、工业及其他各类园区雨洪排口</w:t>
            </w:r>
          </w:p>
        </w:tc>
      </w:tr>
    </w:tbl>
    <w:p w14:paraId="26E198D9">
      <w:r>
        <w:rPr>
          <w:rFonts w:hint="eastAsia"/>
        </w:rPr>
        <w:br w:type="page"/>
      </w:r>
    </w:p>
    <w:p w14:paraId="747B8EAC">
      <w:pPr>
        <w:pStyle w:val="2"/>
        <w:sectPr>
          <w:pgSz w:w="16838" w:h="11906" w:orient="landscape"/>
          <w:pgMar w:top="1803" w:right="1440" w:bottom="1803" w:left="1440" w:header="851" w:footer="992" w:gutter="0"/>
          <w:cols w:space="0" w:num="1"/>
          <w:docGrid w:type="lines" w:linePitch="319" w:charSpace="0"/>
        </w:sectPr>
      </w:pPr>
    </w:p>
    <w:p w14:paraId="2D50D6D2">
      <w:pPr>
        <w:pStyle w:val="2"/>
      </w:pPr>
      <w:bookmarkStart w:id="118" w:name="_Toc16235"/>
      <w:r>
        <w:rPr>
          <w:rFonts w:hint="eastAsia"/>
        </w:rPr>
        <w:t>8作为推荐性标准的建议及其理由</w:t>
      </w:r>
      <w:bookmarkEnd w:id="118"/>
    </w:p>
    <w:p w14:paraId="114E0498">
      <w:pPr>
        <w:spacing w:line="360" w:lineRule="auto"/>
        <w:ind w:firstLine="480" w:firstLineChars="200"/>
        <w:rPr>
          <w:sz w:val="24"/>
        </w:rPr>
      </w:pPr>
      <w:r>
        <w:rPr>
          <w:rFonts w:hint="eastAsia"/>
          <w:sz w:val="24"/>
        </w:rPr>
        <w:t>由于国内基于遥感影像监测重点建设用地尚无开展相关研究及业务化运行手段，国际上也没有对等研究案例，重点建设用地土壤污染遥感监测体系仍处于初步研究阶段，因此，拟将本标准暂定为试行。</w:t>
      </w:r>
    </w:p>
    <w:p w14:paraId="7912E793">
      <w:pPr>
        <w:spacing w:line="360" w:lineRule="auto"/>
        <w:ind w:firstLine="480" w:firstLineChars="200"/>
        <w:rPr>
          <w:sz w:val="24"/>
        </w:rPr>
      </w:pPr>
      <w:r>
        <w:rPr>
          <w:rFonts w:hint="eastAsia"/>
          <w:sz w:val="24"/>
        </w:rPr>
        <w:t>建议后续持续跟踪北京市重点建设用地遥感监测系统运行与数据应用情况，监测结果的精度等，定期收集各方面应用反馈，适时修订。</w:t>
      </w:r>
    </w:p>
    <w:p w14:paraId="654AE09F">
      <w:pPr>
        <w:pStyle w:val="2"/>
      </w:pPr>
      <w:bookmarkStart w:id="119" w:name="_Toc26578"/>
      <w:r>
        <w:rPr>
          <w:rFonts w:hint="eastAsia"/>
        </w:rPr>
        <w:t>9实施标准的措施</w:t>
      </w:r>
      <w:bookmarkEnd w:id="119"/>
    </w:p>
    <w:p w14:paraId="04981519">
      <w:pPr>
        <w:spacing w:line="360" w:lineRule="auto"/>
        <w:ind w:firstLine="480" w:firstLineChars="200"/>
        <w:rPr>
          <w:sz w:val="24"/>
          <w:szCs w:val="21"/>
        </w:rPr>
      </w:pPr>
      <w:r>
        <w:rPr>
          <w:rFonts w:hint="eastAsia"/>
          <w:sz w:val="24"/>
          <w:szCs w:val="21"/>
        </w:rPr>
        <w:t>为确保本标准的顺利实施，切实做到防范建设用地土壤污染，改善建设用地对土壤的影响，保护生态环境，保障人体健康，建议：</w:t>
      </w:r>
    </w:p>
    <w:p w14:paraId="596E11AF">
      <w:pPr>
        <w:spacing w:line="360" w:lineRule="auto"/>
        <w:ind w:firstLine="482" w:firstLineChars="200"/>
        <w:rPr>
          <w:b/>
          <w:bCs/>
          <w:sz w:val="24"/>
          <w:szCs w:val="21"/>
        </w:rPr>
      </w:pPr>
      <w:r>
        <w:rPr>
          <w:rFonts w:hint="eastAsia"/>
          <w:b/>
          <w:bCs/>
          <w:sz w:val="24"/>
          <w:szCs w:val="21"/>
        </w:rPr>
        <w:t>（1）加强对相关方的培训和贯标。</w:t>
      </w:r>
    </w:p>
    <w:p w14:paraId="6EA949DA">
      <w:pPr>
        <w:spacing w:line="360" w:lineRule="auto"/>
        <w:ind w:firstLine="480" w:firstLineChars="200"/>
        <w:rPr>
          <w:sz w:val="24"/>
          <w:szCs w:val="21"/>
        </w:rPr>
      </w:pPr>
      <w:r>
        <w:rPr>
          <w:rFonts w:hint="eastAsia"/>
          <w:sz w:val="24"/>
          <w:szCs w:val="21"/>
        </w:rPr>
        <w:t>加强对环评审批等一线人员的培训和贯标工作，对新建、扩建、改建建设用地的审批应严格按本标准的要求实施，防止出现新的环境污染问题。对环保监察一线人员加强培训和宣贯，确保通过遥感手段实时动态监测重点建设用地的范围变化及土壤污染情况，推动标准正确有效的实施。</w:t>
      </w:r>
    </w:p>
    <w:p w14:paraId="6F8323E2">
      <w:pPr>
        <w:spacing w:line="360" w:lineRule="auto"/>
        <w:ind w:firstLine="482" w:firstLineChars="200"/>
        <w:rPr>
          <w:b/>
          <w:bCs/>
          <w:sz w:val="24"/>
          <w:szCs w:val="21"/>
        </w:rPr>
      </w:pPr>
      <w:r>
        <w:rPr>
          <w:rFonts w:hint="eastAsia"/>
          <w:b/>
          <w:bCs/>
          <w:sz w:val="24"/>
          <w:szCs w:val="21"/>
        </w:rPr>
        <w:t>（2）强化企业责任意识，充分发挥企业的能动性。</w:t>
      </w:r>
    </w:p>
    <w:p w14:paraId="15048054">
      <w:pPr>
        <w:spacing w:line="360" w:lineRule="auto"/>
        <w:ind w:firstLine="480" w:firstLineChars="200"/>
        <w:rPr>
          <w:sz w:val="24"/>
          <w:szCs w:val="21"/>
        </w:rPr>
      </w:pPr>
      <w:r>
        <w:rPr>
          <w:rFonts w:hint="eastAsia"/>
          <w:sz w:val="24"/>
          <w:szCs w:val="21"/>
        </w:rPr>
        <w:t>本标准针对建设用地土壤污染风险的遥感监测流程及风险评估进行了规定，应对建设单位管理人员进行标准的宣贯，增强管理人员对新增、改建、扩建及拆除建设用地的了解，发挥管理人员的主动性；同时，作为环境保护的主体，企业也应主动实施标准，缺少企业的主动实施和参与，建设用地土壤污染管控难以落到实处。</w:t>
      </w:r>
    </w:p>
    <w:p w14:paraId="68BBC74B">
      <w:pPr>
        <w:spacing w:line="360" w:lineRule="auto"/>
        <w:ind w:firstLine="482" w:firstLineChars="200"/>
        <w:rPr>
          <w:b/>
          <w:bCs/>
          <w:sz w:val="24"/>
          <w:szCs w:val="21"/>
        </w:rPr>
      </w:pPr>
      <w:r>
        <w:rPr>
          <w:rFonts w:hint="eastAsia"/>
          <w:b/>
          <w:bCs/>
          <w:sz w:val="24"/>
          <w:szCs w:val="21"/>
        </w:rPr>
        <w:t>（3）加强对建设用地相关单位的监督管理。</w:t>
      </w:r>
    </w:p>
    <w:p w14:paraId="06D96B9B">
      <w:pPr>
        <w:spacing w:line="360" w:lineRule="auto"/>
        <w:ind w:firstLine="480" w:firstLineChars="200"/>
        <w:rPr>
          <w:sz w:val="24"/>
          <w:szCs w:val="21"/>
        </w:rPr>
      </w:pPr>
      <w:r>
        <w:rPr>
          <w:rFonts w:hint="eastAsia"/>
          <w:sz w:val="24"/>
          <w:szCs w:val="21"/>
        </w:rPr>
        <w:t>对现有建设用地范围动态变化情况进行监测，要对不符合行政许可要求的新增、改建、扩建及拆除建设用地加强监督管理，环境保护行政主管部门应结合遥感监测结果对相关单位提出整改建议。</w:t>
      </w:r>
    </w:p>
    <w:p w14:paraId="5E01C73D">
      <w:pPr>
        <w:pStyle w:val="2"/>
      </w:pPr>
      <w:bookmarkStart w:id="120" w:name="_Toc103617153"/>
      <w:bookmarkStart w:id="121" w:name="_Toc12953"/>
      <w:r>
        <w:rPr>
          <w:rFonts w:hint="eastAsia"/>
        </w:rPr>
        <w:t>10</w:t>
      </w:r>
      <w:r>
        <w:t xml:space="preserve"> </w:t>
      </w:r>
      <w:r>
        <w:rPr>
          <w:rFonts w:hint="eastAsia"/>
        </w:rPr>
        <w:t>其它应说明的事项</w:t>
      </w:r>
      <w:bookmarkEnd w:id="120"/>
      <w:bookmarkEnd w:id="121"/>
    </w:p>
    <w:p w14:paraId="05455644">
      <w:pPr>
        <w:ind w:firstLine="480" w:firstLineChars="200"/>
        <w:rPr>
          <w:sz w:val="24"/>
        </w:rPr>
      </w:pPr>
      <w:r>
        <w:rPr>
          <w:rFonts w:hint="eastAsia"/>
          <w:sz w:val="24"/>
        </w:rPr>
        <w:t>本标准不涉及专利。</w:t>
      </w:r>
    </w:p>
    <w:p w14:paraId="500B1FC8">
      <w:r>
        <w:rPr>
          <w:rFonts w:hint="eastAsia"/>
        </w:rPr>
        <w:br w:type="page"/>
      </w:r>
    </w:p>
    <w:p w14:paraId="55CF1485">
      <w:pPr>
        <w:ind w:firstLine="420" w:firstLineChars="200"/>
      </w:pPr>
    </w:p>
    <w:p w14:paraId="04531C7E">
      <w:pPr>
        <w:pStyle w:val="2"/>
        <w:jc w:val="center"/>
      </w:pPr>
      <w:bookmarkStart w:id="122" w:name="_Toc31617"/>
      <w:bookmarkStart w:id="123" w:name="_Toc103617154"/>
      <w:r>
        <w:rPr>
          <w:rFonts w:hint="eastAsia"/>
        </w:rPr>
        <w:t>参考文献</w:t>
      </w:r>
      <w:bookmarkEnd w:id="122"/>
      <w:bookmarkEnd w:id="123"/>
    </w:p>
    <w:p w14:paraId="0378D004">
      <w:pPr>
        <w:pStyle w:val="24"/>
        <w:widowControl/>
        <w:numPr>
          <w:ilvl w:val="0"/>
          <w:numId w:val="7"/>
        </w:numPr>
        <w:spacing w:line="360" w:lineRule="auto"/>
        <w:ind w:firstLineChars="0"/>
        <w:jc w:val="left"/>
        <w:rPr>
          <w:rFonts w:cs="宋体"/>
          <w:kern w:val="0"/>
        </w:rPr>
      </w:pPr>
      <w:r>
        <w:rPr>
          <w:rFonts w:hint="eastAsia" w:cs="宋体"/>
          <w:kern w:val="0"/>
        </w:rPr>
        <w:t>GB 15618—2018土壤环境质量 建设用地土壤污染风险管控标准</w:t>
      </w:r>
    </w:p>
    <w:p w14:paraId="4CD0CC72">
      <w:pPr>
        <w:pStyle w:val="24"/>
        <w:widowControl/>
        <w:numPr>
          <w:ilvl w:val="0"/>
          <w:numId w:val="7"/>
        </w:numPr>
        <w:spacing w:line="360" w:lineRule="auto"/>
        <w:ind w:firstLineChars="0"/>
        <w:jc w:val="left"/>
        <w:rPr>
          <w:rFonts w:cs="宋体"/>
          <w:kern w:val="0"/>
        </w:rPr>
      </w:pPr>
      <w:r>
        <w:rPr>
          <w:rFonts w:hint="eastAsia" w:cs="宋体"/>
          <w:kern w:val="0"/>
        </w:rPr>
        <w:t>GB/T 33183</w:t>
      </w:r>
      <w:r>
        <w:rPr>
          <w:rFonts w:cs="宋体"/>
          <w:kern w:val="0"/>
        </w:rPr>
        <w:t>—</w:t>
      </w:r>
      <w:r>
        <w:rPr>
          <w:rFonts w:hint="eastAsia" w:cs="宋体"/>
          <w:kern w:val="0"/>
        </w:rPr>
        <w:t>2016基础地理信息1:50 000地形要素数据规范</w:t>
      </w:r>
    </w:p>
    <w:p w14:paraId="01400497">
      <w:pPr>
        <w:pStyle w:val="24"/>
        <w:widowControl/>
        <w:numPr>
          <w:ilvl w:val="0"/>
          <w:numId w:val="7"/>
        </w:numPr>
        <w:spacing w:line="360" w:lineRule="auto"/>
        <w:ind w:firstLineChars="0"/>
        <w:jc w:val="left"/>
        <w:rPr>
          <w:rFonts w:cs="宋体"/>
          <w:kern w:val="0"/>
        </w:rPr>
      </w:pPr>
      <w:r>
        <w:rPr>
          <w:rFonts w:hint="eastAsia" w:cs="宋体"/>
          <w:kern w:val="0"/>
        </w:rPr>
        <w:t>GB/T 33462</w:t>
      </w:r>
      <w:r>
        <w:rPr>
          <w:rFonts w:cs="宋体"/>
          <w:kern w:val="0"/>
        </w:rPr>
        <w:t>—</w:t>
      </w:r>
      <w:r>
        <w:rPr>
          <w:rFonts w:hint="eastAsia" w:cs="宋体"/>
          <w:kern w:val="0"/>
        </w:rPr>
        <w:t>2016基础地理信息 1:10 000地形要素数据规范</w:t>
      </w:r>
    </w:p>
    <w:p w14:paraId="0FFCB9CC">
      <w:pPr>
        <w:pStyle w:val="24"/>
        <w:widowControl/>
        <w:numPr>
          <w:ilvl w:val="0"/>
          <w:numId w:val="7"/>
        </w:numPr>
        <w:spacing w:line="360" w:lineRule="auto"/>
        <w:ind w:firstLineChars="0"/>
        <w:jc w:val="left"/>
        <w:rPr>
          <w:rFonts w:cs="宋体"/>
          <w:kern w:val="0"/>
        </w:rPr>
      </w:pPr>
      <w:r>
        <w:rPr>
          <w:rFonts w:hint="eastAsia" w:cs="宋体"/>
          <w:kern w:val="0"/>
        </w:rPr>
        <w:t>HJ 1166—2021 全国生态状况调查评估技术规范——生态系统遥感解译与野外核查</w:t>
      </w:r>
    </w:p>
    <w:p w14:paraId="6D708FA4">
      <w:pPr>
        <w:pStyle w:val="24"/>
        <w:widowControl/>
        <w:numPr>
          <w:ilvl w:val="0"/>
          <w:numId w:val="7"/>
        </w:numPr>
        <w:spacing w:line="360" w:lineRule="auto"/>
        <w:ind w:firstLineChars="0"/>
        <w:jc w:val="left"/>
        <w:rPr>
          <w:rFonts w:cs="宋体"/>
          <w:kern w:val="0"/>
        </w:rPr>
      </w:pPr>
      <w:r>
        <w:rPr>
          <w:rFonts w:hint="eastAsia" w:cs="宋体"/>
          <w:kern w:val="0"/>
        </w:rPr>
        <w:t>HJ 1209—2021工业企业土壤和地下水自行监测技术指南（试行）</w:t>
      </w:r>
    </w:p>
    <w:p w14:paraId="12436554">
      <w:pPr>
        <w:pStyle w:val="24"/>
        <w:widowControl/>
        <w:numPr>
          <w:ilvl w:val="0"/>
          <w:numId w:val="7"/>
        </w:numPr>
        <w:spacing w:line="360" w:lineRule="auto"/>
        <w:ind w:firstLineChars="0"/>
        <w:jc w:val="left"/>
        <w:rPr>
          <w:rFonts w:cs="宋体"/>
          <w:kern w:val="0"/>
        </w:rPr>
      </w:pPr>
      <w:r>
        <w:rPr>
          <w:rFonts w:hint="eastAsia" w:cs="宋体"/>
          <w:kern w:val="0"/>
        </w:rPr>
        <w:t>HJ 1233—2021 入河（海）排污口排查整治无人机遥感航测技术规范</w:t>
      </w:r>
    </w:p>
    <w:p w14:paraId="3E93022F">
      <w:pPr>
        <w:pStyle w:val="24"/>
        <w:widowControl/>
        <w:numPr>
          <w:ilvl w:val="0"/>
          <w:numId w:val="7"/>
        </w:numPr>
        <w:spacing w:line="360" w:lineRule="auto"/>
        <w:ind w:firstLineChars="0"/>
        <w:jc w:val="left"/>
        <w:rPr>
          <w:rFonts w:cs="宋体"/>
          <w:kern w:val="0"/>
        </w:rPr>
      </w:pPr>
      <w:r>
        <w:rPr>
          <w:rFonts w:hint="eastAsia" w:cs="宋体"/>
          <w:kern w:val="0"/>
        </w:rPr>
        <w:t>HJ 1236—2021 集中式地表水饮用水水源地风险源遥感调查技术规范</w:t>
      </w:r>
    </w:p>
    <w:p w14:paraId="28C7A788">
      <w:pPr>
        <w:pStyle w:val="24"/>
        <w:widowControl/>
        <w:numPr>
          <w:ilvl w:val="0"/>
          <w:numId w:val="7"/>
        </w:numPr>
        <w:spacing w:line="360" w:lineRule="auto"/>
        <w:ind w:firstLineChars="0"/>
        <w:jc w:val="left"/>
        <w:rPr>
          <w:rFonts w:cs="宋体"/>
          <w:kern w:val="0"/>
        </w:rPr>
      </w:pPr>
      <w:r>
        <w:rPr>
          <w:rFonts w:hint="eastAsia" w:cs="宋体"/>
          <w:kern w:val="0"/>
        </w:rPr>
        <w:t>HJ 25.1</w:t>
      </w:r>
      <w:r>
        <w:rPr>
          <w:rFonts w:cs="宋体"/>
          <w:kern w:val="0"/>
        </w:rPr>
        <w:t>—</w:t>
      </w:r>
      <w:r>
        <w:rPr>
          <w:rFonts w:hint="eastAsia" w:cs="宋体"/>
          <w:kern w:val="0"/>
        </w:rPr>
        <w:t>2019建设用地土壤污染状况调查技术导则</w:t>
      </w:r>
    </w:p>
    <w:p w14:paraId="0E72D9CF">
      <w:pPr>
        <w:pStyle w:val="24"/>
        <w:widowControl/>
        <w:numPr>
          <w:ilvl w:val="0"/>
          <w:numId w:val="7"/>
        </w:numPr>
        <w:spacing w:line="360" w:lineRule="auto"/>
        <w:ind w:firstLineChars="0"/>
        <w:jc w:val="left"/>
        <w:rPr>
          <w:rFonts w:cs="宋体"/>
          <w:kern w:val="0"/>
        </w:rPr>
      </w:pPr>
      <w:r>
        <w:rPr>
          <w:rFonts w:hint="eastAsia" w:cs="宋体"/>
          <w:kern w:val="0"/>
        </w:rPr>
        <w:t>HJ 25.2—2019 建设用地土壤污染风险管控和修复 监测技术导则</w:t>
      </w:r>
    </w:p>
    <w:p w14:paraId="671AA606">
      <w:pPr>
        <w:pStyle w:val="24"/>
        <w:widowControl/>
        <w:numPr>
          <w:ilvl w:val="0"/>
          <w:numId w:val="7"/>
        </w:numPr>
        <w:spacing w:line="360" w:lineRule="auto"/>
        <w:ind w:firstLineChars="0"/>
        <w:jc w:val="left"/>
        <w:rPr>
          <w:rFonts w:cs="宋体"/>
          <w:kern w:val="0"/>
        </w:rPr>
      </w:pPr>
      <w:r>
        <w:rPr>
          <w:rFonts w:cs="宋体"/>
          <w:kern w:val="0"/>
        </w:rPr>
        <w:t>HJ 25.3—</w:t>
      </w:r>
      <w:r>
        <w:rPr>
          <w:rFonts w:hint="eastAsia" w:cs="宋体"/>
          <w:kern w:val="0"/>
        </w:rPr>
        <w:t xml:space="preserve">2019建设用地土壤污染风险评估技术导则  </w:t>
      </w:r>
    </w:p>
    <w:p w14:paraId="04602D7E">
      <w:pPr>
        <w:pStyle w:val="24"/>
        <w:widowControl/>
        <w:numPr>
          <w:ilvl w:val="0"/>
          <w:numId w:val="7"/>
        </w:numPr>
        <w:spacing w:line="360" w:lineRule="auto"/>
        <w:ind w:firstLineChars="0"/>
        <w:jc w:val="left"/>
        <w:rPr>
          <w:rFonts w:cs="宋体"/>
          <w:kern w:val="0"/>
        </w:rPr>
      </w:pPr>
      <w:r>
        <w:rPr>
          <w:rFonts w:hint="eastAsia" w:cs="宋体"/>
          <w:kern w:val="0"/>
        </w:rPr>
        <w:t>HJ 25.4—2019 建设用地土壤污染污染修复技术导则</w:t>
      </w:r>
    </w:p>
    <w:p w14:paraId="78BDF12B">
      <w:pPr>
        <w:pStyle w:val="24"/>
        <w:widowControl/>
        <w:numPr>
          <w:ilvl w:val="0"/>
          <w:numId w:val="7"/>
        </w:numPr>
        <w:spacing w:line="360" w:lineRule="auto"/>
        <w:ind w:firstLineChars="0"/>
        <w:jc w:val="left"/>
        <w:rPr>
          <w:rFonts w:cs="宋体"/>
          <w:kern w:val="0"/>
        </w:rPr>
      </w:pPr>
      <w:r>
        <w:rPr>
          <w:rFonts w:cs="宋体"/>
          <w:kern w:val="0"/>
        </w:rPr>
        <w:t>CH/T 9008.3—2010</w:t>
      </w:r>
      <w:r>
        <w:rPr>
          <w:rFonts w:hint="eastAsia" w:cs="宋体"/>
          <w:kern w:val="0"/>
        </w:rPr>
        <w:t>基础地理信息数字成果 1:500 1:1000 1:2000 数字正射影像图</w:t>
      </w:r>
    </w:p>
    <w:p w14:paraId="29D9F9E1">
      <w:pPr>
        <w:pStyle w:val="24"/>
        <w:widowControl/>
        <w:numPr>
          <w:ilvl w:val="0"/>
          <w:numId w:val="7"/>
        </w:numPr>
        <w:spacing w:line="360" w:lineRule="auto"/>
        <w:ind w:firstLineChars="0"/>
        <w:jc w:val="left"/>
        <w:rPr>
          <w:rFonts w:cs="宋体"/>
          <w:kern w:val="0"/>
        </w:rPr>
      </w:pPr>
      <w:r>
        <w:rPr>
          <w:rFonts w:hint="eastAsia" w:cs="宋体"/>
          <w:kern w:val="0"/>
        </w:rPr>
        <w:t>DB11/T 1967—2022 暂不开发利用受污染建设用地风险管控指南</w:t>
      </w:r>
    </w:p>
    <w:p w14:paraId="2A53FEF0">
      <w:pPr>
        <w:pStyle w:val="24"/>
        <w:widowControl/>
        <w:numPr>
          <w:ilvl w:val="0"/>
          <w:numId w:val="7"/>
        </w:numPr>
        <w:spacing w:line="360" w:lineRule="auto"/>
        <w:ind w:firstLineChars="0"/>
        <w:jc w:val="left"/>
        <w:rPr>
          <w:rFonts w:cs="宋体"/>
          <w:kern w:val="0"/>
        </w:rPr>
      </w:pPr>
      <w:r>
        <w:rPr>
          <w:rFonts w:hint="eastAsia" w:cs="宋体"/>
          <w:kern w:val="0"/>
        </w:rPr>
        <w:t>T/CECS 995建筑施工裸地遥感监测技术导则</w:t>
      </w:r>
    </w:p>
    <w:p w14:paraId="7367FAA0">
      <w:pPr>
        <w:pStyle w:val="24"/>
        <w:widowControl/>
        <w:numPr>
          <w:ilvl w:val="0"/>
          <w:numId w:val="7"/>
        </w:numPr>
        <w:spacing w:line="360" w:lineRule="auto"/>
        <w:ind w:firstLineChars="0"/>
        <w:jc w:val="left"/>
        <w:rPr>
          <w:rFonts w:cs="宋体"/>
          <w:kern w:val="0"/>
        </w:rPr>
      </w:pPr>
      <w:r>
        <w:rPr>
          <w:rFonts w:hint="eastAsia" w:cs="宋体"/>
          <w:kern w:val="0"/>
        </w:rPr>
        <w:t>TD/T 1055—2019 第三次全国国土调查技术规程</w:t>
      </w:r>
    </w:p>
    <w:p w14:paraId="7706CA3A">
      <w:pPr>
        <w:pStyle w:val="24"/>
        <w:widowControl/>
        <w:numPr>
          <w:ilvl w:val="0"/>
          <w:numId w:val="7"/>
        </w:numPr>
        <w:spacing w:line="360" w:lineRule="auto"/>
        <w:ind w:firstLineChars="0"/>
        <w:jc w:val="left"/>
        <w:rPr>
          <w:rFonts w:cs="宋体"/>
          <w:kern w:val="0"/>
        </w:rPr>
      </w:pPr>
      <w:r>
        <w:rPr>
          <w:rFonts w:hint="eastAsia" w:cs="宋体"/>
          <w:kern w:val="0"/>
        </w:rPr>
        <w:t>生态保护红线内人类活动生态环境影响</w:t>
      </w:r>
      <w:r>
        <w:rPr>
          <w:rFonts w:cs="宋体"/>
          <w:kern w:val="0"/>
        </w:rPr>
        <w:t xml:space="preserve"> </w:t>
      </w:r>
      <w:r>
        <w:rPr>
          <w:rFonts w:hint="eastAsia" w:cs="宋体"/>
          <w:kern w:val="0"/>
        </w:rPr>
        <w:t>评价技术指南</w:t>
      </w:r>
      <w:r>
        <w:rPr>
          <w:rFonts w:cs="宋体"/>
          <w:kern w:val="0"/>
        </w:rPr>
        <w:t xml:space="preserve"> </w:t>
      </w:r>
      <w:r>
        <w:rPr>
          <w:rFonts w:hint="eastAsia" w:cs="宋体"/>
          <w:kern w:val="0"/>
        </w:rPr>
        <w:t>（征求意见稿）</w:t>
      </w:r>
    </w:p>
    <w:p w14:paraId="5A8907E2">
      <w:pPr>
        <w:pStyle w:val="24"/>
        <w:widowControl/>
        <w:numPr>
          <w:ilvl w:val="0"/>
          <w:numId w:val="7"/>
        </w:numPr>
        <w:spacing w:line="360" w:lineRule="auto"/>
        <w:ind w:firstLineChars="0"/>
        <w:jc w:val="left"/>
        <w:rPr>
          <w:rFonts w:cs="宋体"/>
          <w:kern w:val="0"/>
        </w:rPr>
      </w:pPr>
      <w:r>
        <w:rPr>
          <w:rFonts w:hint="eastAsia"/>
        </w:rPr>
        <w:t>关于发布《</w:t>
      </w:r>
      <w:r>
        <w:t>重点监管单位土壤污染隐患排查指南（试行）</w:t>
      </w:r>
      <w:r>
        <w:rPr>
          <w:rFonts w:hint="eastAsia"/>
        </w:rPr>
        <w:t>》的通知</w:t>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1261166"/>
    </w:sdtPr>
    <w:sdtContent>
      <w:p w14:paraId="15C54787">
        <w:pPr>
          <w:pStyle w:val="7"/>
          <w:jc w:val="center"/>
        </w:pPr>
        <w:r>
          <w:fldChar w:fldCharType="begin"/>
        </w:r>
        <w:r>
          <w:instrText xml:space="preserve">PAGE   \* MERGEFORMAT</w:instrText>
        </w:r>
        <w:r>
          <w:fldChar w:fldCharType="separate"/>
        </w:r>
        <w:r>
          <w:rPr>
            <w:lang w:val="zh-CN"/>
          </w:rPr>
          <w:t>32</w:t>
        </w:r>
        <w:r>
          <w:fldChar w:fldCharType="end"/>
        </w:r>
      </w:p>
    </w:sdtContent>
  </w:sdt>
  <w:p w14:paraId="4C55BE77">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50F90"/>
    <w:multiLevelType w:val="multilevel"/>
    <w:tmpl w:val="44C50F90"/>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pStyle w:val="61"/>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5603797C"/>
    <w:multiLevelType w:val="multilevel"/>
    <w:tmpl w:val="5603797C"/>
    <w:lvl w:ilvl="0" w:tentative="0">
      <w:start w:val="1"/>
      <w:numFmt w:val="upperLetter"/>
      <w:suff w:val="space"/>
      <w:lvlText w:val="%1"/>
      <w:lvlJc w:val="left"/>
      <w:pPr>
        <w:ind w:left="425" w:hanging="425"/>
      </w:pPr>
      <w:rPr>
        <w:rFonts w:hint="eastAsia"/>
      </w:rPr>
    </w:lvl>
    <w:lvl w:ilvl="1" w:tentative="0">
      <w:start w:val="1"/>
      <w:numFmt w:val="decimal"/>
      <w:pStyle w:val="62"/>
      <w:suff w:val="space"/>
      <w:lvlText w:val="表%1.%2"/>
      <w:lvlJc w:val="center"/>
      <w:pPr>
        <w:ind w:left="0" w:firstLine="0"/>
      </w:pPr>
      <w:rPr>
        <w:rFonts w:hint="eastAsia" w:ascii="黑体" w:eastAsia="黑体"/>
        <w:sz w:val="21"/>
        <w:lang w:val="en-US"/>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F4642C5"/>
    <w:multiLevelType w:val="singleLevel"/>
    <w:tmpl w:val="5F4642C5"/>
    <w:lvl w:ilvl="0" w:tentative="0">
      <w:start w:val="2"/>
      <w:numFmt w:val="decimal"/>
      <w:pStyle w:val="3"/>
      <w:suff w:val="nothing"/>
      <w:lvlText w:val="%1、"/>
      <w:lvlJc w:val="left"/>
    </w:lvl>
  </w:abstractNum>
  <w:abstractNum w:abstractNumId="3">
    <w:nsid w:val="646260FA"/>
    <w:multiLevelType w:val="multilevel"/>
    <w:tmpl w:val="646260FA"/>
    <w:lvl w:ilvl="0" w:tentative="0">
      <w:start w:val="1"/>
      <w:numFmt w:val="decimal"/>
      <w:pStyle w:val="29"/>
      <w:suff w:val="nothing"/>
      <w:lvlText w:val="表%1　"/>
      <w:lvlJc w:val="left"/>
      <w:pPr>
        <w:ind w:left="3545"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657D3FBC"/>
    <w:multiLevelType w:val="multilevel"/>
    <w:tmpl w:val="657D3FBC"/>
    <w:lvl w:ilvl="0" w:tentative="0">
      <w:start w:val="1"/>
      <w:numFmt w:val="upperLetter"/>
      <w:pStyle w:val="41"/>
      <w:suff w:val="nothing"/>
      <w:lvlText w:val="附录%1"/>
      <w:lvlJc w:val="left"/>
      <w:pPr>
        <w:ind w:left="0" w:firstLine="0"/>
      </w:pPr>
      <w:rPr>
        <w:rFonts w:hint="eastAsia"/>
        <w:spacing w:val="100"/>
      </w:rPr>
    </w:lvl>
    <w:lvl w:ilvl="1" w:tentative="0">
      <w:start w:val="1"/>
      <w:numFmt w:val="decimal"/>
      <w:pStyle w:val="42"/>
      <w:suff w:val="nothing"/>
      <w:lvlText w:val="%1.%2　"/>
      <w:lvlJc w:val="left"/>
      <w:pPr>
        <w:ind w:left="0" w:firstLine="0"/>
      </w:pPr>
      <w:rPr>
        <w:rFonts w:hint="eastAsia" w:ascii="黑体" w:eastAsia="黑体"/>
        <w:b w:val="0"/>
        <w:i w:val="0"/>
        <w:strike w:val="0"/>
        <w:sz w:val="21"/>
      </w:rPr>
    </w:lvl>
    <w:lvl w:ilvl="2" w:tentative="0">
      <w:start w:val="1"/>
      <w:numFmt w:val="decimal"/>
      <w:suff w:val="nothing"/>
      <w:lvlText w:val="%1.%2.%3　"/>
      <w:lvlJc w:val="left"/>
      <w:pPr>
        <w:ind w:left="284"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38"/>
      <w:suff w:val="nothing"/>
      <w:lvlText w:val="%1%2　"/>
      <w:lvlJc w:val="left"/>
      <w:pPr>
        <w:ind w:left="0" w:firstLine="0"/>
      </w:pPr>
      <w:rPr>
        <w:rFonts w:hint="eastAsia" w:ascii="黑体" w:eastAsia="黑体"/>
        <w:b w:val="0"/>
        <w:i w:val="0"/>
        <w:sz w:val="21"/>
      </w:rPr>
    </w:lvl>
    <w:lvl w:ilvl="2" w:tentative="0">
      <w:start w:val="1"/>
      <w:numFmt w:val="decimal"/>
      <w:pStyle w:val="37"/>
      <w:suff w:val="nothing"/>
      <w:lvlText w:val="%1%2.%3　"/>
      <w:lvlJc w:val="left"/>
      <w:pPr>
        <w:ind w:left="2411"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40"/>
      <w:suff w:val="nothing"/>
      <w:lvlText w:val="%1%2.%3.%4　"/>
      <w:lvlJc w:val="left"/>
      <w:pPr>
        <w:ind w:left="568" w:firstLine="0"/>
      </w:pPr>
      <w:rPr>
        <w:rFonts w:hint="eastAsia" w:ascii="黑体" w:eastAsia="黑体"/>
        <w:b w:val="0"/>
        <w:i w:val="0"/>
        <w:sz w:val="21"/>
      </w:rPr>
    </w:lvl>
    <w:lvl w:ilvl="4" w:tentative="0">
      <w:start w:val="1"/>
      <w:numFmt w:val="decimal"/>
      <w:pStyle w:val="44"/>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7FBD3F17"/>
    <w:multiLevelType w:val="multilevel"/>
    <w:tmpl w:val="7FBD3F1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5"/>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05"/>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3OGI5YmYyMmQ5NGQ5MjhkNTg4YjBkOTM1OTQ5ODYifQ=="/>
  </w:docVars>
  <w:rsids>
    <w:rsidRoot w:val="707E5C20"/>
    <w:rsid w:val="00001E1E"/>
    <w:rsid w:val="0000279B"/>
    <w:rsid w:val="000731B1"/>
    <w:rsid w:val="00084DE8"/>
    <w:rsid w:val="000B2E28"/>
    <w:rsid w:val="000B5A6C"/>
    <w:rsid w:val="000C04B6"/>
    <w:rsid w:val="000D57B4"/>
    <w:rsid w:val="000E0E84"/>
    <w:rsid w:val="001037A0"/>
    <w:rsid w:val="001129FB"/>
    <w:rsid w:val="00113AB2"/>
    <w:rsid w:val="001168A4"/>
    <w:rsid w:val="001533EA"/>
    <w:rsid w:val="001A58DC"/>
    <w:rsid w:val="001B491F"/>
    <w:rsid w:val="001B6585"/>
    <w:rsid w:val="001D1B31"/>
    <w:rsid w:val="001D2539"/>
    <w:rsid w:val="0020504A"/>
    <w:rsid w:val="00206B29"/>
    <w:rsid w:val="00216C13"/>
    <w:rsid w:val="002504F2"/>
    <w:rsid w:val="002C1FEE"/>
    <w:rsid w:val="002E16A4"/>
    <w:rsid w:val="00333F6E"/>
    <w:rsid w:val="003428DE"/>
    <w:rsid w:val="00353550"/>
    <w:rsid w:val="003572ED"/>
    <w:rsid w:val="003767DA"/>
    <w:rsid w:val="00376F0B"/>
    <w:rsid w:val="003C3E13"/>
    <w:rsid w:val="003D3BFA"/>
    <w:rsid w:val="003F129C"/>
    <w:rsid w:val="003F23BD"/>
    <w:rsid w:val="003F6FFB"/>
    <w:rsid w:val="00400A08"/>
    <w:rsid w:val="00414E03"/>
    <w:rsid w:val="004176FE"/>
    <w:rsid w:val="004309A4"/>
    <w:rsid w:val="004326B3"/>
    <w:rsid w:val="004579C9"/>
    <w:rsid w:val="004716F8"/>
    <w:rsid w:val="00472EBE"/>
    <w:rsid w:val="00474DE0"/>
    <w:rsid w:val="00494DDF"/>
    <w:rsid w:val="004A0BDE"/>
    <w:rsid w:val="004C52FF"/>
    <w:rsid w:val="004D4465"/>
    <w:rsid w:val="004E4CA7"/>
    <w:rsid w:val="004F5C17"/>
    <w:rsid w:val="00516165"/>
    <w:rsid w:val="0051785C"/>
    <w:rsid w:val="00525868"/>
    <w:rsid w:val="00553296"/>
    <w:rsid w:val="00567F3F"/>
    <w:rsid w:val="005912D0"/>
    <w:rsid w:val="005B2CFB"/>
    <w:rsid w:val="005E583C"/>
    <w:rsid w:val="005E5EA2"/>
    <w:rsid w:val="005F76E4"/>
    <w:rsid w:val="00602362"/>
    <w:rsid w:val="00631872"/>
    <w:rsid w:val="00633734"/>
    <w:rsid w:val="00664D03"/>
    <w:rsid w:val="00673416"/>
    <w:rsid w:val="006A7A5D"/>
    <w:rsid w:val="006D0565"/>
    <w:rsid w:val="006E16ED"/>
    <w:rsid w:val="006F3F34"/>
    <w:rsid w:val="006F43B6"/>
    <w:rsid w:val="00731713"/>
    <w:rsid w:val="00734CD2"/>
    <w:rsid w:val="007531C5"/>
    <w:rsid w:val="007600B4"/>
    <w:rsid w:val="00764435"/>
    <w:rsid w:val="007865F6"/>
    <w:rsid w:val="007A430E"/>
    <w:rsid w:val="007D0E54"/>
    <w:rsid w:val="007F0A47"/>
    <w:rsid w:val="007F1E2E"/>
    <w:rsid w:val="00802D32"/>
    <w:rsid w:val="00851883"/>
    <w:rsid w:val="00854AD1"/>
    <w:rsid w:val="008A61C2"/>
    <w:rsid w:val="008B2C65"/>
    <w:rsid w:val="008B30DB"/>
    <w:rsid w:val="008C242A"/>
    <w:rsid w:val="008E2C4E"/>
    <w:rsid w:val="008E4A3C"/>
    <w:rsid w:val="008E4B6A"/>
    <w:rsid w:val="008F4E98"/>
    <w:rsid w:val="00915DF8"/>
    <w:rsid w:val="00936260"/>
    <w:rsid w:val="0096603B"/>
    <w:rsid w:val="009D2414"/>
    <w:rsid w:val="00A036BC"/>
    <w:rsid w:val="00A364BC"/>
    <w:rsid w:val="00A66CFF"/>
    <w:rsid w:val="00A73099"/>
    <w:rsid w:val="00A827E4"/>
    <w:rsid w:val="00A9297B"/>
    <w:rsid w:val="00AA404A"/>
    <w:rsid w:val="00AF2ACD"/>
    <w:rsid w:val="00AF34CB"/>
    <w:rsid w:val="00AF6A13"/>
    <w:rsid w:val="00AF6E32"/>
    <w:rsid w:val="00B134AC"/>
    <w:rsid w:val="00B22CF8"/>
    <w:rsid w:val="00B36111"/>
    <w:rsid w:val="00B622BD"/>
    <w:rsid w:val="00BC5AE3"/>
    <w:rsid w:val="00BE6885"/>
    <w:rsid w:val="00BE750D"/>
    <w:rsid w:val="00C20A62"/>
    <w:rsid w:val="00C27B16"/>
    <w:rsid w:val="00C3426E"/>
    <w:rsid w:val="00C43EC6"/>
    <w:rsid w:val="00C64887"/>
    <w:rsid w:val="00C72B88"/>
    <w:rsid w:val="00C828C7"/>
    <w:rsid w:val="00CA596E"/>
    <w:rsid w:val="00CB63EA"/>
    <w:rsid w:val="00CC2D49"/>
    <w:rsid w:val="00CE1BC3"/>
    <w:rsid w:val="00D1720F"/>
    <w:rsid w:val="00D24517"/>
    <w:rsid w:val="00D9621B"/>
    <w:rsid w:val="00DA6501"/>
    <w:rsid w:val="00DB0DCE"/>
    <w:rsid w:val="00DB7B47"/>
    <w:rsid w:val="00DC1FBE"/>
    <w:rsid w:val="00DE0BF5"/>
    <w:rsid w:val="00DF2FAF"/>
    <w:rsid w:val="00DF5344"/>
    <w:rsid w:val="00E109E0"/>
    <w:rsid w:val="00E12A56"/>
    <w:rsid w:val="00E35CE5"/>
    <w:rsid w:val="00E36146"/>
    <w:rsid w:val="00E40AA6"/>
    <w:rsid w:val="00E443FC"/>
    <w:rsid w:val="00E504E8"/>
    <w:rsid w:val="00E61C86"/>
    <w:rsid w:val="00E62D6F"/>
    <w:rsid w:val="00E77024"/>
    <w:rsid w:val="00E835D9"/>
    <w:rsid w:val="00EB352F"/>
    <w:rsid w:val="00EB4855"/>
    <w:rsid w:val="00EC2DED"/>
    <w:rsid w:val="00EE0515"/>
    <w:rsid w:val="00F00CFD"/>
    <w:rsid w:val="00F20FB6"/>
    <w:rsid w:val="00F515EF"/>
    <w:rsid w:val="00F80FAD"/>
    <w:rsid w:val="00F8367D"/>
    <w:rsid w:val="00F854D0"/>
    <w:rsid w:val="00F85F51"/>
    <w:rsid w:val="00FA0AAC"/>
    <w:rsid w:val="00FB1EA0"/>
    <w:rsid w:val="00FD62C5"/>
    <w:rsid w:val="00FE77D5"/>
    <w:rsid w:val="01D73C13"/>
    <w:rsid w:val="0224362A"/>
    <w:rsid w:val="02F65C98"/>
    <w:rsid w:val="0324111A"/>
    <w:rsid w:val="035023A5"/>
    <w:rsid w:val="038B4DFE"/>
    <w:rsid w:val="056F0BD5"/>
    <w:rsid w:val="05BB24F7"/>
    <w:rsid w:val="05C70E9C"/>
    <w:rsid w:val="06B21F8D"/>
    <w:rsid w:val="07ED0468"/>
    <w:rsid w:val="08BB60F5"/>
    <w:rsid w:val="08E9737B"/>
    <w:rsid w:val="08EC0C19"/>
    <w:rsid w:val="09121A3F"/>
    <w:rsid w:val="091B685C"/>
    <w:rsid w:val="0A090F66"/>
    <w:rsid w:val="0A7A58AC"/>
    <w:rsid w:val="0AE630B3"/>
    <w:rsid w:val="0AED5443"/>
    <w:rsid w:val="0BDE2A9B"/>
    <w:rsid w:val="0E9C23E6"/>
    <w:rsid w:val="0F7A0D2D"/>
    <w:rsid w:val="10465E59"/>
    <w:rsid w:val="1080152E"/>
    <w:rsid w:val="11BE542C"/>
    <w:rsid w:val="11D1474A"/>
    <w:rsid w:val="1366238E"/>
    <w:rsid w:val="13875E01"/>
    <w:rsid w:val="13BE2810"/>
    <w:rsid w:val="14542FD4"/>
    <w:rsid w:val="14BA3EDC"/>
    <w:rsid w:val="14C52C70"/>
    <w:rsid w:val="152F6116"/>
    <w:rsid w:val="16B74615"/>
    <w:rsid w:val="16DC13D6"/>
    <w:rsid w:val="17125320"/>
    <w:rsid w:val="177E6D59"/>
    <w:rsid w:val="17884203"/>
    <w:rsid w:val="182932F0"/>
    <w:rsid w:val="19BE4E0B"/>
    <w:rsid w:val="19EC507C"/>
    <w:rsid w:val="1A4F0431"/>
    <w:rsid w:val="1AA17AB6"/>
    <w:rsid w:val="1B4519E2"/>
    <w:rsid w:val="1BC021BE"/>
    <w:rsid w:val="1C093B64"/>
    <w:rsid w:val="1C2C33AF"/>
    <w:rsid w:val="1C8431EB"/>
    <w:rsid w:val="1D1D2C1B"/>
    <w:rsid w:val="1F0F05A4"/>
    <w:rsid w:val="205804E3"/>
    <w:rsid w:val="20A84EC3"/>
    <w:rsid w:val="20BE2F28"/>
    <w:rsid w:val="21481A1D"/>
    <w:rsid w:val="21A95DE0"/>
    <w:rsid w:val="21AA47BF"/>
    <w:rsid w:val="21BA76AF"/>
    <w:rsid w:val="21DD6EFA"/>
    <w:rsid w:val="224C47AB"/>
    <w:rsid w:val="22CC6F93"/>
    <w:rsid w:val="22F307E5"/>
    <w:rsid w:val="242769B6"/>
    <w:rsid w:val="244871F4"/>
    <w:rsid w:val="24D60068"/>
    <w:rsid w:val="25CB52A5"/>
    <w:rsid w:val="25EA28BE"/>
    <w:rsid w:val="260B648D"/>
    <w:rsid w:val="264F4879"/>
    <w:rsid w:val="2765562F"/>
    <w:rsid w:val="277B168E"/>
    <w:rsid w:val="278E3170"/>
    <w:rsid w:val="299E123B"/>
    <w:rsid w:val="299F19D2"/>
    <w:rsid w:val="2AB021AF"/>
    <w:rsid w:val="2B8A1EA0"/>
    <w:rsid w:val="2B9C21FA"/>
    <w:rsid w:val="2BF914DF"/>
    <w:rsid w:val="2C0077CE"/>
    <w:rsid w:val="2D353A23"/>
    <w:rsid w:val="2F923482"/>
    <w:rsid w:val="31623FD5"/>
    <w:rsid w:val="31717269"/>
    <w:rsid w:val="328B35DE"/>
    <w:rsid w:val="338D521C"/>
    <w:rsid w:val="33D642E8"/>
    <w:rsid w:val="351F3E0C"/>
    <w:rsid w:val="35276684"/>
    <w:rsid w:val="353439DD"/>
    <w:rsid w:val="35CA376C"/>
    <w:rsid w:val="36F25484"/>
    <w:rsid w:val="381C47C8"/>
    <w:rsid w:val="38435CD6"/>
    <w:rsid w:val="3945157C"/>
    <w:rsid w:val="39A14F85"/>
    <w:rsid w:val="3B4636AA"/>
    <w:rsid w:val="3BC2699C"/>
    <w:rsid w:val="3BD05468"/>
    <w:rsid w:val="3BF92FCE"/>
    <w:rsid w:val="3CBA0719"/>
    <w:rsid w:val="3E696E6B"/>
    <w:rsid w:val="3EF45B57"/>
    <w:rsid w:val="3F9E6094"/>
    <w:rsid w:val="40210BCD"/>
    <w:rsid w:val="404372F4"/>
    <w:rsid w:val="407C221B"/>
    <w:rsid w:val="41C704BB"/>
    <w:rsid w:val="42487ADC"/>
    <w:rsid w:val="42F71AD2"/>
    <w:rsid w:val="4365162B"/>
    <w:rsid w:val="442962A2"/>
    <w:rsid w:val="4508235C"/>
    <w:rsid w:val="47326B82"/>
    <w:rsid w:val="4794629C"/>
    <w:rsid w:val="48952158"/>
    <w:rsid w:val="493354CD"/>
    <w:rsid w:val="49703073"/>
    <w:rsid w:val="498E2D13"/>
    <w:rsid w:val="49C37F7C"/>
    <w:rsid w:val="4A37705E"/>
    <w:rsid w:val="4A716BD1"/>
    <w:rsid w:val="4A9C5796"/>
    <w:rsid w:val="4C004DC5"/>
    <w:rsid w:val="4DB93571"/>
    <w:rsid w:val="4E22182F"/>
    <w:rsid w:val="4E684D20"/>
    <w:rsid w:val="4EFF657E"/>
    <w:rsid w:val="50245B70"/>
    <w:rsid w:val="50FA56C3"/>
    <w:rsid w:val="51271DBC"/>
    <w:rsid w:val="514F3E5B"/>
    <w:rsid w:val="51CA7897"/>
    <w:rsid w:val="52A35472"/>
    <w:rsid w:val="53342081"/>
    <w:rsid w:val="53A172F0"/>
    <w:rsid w:val="5411465D"/>
    <w:rsid w:val="546215A5"/>
    <w:rsid w:val="552347CA"/>
    <w:rsid w:val="5551205F"/>
    <w:rsid w:val="557B22E9"/>
    <w:rsid w:val="55C25DDC"/>
    <w:rsid w:val="588161B4"/>
    <w:rsid w:val="593B28A8"/>
    <w:rsid w:val="594828CF"/>
    <w:rsid w:val="5A3C15A0"/>
    <w:rsid w:val="5A9B6046"/>
    <w:rsid w:val="5ACF1E2B"/>
    <w:rsid w:val="5BBF152C"/>
    <w:rsid w:val="5C481799"/>
    <w:rsid w:val="5C86208C"/>
    <w:rsid w:val="5CD1704D"/>
    <w:rsid w:val="5CED4F6D"/>
    <w:rsid w:val="5DA5036A"/>
    <w:rsid w:val="5DAD5125"/>
    <w:rsid w:val="5E393C76"/>
    <w:rsid w:val="5E596C5B"/>
    <w:rsid w:val="5E983083"/>
    <w:rsid w:val="600B172D"/>
    <w:rsid w:val="61BC3E5A"/>
    <w:rsid w:val="620F1E56"/>
    <w:rsid w:val="62775775"/>
    <w:rsid w:val="638A7F8E"/>
    <w:rsid w:val="63F83144"/>
    <w:rsid w:val="653E33B4"/>
    <w:rsid w:val="65B76366"/>
    <w:rsid w:val="65C66A8B"/>
    <w:rsid w:val="65E90ACB"/>
    <w:rsid w:val="660B1854"/>
    <w:rsid w:val="66FB238F"/>
    <w:rsid w:val="673E5D7E"/>
    <w:rsid w:val="678106E7"/>
    <w:rsid w:val="67FFAA95"/>
    <w:rsid w:val="68FE3AB4"/>
    <w:rsid w:val="69937B96"/>
    <w:rsid w:val="6A3B2C5D"/>
    <w:rsid w:val="6AC71795"/>
    <w:rsid w:val="6B342DB6"/>
    <w:rsid w:val="6BB1180E"/>
    <w:rsid w:val="6C6C35A4"/>
    <w:rsid w:val="6CA4030D"/>
    <w:rsid w:val="6D341690"/>
    <w:rsid w:val="6DB7443C"/>
    <w:rsid w:val="6EA2087C"/>
    <w:rsid w:val="6F046726"/>
    <w:rsid w:val="6F0474C4"/>
    <w:rsid w:val="707E5C20"/>
    <w:rsid w:val="70D54D05"/>
    <w:rsid w:val="714F50CC"/>
    <w:rsid w:val="71654A6F"/>
    <w:rsid w:val="7239457E"/>
    <w:rsid w:val="72764315"/>
    <w:rsid w:val="729F452A"/>
    <w:rsid w:val="748C6A5A"/>
    <w:rsid w:val="74DB2652"/>
    <w:rsid w:val="750C3D6D"/>
    <w:rsid w:val="795409C4"/>
    <w:rsid w:val="7A604E5D"/>
    <w:rsid w:val="7AD14F03"/>
    <w:rsid w:val="7B05466C"/>
    <w:rsid w:val="7B444279"/>
    <w:rsid w:val="7B565E0B"/>
    <w:rsid w:val="7B821819"/>
    <w:rsid w:val="7BB57E40"/>
    <w:rsid w:val="7C8415C1"/>
    <w:rsid w:val="7CDA3399"/>
    <w:rsid w:val="7D3B6786"/>
    <w:rsid w:val="7E413C0D"/>
    <w:rsid w:val="7EAF0B77"/>
    <w:rsid w:val="7EF94B5F"/>
    <w:rsid w:val="FFFD1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iPriority="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eastAsia="黑体"/>
      <w:bCs/>
      <w:kern w:val="44"/>
      <w:sz w:val="36"/>
      <w:szCs w:val="44"/>
    </w:rPr>
  </w:style>
  <w:style w:type="paragraph" w:styleId="3">
    <w:name w:val="heading 2"/>
    <w:basedOn w:val="1"/>
    <w:next w:val="1"/>
    <w:link w:val="26"/>
    <w:qFormat/>
    <w:uiPriority w:val="0"/>
    <w:pPr>
      <w:keepNext/>
      <w:keepLines/>
      <w:numPr>
        <w:ilvl w:val="0"/>
        <w:numId w:val="1"/>
      </w:numPr>
      <w:spacing w:before="260" w:after="260" w:line="415" w:lineRule="auto"/>
      <w:outlineLvl w:val="1"/>
    </w:pPr>
    <w:rPr>
      <w:rFonts w:eastAsia="仿宋_GB2312"/>
      <w:b/>
      <w:bCs/>
      <w:sz w:val="28"/>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49"/>
    <w:qFormat/>
    <w:uiPriority w:val="99"/>
    <w:pPr>
      <w:jc w:val="left"/>
    </w:pPr>
  </w:style>
  <w:style w:type="paragraph" w:styleId="5">
    <w:name w:val="toc 3"/>
    <w:basedOn w:val="1"/>
    <w:next w:val="1"/>
    <w:qFormat/>
    <w:uiPriority w:val="39"/>
    <w:pPr>
      <w:ind w:left="840" w:leftChars="400"/>
    </w:pPr>
  </w:style>
  <w:style w:type="paragraph" w:styleId="6">
    <w:name w:val="Balloon Text"/>
    <w:basedOn w:val="1"/>
    <w:link w:val="59"/>
    <w:semiHidden/>
    <w:unhideWhenUsed/>
    <w:qFormat/>
    <w:uiPriority w:val="0"/>
    <w:rPr>
      <w:sz w:val="18"/>
      <w:szCs w:val="18"/>
    </w:rPr>
  </w:style>
  <w:style w:type="paragraph" w:styleId="7">
    <w:name w:val="footer"/>
    <w:basedOn w:val="1"/>
    <w:link w:val="28"/>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qFormat/>
    <w:uiPriority w:val="0"/>
    <w:pPr>
      <w:spacing w:beforeAutospacing="1" w:afterAutospacing="1"/>
      <w:jc w:val="left"/>
    </w:pPr>
    <w:rPr>
      <w:kern w:val="0"/>
      <w:sz w:val="24"/>
    </w:rPr>
  </w:style>
  <w:style w:type="paragraph" w:styleId="12">
    <w:name w:val="annotation subject"/>
    <w:basedOn w:val="4"/>
    <w:next w:val="4"/>
    <w:link w:val="58"/>
    <w:semiHidden/>
    <w:unhideWhenUsed/>
    <w:qFormat/>
    <w:uiPriority w:val="0"/>
    <w:rPr>
      <w:b/>
      <w:bCs/>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bCs/>
    </w:rPr>
  </w:style>
  <w:style w:type="character" w:styleId="17">
    <w:name w:val="FollowedHyperlink"/>
    <w:basedOn w:val="15"/>
    <w:qFormat/>
    <w:uiPriority w:val="0"/>
    <w:rPr>
      <w:color w:val="800080"/>
      <w:u w:val="none"/>
    </w:rPr>
  </w:style>
  <w:style w:type="character" w:styleId="18">
    <w:name w:val="HTML Definition"/>
    <w:basedOn w:val="15"/>
    <w:qFormat/>
    <w:uiPriority w:val="0"/>
    <w:rPr>
      <w:i/>
      <w:iCs/>
    </w:rPr>
  </w:style>
  <w:style w:type="character" w:styleId="19">
    <w:name w:val="Hyperlink"/>
    <w:basedOn w:val="15"/>
    <w:unhideWhenUsed/>
    <w:qFormat/>
    <w:uiPriority w:val="99"/>
    <w:rPr>
      <w:color w:val="0000FF" w:themeColor="hyperlink"/>
      <w:u w:val="single"/>
      <w14:textFill>
        <w14:solidFill>
          <w14:schemeClr w14:val="hlink"/>
        </w14:solidFill>
      </w14:textFill>
    </w:rPr>
  </w:style>
  <w:style w:type="character" w:styleId="20">
    <w:name w:val="HTML Code"/>
    <w:basedOn w:val="15"/>
    <w:qFormat/>
    <w:uiPriority w:val="0"/>
    <w:rPr>
      <w:rFonts w:ascii="Consolas" w:hAnsi="Consolas" w:eastAsia="Consolas" w:cs="Consolas"/>
      <w:color w:val="C7254E"/>
      <w:sz w:val="21"/>
      <w:szCs w:val="21"/>
      <w:shd w:val="clear" w:color="auto" w:fill="F9F2F4"/>
    </w:rPr>
  </w:style>
  <w:style w:type="character" w:styleId="21">
    <w:name w:val="annotation reference"/>
    <w:basedOn w:val="15"/>
    <w:unhideWhenUsed/>
    <w:qFormat/>
    <w:uiPriority w:val="99"/>
    <w:rPr>
      <w:sz w:val="21"/>
      <w:szCs w:val="21"/>
    </w:rPr>
  </w:style>
  <w:style w:type="character" w:styleId="22">
    <w:name w:val="HTML Keyboard"/>
    <w:basedOn w:val="15"/>
    <w:semiHidden/>
    <w:unhideWhenUsed/>
    <w:qFormat/>
    <w:uiPriority w:val="0"/>
    <w:rPr>
      <w:rFonts w:hint="default" w:ascii="Consolas" w:hAnsi="Consolas" w:eastAsia="Consolas" w:cs="Consolas"/>
      <w:color w:val="FFFFFF"/>
      <w:sz w:val="21"/>
      <w:szCs w:val="21"/>
      <w:shd w:val="clear" w:color="auto" w:fill="333333"/>
    </w:rPr>
  </w:style>
  <w:style w:type="character" w:styleId="23">
    <w:name w:val="HTML Sample"/>
    <w:basedOn w:val="15"/>
    <w:qFormat/>
    <w:uiPriority w:val="0"/>
    <w:rPr>
      <w:rFonts w:hint="default" w:ascii="Consolas" w:hAnsi="Consolas" w:eastAsia="Consolas" w:cs="Consolas"/>
      <w:sz w:val="21"/>
      <w:szCs w:val="21"/>
    </w:rPr>
  </w:style>
  <w:style w:type="paragraph" w:styleId="24">
    <w:name w:val="List Paragraph"/>
    <w:basedOn w:val="1"/>
    <w:qFormat/>
    <w:uiPriority w:val="99"/>
    <w:pPr>
      <w:ind w:firstLine="420" w:firstLineChars="200"/>
    </w:pPr>
  </w:style>
  <w:style w:type="paragraph" w:customStyle="1" w:styleId="25">
    <w:name w:val="表格文字"/>
    <w:basedOn w:val="1"/>
    <w:qFormat/>
    <w:uiPriority w:val="0"/>
    <w:pPr>
      <w:spacing w:before="100" w:beforeAutospacing="1" w:after="100" w:afterAutospacing="1" w:line="360" w:lineRule="auto"/>
      <w:jc w:val="center"/>
    </w:pPr>
    <w:rPr>
      <w:rFonts w:eastAsia="仿宋_GB2312"/>
      <w:sz w:val="32"/>
      <w:szCs w:val="20"/>
    </w:rPr>
  </w:style>
  <w:style w:type="character" w:customStyle="1" w:styleId="26">
    <w:name w:val="标题 2 字符"/>
    <w:basedOn w:val="15"/>
    <w:link w:val="3"/>
    <w:qFormat/>
    <w:uiPriority w:val="0"/>
    <w:rPr>
      <w:rFonts w:eastAsia="仿宋_GB2312"/>
      <w:b/>
      <w:bCs/>
      <w:kern w:val="2"/>
      <w:sz w:val="28"/>
      <w:szCs w:val="32"/>
    </w:rPr>
  </w:style>
  <w:style w:type="paragraph" w:customStyle="1" w:styleId="2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28">
    <w:name w:val="页脚 字符"/>
    <w:basedOn w:val="15"/>
    <w:link w:val="7"/>
    <w:qFormat/>
    <w:uiPriority w:val="99"/>
    <w:rPr>
      <w:kern w:val="2"/>
      <w:sz w:val="18"/>
      <w:szCs w:val="24"/>
    </w:rPr>
  </w:style>
  <w:style w:type="paragraph" w:customStyle="1" w:styleId="29">
    <w:name w:val="标准文件_正文表标题"/>
    <w:next w:val="30"/>
    <w:qFormat/>
    <w:uiPriority w:val="0"/>
    <w:pPr>
      <w:numPr>
        <w:ilvl w:val="0"/>
        <w:numId w:val="2"/>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30">
    <w:name w:val="标准文件_段"/>
    <w:link w:val="4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
    <w:name w:val="标准文件_表格"/>
    <w:basedOn w:val="30"/>
    <w:qFormat/>
    <w:uiPriority w:val="0"/>
    <w:pPr>
      <w:ind w:firstLine="0" w:firstLineChars="0"/>
      <w:jc w:val="center"/>
    </w:pPr>
    <w:rPr>
      <w:sz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5">
    <w:name w:val="标准文件_术语条一"/>
    <w:basedOn w:val="36"/>
    <w:next w:val="30"/>
    <w:qFormat/>
    <w:uiPriority w:val="0"/>
  </w:style>
  <w:style w:type="paragraph" w:customStyle="1" w:styleId="36">
    <w:name w:val="标准文件_一级无标题"/>
    <w:basedOn w:val="37"/>
    <w:qFormat/>
    <w:uiPriority w:val="0"/>
    <w:pPr>
      <w:spacing w:before="0" w:beforeLines="0" w:after="0" w:afterLines="0"/>
      <w:outlineLvl w:val="9"/>
    </w:pPr>
    <w:rPr>
      <w:rFonts w:ascii="宋体" w:eastAsia="宋体"/>
    </w:rPr>
  </w:style>
  <w:style w:type="paragraph" w:customStyle="1" w:styleId="37">
    <w:name w:val="标准文件_一级条标题"/>
    <w:basedOn w:val="38"/>
    <w:next w:val="30"/>
    <w:qFormat/>
    <w:uiPriority w:val="0"/>
    <w:pPr>
      <w:numPr>
        <w:ilvl w:val="2"/>
      </w:numPr>
      <w:spacing w:before="50" w:beforeLines="50" w:after="50" w:afterLines="50"/>
      <w:outlineLvl w:val="1"/>
    </w:pPr>
  </w:style>
  <w:style w:type="paragraph" w:customStyle="1" w:styleId="38">
    <w:name w:val="标准文件_章标题"/>
    <w:next w:val="30"/>
    <w:qFormat/>
    <w:uiPriority w:val="0"/>
    <w:pPr>
      <w:numPr>
        <w:ilvl w:val="1"/>
        <w:numId w:val="3"/>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39">
    <w:name w:val="标准文件_二级无标题"/>
    <w:basedOn w:val="40"/>
    <w:qFormat/>
    <w:uiPriority w:val="0"/>
    <w:pPr>
      <w:spacing w:before="0" w:beforeLines="0" w:after="0" w:afterLines="0"/>
      <w:outlineLvl w:val="9"/>
    </w:pPr>
    <w:rPr>
      <w:rFonts w:ascii="宋体" w:eastAsia="宋体"/>
    </w:rPr>
  </w:style>
  <w:style w:type="paragraph" w:customStyle="1" w:styleId="40">
    <w:name w:val="标准文件_二级条标题"/>
    <w:next w:val="30"/>
    <w:qFormat/>
    <w:uiPriority w:val="0"/>
    <w:pPr>
      <w:widowControl w:val="0"/>
      <w:numPr>
        <w:ilvl w:val="3"/>
        <w:numId w:val="3"/>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41">
    <w:name w:val="标准文件_附录标识"/>
    <w:next w:val="30"/>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42">
    <w:name w:val="标准文件_附录一级条标题"/>
    <w:next w:val="30"/>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43">
    <w:name w:val="标准文件_三级无标题"/>
    <w:basedOn w:val="44"/>
    <w:qFormat/>
    <w:uiPriority w:val="0"/>
    <w:pPr>
      <w:spacing w:before="0" w:beforeLines="0" w:after="0" w:afterLines="0"/>
      <w:outlineLvl w:val="9"/>
    </w:pPr>
    <w:rPr>
      <w:rFonts w:ascii="宋体" w:eastAsia="宋体"/>
    </w:rPr>
  </w:style>
  <w:style w:type="paragraph" w:customStyle="1" w:styleId="44">
    <w:name w:val="标准文件_三级条标题"/>
    <w:basedOn w:val="40"/>
    <w:next w:val="30"/>
    <w:qFormat/>
    <w:uiPriority w:val="0"/>
    <w:pPr>
      <w:widowControl/>
      <w:numPr>
        <w:ilvl w:val="4"/>
      </w:numPr>
      <w:outlineLvl w:val="3"/>
    </w:pPr>
  </w:style>
  <w:style w:type="table" w:customStyle="1" w:styleId="45">
    <w:name w:val="网格型1"/>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3"/>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character" w:customStyle="1" w:styleId="48">
    <w:name w:val="标准文件_段 Char"/>
    <w:link w:val="30"/>
    <w:qFormat/>
    <w:uiPriority w:val="0"/>
    <w:rPr>
      <w:rFonts w:ascii="宋体"/>
      <w:sz w:val="21"/>
    </w:rPr>
  </w:style>
  <w:style w:type="character" w:customStyle="1" w:styleId="49">
    <w:name w:val="批注文字 字符"/>
    <w:basedOn w:val="15"/>
    <w:link w:val="4"/>
    <w:qFormat/>
    <w:uiPriority w:val="99"/>
    <w:rPr>
      <w:kern w:val="2"/>
      <w:sz w:val="21"/>
      <w:szCs w:val="24"/>
    </w:rPr>
  </w:style>
  <w:style w:type="character" w:customStyle="1" w:styleId="50">
    <w:name w:val="nth-child(3)"/>
    <w:basedOn w:val="15"/>
    <w:qFormat/>
    <w:uiPriority w:val="0"/>
    <w:rPr>
      <w:color w:val="666666"/>
      <w:sz w:val="21"/>
      <w:szCs w:val="21"/>
    </w:rPr>
  </w:style>
  <w:style w:type="character" w:customStyle="1" w:styleId="51">
    <w:name w:val="nth-child(3)1"/>
    <w:basedOn w:val="15"/>
    <w:qFormat/>
    <w:uiPriority w:val="0"/>
    <w:rPr>
      <w:color w:val="666666"/>
      <w:sz w:val="21"/>
      <w:szCs w:val="21"/>
    </w:rPr>
  </w:style>
  <w:style w:type="character" w:customStyle="1" w:styleId="52">
    <w:name w:val="number"/>
    <w:basedOn w:val="15"/>
    <w:qFormat/>
    <w:uiPriority w:val="0"/>
    <w:rPr>
      <w:color w:val="FFFFFF"/>
      <w:sz w:val="15"/>
      <w:szCs w:val="15"/>
      <w:bdr w:val="single" w:color="EC6941" w:sz="6" w:space="0"/>
      <w:shd w:val="clear" w:color="auto" w:fill="EC6941"/>
    </w:rPr>
  </w:style>
  <w:style w:type="character" w:customStyle="1" w:styleId="53">
    <w:name w:val="cur11"/>
    <w:basedOn w:val="15"/>
    <w:qFormat/>
    <w:uiPriority w:val="0"/>
    <w:rPr>
      <w:color w:val="FFFFFF"/>
      <w:shd w:val="clear" w:color="auto" w:fill="2B7FCE"/>
    </w:rPr>
  </w:style>
  <w:style w:type="character" w:customStyle="1" w:styleId="54">
    <w:name w:val="index2"/>
    <w:basedOn w:val="15"/>
    <w:qFormat/>
    <w:uiPriority w:val="0"/>
  </w:style>
  <w:style w:type="character" w:customStyle="1" w:styleId="55">
    <w:name w:val="index3"/>
    <w:basedOn w:val="15"/>
    <w:qFormat/>
    <w:uiPriority w:val="0"/>
    <w:rPr>
      <w:color w:val="FFFFFF"/>
    </w:rPr>
  </w:style>
  <w:style w:type="character" w:customStyle="1" w:styleId="56">
    <w:name w:val="index4"/>
    <w:basedOn w:val="15"/>
    <w:qFormat/>
    <w:uiPriority w:val="0"/>
  </w:style>
  <w:style w:type="paragraph" w:customStyle="1" w:styleId="5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58">
    <w:name w:val="批注主题 字符"/>
    <w:basedOn w:val="49"/>
    <w:link w:val="12"/>
    <w:semiHidden/>
    <w:qFormat/>
    <w:uiPriority w:val="0"/>
    <w:rPr>
      <w:b/>
      <w:bCs/>
      <w:kern w:val="2"/>
      <w:sz w:val="21"/>
      <w:szCs w:val="24"/>
    </w:rPr>
  </w:style>
  <w:style w:type="character" w:customStyle="1" w:styleId="59">
    <w:name w:val="批注框文本 字符"/>
    <w:basedOn w:val="15"/>
    <w:link w:val="6"/>
    <w:semiHidden/>
    <w:qFormat/>
    <w:uiPriority w:val="0"/>
    <w:rPr>
      <w:kern w:val="2"/>
      <w:sz w:val="18"/>
      <w:szCs w:val="18"/>
    </w:rPr>
  </w:style>
  <w:style w:type="paragraph" w:customStyle="1" w:styleId="60">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61">
    <w:name w:val="标准文件_数字编号列项（二级）"/>
    <w:qFormat/>
    <w:uiPriority w:val="0"/>
    <w:pPr>
      <w:numPr>
        <w:ilvl w:val="1"/>
        <w:numId w:val="5"/>
      </w:numPr>
      <w:tabs>
        <w:tab w:val="left" w:pos="851"/>
      </w:tabs>
      <w:jc w:val="both"/>
    </w:pPr>
    <w:rPr>
      <w:rFonts w:ascii="宋体" w:hAnsi="Times New Roman" w:eastAsia="宋体" w:cs="Times New Roman"/>
      <w:sz w:val="21"/>
      <w:lang w:val="en-US" w:eastAsia="zh-CN" w:bidi="ar-SA"/>
    </w:rPr>
  </w:style>
  <w:style w:type="paragraph" w:customStyle="1" w:styleId="62">
    <w:name w:val="标准文件_附录表标题"/>
    <w:next w:val="30"/>
    <w:qFormat/>
    <w:uiPriority w:val="0"/>
    <w:pPr>
      <w:numPr>
        <w:ilvl w:val="1"/>
        <w:numId w:val="6"/>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63">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7F825-7E91-4EA7-B18B-0467DC448336}">
  <ds:schemaRefs/>
</ds:datastoreItem>
</file>

<file path=docProps/app.xml><?xml version="1.0" encoding="utf-8"?>
<Properties xmlns="http://schemas.openxmlformats.org/officeDocument/2006/extended-properties" xmlns:vt="http://schemas.openxmlformats.org/officeDocument/2006/docPropsVTypes">
  <Template>Normal.dotm</Template>
  <Pages>33</Pages>
  <Words>2001</Words>
  <Characters>2144</Characters>
  <Lines>156</Lines>
  <Paragraphs>44</Paragraphs>
  <TotalTime>0</TotalTime>
  <ScaleCrop>false</ScaleCrop>
  <LinksUpToDate>false</LinksUpToDate>
  <CharactersWithSpaces>2194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2023-04-26T08:54:00Z</dcterms:created>
  <dc:creator>遥感室</dc:creator>
  <cp:lastModifiedBy>赵旭</cp:lastModifiedBy>
  <dcterms:modified xsi:type="dcterms:W3CDTF">2025-04-11T02:00:27Z</dcterms:modified>
  <dc:title>建设用地遥感</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F85E1E0568054EF99EDB0179F0D592F2_13</vt:lpwstr>
  </property>
  <property fmtid="{D5CDD505-2E9C-101B-9397-08002B2CF9AE}" pid="4" name="KSOTemplateDocerSaveRecord">
    <vt:lpwstr>eyJoZGlkIjoiYjQ4NmM3ZGU0MzFkYTQzMTExZDdhYTk5MDczNzcxNmUiLCJ1c2VySWQiOiIxMDgyMzM2MzI3In0=</vt:lpwstr>
  </property>
</Properties>
</file>