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360" w:lineRule="auto"/>
        <w:jc w:val="left"/>
        <w:rPr>
          <w:rFonts w:hint="eastAsia" w:ascii="黑体" w:hAnsi="黑体" w:eastAsia="黑体" w:cs="仿宋_GB2312"/>
          <w:bCs/>
          <w:sz w:val="32"/>
          <w:szCs w:val="32"/>
        </w:rPr>
      </w:pPr>
      <w:bookmarkStart w:id="1" w:name="_GoBack"/>
      <w:bookmarkEnd w:id="1"/>
    </w:p>
    <w:p>
      <w:pPr>
        <w:widowControl/>
        <w:spacing w:line="360" w:lineRule="auto"/>
        <w:jc w:val="left"/>
        <w:rPr>
          <w:rFonts w:hint="eastAsia" w:ascii="黑体" w:hAnsi="黑体" w:eastAsia="黑体" w:cs="仿宋_GB2312"/>
          <w:bCs/>
          <w:sz w:val="32"/>
          <w:szCs w:val="32"/>
        </w:rPr>
      </w:pPr>
    </w:p>
    <w:p>
      <w:pPr>
        <w:widowControl/>
        <w:spacing w:line="360" w:lineRule="auto"/>
        <w:jc w:val="left"/>
        <w:rPr>
          <w:rFonts w:hint="eastAsia" w:ascii="黑体" w:hAnsi="黑体" w:eastAsia="黑体" w:cs="仿宋_GB2312"/>
          <w:bCs/>
          <w:sz w:val="32"/>
          <w:szCs w:val="32"/>
        </w:rPr>
      </w:pPr>
    </w:p>
    <w:p>
      <w:pPr>
        <w:spacing w:line="360" w:lineRule="auto"/>
        <w:jc w:val="center"/>
        <w:rPr>
          <w:rFonts w:hint="eastAsia" w:eastAsia="黑体"/>
          <w:sz w:val="32"/>
          <w:szCs w:val="32"/>
          <w:lang w:val="en-US" w:eastAsia="zh-CN"/>
        </w:rPr>
      </w:pPr>
      <w:bookmarkStart w:id="0" w:name="_Hlk24616522"/>
      <w:r>
        <w:rPr>
          <w:rFonts w:eastAsia="黑体"/>
          <w:sz w:val="32"/>
          <w:szCs w:val="32"/>
        </w:rPr>
        <w:t>北</w:t>
      </w:r>
      <w:r>
        <w:rPr>
          <w:rFonts w:hint="eastAsia" w:eastAsia="黑体"/>
          <w:sz w:val="32"/>
          <w:szCs w:val="32"/>
        </w:rPr>
        <w:t>京市碳普惠</w:t>
      </w:r>
      <w:r>
        <w:rPr>
          <w:rFonts w:hint="eastAsia" w:eastAsia="黑体"/>
          <w:sz w:val="32"/>
          <w:szCs w:val="32"/>
          <w:lang w:eastAsia="zh-CN"/>
        </w:rPr>
        <w:t>一级</w:t>
      </w:r>
      <w:r>
        <w:rPr>
          <w:rFonts w:hint="eastAsia" w:eastAsia="黑体"/>
          <w:sz w:val="32"/>
          <w:szCs w:val="32"/>
        </w:rPr>
        <w:t>方法学</w:t>
      </w:r>
      <w:r>
        <w:rPr>
          <w:rFonts w:eastAsia="黑体"/>
          <w:sz w:val="32"/>
          <w:szCs w:val="32"/>
        </w:rPr>
        <w:t xml:space="preserve"> </w:t>
      </w:r>
      <w:r>
        <w:rPr>
          <w:rFonts w:hint="eastAsia" w:eastAsia="黑体"/>
          <w:sz w:val="32"/>
          <w:szCs w:val="32"/>
          <w:lang w:val="en-US" w:eastAsia="zh-CN"/>
        </w:rPr>
        <w:t>新能源</w:t>
      </w:r>
      <w:r>
        <w:rPr>
          <w:rFonts w:hint="eastAsia" w:eastAsia="黑体"/>
          <w:sz w:val="32"/>
          <w:szCs w:val="32"/>
        </w:rPr>
        <w:t>汽车消纳绿</w:t>
      </w:r>
      <w:r>
        <w:rPr>
          <w:rFonts w:hint="eastAsia" w:eastAsia="黑体"/>
          <w:sz w:val="32"/>
          <w:szCs w:val="32"/>
          <w:lang w:val="en-US" w:eastAsia="zh-CN"/>
        </w:rPr>
        <w:t>色</w:t>
      </w:r>
      <w:r>
        <w:rPr>
          <w:rFonts w:hint="eastAsia" w:eastAsia="黑体"/>
          <w:sz w:val="32"/>
          <w:szCs w:val="32"/>
        </w:rPr>
        <w:t>电</w:t>
      </w:r>
      <w:r>
        <w:rPr>
          <w:rFonts w:hint="eastAsia" w:eastAsia="黑体"/>
          <w:sz w:val="32"/>
          <w:szCs w:val="32"/>
          <w:lang w:val="en-US" w:eastAsia="zh-CN"/>
        </w:rPr>
        <w:t>力</w:t>
      </w:r>
    </w:p>
    <w:p>
      <w:pPr>
        <w:spacing w:line="36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w:t>
      </w:r>
      <w:r>
        <w:rPr>
          <w:rFonts w:ascii="Times New Roman" w:hAnsi="Times New Roman" w:eastAsia="黑体"/>
          <w:sz w:val="32"/>
          <w:szCs w:val="32"/>
        </w:rPr>
        <w:t>BCER-01-104-V01</w:t>
      </w:r>
      <w:r>
        <w:rPr>
          <w:rFonts w:hint="eastAsia" w:ascii="Times New Roman" w:hAnsi="Times New Roman" w:eastAsia="黑体"/>
          <w:sz w:val="32"/>
          <w:szCs w:val="32"/>
          <w:lang w:eastAsia="zh-CN"/>
        </w:rPr>
        <w:t>）</w:t>
      </w:r>
    </w:p>
    <w:p>
      <w:pPr>
        <w:spacing w:line="560" w:lineRule="exact"/>
        <w:rPr>
          <w:rFonts w:hint="eastAsia" w:eastAsia="楷体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360" w:lineRule="auto"/>
        <w:jc w:val="center"/>
        <w:rPr>
          <w:rFonts w:hint="eastAsia" w:eastAsia="黑体"/>
          <w:sz w:val="32"/>
          <w:szCs w:val="32"/>
        </w:rPr>
      </w:pPr>
      <w:r>
        <w:rPr>
          <w:rFonts w:eastAsia="黑体"/>
          <w:sz w:val="32"/>
          <w:szCs w:val="32"/>
        </w:rPr>
        <w:t>2026</w:t>
      </w:r>
      <w:r>
        <w:rPr>
          <w:rFonts w:hint="eastAsia" w:eastAsia="黑体"/>
          <w:sz w:val="32"/>
          <w:szCs w:val="32"/>
        </w:rPr>
        <w:t>年</w:t>
      </w:r>
      <w:r>
        <w:rPr>
          <w:rFonts w:hint="eastAsia" w:eastAsia="黑体"/>
          <w:sz w:val="32"/>
          <w:szCs w:val="32"/>
          <w:lang w:val="en-US" w:eastAsia="zh-CN"/>
        </w:rPr>
        <w:t>9</w:t>
      </w:r>
      <w:r>
        <w:rPr>
          <w:rFonts w:hint="eastAsia" w:eastAsia="黑体"/>
          <w:sz w:val="32"/>
          <w:szCs w:val="32"/>
        </w:rPr>
        <w:t>月</w:t>
      </w:r>
      <w:bookmarkEnd w:id="0"/>
    </w:p>
    <w:p>
      <w:pPr>
        <w:widowControl/>
        <w:jc w:val="left"/>
        <w:rPr>
          <w:rFonts w:hint="eastAsia" w:eastAsia="黑体"/>
          <w:sz w:val="32"/>
          <w:szCs w:val="32"/>
        </w:rPr>
      </w:pPr>
      <w:r>
        <w:rPr>
          <w:rFonts w:hint="eastAsia" w:eastAsia="黑体"/>
          <w:sz w:val="32"/>
          <w:szCs w:val="32"/>
        </w:rPr>
        <w:br w:type="page"/>
      </w:r>
    </w:p>
    <w:p>
      <w:pPr>
        <w:pStyle w:val="22"/>
        <w:adjustRightInd w:val="0"/>
        <w:snapToGrid w:val="0"/>
        <w:spacing w:before="240" w:beforeLines="100" w:after="240" w:afterLines="100"/>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1 引言</w:t>
      </w:r>
    </w:p>
    <w:p>
      <w:pPr>
        <w:pStyle w:val="23"/>
        <w:rPr>
          <w:rFonts w:hint="eastAsia" w:ascii="宋体" w:hAnsi="宋体" w:eastAsia="宋体" w:cs="宋体"/>
          <w:szCs w:val="21"/>
        </w:rPr>
      </w:pPr>
      <w:r>
        <w:rPr>
          <w:rFonts w:hint="eastAsia" w:hAnsi="宋体" w:cs="宋体"/>
          <w:szCs w:val="21"/>
          <w:lang w:val="en-US" w:eastAsia="zh-CN"/>
        </w:rPr>
        <w:t>新能源汽车</w:t>
      </w:r>
      <w:r>
        <w:rPr>
          <w:rFonts w:hint="eastAsia" w:ascii="宋体" w:hAnsi="宋体" w:eastAsia="宋体" w:cs="宋体"/>
          <w:szCs w:val="21"/>
        </w:rPr>
        <w:t>消纳绿</w:t>
      </w:r>
      <w:r>
        <w:rPr>
          <w:rFonts w:hint="eastAsia" w:hAnsi="宋体" w:cs="宋体"/>
          <w:szCs w:val="21"/>
          <w:lang w:val="en-US" w:eastAsia="zh-CN"/>
        </w:rPr>
        <w:t>色</w:t>
      </w:r>
      <w:r>
        <w:rPr>
          <w:rFonts w:hint="eastAsia" w:ascii="宋体" w:hAnsi="宋体" w:eastAsia="宋体" w:cs="宋体"/>
          <w:szCs w:val="21"/>
        </w:rPr>
        <w:t>电</w:t>
      </w:r>
      <w:r>
        <w:rPr>
          <w:rFonts w:hint="eastAsia" w:hAnsi="宋体" w:cs="宋体"/>
          <w:szCs w:val="21"/>
          <w:lang w:val="en-US" w:eastAsia="zh-CN"/>
        </w:rPr>
        <w:t>力</w:t>
      </w:r>
      <w:r>
        <w:rPr>
          <w:rFonts w:hint="eastAsia" w:ascii="宋体" w:hAnsi="宋体" w:eastAsia="宋体" w:cs="宋体"/>
          <w:szCs w:val="21"/>
        </w:rPr>
        <w:t>是促进绿色低碳出行与绿电消纳的有效途径</w:t>
      </w:r>
      <w:r>
        <w:rPr>
          <w:rFonts w:hint="eastAsia" w:ascii="宋体" w:hAnsi="宋体" w:eastAsia="宋体" w:cs="宋体"/>
          <w:szCs w:val="21"/>
          <w:lang w:eastAsia="zh-CN"/>
        </w:rPr>
        <w:t>，</w:t>
      </w:r>
      <w:r>
        <w:rPr>
          <w:rFonts w:hint="eastAsia" w:ascii="宋体" w:hAnsi="宋体" w:eastAsia="宋体" w:cs="宋体"/>
          <w:szCs w:val="21"/>
        </w:rPr>
        <w:t>可减少交通领域温室气体排放。本方法学属于低碳交通领域。符合条件的</w:t>
      </w:r>
      <w:r>
        <w:rPr>
          <w:rFonts w:hint="eastAsia" w:hAnsi="宋体" w:cs="宋体"/>
          <w:szCs w:val="21"/>
          <w:lang w:val="en-US" w:eastAsia="zh-CN"/>
        </w:rPr>
        <w:t>新能源</w:t>
      </w:r>
      <w:r>
        <w:rPr>
          <w:rFonts w:hint="eastAsia" w:ascii="宋体" w:hAnsi="宋体" w:eastAsia="宋体" w:cs="宋体"/>
          <w:szCs w:val="21"/>
        </w:rPr>
        <w:t>汽车消纳绿</w:t>
      </w:r>
      <w:r>
        <w:rPr>
          <w:rFonts w:hint="eastAsia" w:hAnsi="宋体" w:cs="宋体"/>
          <w:szCs w:val="21"/>
          <w:lang w:val="en-US" w:eastAsia="zh-CN"/>
        </w:rPr>
        <w:t>色</w:t>
      </w:r>
      <w:r>
        <w:rPr>
          <w:rFonts w:hint="eastAsia" w:ascii="宋体" w:hAnsi="宋体" w:eastAsia="宋体" w:cs="宋体"/>
          <w:szCs w:val="21"/>
        </w:rPr>
        <w:t>电</w:t>
      </w:r>
      <w:r>
        <w:rPr>
          <w:rFonts w:hint="eastAsia" w:hAnsi="宋体" w:cs="宋体"/>
          <w:szCs w:val="21"/>
          <w:lang w:val="en-US" w:eastAsia="zh-CN"/>
        </w:rPr>
        <w:t>力项目</w:t>
      </w:r>
      <w:r>
        <w:rPr>
          <w:rFonts w:hint="eastAsia"/>
        </w:rPr>
        <w:t>可按照本文件的要求，编制项目设计文件和申请项目登记、核算和核查项目减排量。</w:t>
      </w:r>
    </w:p>
    <w:p>
      <w:pPr>
        <w:pStyle w:val="22"/>
        <w:adjustRightInd w:val="0"/>
        <w:snapToGrid w:val="0"/>
        <w:spacing w:before="240" w:beforeLines="100" w:after="240" w:afterLines="100"/>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2 适用条件</w:t>
      </w:r>
    </w:p>
    <w:p>
      <w:pPr>
        <w:pStyle w:val="22"/>
        <w:adjustRightInd w:val="0"/>
        <w:snapToGrid w:val="0"/>
        <w:spacing w:before="0" w:beforeLines="0" w:after="0" w:afterLines="0"/>
        <w:rPr>
          <w:rFonts w:hint="eastAsia" w:ascii="宋体" w:hAnsi="宋体" w:eastAsia="宋体" w:cs="宋体"/>
          <w:szCs w:val="21"/>
        </w:rPr>
      </w:pPr>
      <w:r>
        <w:rPr>
          <w:rFonts w:hint="eastAsia" w:ascii="宋体" w:hAnsi="宋体" w:eastAsia="宋体" w:cs="宋体"/>
          <w:szCs w:val="21"/>
        </w:rPr>
        <w:t>适用本文件的项目</w:t>
      </w:r>
      <w:r>
        <w:rPr>
          <w:rFonts w:hint="eastAsia" w:ascii="宋体" w:hAnsi="宋体" w:eastAsia="宋体" w:cs="宋体"/>
          <w:szCs w:val="21"/>
          <w:lang w:val="en-US" w:eastAsia="zh-CN"/>
        </w:rPr>
        <w:t>应</w:t>
      </w:r>
      <w:r>
        <w:rPr>
          <w:rFonts w:hint="eastAsia" w:ascii="宋体" w:hAnsi="宋体" w:eastAsia="宋体" w:cs="宋体"/>
          <w:szCs w:val="21"/>
        </w:rPr>
        <w:t>满足以下条件：</w:t>
      </w:r>
    </w:p>
    <w:p>
      <w:pPr>
        <w:pStyle w:val="22"/>
        <w:adjustRightInd w:val="0"/>
        <w:snapToGrid w:val="0"/>
        <w:spacing w:before="0" w:beforeLines="0" w:after="0" w:afterLines="0"/>
        <w:rPr>
          <w:rFonts w:hint="eastAsia" w:ascii="宋体" w:hAnsi="宋体" w:eastAsia="宋体" w:cs="宋体"/>
          <w:szCs w:val="21"/>
          <w:highlight w:val="none"/>
        </w:rPr>
      </w:pPr>
      <w:r>
        <w:rPr>
          <w:rFonts w:hint="eastAsia" w:ascii="宋体" w:hAnsi="宋体" w:eastAsia="宋体" w:cs="宋体"/>
          <w:szCs w:val="21"/>
          <w:highlight w:val="none"/>
        </w:rPr>
        <w:t>a）</w:t>
      </w:r>
      <w:r>
        <w:rPr>
          <w:rFonts w:hint="eastAsia" w:ascii="宋体" w:hAnsi="宋体" w:eastAsia="宋体" w:cs="宋体"/>
          <w:szCs w:val="21"/>
          <w:highlight w:val="none"/>
          <w:lang w:val="en-US" w:eastAsia="zh-CN"/>
        </w:rPr>
        <w:t>新能源汽车</w:t>
      </w:r>
      <w:r>
        <w:rPr>
          <w:rFonts w:hint="eastAsia" w:ascii="宋体" w:hAnsi="宋体" w:eastAsia="宋体" w:cs="宋体"/>
          <w:szCs w:val="21"/>
          <w:highlight w:val="none"/>
        </w:rPr>
        <w:t>在经营性集中式公共充电终端</w:t>
      </w:r>
      <w:r>
        <w:rPr>
          <w:rFonts w:hint="eastAsia" w:ascii="宋体" w:hAnsi="宋体" w:eastAsia="宋体" w:cs="宋体"/>
          <w:szCs w:val="21"/>
          <w:highlight w:val="none"/>
          <w:lang w:val="en-US" w:eastAsia="zh-CN"/>
        </w:rPr>
        <w:t>充</w:t>
      </w:r>
      <w:r>
        <w:rPr>
          <w:rFonts w:hint="eastAsia" w:ascii="宋体" w:hAnsi="宋体" w:eastAsia="宋体" w:cs="宋体"/>
          <w:szCs w:val="21"/>
          <w:highlight w:val="none"/>
        </w:rPr>
        <w:t>绿</w:t>
      </w:r>
      <w:r>
        <w:rPr>
          <w:rFonts w:hint="eastAsia" w:ascii="宋体" w:hAnsi="宋体" w:eastAsia="宋体" w:cs="宋体"/>
          <w:szCs w:val="21"/>
          <w:highlight w:val="none"/>
          <w:lang w:val="en-US" w:eastAsia="zh-CN"/>
        </w:rPr>
        <w:t>色</w:t>
      </w:r>
      <w:r>
        <w:rPr>
          <w:rFonts w:hint="eastAsia" w:ascii="宋体" w:hAnsi="宋体" w:eastAsia="宋体" w:cs="宋体"/>
          <w:szCs w:val="21"/>
          <w:highlight w:val="none"/>
        </w:rPr>
        <w:t>电</w:t>
      </w:r>
      <w:r>
        <w:rPr>
          <w:rFonts w:hint="eastAsia" w:ascii="宋体" w:hAnsi="宋体" w:eastAsia="宋体" w:cs="宋体"/>
          <w:szCs w:val="21"/>
          <w:highlight w:val="none"/>
          <w:lang w:val="en-US" w:eastAsia="zh-CN"/>
        </w:rPr>
        <w:t>力</w:t>
      </w:r>
      <w:r>
        <w:rPr>
          <w:rFonts w:hint="eastAsia" w:ascii="宋体" w:hAnsi="宋体" w:eastAsia="宋体" w:cs="宋体"/>
          <w:szCs w:val="21"/>
          <w:highlight w:val="none"/>
          <w:lang w:eastAsia="zh-CN"/>
        </w:rPr>
        <w:t>的</w:t>
      </w:r>
      <w:r>
        <w:rPr>
          <w:rFonts w:hint="eastAsia" w:ascii="宋体" w:hAnsi="宋体" w:eastAsia="宋体" w:cs="宋体"/>
          <w:szCs w:val="21"/>
          <w:highlight w:val="none"/>
        </w:rPr>
        <w:t>行为</w:t>
      </w:r>
      <w:r>
        <w:rPr>
          <w:rFonts w:hint="eastAsia" w:ascii="宋体" w:hAnsi="宋体" w:eastAsia="宋体" w:cs="宋体"/>
          <w:szCs w:val="21"/>
          <w:highlight w:val="none"/>
          <w:lang w:eastAsia="zh-CN"/>
        </w:rPr>
        <w:t>。</w:t>
      </w:r>
      <w:r>
        <w:rPr>
          <w:rFonts w:hint="eastAsia" w:ascii="宋体" w:hAnsi="宋体" w:eastAsia="宋体" w:cs="宋体"/>
          <w:szCs w:val="21"/>
          <w:highlight w:val="none"/>
        </w:rPr>
        <w:t>充电终端</w:t>
      </w:r>
      <w:r>
        <w:rPr>
          <w:rFonts w:hint="eastAsia" w:ascii="宋体" w:hAnsi="宋体" w:eastAsia="宋体" w:cs="宋体"/>
          <w:szCs w:val="21"/>
          <w:highlight w:val="none"/>
          <w:lang w:val="en-US" w:eastAsia="zh-CN"/>
        </w:rPr>
        <w:t>应</w:t>
      </w:r>
      <w:r>
        <w:rPr>
          <w:rFonts w:hint="eastAsia" w:ascii="宋体" w:hAnsi="宋体" w:eastAsia="宋体" w:cs="宋体"/>
          <w:szCs w:val="21"/>
          <w:highlight w:val="none"/>
        </w:rPr>
        <w:t>位于北京市行政区域范围内，所提供电力为100%绿</w:t>
      </w:r>
      <w:r>
        <w:rPr>
          <w:rFonts w:hint="eastAsia" w:ascii="宋体" w:hAnsi="宋体" w:eastAsia="宋体" w:cs="宋体"/>
          <w:szCs w:val="21"/>
          <w:highlight w:val="none"/>
          <w:lang w:val="en-US" w:eastAsia="zh-CN"/>
        </w:rPr>
        <w:t>色</w:t>
      </w:r>
      <w:r>
        <w:rPr>
          <w:rFonts w:hint="eastAsia" w:ascii="宋体" w:hAnsi="宋体" w:eastAsia="宋体" w:cs="宋体"/>
          <w:szCs w:val="21"/>
          <w:highlight w:val="none"/>
        </w:rPr>
        <w:t>电</w:t>
      </w:r>
      <w:r>
        <w:rPr>
          <w:rFonts w:hint="eastAsia" w:ascii="宋体" w:hAnsi="宋体" w:eastAsia="宋体" w:cs="宋体"/>
          <w:szCs w:val="21"/>
          <w:highlight w:val="none"/>
          <w:lang w:val="en-US" w:eastAsia="zh-CN"/>
        </w:rPr>
        <w:t>力</w:t>
      </w:r>
      <w:r>
        <w:rPr>
          <w:rFonts w:hint="eastAsia" w:ascii="宋体" w:hAnsi="宋体" w:eastAsia="宋体" w:cs="宋体"/>
          <w:szCs w:val="21"/>
          <w:highlight w:val="none"/>
        </w:rPr>
        <w:t>。</w:t>
      </w:r>
    </w:p>
    <w:p>
      <w:pPr>
        <w:pStyle w:val="23"/>
        <w:adjustRightInd w:val="0"/>
        <w:snapToGrid w:val="0"/>
        <w:spacing w:before="0" w:beforeLines="0" w:after="0" w:afterLines="0"/>
        <w:rPr>
          <w:rFonts w:hint="eastAsia" w:ascii="宋体" w:hAnsi="宋体" w:eastAsia="宋体" w:cs="宋体"/>
          <w:szCs w:val="21"/>
          <w:highlight w:val="none"/>
        </w:rPr>
      </w:pPr>
      <w:r>
        <w:rPr>
          <w:rFonts w:hint="eastAsia"/>
          <w:highlight w:val="none"/>
        </w:rPr>
        <w:t>b）项目</w:t>
      </w:r>
      <w:r>
        <w:rPr>
          <w:rFonts w:hint="eastAsia"/>
          <w:highlight w:val="none"/>
          <w:lang w:val="en-US" w:eastAsia="zh-CN"/>
        </w:rPr>
        <w:t>运营应依托</w:t>
      </w:r>
      <w:r>
        <w:rPr>
          <w:rFonts w:ascii="宋体"/>
          <w:kern w:val="0"/>
          <w:szCs w:val="20"/>
          <w:highlight w:val="none"/>
        </w:rPr>
        <w:t>大数据平台</w:t>
      </w:r>
      <w:r>
        <w:rPr>
          <w:rFonts w:hint="eastAsia"/>
          <w:kern w:val="0"/>
          <w:szCs w:val="20"/>
          <w:highlight w:val="none"/>
          <w:lang w:eastAsia="zh-CN"/>
        </w:rPr>
        <w:t>，</w:t>
      </w:r>
      <w:r>
        <w:rPr>
          <w:rFonts w:hint="eastAsia"/>
          <w:highlight w:val="none"/>
        </w:rPr>
        <w:t>对</w:t>
      </w:r>
      <w:r>
        <w:rPr>
          <w:rFonts w:hint="eastAsia"/>
          <w:highlight w:val="none"/>
          <w:lang w:val="en-US" w:eastAsia="zh-CN"/>
        </w:rPr>
        <w:t>新能源</w:t>
      </w:r>
      <w:r>
        <w:rPr>
          <w:rFonts w:hint="eastAsia" w:ascii="宋体" w:hAnsi="宋体" w:eastAsia="宋体" w:cs="宋体"/>
          <w:szCs w:val="21"/>
          <w:highlight w:val="none"/>
        </w:rPr>
        <w:t>汽车消纳绿</w:t>
      </w:r>
      <w:r>
        <w:rPr>
          <w:rFonts w:hint="eastAsia" w:hAnsi="宋体" w:cs="宋体"/>
          <w:szCs w:val="21"/>
          <w:highlight w:val="none"/>
          <w:lang w:val="en-US" w:eastAsia="zh-CN"/>
        </w:rPr>
        <w:t>色</w:t>
      </w:r>
      <w:r>
        <w:rPr>
          <w:rFonts w:hint="eastAsia" w:ascii="宋体" w:hAnsi="宋体" w:eastAsia="宋体" w:cs="宋体"/>
          <w:szCs w:val="21"/>
          <w:highlight w:val="none"/>
        </w:rPr>
        <w:t>电</w:t>
      </w:r>
      <w:r>
        <w:rPr>
          <w:rFonts w:hint="eastAsia" w:hAnsi="宋体" w:cs="宋体"/>
          <w:szCs w:val="21"/>
          <w:highlight w:val="none"/>
          <w:lang w:val="en-US" w:eastAsia="zh-CN"/>
        </w:rPr>
        <w:t>力</w:t>
      </w:r>
      <w:r>
        <w:rPr>
          <w:rFonts w:hint="eastAsia" w:ascii="宋体" w:hAnsi="宋体" w:eastAsia="宋体" w:cs="宋体"/>
          <w:szCs w:val="21"/>
          <w:highlight w:val="none"/>
        </w:rPr>
        <w:t>行为</w:t>
      </w:r>
      <w:r>
        <w:rPr>
          <w:rFonts w:hint="eastAsia"/>
          <w:highlight w:val="none"/>
        </w:rPr>
        <w:t>的有关数据进行监测收集和处理，确保数据</w:t>
      </w:r>
      <w:r>
        <w:rPr>
          <w:rFonts w:hint="eastAsia"/>
          <w:highlight w:val="none"/>
          <w:lang w:val="en-US" w:eastAsia="zh-CN"/>
        </w:rPr>
        <w:t>完整</w:t>
      </w:r>
      <w:r>
        <w:rPr>
          <w:rFonts w:hint="eastAsia"/>
          <w:highlight w:val="none"/>
        </w:rPr>
        <w:t>、真实、准确、有效。</w:t>
      </w:r>
    </w:p>
    <w:p>
      <w:pPr>
        <w:pStyle w:val="22"/>
        <w:adjustRightInd w:val="0"/>
        <w:snapToGrid w:val="0"/>
        <w:spacing w:before="0" w:beforeLines="0" w:after="0" w:afterLines="0"/>
        <w:rPr>
          <w:rFonts w:hint="eastAsia" w:ascii="宋体" w:hAnsi="宋体" w:eastAsia="宋体" w:cs="宋体"/>
          <w:szCs w:val="21"/>
          <w:highlight w:val="none"/>
        </w:rPr>
      </w:pPr>
      <w:r>
        <w:rPr>
          <w:rFonts w:hint="eastAsia" w:ascii="宋体" w:hAnsi="宋体" w:eastAsia="宋体" w:cs="宋体"/>
          <w:szCs w:val="21"/>
          <w:highlight w:val="none"/>
          <w:lang w:val="en-US" w:eastAsia="zh-CN"/>
        </w:rPr>
        <w:t>c</w:t>
      </w:r>
      <w:r>
        <w:rPr>
          <w:rFonts w:hint="eastAsia" w:ascii="宋体" w:hAnsi="宋体" w:eastAsia="宋体" w:cs="宋体"/>
          <w:szCs w:val="21"/>
          <w:highlight w:val="none"/>
        </w:rPr>
        <w:t>）使用充电终端消纳绿</w:t>
      </w:r>
      <w:r>
        <w:rPr>
          <w:rFonts w:hint="eastAsia" w:ascii="宋体" w:hAnsi="宋体" w:eastAsia="宋体" w:cs="宋体"/>
          <w:szCs w:val="21"/>
          <w:highlight w:val="none"/>
          <w:lang w:val="en-US" w:eastAsia="zh-CN"/>
        </w:rPr>
        <w:t>色</w:t>
      </w:r>
      <w:r>
        <w:rPr>
          <w:rFonts w:hint="eastAsia" w:ascii="宋体" w:hAnsi="宋体" w:eastAsia="宋体" w:cs="宋体"/>
          <w:szCs w:val="21"/>
          <w:highlight w:val="none"/>
        </w:rPr>
        <w:t>电</w:t>
      </w:r>
      <w:r>
        <w:rPr>
          <w:rFonts w:hint="eastAsia" w:ascii="宋体" w:hAnsi="宋体" w:eastAsia="宋体" w:cs="宋体"/>
          <w:szCs w:val="21"/>
          <w:highlight w:val="none"/>
          <w:lang w:val="en-US" w:eastAsia="zh-CN"/>
        </w:rPr>
        <w:t>力</w:t>
      </w:r>
      <w:r>
        <w:rPr>
          <w:rFonts w:hint="eastAsia" w:ascii="宋体" w:hAnsi="宋体" w:eastAsia="宋体" w:cs="宋体"/>
          <w:szCs w:val="21"/>
          <w:highlight w:val="none"/>
        </w:rPr>
        <w:t>的</w:t>
      </w:r>
      <w:r>
        <w:rPr>
          <w:rFonts w:hint="eastAsia" w:ascii="宋体" w:hAnsi="宋体" w:eastAsia="宋体" w:cs="宋体"/>
          <w:szCs w:val="21"/>
          <w:highlight w:val="none"/>
          <w:lang w:val="en-US" w:eastAsia="zh-CN"/>
        </w:rPr>
        <w:t>新能源</w:t>
      </w:r>
      <w:r>
        <w:rPr>
          <w:rFonts w:hint="eastAsia" w:ascii="宋体" w:hAnsi="宋体" w:eastAsia="宋体" w:cs="宋体"/>
          <w:szCs w:val="21"/>
          <w:highlight w:val="none"/>
        </w:rPr>
        <w:t>汽车</w:t>
      </w:r>
      <w:r>
        <w:rPr>
          <w:rFonts w:hint="eastAsia" w:ascii="宋体" w:hAnsi="宋体" w:eastAsia="宋体" w:cs="宋体"/>
          <w:szCs w:val="21"/>
          <w:highlight w:val="none"/>
          <w:lang w:val="en-US" w:eastAsia="zh-CN"/>
        </w:rPr>
        <w:t>应</w:t>
      </w:r>
      <w:r>
        <w:rPr>
          <w:rFonts w:hint="eastAsia" w:ascii="宋体" w:hAnsi="宋体" w:eastAsia="宋体" w:cs="宋体"/>
          <w:szCs w:val="21"/>
          <w:highlight w:val="none"/>
        </w:rPr>
        <w:t>为自然人所有。</w:t>
      </w:r>
    </w:p>
    <w:p>
      <w:pPr>
        <w:pStyle w:val="22"/>
        <w:adjustRightInd w:val="0"/>
        <w:snapToGrid w:val="0"/>
        <w:spacing w:before="0" w:beforeLines="0" w:after="0" w:afterLines="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d）注册参与用户应在大数据平台完成注册，同一注册参与用户只能选择一个项目开发方的一个项目进行申报，不能多头申请减排量。</w:t>
      </w:r>
    </w:p>
    <w:p>
      <w:pPr>
        <w:pStyle w:val="22"/>
        <w:adjustRightInd w:val="0"/>
        <w:snapToGrid w:val="0"/>
        <w:spacing w:before="0" w:beforeLines="0" w:after="0" w:afterLines="0"/>
        <w:rPr>
          <w:rFonts w:hint="eastAsia" w:ascii="宋体" w:hAnsi="宋体" w:eastAsia="宋体" w:cs="宋体"/>
          <w:szCs w:val="21"/>
        </w:rPr>
      </w:pPr>
      <w:r>
        <w:rPr>
          <w:rFonts w:hint="eastAsia" w:ascii="宋体" w:hAnsi="宋体" w:eastAsia="宋体" w:cs="宋体"/>
          <w:szCs w:val="21"/>
          <w:highlight w:val="none"/>
          <w:lang w:val="en-US" w:eastAsia="zh-CN"/>
        </w:rPr>
        <w:t>e</w:t>
      </w:r>
      <w:r>
        <w:rPr>
          <w:rFonts w:hint="eastAsia" w:ascii="宋体" w:hAnsi="宋体" w:eastAsia="宋体" w:cs="宋体"/>
          <w:szCs w:val="21"/>
          <w:highlight w:val="none"/>
        </w:rPr>
        <w:t>）项目开发方</w:t>
      </w:r>
      <w:r>
        <w:rPr>
          <w:rFonts w:hint="eastAsia" w:ascii="宋体" w:hAnsi="宋体" w:eastAsia="宋体" w:cs="宋体"/>
          <w:szCs w:val="21"/>
          <w:highlight w:val="none"/>
          <w:lang w:val="en-US" w:eastAsia="zh-CN"/>
        </w:rPr>
        <w:t>的经营范围应</w:t>
      </w:r>
      <w:r>
        <w:rPr>
          <w:rFonts w:hint="eastAsia" w:ascii="宋体" w:hAnsi="宋体" w:eastAsia="宋体" w:cs="宋体"/>
          <w:szCs w:val="21"/>
          <w:highlight w:val="none"/>
        </w:rPr>
        <w:t>含有运营新能源汽车充电设施</w:t>
      </w:r>
      <w:r>
        <w:rPr>
          <w:rFonts w:hint="eastAsia" w:ascii="宋体" w:hAnsi="宋体" w:eastAsia="宋体" w:cs="宋体"/>
          <w:szCs w:val="21"/>
          <w:highlight w:val="none"/>
          <w:lang w:val="en-US" w:eastAsia="zh-CN"/>
        </w:rPr>
        <w:t>且</w:t>
      </w:r>
      <w:r>
        <w:rPr>
          <w:rFonts w:hint="eastAsia" w:ascii="宋体" w:hAnsi="宋体" w:eastAsia="宋体" w:cs="宋体"/>
          <w:szCs w:val="21"/>
          <w:highlight w:val="none"/>
        </w:rPr>
        <w:t>向</w:t>
      </w:r>
      <w:r>
        <w:rPr>
          <w:rFonts w:hint="eastAsia" w:ascii="宋体" w:hAnsi="宋体" w:eastAsia="宋体" w:cs="宋体"/>
          <w:szCs w:val="21"/>
          <w:highlight w:val="none"/>
          <w:lang w:val="en-US" w:eastAsia="zh-CN"/>
        </w:rPr>
        <w:t>所有新能源汽车提供服务</w:t>
      </w:r>
      <w:r>
        <w:rPr>
          <w:rFonts w:hint="eastAsia" w:ascii="宋体" w:hAnsi="宋体" w:eastAsia="宋体" w:cs="宋体"/>
          <w:szCs w:val="21"/>
          <w:highlight w:val="none"/>
        </w:rPr>
        <w:t>。</w:t>
      </w:r>
    </w:p>
    <w:p>
      <w:pPr>
        <w:pStyle w:val="22"/>
        <w:adjustRightInd w:val="0"/>
        <w:snapToGrid w:val="0"/>
        <w:spacing w:before="240" w:beforeLines="100" w:after="240" w:afterLines="100"/>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3 引用文件</w:t>
      </w:r>
    </w:p>
    <w:p>
      <w:pPr>
        <w:pStyle w:val="22"/>
        <w:adjustRightInd w:val="0"/>
        <w:snapToGrid w:val="0"/>
        <w:rPr>
          <w:rFonts w:hint="eastAsia" w:ascii="宋体" w:hAnsi="宋体" w:eastAsia="宋体" w:cs="宋体"/>
          <w:szCs w:val="21"/>
        </w:rPr>
      </w:pPr>
      <w:r>
        <w:rPr>
          <w:rFonts w:hint="eastAsia" w:ascii="宋体" w:hAnsi="宋体" w:eastAsia="宋体" w:cs="宋体"/>
          <w:szCs w:val="21"/>
        </w:rPr>
        <w:t>本文件引用了下列文件或其中的条款。凡是注</w:t>
      </w:r>
      <w:r>
        <w:rPr>
          <w:rFonts w:hint="eastAsia" w:ascii="宋体" w:hAnsi="宋体" w:eastAsia="宋体" w:cs="宋体"/>
          <w:szCs w:val="21"/>
          <w:lang w:val="en-US" w:eastAsia="zh-CN"/>
        </w:rPr>
        <w:t>明</w:t>
      </w:r>
      <w:r>
        <w:rPr>
          <w:rFonts w:hint="eastAsia" w:ascii="宋体" w:hAnsi="宋体" w:eastAsia="宋体" w:cs="宋体"/>
          <w:szCs w:val="21"/>
        </w:rPr>
        <w:t>日期的引用文件，仅所注日期的版本适用于本文件。凡是未注日期的引用文件，其最新版本（包括所有的</w:t>
      </w:r>
      <w:r>
        <w:rPr>
          <w:rFonts w:hint="eastAsia" w:ascii="宋体" w:hAnsi="宋体" w:eastAsia="宋体" w:cs="宋体"/>
          <w:szCs w:val="21"/>
          <w:lang w:val="en-US" w:eastAsia="zh-CN"/>
        </w:rPr>
        <w:t>修订版</w:t>
      </w:r>
      <w:r>
        <w:rPr>
          <w:rFonts w:hint="eastAsia" w:ascii="宋体" w:hAnsi="宋体" w:eastAsia="宋体" w:cs="宋体"/>
          <w:szCs w:val="21"/>
        </w:rPr>
        <w:t>）适用于本文件。</w:t>
      </w:r>
    </w:p>
    <w:p>
      <w:pPr>
        <w:pStyle w:val="22"/>
        <w:adjustRightInd w:val="0"/>
        <w:snapToGrid w:val="0"/>
        <w:rPr>
          <w:rStyle w:val="19"/>
          <w:rFonts w:hint="eastAsia"/>
        </w:rPr>
      </w:pPr>
      <w:r>
        <w:rPr>
          <w:rFonts w:hint="eastAsia" w:ascii="宋体" w:hAnsi="宋体" w:eastAsia="宋体" w:cs="宋体"/>
          <w:szCs w:val="21"/>
        </w:rPr>
        <w:t>《北京市碳普惠管理办法（试行）》</w:t>
      </w:r>
    </w:p>
    <w:p>
      <w:pPr>
        <w:pStyle w:val="22"/>
        <w:adjustRightInd w:val="0"/>
        <w:snapToGrid w:val="0"/>
        <w:spacing w:before="240" w:beforeLines="100" w:after="240" w:afterLines="100"/>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4 术语与定义</w:t>
      </w:r>
    </w:p>
    <w:p>
      <w:pPr>
        <w:pStyle w:val="22"/>
        <w:adjustRightInd w:val="0"/>
        <w:snapToGrid w:val="0"/>
        <w:spacing w:before="240" w:beforeLines="100" w:after="240" w:afterLines="100"/>
        <w:rPr>
          <w:rFonts w:hint="eastAsia" w:ascii="宋体" w:hAnsi="宋体" w:eastAsia="宋体" w:cs="宋体"/>
          <w:szCs w:val="21"/>
        </w:rPr>
      </w:pPr>
      <w:r>
        <w:rPr>
          <w:rFonts w:hint="eastAsia" w:ascii="宋体" w:hAnsi="宋体" w:eastAsia="宋体" w:cs="宋体"/>
          <w:szCs w:val="21"/>
        </w:rPr>
        <w:t>下列术语与定义适用于本文件。</w:t>
      </w:r>
    </w:p>
    <w:p>
      <w:pPr>
        <w:pStyle w:val="22"/>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rPr>
        <w:t>4.</w:t>
      </w:r>
      <w:r>
        <w:rPr>
          <w:rFonts w:hint="eastAsia" w:ascii="黑体" w:hAnsi="黑体" w:eastAsia="黑体" w:cs="黑体"/>
          <w:szCs w:val="21"/>
          <w:lang w:val="en-US" w:eastAsia="zh-CN"/>
        </w:rPr>
        <w:t>1</w:t>
      </w:r>
    </w:p>
    <w:p>
      <w:pPr>
        <w:pStyle w:val="22"/>
        <w:adjustRightInd w:val="0"/>
        <w:snapToGrid w:val="0"/>
        <w:spacing w:before="240" w:beforeLines="100" w:after="240" w:afterLines="100"/>
        <w:rPr>
          <w:rFonts w:hint="eastAsia" w:ascii="黑体" w:hAnsi="黑体" w:eastAsia="黑体" w:cs="黑体"/>
          <w:szCs w:val="21"/>
          <w:highlight w:val="yellow"/>
          <w:lang w:eastAsia="zh-CN"/>
        </w:rPr>
      </w:pPr>
      <w:r>
        <w:rPr>
          <w:rFonts w:hint="eastAsia" w:ascii="黑体" w:hAnsi="黑体" w:eastAsia="黑体" w:cs="黑体"/>
          <w:szCs w:val="21"/>
          <w:highlight w:val="none"/>
          <w:lang w:val="en-US" w:eastAsia="zh-CN"/>
        </w:rPr>
        <w:t>新能源汽车</w:t>
      </w:r>
    </w:p>
    <w:p>
      <w:pPr>
        <w:pStyle w:val="22"/>
        <w:adjustRightInd w:val="0"/>
        <w:snapToGrid w:val="0"/>
        <w:spacing w:before="240" w:beforeLines="100"/>
        <w:rPr>
          <w:rFonts w:hint="eastAsia" w:ascii="宋体" w:hAnsi="宋体" w:eastAsia="宋体" w:cs="宋体"/>
          <w:szCs w:val="21"/>
        </w:rPr>
      </w:pPr>
      <w:r>
        <w:rPr>
          <w:rFonts w:hint="eastAsia" w:ascii="宋体" w:hAnsi="宋体" w:eastAsia="宋体" w:cs="宋体"/>
          <w:szCs w:val="21"/>
        </w:rPr>
        <w:t>采用新型动力系统，完全或者主要依靠新型能源驱动的汽车，包括插电式混合动力（含增程式）汽车、纯电动汽车和燃料电池汽车等。</w:t>
      </w:r>
    </w:p>
    <w:p>
      <w:pPr>
        <w:pStyle w:val="22"/>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lang w:val="en-US" w:eastAsia="zh-CN"/>
        </w:rPr>
        <w:t>4.2</w:t>
      </w:r>
    </w:p>
    <w:p>
      <w:pPr>
        <w:pStyle w:val="22"/>
        <w:adjustRightInd w:val="0"/>
        <w:snapToGrid w:val="0"/>
        <w:spacing w:before="240" w:beforeLines="100" w:after="240" w:afterLines="100"/>
        <w:ind w:firstLine="420" w:firstLineChars="200"/>
        <w:rPr>
          <w:rFonts w:hint="default" w:ascii="黑体" w:hAnsi="黑体" w:eastAsia="黑体" w:cs="黑体"/>
          <w:szCs w:val="21"/>
          <w:lang w:val="en-US" w:eastAsia="zh-CN"/>
        </w:rPr>
      </w:pPr>
      <w:r>
        <w:rPr>
          <w:rFonts w:hint="eastAsia" w:ascii="黑体" w:hAnsi="黑体" w:eastAsia="黑体" w:cs="黑体"/>
          <w:szCs w:val="21"/>
          <w:lang w:val="en-US" w:eastAsia="zh-CN"/>
        </w:rPr>
        <w:t>新能源汽车消纳绿色电力</w:t>
      </w:r>
    </w:p>
    <w:p>
      <w:pPr>
        <w:pStyle w:val="22"/>
        <w:adjustRightInd w:val="0"/>
        <w:snapToGrid w:val="0"/>
        <w:spacing w:before="240" w:beforeLines="100" w:after="240" w:afterLines="100"/>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通过直接电力市场化交易的方式，确保充电终端充入车辆动力电池的电能全部来源于可再生能源的绿色电力消费过程。</w:t>
      </w:r>
    </w:p>
    <w:p>
      <w:pPr>
        <w:pStyle w:val="22"/>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lang w:val="en-US" w:eastAsia="zh-CN"/>
        </w:rPr>
        <w:t>4.3</w:t>
      </w:r>
    </w:p>
    <w:p>
      <w:pPr>
        <w:pStyle w:val="22"/>
        <w:adjustRightInd w:val="0"/>
        <w:snapToGrid w:val="0"/>
        <w:spacing w:before="240" w:beforeLines="100" w:after="240" w:afterLines="100"/>
        <w:rPr>
          <w:rFonts w:hint="eastAsia" w:ascii="黑体" w:hAnsi="黑体" w:eastAsia="黑体" w:cs="黑体"/>
          <w:szCs w:val="21"/>
        </w:rPr>
      </w:pPr>
      <w:r>
        <w:rPr>
          <w:rFonts w:hint="eastAsia" w:ascii="黑体" w:hAnsi="黑体" w:eastAsia="黑体" w:cs="黑体"/>
          <w:szCs w:val="21"/>
        </w:rPr>
        <w:t>充电终端</w:t>
      </w:r>
    </w:p>
    <w:p>
      <w:pPr>
        <w:pStyle w:val="22"/>
        <w:adjustRightInd w:val="0"/>
        <w:snapToGrid w:val="0"/>
        <w:spacing w:before="240" w:beforeLines="100"/>
        <w:rPr>
          <w:rFonts w:hint="eastAsia" w:ascii="宋体" w:hAnsi="宋体" w:eastAsia="宋体" w:cs="宋体"/>
          <w:szCs w:val="21"/>
        </w:rPr>
      </w:pPr>
      <w:r>
        <w:rPr>
          <w:rFonts w:hint="eastAsia" w:ascii="宋体" w:hAnsi="宋体" w:eastAsia="宋体" w:cs="宋体"/>
          <w:szCs w:val="21"/>
        </w:rPr>
        <w:t>电动汽车充电时，充电操作人员需要面对和操作的、非车载传导式充电机的一个组成部分。一般由车辆插头、人机交互界面组成，也可包含计量、通信控制等部件。即充电终端包括充电桩（栓）、换电柜等设备。</w:t>
      </w:r>
    </w:p>
    <w:p>
      <w:pPr>
        <w:pStyle w:val="22"/>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lang w:val="en-US" w:eastAsia="zh-CN"/>
        </w:rPr>
        <w:t>4.4</w:t>
      </w:r>
    </w:p>
    <w:p>
      <w:pPr>
        <w:pStyle w:val="22"/>
        <w:adjustRightInd w:val="0"/>
        <w:snapToGrid w:val="0"/>
        <w:rPr>
          <w:rFonts w:hint="eastAsia" w:ascii="黑体" w:hAnsi="黑体" w:eastAsia="黑体" w:cs="黑体"/>
          <w:szCs w:val="21"/>
        </w:rPr>
      </w:pPr>
      <w:r>
        <w:rPr>
          <w:rFonts w:hint="eastAsia" w:ascii="黑体" w:hAnsi="黑体" w:eastAsia="黑体" w:cs="黑体"/>
          <w:szCs w:val="21"/>
        </w:rPr>
        <w:t>经营性集中式公共充电终端</w:t>
      </w:r>
      <w:r>
        <w:rPr>
          <w:rFonts w:hint="eastAsia" w:ascii="黑体" w:hAnsi="黑体" w:eastAsia="黑体" w:cs="黑体"/>
          <w:szCs w:val="21"/>
          <w:highlight w:val="none"/>
          <w:lang w:val="en-US" w:eastAsia="zh-CN"/>
        </w:rPr>
        <w:t xml:space="preserve"> </w:t>
      </w:r>
    </w:p>
    <w:p>
      <w:pPr>
        <w:pStyle w:val="22"/>
        <w:adjustRightInd w:val="0"/>
        <w:snapToGrid w:val="0"/>
        <w:spacing w:before="240" w:beforeLines="100"/>
        <w:rPr>
          <w:rFonts w:hint="eastAsia" w:ascii="宋体" w:hAnsi="宋体" w:eastAsia="宋体" w:cs="宋体"/>
          <w:sz w:val="21"/>
          <w:szCs w:val="21"/>
          <w:lang w:eastAsia="zh-CN"/>
        </w:rPr>
      </w:pPr>
      <w:r>
        <w:rPr>
          <w:rFonts w:hint="eastAsia" w:ascii="宋体" w:hAnsi="宋体" w:eastAsia="宋体" w:cs="宋体"/>
          <w:sz w:val="21"/>
          <w:szCs w:val="21"/>
        </w:rPr>
        <w:t>由独立市场经营主体投资、建设、运营，以收取充电服务费为盈利目的；</w:t>
      </w:r>
      <w:r>
        <w:rPr>
          <w:rStyle w:val="15"/>
          <w:rFonts w:hint="eastAsia" w:ascii="宋体" w:hAnsi="宋体" w:eastAsia="宋体" w:cs="宋体"/>
          <w:color w:val="auto"/>
          <w:sz w:val="21"/>
          <w:szCs w:val="21"/>
        </w:rPr>
        <w:t>集中布置3台及以上充电设备</w:t>
      </w:r>
      <w:r>
        <w:rPr>
          <w:rFonts w:hint="eastAsia" w:ascii="宋体" w:hAnsi="宋体" w:eastAsia="宋体" w:cs="宋体"/>
          <w:sz w:val="21"/>
          <w:szCs w:val="21"/>
        </w:rPr>
        <w:t>，配套独立配电、计量、场站监控系统，设置于独立地块、高速服务区、商圈</w:t>
      </w:r>
      <w:r>
        <w:rPr>
          <w:rFonts w:hint="eastAsia" w:ascii="宋体" w:hAnsi="宋体" w:eastAsia="宋体" w:cs="宋体"/>
          <w:sz w:val="21"/>
          <w:szCs w:val="21"/>
          <w:lang w:val="en-US" w:eastAsia="zh-CN"/>
        </w:rPr>
        <w:t>/</w:t>
      </w:r>
      <w:r>
        <w:rPr>
          <w:rFonts w:hint="eastAsia" w:ascii="宋体" w:hAnsi="宋体" w:eastAsia="宋体" w:cs="宋体"/>
          <w:sz w:val="21"/>
          <w:szCs w:val="21"/>
        </w:rPr>
        <w:t>园区公共停车场、交通枢纽等公共开放场地，</w:t>
      </w:r>
      <w:r>
        <w:rPr>
          <w:rStyle w:val="15"/>
          <w:rFonts w:hint="eastAsia" w:ascii="宋体" w:hAnsi="宋体" w:eastAsia="宋体" w:cs="宋体"/>
          <w:color w:val="auto"/>
          <w:sz w:val="21"/>
          <w:szCs w:val="21"/>
        </w:rPr>
        <w:t>无使用对象限制、面向全部社会电动车辆开放</w:t>
      </w:r>
      <w:r>
        <w:rPr>
          <w:rFonts w:hint="eastAsia" w:ascii="宋体" w:hAnsi="宋体" w:eastAsia="宋体" w:cs="宋体"/>
          <w:sz w:val="21"/>
          <w:szCs w:val="21"/>
        </w:rPr>
        <w:t>，具备独立结算、线上扫码</w:t>
      </w:r>
      <w:r>
        <w:rPr>
          <w:rFonts w:hint="eastAsia" w:ascii="宋体" w:hAnsi="宋体" w:eastAsia="宋体" w:cs="宋体"/>
          <w:sz w:val="21"/>
          <w:szCs w:val="21"/>
          <w:lang w:val="en-US" w:eastAsia="zh-CN"/>
        </w:rPr>
        <w:t>/</w:t>
      </w:r>
      <w:r>
        <w:rPr>
          <w:rFonts w:hint="eastAsia" w:ascii="宋体" w:hAnsi="宋体" w:eastAsia="宋体" w:cs="宋体"/>
          <w:sz w:val="21"/>
          <w:szCs w:val="21"/>
        </w:rPr>
        <w:t>刷卡付费、统一场站运维管理的电动汽车充电终端</w:t>
      </w:r>
      <w:r>
        <w:rPr>
          <w:rFonts w:hint="eastAsia" w:ascii="宋体" w:hAnsi="宋体" w:eastAsia="宋体" w:cs="宋体"/>
          <w:sz w:val="21"/>
          <w:szCs w:val="21"/>
          <w:lang w:eastAsia="zh-CN"/>
        </w:rPr>
        <w:t>。</w:t>
      </w:r>
    </w:p>
    <w:p>
      <w:pPr>
        <w:pStyle w:val="22"/>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lang w:val="en-US" w:eastAsia="zh-CN"/>
        </w:rPr>
        <w:t>4.5</w:t>
      </w:r>
    </w:p>
    <w:p>
      <w:pPr>
        <w:pStyle w:val="22"/>
        <w:adjustRightInd w:val="0"/>
        <w:snapToGrid w:val="0"/>
        <w:spacing w:line="360" w:lineRule="auto"/>
        <w:rPr>
          <w:rFonts w:hint="eastAsia" w:ascii="黑体" w:hAnsi="黑体" w:eastAsia="黑体" w:cs="黑体"/>
          <w:szCs w:val="21"/>
        </w:rPr>
      </w:pPr>
      <w:r>
        <w:rPr>
          <w:rFonts w:hint="eastAsia" w:ascii="黑体" w:hAnsi="黑体" w:eastAsia="黑体" w:cs="黑体"/>
          <w:szCs w:val="21"/>
        </w:rPr>
        <w:t>项目开发方</w:t>
      </w:r>
    </w:p>
    <w:p>
      <w:pPr>
        <w:adjustRightInd w:val="0"/>
        <w:snapToGrid w:val="0"/>
        <w:spacing w:line="240" w:lineRule="auto"/>
        <w:ind w:firstLine="420" w:firstLineChars="200"/>
        <w:rPr>
          <w:rFonts w:hint="eastAsia" w:ascii="宋体" w:hAnsi="宋体" w:eastAsia="宋体" w:cs="宋体"/>
          <w:kern w:val="0"/>
          <w:szCs w:val="20"/>
        </w:rPr>
      </w:pPr>
      <w:r>
        <w:rPr>
          <w:rFonts w:hint="eastAsia" w:ascii="宋体" w:hAnsi="宋体" w:eastAsia="宋体" w:cs="宋体"/>
          <w:kern w:val="0"/>
          <w:szCs w:val="20"/>
          <w:lang w:val="en-US" w:eastAsia="zh-CN"/>
        </w:rPr>
        <w:t>组织碳普惠项目设计、开发和运行，</w:t>
      </w:r>
      <w:r>
        <w:rPr>
          <w:rFonts w:hint="eastAsia" w:ascii="宋体" w:hAnsi="宋体" w:eastAsia="宋体" w:cs="宋体"/>
          <w:kern w:val="0"/>
          <w:szCs w:val="20"/>
        </w:rPr>
        <w:t>利用大数据平台等信息化</w:t>
      </w:r>
      <w:r>
        <w:rPr>
          <w:rFonts w:hint="eastAsia" w:ascii="宋体" w:hAnsi="宋体" w:eastAsia="宋体" w:cs="宋体"/>
          <w:kern w:val="0"/>
          <w:szCs w:val="20"/>
          <w:lang w:val="en-US" w:eastAsia="zh-CN"/>
        </w:rPr>
        <w:t>管理和</w:t>
      </w:r>
      <w:r>
        <w:rPr>
          <w:rFonts w:hint="eastAsia" w:ascii="宋体" w:hAnsi="宋体" w:eastAsia="宋体" w:cs="宋体"/>
          <w:kern w:val="0"/>
          <w:szCs w:val="20"/>
        </w:rPr>
        <w:t>技术手段对低碳</w:t>
      </w:r>
      <w:r>
        <w:rPr>
          <w:rFonts w:hint="eastAsia" w:ascii="宋体" w:hAnsi="宋体" w:eastAsia="宋体" w:cs="宋体"/>
          <w:kern w:val="0"/>
          <w:szCs w:val="20"/>
          <w:lang w:val="en-US" w:eastAsia="zh-CN"/>
        </w:rPr>
        <w:t>活动</w:t>
      </w:r>
      <w:r>
        <w:rPr>
          <w:rFonts w:hint="eastAsia" w:ascii="宋体" w:hAnsi="宋体" w:eastAsia="宋体" w:cs="宋体"/>
          <w:kern w:val="0"/>
          <w:szCs w:val="20"/>
        </w:rPr>
        <w:t>信息进行监测、收集和处理，</w:t>
      </w:r>
      <w:r>
        <w:rPr>
          <w:rFonts w:hint="eastAsia" w:ascii="宋体" w:hAnsi="宋体" w:eastAsia="宋体" w:cs="宋体"/>
        </w:rPr>
        <w:t>对注册参与</w:t>
      </w:r>
      <w:r>
        <w:rPr>
          <w:rFonts w:hint="eastAsia" w:ascii="宋体" w:hAnsi="宋体" w:eastAsia="宋体" w:cs="宋体"/>
          <w:lang w:val="en-US" w:eastAsia="zh-CN"/>
        </w:rPr>
        <w:t>碳普惠项目的</w:t>
      </w:r>
      <w:r>
        <w:rPr>
          <w:rFonts w:hint="eastAsia" w:ascii="宋体" w:hAnsi="宋体" w:eastAsia="宋体" w:cs="宋体"/>
        </w:rPr>
        <w:t>用户给予激励的企事业单位或其他社会组织。</w:t>
      </w:r>
    </w:p>
    <w:p>
      <w:pPr>
        <w:pStyle w:val="22"/>
        <w:adjustRightInd w:val="0"/>
        <w:snapToGrid w:val="0"/>
        <w:spacing w:before="313" w:beforeLines="100"/>
        <w:ind w:firstLine="0" w:firstLineChars="0"/>
        <w:rPr>
          <w:rFonts w:hint="default" w:ascii="黑体" w:hAnsi="黑体" w:eastAsia="黑体" w:cs="黑体"/>
          <w:szCs w:val="21"/>
          <w:lang w:val="en-US" w:eastAsia="zh-CN"/>
        </w:rPr>
      </w:pPr>
      <w:r>
        <w:rPr>
          <w:rFonts w:hint="eastAsia" w:ascii="黑体" w:hAnsi="黑体" w:eastAsia="黑体" w:cs="黑体"/>
          <w:szCs w:val="21"/>
          <w:lang w:val="en-US" w:eastAsia="zh-CN"/>
        </w:rPr>
        <w:t>4.6</w:t>
      </w:r>
    </w:p>
    <w:p>
      <w:pPr>
        <w:pStyle w:val="22"/>
        <w:adjustRightInd w:val="0"/>
        <w:snapToGrid w:val="0"/>
        <w:spacing w:before="313" w:beforeLines="100"/>
        <w:rPr>
          <w:rFonts w:hint="eastAsia" w:ascii="黑体" w:hAnsi="黑体" w:eastAsia="黑体" w:cs="黑体"/>
          <w:szCs w:val="21"/>
        </w:rPr>
      </w:pPr>
      <w:r>
        <w:rPr>
          <w:rFonts w:hint="eastAsia" w:ascii="黑体" w:hAnsi="黑体" w:eastAsia="黑体" w:cs="黑体"/>
          <w:szCs w:val="21"/>
        </w:rPr>
        <w:t>注册参与用户</w:t>
      </w:r>
    </w:p>
    <w:p>
      <w:pPr>
        <w:pStyle w:val="22"/>
        <w:adjustRightInd w:val="0"/>
        <w:snapToGrid w:val="0"/>
        <w:spacing w:before="240" w:beforeLines="100"/>
        <w:rPr>
          <w:rFonts w:hint="eastAsia" w:ascii="宋体" w:hAnsi="宋体" w:eastAsia="宋体" w:cs="宋体"/>
          <w:szCs w:val="21"/>
        </w:rPr>
      </w:pPr>
      <w:r>
        <w:rPr>
          <w:rFonts w:hint="eastAsia" w:ascii="宋体" w:hAnsi="宋体" w:eastAsia="宋体" w:cs="宋体"/>
          <w:kern w:val="0"/>
          <w:szCs w:val="20"/>
          <w:lang w:val="en-US" w:eastAsia="zh-CN"/>
        </w:rPr>
        <w:t>在项目大数据平台</w:t>
      </w:r>
      <w:r>
        <w:rPr>
          <w:rFonts w:hint="eastAsia" w:ascii="宋体" w:hAnsi="宋体" w:eastAsia="宋体" w:cs="宋体"/>
          <w:kern w:val="0"/>
          <w:szCs w:val="20"/>
        </w:rPr>
        <w:t>注册账户</w:t>
      </w:r>
      <w:r>
        <w:rPr>
          <w:rFonts w:hint="eastAsia" w:ascii="宋体" w:hAnsi="宋体" w:eastAsia="宋体" w:cs="宋体"/>
          <w:szCs w:val="21"/>
        </w:rPr>
        <w:t>、参与</w:t>
      </w:r>
      <w:r>
        <w:rPr>
          <w:rFonts w:hint="eastAsia" w:ascii="宋体" w:hAnsi="宋体" w:eastAsia="宋体" w:cs="宋体"/>
          <w:szCs w:val="21"/>
          <w:lang w:val="en-US" w:eastAsia="zh-CN"/>
        </w:rPr>
        <w:t>新能源汽车消纳绿色电力碳普惠项目的个人</w:t>
      </w:r>
      <w:r>
        <w:rPr>
          <w:rFonts w:hint="eastAsia" w:ascii="宋体" w:hAnsi="宋体" w:eastAsia="宋体" w:cs="宋体"/>
          <w:szCs w:val="21"/>
        </w:rPr>
        <w:t>。</w:t>
      </w:r>
    </w:p>
    <w:p>
      <w:pPr>
        <w:pStyle w:val="22"/>
        <w:adjustRightInd w:val="0"/>
        <w:snapToGrid w:val="0"/>
        <w:spacing w:before="240" w:beforeLines="100" w:after="240" w:afterLines="100"/>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5 项目边界、计入期和温室气体</w:t>
      </w:r>
      <w:r>
        <w:rPr>
          <w:rFonts w:hint="eastAsia" w:ascii="黑体" w:hAnsi="黑体" w:eastAsia="黑体"/>
          <w:color w:val="000000" w:themeColor="text1"/>
          <w:szCs w:val="21"/>
          <w:lang w:val="en-US" w:eastAsia="zh-CN"/>
          <w14:textFill>
            <w14:solidFill>
              <w14:schemeClr w14:val="tx1"/>
            </w14:solidFill>
          </w14:textFill>
        </w:rPr>
        <w:t>种类</w:t>
      </w:r>
    </w:p>
    <w:p>
      <w:pPr>
        <w:adjustRightInd w:val="0"/>
        <w:snapToGrid w:val="0"/>
        <w:spacing w:before="240" w:beforeLines="100" w:after="240" w:afterLines="100"/>
        <w:outlineLvl w:val="2"/>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szCs w:val="21"/>
        </w:rPr>
        <w:t>5.1 项目</w:t>
      </w:r>
      <w:r>
        <w:rPr>
          <w:rFonts w:hint="eastAsia" w:ascii="黑体" w:hAnsi="黑体" w:eastAsia="黑体" w:cs="黑体"/>
          <w:color w:val="000000" w:themeColor="text1"/>
          <w:szCs w:val="21"/>
          <w14:textFill>
            <w14:solidFill>
              <w14:schemeClr w14:val="tx1"/>
            </w14:solidFill>
          </w14:textFill>
        </w:rPr>
        <w:t>边界</w:t>
      </w:r>
    </w:p>
    <w:p>
      <w:pPr>
        <w:pStyle w:val="22"/>
        <w:adjustRightInd w:val="0"/>
        <w:snapToGrid w:val="0"/>
        <w:spacing w:before="0" w:beforeLines="-2147483648" w:after="0" w:afterLines="-2147483648"/>
        <w:rPr>
          <w:rFonts w:hint="eastAsia" w:ascii="宋体" w:hAnsi="宋体" w:eastAsia="宋体" w:cs="宋体"/>
          <w:szCs w:val="21"/>
        </w:rPr>
      </w:pPr>
      <w:r>
        <w:rPr>
          <w:rFonts w:hint="eastAsia" w:ascii="宋体" w:hAnsi="宋体" w:eastAsia="宋体" w:cs="宋体"/>
          <w:szCs w:val="21"/>
        </w:rPr>
        <w:t>项目边界为北京市行政区域内</w:t>
      </w:r>
      <w:r>
        <w:rPr>
          <w:rFonts w:hint="eastAsia" w:ascii="宋体" w:hAnsi="宋体" w:eastAsia="宋体" w:cs="宋体"/>
          <w:szCs w:val="21"/>
          <w:lang w:val="en-US" w:eastAsia="zh-CN"/>
        </w:rPr>
        <w:t>提供100%绿色电力的</w:t>
      </w:r>
      <w:r>
        <w:rPr>
          <w:rFonts w:hint="eastAsia" w:ascii="宋体" w:hAnsi="宋体" w:eastAsia="宋体" w:cs="宋体"/>
          <w:szCs w:val="21"/>
        </w:rPr>
        <w:t>经营性集中式公共充电终端以及在该终端充电的</w:t>
      </w:r>
      <w:r>
        <w:rPr>
          <w:rFonts w:hint="eastAsia" w:ascii="宋体" w:hAnsi="宋体" w:eastAsia="宋体" w:cs="宋体"/>
          <w:szCs w:val="21"/>
          <w:lang w:val="en-US" w:eastAsia="zh-CN"/>
        </w:rPr>
        <w:t>新能源</w:t>
      </w:r>
      <w:r>
        <w:rPr>
          <w:rFonts w:hint="eastAsia" w:ascii="宋体" w:hAnsi="宋体" w:eastAsia="宋体" w:cs="宋体"/>
          <w:szCs w:val="21"/>
        </w:rPr>
        <w:t>汽车。如图1所示。</w:t>
      </w:r>
    </w:p>
    <w:p>
      <w:pPr>
        <w:pStyle w:val="22"/>
        <w:adjustRightInd w:val="0"/>
        <w:snapToGrid w:val="0"/>
        <w:spacing w:line="360" w:lineRule="auto"/>
        <w:ind w:firstLine="0" w:firstLineChars="0"/>
        <w:jc w:val="center"/>
        <w:rPr>
          <w:rFonts w:hint="eastAsia" w:ascii="宋体" w:hAnsi="宋体" w:eastAsia="宋体" w:cs="宋体"/>
          <w:szCs w:val="21"/>
        </w:rPr>
      </w:pPr>
      <w:r>
        <w:rPr>
          <w:rFonts w:ascii="宋体" w:hAnsi="宋体" w:eastAsia="宋体" w:cs="宋体"/>
          <w:szCs w:val="21"/>
        </w:rPr>
        <w:drawing>
          <wp:inline distT="0" distB="0" distL="114300" distR="114300">
            <wp:extent cx="3266440" cy="2820035"/>
            <wp:effectExtent l="0" t="0" r="10160" b="18415"/>
            <wp:docPr id="15" name="图片 15" descr="22cb166318cc7937268a62cf6bfb820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22cb166318cc7937268a62cf6bfb8206"/>
                    <pic:cNvPicPr>
                      <a:picLocks noChangeAspect="true"/>
                    </pic:cNvPicPr>
                  </pic:nvPicPr>
                  <pic:blipFill>
                    <a:blip r:embed="rId5"/>
                    <a:stretch>
                      <a:fillRect/>
                    </a:stretch>
                  </pic:blipFill>
                  <pic:spPr>
                    <a:xfrm>
                      <a:off x="0" y="0"/>
                      <a:ext cx="3266440" cy="2820035"/>
                    </a:xfrm>
                    <a:prstGeom prst="rect">
                      <a:avLst/>
                    </a:prstGeom>
                  </pic:spPr>
                </pic:pic>
              </a:graphicData>
            </a:graphic>
          </wp:inline>
        </w:drawing>
      </w:r>
    </w:p>
    <w:p>
      <w:pPr>
        <w:pStyle w:val="22"/>
        <w:adjustRightInd w:val="0"/>
        <w:snapToGrid w:val="0"/>
        <w:spacing w:line="360" w:lineRule="auto"/>
        <w:ind w:firstLine="0" w:firstLineChars="0"/>
        <w:jc w:val="center"/>
        <w:rPr>
          <w:rFonts w:hint="default" w:ascii="黑体" w:hAnsi="黑体" w:eastAsia="黑体" w:cs="黑体"/>
          <w:szCs w:val="21"/>
          <w:lang w:val="en-US" w:eastAsia="zh-CN"/>
        </w:rPr>
      </w:pPr>
      <w:r>
        <w:rPr>
          <w:rFonts w:hint="eastAsia" w:ascii="黑体" w:hAnsi="黑体" w:eastAsia="黑体" w:cs="黑体"/>
          <w:szCs w:val="21"/>
        </w:rPr>
        <w:t>图1 项目边界示意图</w:t>
      </w:r>
    </w:p>
    <w:p>
      <w:pPr>
        <w:adjustRightInd w:val="0"/>
        <w:snapToGrid w:val="0"/>
        <w:spacing w:line="360" w:lineRule="auto"/>
        <w:rPr>
          <w:rFonts w:hint="eastAsia" w:ascii="宋体" w:hAnsi="宋体" w:eastAsia="宋体"/>
          <w:color w:val="000000" w:themeColor="text1"/>
          <w:szCs w:val="21"/>
          <w14:textFill>
            <w14:solidFill>
              <w14:schemeClr w14:val="tx1"/>
            </w14:solidFill>
          </w14:textFill>
        </w:rPr>
      </w:pPr>
      <w:r>
        <w:rPr>
          <w:rFonts w:hint="eastAsia" w:ascii="黑体" w:hAnsi="黑体" w:eastAsia="黑体"/>
          <w:szCs w:val="21"/>
        </w:rPr>
        <w:t>5.2 项目计入期</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项目计入期为可申请碳普惠项目减排量登记的时间期限，从项目申请登记的减排量产生时间开始，单个项目计入期不超过</w:t>
      </w:r>
      <w:r>
        <w:rPr>
          <w:rFonts w:hint="eastAsia" w:ascii="宋体" w:hAnsi="宋体" w:eastAsia="宋体"/>
          <w:color w:val="000000" w:themeColor="text1"/>
          <w:szCs w:val="21"/>
          <w:lang w:val="en-US" w:eastAsia="zh-CN"/>
          <w14:textFill>
            <w14:solidFill>
              <w14:schemeClr w14:val="tx1"/>
            </w14:solidFill>
          </w14:textFill>
        </w:rPr>
        <w:t>3</w:t>
      </w:r>
      <w:r>
        <w:rPr>
          <w:rFonts w:ascii="宋体" w:hAnsi="宋体" w:eastAsia="宋体"/>
          <w:color w:val="000000" w:themeColor="text1"/>
          <w:szCs w:val="21"/>
          <w14:textFill>
            <w14:solidFill>
              <w14:schemeClr w14:val="tx1"/>
            </w14:solidFill>
          </w14:textFill>
        </w:rPr>
        <w:t>年，计入期</w:t>
      </w:r>
      <w:r>
        <w:rPr>
          <w:rFonts w:hint="eastAsia" w:ascii="宋体" w:hAnsi="宋体" w:eastAsia="宋体"/>
          <w:color w:val="000000" w:themeColor="text1"/>
          <w:szCs w:val="21"/>
          <w:lang w:val="en-US" w:eastAsia="zh-CN"/>
          <w14:textFill>
            <w14:solidFill>
              <w14:schemeClr w14:val="tx1"/>
            </w14:solidFill>
          </w14:textFill>
        </w:rPr>
        <w:t>结束后可申请新的计入期</w:t>
      </w:r>
      <w:r>
        <w:rPr>
          <w:rFonts w:ascii="宋体" w:hAnsi="宋体" w:eastAsia="宋体"/>
          <w:color w:val="000000" w:themeColor="text1"/>
          <w:szCs w:val="21"/>
          <w14:textFill>
            <w14:solidFill>
              <w14:schemeClr w14:val="tx1"/>
            </w14:solidFill>
          </w14:textFill>
        </w:rPr>
        <w:t>。</w:t>
      </w:r>
    </w:p>
    <w:p>
      <w:pPr>
        <w:pStyle w:val="43"/>
      </w:pPr>
      <w:r>
        <w:rPr>
          <w:rFonts w:hint="eastAsia" w:ascii="黑体" w:hAnsi="黑体" w:eastAsia="黑体"/>
          <w:szCs w:val="21"/>
        </w:rPr>
        <w:t xml:space="preserve">5.3 </w:t>
      </w:r>
      <w:r>
        <w:rPr>
          <w:rFonts w:hint="eastAsia"/>
        </w:rPr>
        <w:t>温室气体</w:t>
      </w:r>
      <w:r>
        <w:rPr>
          <w:rFonts w:hint="eastAsia"/>
          <w:lang w:val="en-US" w:eastAsia="zh-CN"/>
        </w:rPr>
        <w:t>种类</w:t>
      </w:r>
    </w:p>
    <w:p>
      <w:pPr>
        <w:adjustRightInd w:val="0"/>
        <w:snapToGrid w:val="0"/>
        <w:spacing w:line="240" w:lineRule="auto"/>
        <w:ind w:firstLine="420" w:firstLineChars="200"/>
        <w:rPr>
          <w:rFonts w:hint="eastAsia" w:ascii="宋体" w:hAnsi="宋体" w:eastAsia="宋体" w:cs="宋体"/>
          <w:kern w:val="0"/>
          <w:szCs w:val="20"/>
        </w:rPr>
      </w:pPr>
      <w:r>
        <w:rPr>
          <w:rFonts w:hint="eastAsia" w:ascii="宋体" w:hAnsi="宋体" w:eastAsia="宋体" w:cs="宋体"/>
          <w:kern w:val="0"/>
          <w:szCs w:val="20"/>
          <w:lang w:val="en-US" w:eastAsia="zh-CN"/>
        </w:rPr>
        <w:t>本文件中的温室气体仅指二氧化碳。</w:t>
      </w:r>
    </w:p>
    <w:p>
      <w:pPr>
        <w:pStyle w:val="22"/>
        <w:adjustRightInd w:val="0"/>
        <w:snapToGrid w:val="0"/>
        <w:spacing w:before="313" w:beforeLines="100" w:line="360" w:lineRule="auto"/>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6 </w:t>
      </w:r>
      <w:r>
        <w:rPr>
          <w:rFonts w:hint="eastAsia" w:ascii="黑体" w:hAnsi="黑体" w:eastAsia="黑体"/>
          <w:color w:val="000000" w:themeColor="text1"/>
          <w:szCs w:val="21"/>
          <w:lang w:val="en-US" w:eastAsia="zh-CN"/>
          <w14:textFill>
            <w14:solidFill>
              <w14:schemeClr w14:val="tx1"/>
            </w14:solidFill>
          </w14:textFill>
        </w:rPr>
        <w:t>项目</w:t>
      </w:r>
      <w:r>
        <w:rPr>
          <w:rFonts w:hint="eastAsia" w:ascii="黑体" w:hAnsi="黑体" w:eastAsia="黑体"/>
          <w:color w:val="000000" w:themeColor="text1"/>
          <w:szCs w:val="21"/>
          <w14:textFill>
            <w14:solidFill>
              <w14:schemeClr w14:val="tx1"/>
            </w14:solidFill>
          </w14:textFill>
        </w:rPr>
        <w:t>减排量核算方法</w:t>
      </w:r>
    </w:p>
    <w:p>
      <w:pPr>
        <w:adjustRightInd w:val="0"/>
        <w:snapToGrid w:val="0"/>
        <w:spacing w:line="360" w:lineRule="auto"/>
        <w:jc w:val="left"/>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6.1 基准线情景识别</w:t>
      </w:r>
    </w:p>
    <w:p>
      <w:pPr>
        <w:pStyle w:val="22"/>
        <w:adjustRightInd w:val="0"/>
        <w:snapToGrid w:val="0"/>
        <w:rPr>
          <w:rFonts w:hint="eastAsia" w:ascii="黑体" w:hAnsi="黑体" w:eastAsia="黑体"/>
          <w:bCs/>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基准线情景为北京市行政区域内注册参与用户利用电网供电的充电终端给</w:t>
      </w:r>
      <w:r>
        <w:rPr>
          <w:rFonts w:hint="eastAsia" w:ascii="宋体" w:hAnsi="宋体" w:eastAsia="宋体"/>
          <w:color w:val="000000" w:themeColor="text1"/>
          <w:szCs w:val="21"/>
          <w:lang w:val="en-US" w:eastAsia="zh-CN"/>
          <w14:textFill>
            <w14:solidFill>
              <w14:schemeClr w14:val="tx1"/>
            </w14:solidFill>
          </w14:textFill>
        </w:rPr>
        <w:t>新能源</w:t>
      </w:r>
      <w:r>
        <w:rPr>
          <w:rFonts w:hint="eastAsia" w:ascii="宋体" w:hAnsi="宋体" w:eastAsia="宋体"/>
          <w:color w:val="000000" w:themeColor="text1"/>
          <w:szCs w:val="21"/>
          <w14:textFill>
            <w14:solidFill>
              <w14:schemeClr w14:val="tx1"/>
            </w14:solidFill>
          </w14:textFill>
        </w:rPr>
        <w:t>汽车充电的情景。</w:t>
      </w:r>
    </w:p>
    <w:p>
      <w:pPr>
        <w:adjustRightInd w:val="0"/>
        <w:snapToGrid w:val="0"/>
        <w:spacing w:before="240" w:beforeLines="100" w:line="360" w:lineRule="auto"/>
        <w:jc w:val="left"/>
        <w:outlineLvl w:val="2"/>
        <w:rPr>
          <w:rFonts w:hint="eastAsia" w:ascii="黑体" w:hAnsi="黑体" w:eastAsia="黑体"/>
          <w:color w:val="000000" w:themeColor="text1"/>
          <w:szCs w:val="21"/>
          <w:shd w:val="clear" w:color="auto" w:fill="FFFFFF"/>
          <w14:textFill>
            <w14:solidFill>
              <w14:schemeClr w14:val="tx1"/>
            </w14:solidFill>
          </w14:textFill>
        </w:rPr>
      </w:pPr>
      <w:r>
        <w:rPr>
          <w:rFonts w:hint="eastAsia" w:ascii="黑体" w:hAnsi="黑体" w:eastAsia="黑体"/>
          <w:color w:val="000000" w:themeColor="text1"/>
          <w:szCs w:val="21"/>
          <w:shd w:val="clear" w:color="auto" w:fill="FFFFFF"/>
          <w14:textFill>
            <w14:solidFill>
              <w14:schemeClr w14:val="tx1"/>
            </w14:solidFill>
          </w14:textFill>
        </w:rPr>
        <w:t>6.2 基准线排放量计算</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hint="default" w:ascii="Times New Roman" w:hAnsi="Times New Roman" w:eastAsia="宋体"/>
          <w:color w:val="000000" w:themeColor="text1"/>
          <w:szCs w:val="21"/>
          <w14:textFill>
            <w14:solidFill>
              <w14:schemeClr w14:val="tx1"/>
            </w14:solidFill>
          </w14:textFill>
        </w:rPr>
        <w:t>基准线排放量按照公式（1）计算：</w:t>
      </w:r>
    </w:p>
    <w:p>
      <w:pPr>
        <w:pStyle w:val="23"/>
        <w:ind w:firstLine="2940" w:firstLineChars="1400"/>
      </w:pPr>
      <m:oMath>
        <m:sSub>
          <m:sSubPr>
            <m:ctrlPr>
              <w:rPr>
                <w:rFonts w:hint="eastAsia" w:ascii="Cambria Math" w:hAnsi="Cambria Math"/>
                <w:i/>
                <w:iCs/>
              </w:rPr>
            </m:ctrlPr>
          </m:sSubPr>
          <m:e>
            <m:r>
              <m:rPr/>
              <w:rPr>
                <w:rFonts w:hint="eastAsia" w:ascii="Cambria Math" w:hAnsi="Cambria Math"/>
              </w:rPr>
              <m:t>BE</m:t>
            </m:r>
            <m:ctrlPr>
              <w:rPr>
                <w:rFonts w:hint="eastAsia" w:ascii="Cambria Math" w:hAnsi="Cambria Math"/>
                <w:i/>
                <w:iCs/>
              </w:rPr>
            </m:ctrlPr>
          </m:e>
          <m:sub>
            <m:r>
              <m:rPr/>
              <w:rPr>
                <w:rFonts w:hint="eastAsia" w:ascii="Cambria Math" w:hAnsi="Cambria Math"/>
              </w:rPr>
              <m:t>y</m:t>
            </m:r>
            <m:ctrlPr>
              <w:rPr>
                <w:rFonts w:hint="eastAsia" w:ascii="Cambria Math" w:hAnsi="Cambria Math"/>
                <w:i/>
                <w:iCs/>
              </w:rPr>
            </m:ctrlPr>
          </m:sub>
        </m:sSub>
        <m:r>
          <m:rPr/>
          <w:rPr>
            <w:rFonts w:hint="eastAsia" w:ascii="Cambria Math" w:hAnsi="Cambria Math"/>
          </w:rPr>
          <m:t>=</m:t>
        </m:r>
        <m:nary>
          <m:naryPr>
            <m:chr m:val="∑"/>
            <m:limLoc m:val="undOvr"/>
            <m:subHide m:val="true"/>
            <m:supHide m:val="true"/>
            <m:ctrlPr>
              <w:rPr>
                <w:rFonts w:hint="eastAsia" w:ascii="Cambria Math" w:hAnsi="Cambria Math"/>
                <w:i/>
              </w:rPr>
            </m:ctrlPr>
          </m:naryPr>
          <m:sub>
            <m:ctrlPr>
              <w:rPr>
                <w:rFonts w:hint="eastAsia" w:ascii="Cambria Math" w:hAnsi="Cambria Math"/>
                <w:i/>
              </w:rPr>
            </m:ctrlPr>
          </m:sub>
          <m:sup>
            <m:ctrlPr>
              <w:rPr>
                <w:rFonts w:hint="eastAsia" w:ascii="Cambria Math" w:hAnsi="Cambria Math"/>
                <w:i/>
              </w:rPr>
            </m:ctrlPr>
          </m:sup>
          <m:e>
            <m:r>
              <m:rPr/>
              <w:rPr>
                <w:rFonts w:ascii="Cambria Math" w:hAnsi="Cambria Math"/>
                <w:szCs w:val="21"/>
              </w:rPr>
              <m:t>(</m:t>
            </m:r>
            <m:sSub>
              <m:sSubPr>
                <m:ctrlPr>
                  <w:rPr>
                    <w:rFonts w:hint="eastAsia" w:ascii="Cambria Math" w:hAnsi="Cambria Math"/>
                    <w:i/>
                  </w:rPr>
                </m:ctrlPr>
              </m:sSubPr>
              <m:e>
                <m:r>
                  <m:rPr/>
                  <w:rPr>
                    <w:rFonts w:ascii="Cambria Math" w:hAnsi="Cambria Math"/>
                  </w:rPr>
                  <m:t>EG</m:t>
                </m:r>
                <m:ctrlPr>
                  <w:rPr>
                    <w:rFonts w:hint="eastAsia" w:ascii="Cambria Math" w:hAnsi="Cambria Math"/>
                    <w:i/>
                  </w:rPr>
                </m:ctrlPr>
              </m:e>
              <m:sub>
                <m:r>
                  <m:rPr/>
                  <w:rPr>
                    <w:rFonts w:ascii="Cambria Math" w:hAnsi="Cambria Math"/>
                  </w:rPr>
                  <m:t>y</m:t>
                </m:r>
                <m:ctrlPr>
                  <w:rPr>
                    <w:rFonts w:hint="eastAsia"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y</m:t>
                </m:r>
                <m:ctrlPr>
                  <w:rPr>
                    <w:rFonts w:ascii="Cambria Math" w:hAnsi="Cambria Math"/>
                    <w:i/>
                  </w:rPr>
                </m:ctrlPr>
              </m:sub>
            </m:sSub>
            <m:r>
              <m:rPr/>
              <w:rPr>
                <w:rFonts w:ascii="Cambria Math" w:hAnsi="Cambria Math"/>
              </w:rPr>
              <m:t>)</m:t>
            </m:r>
            <m:ctrlPr>
              <w:rPr>
                <w:rFonts w:hint="eastAsia" w:ascii="Cambria Math" w:hAnsi="Cambria Math"/>
                <w:i/>
              </w:rPr>
            </m:ctrlPr>
          </m:e>
        </m:nary>
      </m:oMath>
      <w:r>
        <w:rPr>
          <w:rFonts w:hint="eastAsia" w:hAnsi="宋体"/>
        </w:rPr>
        <w:t xml:space="preserve">                            </w:t>
      </w:r>
      <w:r>
        <w:rPr>
          <w:rFonts w:hint="eastAsia" w:hAnsi="宋体"/>
          <w:color w:val="000000" w:themeColor="text1"/>
          <w:kern w:val="2"/>
          <w:szCs w:val="21"/>
          <w14:textFill>
            <w14:solidFill>
              <w14:schemeClr w14:val="tx1"/>
            </w14:solidFill>
          </w14:textFill>
        </w:rPr>
        <w:t>（1）</w:t>
      </w:r>
    </w:p>
    <w:p>
      <w:pPr>
        <w:adjustRightInd w:val="0"/>
        <w:snapToGrid w:val="0"/>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式中：</w:t>
      </w:r>
    </w:p>
    <w:p>
      <w:pPr>
        <w:adjustRightInd w:val="0"/>
        <w:snapToGrid w:val="0"/>
        <w:ind w:firstLine="420" w:firstLineChars="200"/>
        <w:rPr>
          <w:rFonts w:hint="eastAsia" w:ascii="宋体" w:hAnsi="宋体" w:eastAsia="宋体" w:cs="宋体"/>
          <w:color w:val="000000" w:themeColor="text1"/>
          <w:szCs w:val="21"/>
          <w:highlight w:val="none"/>
          <w14:textFill>
            <w14:solidFill>
              <w14:schemeClr w14:val="tx1"/>
            </w14:solidFill>
          </w14:textFill>
        </w:rPr>
      </w:pPr>
      <m:oMath>
        <m:sSub>
          <m:sSubPr>
            <m:ctrlPr>
              <w:rPr>
                <w:rFonts w:hint="eastAsia" w:ascii="Cambria Math" w:hAnsi="Cambria Math" w:eastAsia="宋体" w:cs="宋体"/>
                <w:i/>
                <w:iCs/>
                <w:color w:val="000000" w:themeColor="text1"/>
                <w:szCs w:val="21"/>
                <w:highlight w:val="none"/>
                <w14:textFill>
                  <w14:solidFill>
                    <w14:schemeClr w14:val="tx1"/>
                  </w14:solidFill>
                </w14:textFill>
              </w:rPr>
            </m:ctrlPr>
          </m:sSubPr>
          <m:e>
            <m:r>
              <m:rPr/>
              <w:rPr>
                <w:rFonts w:hint="eastAsia" w:ascii="Cambria Math" w:hAnsi="Cambria Math" w:eastAsia="宋体" w:cs="宋体"/>
                <w:color w:val="000000" w:themeColor="text1"/>
                <w:szCs w:val="21"/>
                <w:highlight w:val="none"/>
                <w14:textFill>
                  <w14:solidFill>
                    <w14:schemeClr w14:val="tx1"/>
                  </w14:solidFill>
                </w14:textFill>
              </w:rPr>
              <m:t>BE</m:t>
            </m:r>
            <m:ctrlPr>
              <w:rPr>
                <w:rFonts w:hint="eastAsia" w:ascii="Cambria Math" w:hAnsi="Cambria Math" w:eastAsia="宋体" w:cs="宋体"/>
                <w:i/>
                <w:iCs/>
                <w:color w:val="000000" w:themeColor="text1"/>
                <w:szCs w:val="21"/>
                <w:highlight w:val="none"/>
                <w14:textFill>
                  <w14:solidFill>
                    <w14:schemeClr w14:val="tx1"/>
                  </w14:solidFill>
                </w14:textFill>
              </w:rPr>
            </m:ctrlPr>
          </m:e>
          <m:sub>
            <m:r>
              <m:rPr/>
              <w:rPr>
                <w:rFonts w:hint="eastAsia" w:ascii="Cambria Math" w:hAnsi="Cambria Math" w:eastAsia="宋体" w:cs="宋体"/>
                <w:color w:val="000000" w:themeColor="text1"/>
                <w:szCs w:val="21"/>
                <w:highlight w:val="none"/>
                <w14:textFill>
                  <w14:solidFill>
                    <w14:schemeClr w14:val="tx1"/>
                  </w14:solidFill>
                </w14:textFill>
              </w:rPr>
              <m:t>y</m:t>
            </m:r>
            <m:ctrlPr>
              <w:rPr>
                <w:rFonts w:hint="eastAsia" w:ascii="Cambria Math" w:hAnsi="Cambria Math" w:eastAsia="宋体" w:cs="宋体"/>
                <w:i/>
                <w:iCs/>
                <w:color w:val="000000" w:themeColor="text1"/>
                <w:szCs w:val="21"/>
                <w:highlight w:val="none"/>
                <w14:textFill>
                  <w14:solidFill>
                    <w14:schemeClr w14:val="tx1"/>
                  </w14:solidFill>
                </w14:textFill>
              </w:rPr>
            </m:ctrlPr>
          </m:sub>
        </m:sSub>
      </m:oMath>
      <w:r>
        <w:rPr>
          <w:rFonts w:hint="eastAsia" w:ascii="宋体" w:hAnsi="宋体" w:eastAsia="宋体" w:cs="宋体"/>
          <w:i w:val="0"/>
          <w:iCs w:val="0"/>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第y年基准线碳排放量（</w:t>
      </w:r>
      <w:r>
        <w:rPr>
          <w:rFonts w:hint="eastAsia" w:ascii="Cambria Math" w:hAnsi="Cambria Math" w:eastAsia="宋体"/>
          <w:color w:val="000000" w:themeColor="text1"/>
          <w:szCs w:val="21"/>
          <w14:textFill>
            <w14:solidFill>
              <w14:schemeClr w14:val="tx1"/>
            </w14:solidFill>
          </w14:textFill>
        </w:rPr>
        <w:t>tCO</w:t>
      </w:r>
      <w:r>
        <w:rPr>
          <w:rFonts w:hint="eastAsia" w:ascii="Cambria Math" w:hAnsi="Cambria Math" w:eastAsia="宋体"/>
          <w:color w:val="000000" w:themeColor="text1"/>
          <w:szCs w:val="21"/>
          <w:vertAlign w:val="sub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w:t>
      </w:r>
    </w:p>
    <w:p>
      <w:pPr>
        <w:adjustRightInd w:val="0"/>
        <w:snapToGrid w:val="0"/>
        <w:ind w:firstLine="420" w:firstLineChars="200"/>
        <w:rPr>
          <w:rFonts w:hint="eastAsia" w:ascii="宋体" w:hAnsi="宋体" w:eastAsia="宋体" w:cs="宋体"/>
          <w:color w:val="000000" w:themeColor="text1"/>
          <w:szCs w:val="21"/>
          <w:highlight w:val="none"/>
          <w14:textFill>
            <w14:solidFill>
              <w14:schemeClr w14:val="tx1"/>
            </w14:solidFill>
          </w14:textFill>
        </w:rPr>
      </w:pPr>
      <m:oMath>
        <m:sSub>
          <m:sSubPr>
            <m:ctrlPr>
              <w:rPr>
                <w:rFonts w:hint="eastAsia" w:ascii="Cambria Math" w:hAnsi="Cambria Math" w:eastAsia="宋体" w:cs="宋体"/>
                <w:i/>
                <w:iCs/>
                <w:color w:val="000000" w:themeColor="text1"/>
                <w:szCs w:val="21"/>
                <w:highlight w:val="none"/>
                <w14:textFill>
                  <w14:solidFill>
                    <w14:schemeClr w14:val="tx1"/>
                  </w14:solidFill>
                </w14:textFill>
              </w:rPr>
            </m:ctrlPr>
          </m:sSubPr>
          <m:e>
            <m:r>
              <m:rPr/>
              <w:rPr>
                <w:rFonts w:hint="eastAsia" w:ascii="Cambria Math" w:hAnsi="Cambria Math" w:eastAsia="宋体" w:cs="宋体"/>
                <w:color w:val="000000" w:themeColor="text1"/>
                <w:szCs w:val="21"/>
                <w:highlight w:val="none"/>
                <w14:textFill>
                  <w14:solidFill>
                    <w14:schemeClr w14:val="tx1"/>
                  </w14:solidFill>
                </w14:textFill>
              </w:rPr>
              <m:t>EG</m:t>
            </m:r>
            <m:ctrlPr>
              <w:rPr>
                <w:rFonts w:hint="eastAsia" w:ascii="Cambria Math" w:hAnsi="Cambria Math" w:eastAsia="宋体" w:cs="宋体"/>
                <w:i/>
                <w:iCs/>
                <w:color w:val="000000" w:themeColor="text1"/>
                <w:szCs w:val="21"/>
                <w:highlight w:val="none"/>
                <w14:textFill>
                  <w14:solidFill>
                    <w14:schemeClr w14:val="tx1"/>
                  </w14:solidFill>
                </w14:textFill>
              </w:rPr>
            </m:ctrlPr>
          </m:e>
          <m:sub>
            <m:r>
              <m:rPr/>
              <w:rPr>
                <w:rFonts w:hint="eastAsia" w:ascii="Cambria Math" w:hAnsi="Cambria Math" w:eastAsia="宋体" w:cs="宋体"/>
                <w:color w:val="000000" w:themeColor="text1"/>
                <w:szCs w:val="21"/>
                <w:highlight w:val="none"/>
                <w14:textFill>
                  <w14:solidFill>
                    <w14:schemeClr w14:val="tx1"/>
                  </w14:solidFill>
                </w14:textFill>
              </w:rPr>
              <m:t>y</m:t>
            </m:r>
            <m:ctrlPr>
              <w:rPr>
                <w:rFonts w:hint="eastAsia" w:ascii="Cambria Math" w:hAnsi="Cambria Math" w:eastAsia="宋体" w:cs="宋体"/>
                <w:i/>
                <w:iCs/>
                <w:color w:val="000000" w:themeColor="text1"/>
                <w:szCs w:val="21"/>
                <w:highlight w:val="none"/>
                <w14:textFill>
                  <w14:solidFill>
                    <w14:schemeClr w14:val="tx1"/>
                  </w14:solidFill>
                </w14:textFill>
              </w:rPr>
            </m:ctrlPr>
          </m:sub>
        </m:sSub>
      </m:oMath>
      <w:r>
        <w:rPr>
          <w:rFonts w:hint="eastAsia" w:ascii="宋体" w:hAnsi="宋体" w:eastAsia="宋体" w:cs="宋体"/>
          <w:i w:val="0"/>
          <w:iCs w:val="0"/>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第y年项目的充电量（</w:t>
      </w:r>
      <w:r>
        <w:rPr>
          <w:rFonts w:hint="eastAsia" w:ascii="Cambria Math" w:hAnsi="Cambria Math" w:eastAsia="宋体"/>
          <w:color w:val="000000" w:themeColor="text1"/>
          <w:szCs w:val="21"/>
          <w14:textFill>
            <w14:solidFill>
              <w14:schemeClr w14:val="tx1"/>
            </w14:solidFill>
          </w14:textFill>
        </w:rPr>
        <w:t>MWh</w:t>
      </w:r>
      <w:r>
        <w:rPr>
          <w:rFonts w:hint="eastAsia" w:ascii="宋体" w:hAnsi="宋体" w:eastAsia="宋体" w:cs="宋体"/>
          <w:color w:val="000000" w:themeColor="text1"/>
          <w:szCs w:val="21"/>
          <w:highlight w:val="none"/>
          <w14:textFill>
            <w14:solidFill>
              <w14:schemeClr w14:val="tx1"/>
            </w14:solidFill>
          </w14:textFill>
        </w:rPr>
        <w:t>）；</w:t>
      </w:r>
    </w:p>
    <w:p>
      <w:pPr>
        <w:adjustRightInd w:val="0"/>
        <w:snapToGrid w:val="0"/>
        <w:ind w:firstLine="420" w:firstLineChars="200"/>
        <w:rPr>
          <w:rFonts w:hint="eastAsia" w:ascii="宋体" w:hAnsi="宋体" w:eastAsia="宋体" w:cs="宋体"/>
          <w:color w:val="000000" w:themeColor="text1"/>
          <w:szCs w:val="21"/>
          <w14:textFill>
            <w14:solidFill>
              <w14:schemeClr w14:val="tx1"/>
            </w14:solidFill>
          </w14:textFill>
        </w:rPr>
      </w:pPr>
      <m:oMath>
        <m:sSub>
          <m:sSubPr>
            <m:ctrlPr>
              <w:rPr>
                <w:rFonts w:hint="eastAsia" w:ascii="Cambria Math" w:hAnsi="Cambria Math" w:eastAsia="宋体" w:cs="宋体"/>
                <w:i/>
                <w:iCs/>
                <w:color w:val="000000" w:themeColor="text1"/>
                <w:szCs w:val="21"/>
                <w:highlight w:val="none"/>
                <w14:textFill>
                  <w14:solidFill>
                    <w14:schemeClr w14:val="tx1"/>
                  </w14:solidFill>
                </w14:textFill>
              </w:rPr>
            </m:ctrlPr>
          </m:sSubPr>
          <m:e>
            <m:r>
              <m:rPr/>
              <w:rPr>
                <w:rFonts w:hint="eastAsia" w:ascii="Cambria Math" w:hAnsi="Cambria Math" w:eastAsia="宋体" w:cs="宋体"/>
                <w:color w:val="000000" w:themeColor="text1"/>
                <w:szCs w:val="21"/>
                <w:highlight w:val="none"/>
                <w14:textFill>
                  <w14:solidFill>
                    <w14:schemeClr w14:val="tx1"/>
                  </w14:solidFill>
                </w14:textFill>
              </w:rPr>
              <m:t>EF</m:t>
            </m:r>
            <m:ctrlPr>
              <w:rPr>
                <w:rFonts w:hint="eastAsia" w:ascii="Cambria Math" w:hAnsi="Cambria Math" w:eastAsia="宋体" w:cs="宋体"/>
                <w:i/>
                <w:iCs/>
                <w:color w:val="000000" w:themeColor="text1"/>
                <w:szCs w:val="21"/>
                <w:highlight w:val="none"/>
                <w14:textFill>
                  <w14:solidFill>
                    <w14:schemeClr w14:val="tx1"/>
                  </w14:solidFill>
                </w14:textFill>
              </w:rPr>
            </m:ctrlPr>
          </m:e>
          <m:sub>
            <m:r>
              <m:rPr/>
              <w:rPr>
                <w:rFonts w:hint="eastAsia" w:ascii="Cambria Math" w:hAnsi="Cambria Math" w:eastAsia="宋体" w:cs="宋体"/>
                <w:color w:val="000000" w:themeColor="text1"/>
                <w:szCs w:val="21"/>
                <w:highlight w:val="none"/>
                <w14:textFill>
                  <w14:solidFill>
                    <w14:schemeClr w14:val="tx1"/>
                  </w14:solidFill>
                </w14:textFill>
              </w:rPr>
              <m:t>y</m:t>
            </m:r>
            <m:ctrlPr>
              <w:rPr>
                <w:rFonts w:hint="eastAsia" w:ascii="Cambria Math" w:hAnsi="Cambria Math" w:eastAsia="宋体" w:cs="宋体"/>
                <w:i/>
                <w:iCs/>
                <w:color w:val="000000" w:themeColor="text1"/>
                <w:szCs w:val="21"/>
                <w:highlight w:val="none"/>
                <w14:textFill>
                  <w14:solidFill>
                    <w14:schemeClr w14:val="tx1"/>
                  </w14:solidFill>
                </w14:textFill>
              </w:rPr>
            </m:ctrlPr>
          </m:sub>
        </m:sSub>
      </m:oMath>
      <w:r>
        <w:rPr>
          <w:rFonts w:hint="eastAsia" w:ascii="宋体" w:hAnsi="宋体" w:eastAsia="宋体" w:cs="宋体"/>
          <w:i w:val="0"/>
          <w:iCs w:val="0"/>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第y年</w:t>
      </w:r>
      <w:r>
        <w:rPr>
          <w:rFonts w:hint="eastAsia" w:ascii="宋体" w:hAnsi="宋体" w:eastAsia="宋体" w:cs="宋体"/>
          <w:color w:val="000000" w:themeColor="text1"/>
          <w:szCs w:val="21"/>
          <w14:textFill>
            <w14:solidFill>
              <w14:schemeClr w14:val="tx1"/>
            </w14:solidFill>
          </w14:textFill>
        </w:rPr>
        <w:t>北京市电网年</w:t>
      </w:r>
      <w:r>
        <w:rPr>
          <w:rFonts w:hint="eastAsia" w:ascii="宋体" w:hAnsi="宋体" w:eastAsia="宋体" w:cs="宋体"/>
          <w:color w:val="000000" w:themeColor="text1"/>
          <w:szCs w:val="21"/>
          <w:lang w:val="en-US" w:eastAsia="zh-CN"/>
          <w14:textFill>
            <w14:solidFill>
              <w14:schemeClr w14:val="tx1"/>
            </w14:solidFill>
          </w14:textFill>
        </w:rPr>
        <w:t>平</w:t>
      </w:r>
      <w:r>
        <w:rPr>
          <w:rFonts w:hint="eastAsia" w:ascii="宋体" w:hAnsi="宋体" w:eastAsia="宋体" w:cs="宋体"/>
          <w:color w:val="000000" w:themeColor="text1"/>
          <w:szCs w:val="21"/>
          <w14:textFill>
            <w14:solidFill>
              <w14:schemeClr w14:val="tx1"/>
            </w14:solidFill>
          </w14:textFill>
        </w:rPr>
        <w:t>均供电的二氧化碳排放因子(</w:t>
      </w:r>
      <w:r>
        <w:rPr>
          <w:rFonts w:hint="eastAsia" w:ascii="Cambria Math" w:hAnsi="Cambria Math" w:eastAsia="宋体"/>
          <w:color w:val="000000" w:themeColor="text1"/>
          <w:szCs w:val="21"/>
          <w14:textFill>
            <w14:solidFill>
              <w14:schemeClr w14:val="tx1"/>
            </w14:solidFill>
          </w14:textFill>
        </w:rPr>
        <w:t>tCO</w:t>
      </w:r>
      <w:r>
        <w:rPr>
          <w:rFonts w:hint="eastAsia" w:ascii="Cambria Math" w:hAnsi="Cambria Math" w:eastAsia="宋体"/>
          <w:color w:val="000000" w:themeColor="text1"/>
          <w:szCs w:val="21"/>
          <w:vertAlign w:val="subscript"/>
          <w14:textFill>
            <w14:solidFill>
              <w14:schemeClr w14:val="tx1"/>
            </w14:solidFill>
          </w14:textFill>
        </w:rPr>
        <w:t>2</w:t>
      </w:r>
      <w:r>
        <w:rPr>
          <w:rFonts w:hint="eastAsia" w:ascii="Cambria Math" w:hAnsi="Cambria Math" w:eastAsia="宋体"/>
          <w:color w:val="000000" w:themeColor="text1"/>
          <w:szCs w:val="21"/>
          <w14:textFill>
            <w14:solidFill>
              <w14:schemeClr w14:val="tx1"/>
            </w14:solidFill>
          </w14:textFill>
        </w:rPr>
        <w:t>/MWh</w:t>
      </w:r>
      <w:r>
        <w:rPr>
          <w:rFonts w:hint="eastAsia" w:ascii="宋体" w:hAnsi="宋体" w:eastAsia="宋体" w:cs="宋体"/>
          <w:color w:val="000000" w:themeColor="text1"/>
          <w:szCs w:val="21"/>
          <w14:textFill>
            <w14:solidFill>
              <w14:schemeClr w14:val="tx1"/>
            </w14:solidFill>
          </w14:textFill>
        </w:rPr>
        <w:t>)，来源为第y年北京市</w:t>
      </w:r>
      <w:r>
        <w:rPr>
          <w:rFonts w:hint="eastAsia" w:ascii="宋体" w:hAnsi="宋体" w:eastAsia="宋体" w:cs="宋体"/>
          <w:color w:val="000000" w:themeColor="text1"/>
          <w:szCs w:val="21"/>
          <w:lang w:val="en-US" w:eastAsia="zh-CN"/>
          <w14:textFill>
            <w14:solidFill>
              <w14:schemeClr w14:val="tx1"/>
            </w14:solidFill>
          </w14:textFill>
        </w:rPr>
        <w:t>碳排放权交易市场</w:t>
      </w:r>
      <w:r>
        <w:rPr>
          <w:rFonts w:hint="eastAsia" w:ascii="宋体" w:hAnsi="宋体" w:eastAsia="宋体" w:cs="宋体"/>
          <w:color w:val="000000" w:themeColor="text1"/>
          <w:szCs w:val="21"/>
          <w14:textFill>
            <w14:solidFill>
              <w14:schemeClr w14:val="tx1"/>
            </w14:solidFill>
          </w14:textFill>
        </w:rPr>
        <w:t>中</w:t>
      </w:r>
      <w:r>
        <w:rPr>
          <w:rFonts w:hint="eastAsia" w:ascii="宋体" w:hAnsi="宋体" w:eastAsia="宋体" w:cs="宋体"/>
          <w:color w:val="000000" w:themeColor="text1"/>
          <w:szCs w:val="21"/>
          <w:lang w:val="en-US" w:eastAsia="zh-CN"/>
          <w14:textFill>
            <w14:solidFill>
              <w14:schemeClr w14:val="tx1"/>
            </w14:solidFill>
          </w14:textFill>
        </w:rPr>
        <w:t>使用的电网年平均供电</w:t>
      </w:r>
      <w:r>
        <w:rPr>
          <w:rFonts w:hint="eastAsia" w:ascii="宋体" w:hAnsi="宋体" w:eastAsia="宋体" w:cs="宋体"/>
          <w:color w:val="000000" w:themeColor="text1"/>
          <w:szCs w:val="21"/>
          <w14:textFill>
            <w14:solidFill>
              <w14:schemeClr w14:val="tx1"/>
            </w14:solidFill>
          </w14:textFill>
        </w:rPr>
        <w:t>二氧化碳排放因子。</w:t>
      </w:r>
    </w:p>
    <w:p>
      <w:pPr>
        <w:adjustRightInd w:val="0"/>
        <w:snapToGrid w:val="0"/>
        <w:spacing w:before="240" w:beforeLines="100" w:line="360" w:lineRule="auto"/>
        <w:jc w:val="left"/>
        <w:outlineLvl w:val="2"/>
        <w:rPr>
          <w:rFonts w:hint="eastAsia" w:ascii="黑体" w:hAnsi="黑体" w:eastAsia="黑体"/>
          <w:color w:val="000000" w:themeColor="text1"/>
          <w:szCs w:val="21"/>
          <w:shd w:val="clear" w:color="auto" w:fill="FFFFFF"/>
          <w14:textFill>
            <w14:solidFill>
              <w14:schemeClr w14:val="tx1"/>
            </w14:solidFill>
          </w14:textFill>
        </w:rPr>
      </w:pPr>
      <w:r>
        <w:rPr>
          <w:rFonts w:hint="eastAsia" w:ascii="黑体" w:hAnsi="黑体" w:eastAsia="黑体"/>
          <w:color w:val="000000" w:themeColor="text1"/>
          <w:szCs w:val="21"/>
          <w:shd w:val="clear" w:color="auto" w:fill="FFFFFF"/>
          <w14:textFill>
            <w14:solidFill>
              <w14:schemeClr w14:val="tx1"/>
            </w14:solidFill>
          </w14:textFill>
        </w:rPr>
        <w:t>6.3 项目排放量计算</w:t>
      </w:r>
    </w:p>
    <w:p>
      <w:pPr>
        <w:adjustRightInd w:val="0"/>
        <w:snapToGrid w:val="0"/>
        <w:ind w:firstLine="420" w:firstLineChars="200"/>
        <w:rPr>
          <w:rFonts w:hint="eastAsia" w:ascii="Cambria Math" w:hAnsi="Cambria Math" w:eastAsia="宋体"/>
          <w:color w:val="000000" w:themeColor="text1"/>
          <w:szCs w:val="21"/>
          <w:lang w:val="en-US" w:eastAsia="zh-CN"/>
          <w14:textFill>
            <w14:solidFill>
              <w14:schemeClr w14:val="tx1"/>
            </w14:solidFill>
          </w14:textFill>
        </w:rPr>
      </w:pPr>
      <w:r>
        <w:rPr>
          <w:rFonts w:hint="eastAsia" w:ascii="Cambria Math" w:hAnsi="Cambria Math" w:eastAsia="宋体"/>
          <w:color w:val="000000" w:themeColor="text1"/>
          <w:szCs w:val="21"/>
          <w:lang w:val="en-US" w:eastAsia="zh-CN"/>
          <w14:textFill>
            <w14:solidFill>
              <w14:schemeClr w14:val="tx1"/>
            </w14:solidFill>
          </w14:textFill>
        </w:rPr>
        <w:t>由于绿色电力碳排放核算为零，项目的二氧化碳排放量为零。</w:t>
      </w:r>
    </w:p>
    <w:p>
      <w:pPr>
        <w:adjustRightInd w:val="0"/>
        <w:snapToGrid w:val="0"/>
        <w:spacing w:before="240" w:beforeLines="100" w:after="240" w:afterLines="100"/>
        <w:jc w:val="left"/>
        <w:outlineLvl w:val="2"/>
        <w:rPr>
          <w:rFonts w:hint="eastAsia" w:ascii="黑体" w:hAnsi="黑体" w:eastAsia="黑体"/>
          <w:szCs w:val="21"/>
        </w:rPr>
      </w:pPr>
      <w:r>
        <w:rPr>
          <w:rFonts w:hint="eastAsia" w:ascii="黑体" w:hAnsi="黑体" w:eastAsia="黑体"/>
          <w:szCs w:val="21"/>
        </w:rPr>
        <w:t>6.4 项目泄漏计算</w:t>
      </w:r>
    </w:p>
    <w:p>
      <w:pPr>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项目</w:t>
      </w:r>
      <w:r>
        <w:rPr>
          <w:rFonts w:hint="eastAsia" w:ascii="宋体" w:hAnsi="宋体" w:eastAsia="宋体" w:cs="宋体"/>
          <w:color w:val="000000" w:themeColor="text1"/>
          <w:lang w:val="en-US" w:eastAsia="zh-CN"/>
          <w14:textFill>
            <w14:solidFill>
              <w14:schemeClr w14:val="tx1"/>
            </w14:solidFill>
          </w14:textFill>
        </w:rPr>
        <w:t>大数据</w:t>
      </w:r>
      <w:r>
        <w:rPr>
          <w:rFonts w:hint="eastAsia" w:ascii="宋体" w:hAnsi="宋体" w:eastAsia="宋体" w:cs="宋体"/>
          <w:color w:val="000000" w:themeColor="text1"/>
          <w14:textFill>
            <w14:solidFill>
              <w14:schemeClr w14:val="tx1"/>
            </w14:solidFill>
          </w14:textFill>
        </w:rPr>
        <w:t>平台开发和运行</w:t>
      </w:r>
      <w:r>
        <w:rPr>
          <w:rFonts w:hint="eastAsia" w:ascii="宋体" w:hAnsi="宋体" w:eastAsia="宋体" w:cs="宋体"/>
          <w:color w:val="000000" w:themeColor="text1"/>
          <w:lang w:val="en-US" w:eastAsia="zh-CN"/>
          <w14:textFill>
            <w14:solidFill>
              <w14:schemeClr w14:val="tx1"/>
            </w14:solidFill>
          </w14:textFill>
        </w:rPr>
        <w:t>产生</w:t>
      </w:r>
      <w:r>
        <w:rPr>
          <w:rFonts w:hint="eastAsia" w:ascii="宋体" w:hAnsi="宋体" w:eastAsia="宋体" w:cs="宋体"/>
          <w:color w:val="000000" w:themeColor="text1"/>
          <w14:textFill>
            <w14:solidFill>
              <w14:schemeClr w14:val="tx1"/>
            </w14:solidFill>
          </w14:textFill>
        </w:rPr>
        <w:t>的二氧化碳排放量</w:t>
      </w:r>
      <w:r>
        <w:rPr>
          <w:rFonts w:hint="eastAsia" w:ascii="宋体" w:hAnsi="宋体" w:eastAsia="宋体" w:cs="宋体"/>
          <w:color w:val="000000" w:themeColor="text1"/>
          <w:lang w:val="en-US" w:eastAsia="zh-CN"/>
          <w14:textFill>
            <w14:solidFill>
              <w14:schemeClr w14:val="tx1"/>
            </w14:solidFill>
          </w14:textFill>
        </w:rPr>
        <w:t>与项目减排量相比</w:t>
      </w:r>
      <w:r>
        <w:rPr>
          <w:rFonts w:hint="eastAsia" w:ascii="宋体" w:hAnsi="宋体" w:eastAsia="宋体" w:cs="宋体"/>
          <w:color w:val="000000" w:themeColor="text1"/>
          <w14:textFill>
            <w14:solidFill>
              <w14:schemeClr w14:val="tx1"/>
            </w14:solidFill>
          </w14:textFill>
        </w:rPr>
        <w:t>较小，不考虑泄漏</w:t>
      </w:r>
      <w:r>
        <w:rPr>
          <w:rFonts w:hint="eastAsia" w:ascii="宋体" w:hAnsi="宋体" w:eastAsia="宋体" w:cs="宋体"/>
          <w:color w:val="000000" w:themeColor="text1"/>
          <w:lang w:eastAsia="zh-CN"/>
          <w14:textFill>
            <w14:solidFill>
              <w14:schemeClr w14:val="tx1"/>
            </w14:solidFill>
          </w14:textFill>
        </w:rPr>
        <w:t>。</w:t>
      </w:r>
    </w:p>
    <w:p>
      <w:pPr>
        <w:ind w:firstLine="420" w:firstLineChars="200"/>
        <w:rPr>
          <w:rFonts w:hint="eastAsia" w:ascii="Cambria Math" w:hAnsi="Cambria Math" w:eastAsia="宋体"/>
          <w:color w:val="000000" w:themeColor="text1"/>
          <w:szCs w:val="21"/>
          <w14:textFill>
            <w14:solidFill>
              <w14:schemeClr w14:val="tx1"/>
            </w14:solidFill>
          </w14:textFill>
        </w:rPr>
      </w:pPr>
    </w:p>
    <w:p>
      <w:pPr>
        <w:adjustRightInd w:val="0"/>
        <w:snapToGrid w:val="0"/>
        <w:spacing w:before="240" w:beforeLines="100" w:after="240" w:afterLines="100" w:line="240" w:lineRule="auto"/>
        <w:jc w:val="left"/>
        <w:outlineLvl w:val="2"/>
        <w:rPr>
          <w:rFonts w:hint="eastAsia" w:ascii="黑体" w:hAnsi="黑体" w:eastAsia="黑体"/>
          <w:color w:val="auto"/>
          <w:szCs w:val="21"/>
        </w:rPr>
      </w:pPr>
      <w:r>
        <w:rPr>
          <w:rFonts w:hint="eastAsia" w:ascii="黑体" w:hAnsi="黑体" w:eastAsia="黑体"/>
          <w:color w:val="auto"/>
          <w:szCs w:val="21"/>
        </w:rPr>
        <w:t xml:space="preserve">6.5 </w:t>
      </w:r>
      <w:r>
        <w:rPr>
          <w:rFonts w:hint="eastAsia" w:ascii="黑体" w:hAnsi="黑体" w:eastAsia="黑体" w:cs="Times New Roman"/>
          <w:szCs w:val="21"/>
        </w:rPr>
        <w:t>项目减排量核算</w:t>
      </w:r>
    </w:p>
    <w:p>
      <w:pPr>
        <w:adjustRightInd w:val="0"/>
        <w:snapToGrid w:val="0"/>
        <w:ind w:firstLine="420" w:firstLineChars="200"/>
        <w:rPr>
          <w:rFonts w:ascii="Cambria Math" w:hAnsi="Cambria Math" w:eastAsia="宋体"/>
          <w:color w:val="000000" w:themeColor="text1"/>
          <w:szCs w:val="21"/>
          <w14:textFill>
            <w14:solidFill>
              <w14:schemeClr w14:val="tx1"/>
            </w14:solidFill>
          </w14:textFill>
        </w:rPr>
      </w:pPr>
      <w:r>
        <w:rPr>
          <w:rFonts w:hint="eastAsia" w:ascii="Cambria Math" w:hAnsi="Cambria Math" w:eastAsia="宋体"/>
          <w:color w:val="000000" w:themeColor="text1"/>
          <w:szCs w:val="21"/>
          <w14:textFill>
            <w14:solidFill>
              <w14:schemeClr w14:val="tx1"/>
            </w14:solidFill>
          </w14:textFill>
        </w:rPr>
        <w:t>减排量由下列公式计算：</w:t>
      </w:r>
    </w:p>
    <w:p>
      <w:pPr>
        <w:ind w:firstLine="3360" w:firstLineChars="1600"/>
        <w:jc w:val="center"/>
        <w:rPr>
          <w:rFonts w:hint="eastAsia" w:ascii="宋体" w:hAnsi="宋体" w:eastAsia="宋体"/>
          <w:szCs w:val="21"/>
        </w:rPr>
      </w:pPr>
      <m:oMath>
        <m:sSub>
          <m:sSubPr>
            <m:ctrlPr>
              <w:rPr>
                <w:rFonts w:ascii="Cambria Math" w:hAnsi="Cambria Math" w:eastAsia="宋体"/>
                <w:i/>
                <w:szCs w:val="21"/>
              </w:rPr>
            </m:ctrlPr>
          </m:sSubPr>
          <m:e>
            <m:r>
              <m:rPr/>
              <w:rPr>
                <w:rFonts w:ascii="Cambria Math" w:hAnsi="Cambria Math" w:eastAsia="宋体"/>
                <w:szCs w:val="21"/>
              </w:rPr>
              <m:t>ER</m:t>
            </m:r>
            <m:ctrlPr>
              <w:rPr>
                <w:rFonts w:ascii="Cambria Math" w:hAnsi="Cambria Math" w:eastAsia="宋体"/>
                <w:i/>
                <w:szCs w:val="21"/>
              </w:rPr>
            </m:ctrlPr>
          </m:e>
          <m:sub>
            <m:r>
              <m:rPr/>
              <w:rPr>
                <w:rFonts w:ascii="Cambria Math" w:hAnsi="Cambria Math" w:eastAsia="宋体"/>
                <w:szCs w:val="21"/>
              </w:rPr>
              <m:t>y</m:t>
            </m:r>
            <m:ctrlPr>
              <w:rPr>
                <w:rFonts w:ascii="Cambria Math" w:hAnsi="Cambria Math" w:eastAsia="宋体"/>
                <w:i/>
                <w:szCs w:val="21"/>
              </w:rPr>
            </m:ctrlPr>
          </m:sub>
        </m:sSub>
        <m:r>
          <m:rPr/>
          <w:rPr>
            <w:rFonts w:ascii="Cambria Math" w:hAnsi="Cambria Math" w:eastAsia="宋体"/>
            <w:szCs w:val="21"/>
          </w:rPr>
          <m:t>=</m:t>
        </m:r>
        <m:sSub>
          <m:sSubPr>
            <m:ctrlPr>
              <w:rPr>
                <w:rFonts w:ascii="Cambria Math" w:hAnsi="Cambria Math" w:eastAsia="宋体"/>
                <w:i/>
                <w:szCs w:val="21"/>
              </w:rPr>
            </m:ctrlPr>
          </m:sSubPr>
          <m:e>
            <m:r>
              <m:rPr/>
              <w:rPr>
                <w:rFonts w:ascii="Cambria Math" w:hAnsi="Cambria Math" w:eastAsia="宋体"/>
                <w:szCs w:val="21"/>
              </w:rPr>
              <m:t>BE</m:t>
            </m:r>
            <m:ctrlPr>
              <w:rPr>
                <w:rFonts w:ascii="Cambria Math" w:hAnsi="Cambria Math" w:eastAsia="宋体"/>
                <w:i/>
                <w:szCs w:val="21"/>
              </w:rPr>
            </m:ctrlPr>
          </m:e>
          <m:sub>
            <m:r>
              <m:rPr/>
              <w:rPr>
                <w:rFonts w:ascii="Cambria Math" w:hAnsi="Cambria Math" w:eastAsia="宋体"/>
                <w:szCs w:val="21"/>
              </w:rPr>
              <m:t>y</m:t>
            </m:r>
            <m:ctrlPr>
              <w:rPr>
                <w:rFonts w:ascii="Cambria Math" w:hAnsi="Cambria Math" w:eastAsia="宋体"/>
                <w:i/>
                <w:szCs w:val="21"/>
              </w:rPr>
            </m:ctrlPr>
          </m:sub>
        </m:sSub>
      </m:oMath>
      <w:r>
        <w:rPr>
          <w:rFonts w:hint="eastAsia" w:asciiTheme="minorEastAsia" w:hAnsiTheme="minorEastAsia"/>
          <w:i/>
        </w:rPr>
        <w:t xml:space="preserve">          </w:t>
      </w:r>
      <w:r>
        <w:rPr>
          <w:rFonts w:hint="eastAsia" w:asciiTheme="minorEastAsia" w:hAnsiTheme="minorEastAsia"/>
          <w:i/>
          <w:lang w:val="en-US" w:eastAsia="zh-CN"/>
        </w:rPr>
        <w:t xml:space="preserve">        </w:t>
      </w:r>
      <w:r>
        <w:rPr>
          <w:rFonts w:hint="eastAsia" w:asciiTheme="minorEastAsia" w:hAnsiTheme="minorEastAsia"/>
          <w:i/>
        </w:rPr>
        <w:t xml:space="preserve">                    </w:t>
      </w:r>
      <w:r>
        <w:rPr>
          <w:rFonts w:hint="eastAsia" w:ascii="宋体" w:hAnsi="宋体" w:eastAsia="宋体" w:cs="宋体"/>
          <w:szCs w:val="21"/>
        </w:rPr>
        <w:t>（</w:t>
      </w:r>
      <w:r>
        <w:rPr>
          <w:rFonts w:hint="eastAsia" w:ascii="宋体" w:hAnsi="宋体" w:eastAsia="宋体" w:cs="宋体"/>
          <w:szCs w:val="21"/>
          <w:lang w:val="en-US" w:eastAsia="zh-CN"/>
        </w:rPr>
        <w:t>2</w:t>
      </w:r>
      <w:r>
        <w:rPr>
          <w:rFonts w:hint="eastAsia" w:ascii="宋体" w:hAnsi="宋体" w:eastAsia="宋体" w:cs="宋体"/>
          <w:szCs w:val="21"/>
        </w:rPr>
        <w:t>）</w:t>
      </w:r>
    </w:p>
    <w:p>
      <w:pPr>
        <w:adjustRightInd w:val="0"/>
        <w:snapToGrid w:val="0"/>
        <w:ind w:firstLine="420" w:firstLineChars="200"/>
        <w:rPr>
          <w:rFonts w:ascii="Cambria Math" w:hAnsi="Cambria Math" w:eastAsia="宋体"/>
          <w:color w:val="000000" w:themeColor="text1"/>
          <w:szCs w:val="21"/>
          <w14:textFill>
            <w14:solidFill>
              <w14:schemeClr w14:val="tx1"/>
            </w14:solidFill>
          </w14:textFill>
        </w:rPr>
      </w:pPr>
      <w:r>
        <w:rPr>
          <w:rFonts w:hint="eastAsia" w:ascii="Cambria Math" w:hAnsi="Cambria Math" w:eastAsia="宋体"/>
          <w:color w:val="000000" w:themeColor="text1"/>
          <w:szCs w:val="21"/>
          <w14:textFill>
            <w14:solidFill>
              <w14:schemeClr w14:val="tx1"/>
            </w14:solidFill>
          </w14:textFill>
        </w:rPr>
        <w:t>式中：</w:t>
      </w:r>
    </w:p>
    <w:p>
      <w:pPr>
        <w:adjustRightInd w:val="0"/>
        <w:snapToGrid w:val="0"/>
        <w:ind w:firstLine="420" w:firstLineChars="200"/>
        <w:rPr>
          <w:rFonts w:ascii="Cambria Math" w:hAnsi="Cambria Math" w:eastAsia="宋体"/>
          <w:color w:val="000000" w:themeColor="text1"/>
          <w:szCs w:val="21"/>
          <w14:textFill>
            <w14:solidFill>
              <w14:schemeClr w14:val="tx1"/>
            </w14:solidFill>
          </w14:textFill>
        </w:rPr>
      </w:pPr>
      <m:oMath>
        <m:sSub>
          <m:sSubPr>
            <m:ctrlPr>
              <w:rPr>
                <w:rFonts w:hint="eastAsia" w:ascii="Cambria Math" w:hAnsi="Cambria Math" w:eastAsia="宋体"/>
                <w:i/>
                <w:iCs/>
                <w:color w:val="000000" w:themeColor="text1"/>
                <w:szCs w:val="21"/>
                <w14:textFill>
                  <w14:solidFill>
                    <w14:schemeClr w14:val="tx1"/>
                  </w14:solidFill>
                </w14:textFill>
              </w:rPr>
            </m:ctrlPr>
          </m:sSubPr>
          <m:e>
            <m:r>
              <m:rPr/>
              <w:rPr>
                <w:rFonts w:hint="default" w:ascii="Cambria Math" w:hAnsi="Cambria Math" w:eastAsia="宋体"/>
                <w:color w:val="000000" w:themeColor="text1"/>
                <w:szCs w:val="21"/>
                <w14:textFill>
                  <w14:solidFill>
                    <w14:schemeClr w14:val="tx1"/>
                  </w14:solidFill>
                </w14:textFill>
              </w:rPr>
              <m:t>ER</m:t>
            </m:r>
            <m:ctrlPr>
              <w:rPr>
                <w:rFonts w:hint="eastAsia" w:ascii="Cambria Math" w:hAnsi="Cambria Math" w:eastAsia="宋体"/>
                <w:i/>
                <w:iCs/>
                <w:color w:val="000000" w:themeColor="text1"/>
                <w:szCs w:val="21"/>
                <w14:textFill>
                  <w14:solidFill>
                    <w14:schemeClr w14:val="tx1"/>
                  </w14:solidFill>
                </w14:textFill>
              </w:rPr>
            </m:ctrlPr>
          </m:e>
          <m:sub>
            <m:r>
              <m:rPr/>
              <w:rPr>
                <w:rFonts w:hint="default" w:ascii="Cambria Math" w:hAnsi="Cambria Math" w:eastAsia="宋体"/>
                <w:color w:val="000000" w:themeColor="text1"/>
                <w:szCs w:val="21"/>
                <w14:textFill>
                  <w14:solidFill>
                    <w14:schemeClr w14:val="tx1"/>
                  </w14:solidFill>
                </w14:textFill>
              </w:rPr>
              <m:t>y</m:t>
            </m:r>
            <m:ctrlPr>
              <w:rPr>
                <w:rFonts w:hint="eastAsia" w:ascii="Cambria Math" w:hAnsi="Cambria Math" w:eastAsia="宋体"/>
                <w:i/>
                <w:iCs/>
                <w:color w:val="000000" w:themeColor="text1"/>
                <w:szCs w:val="21"/>
                <w14:textFill>
                  <w14:solidFill>
                    <w14:schemeClr w14:val="tx1"/>
                  </w14:solidFill>
                </w14:textFill>
              </w:rPr>
            </m:ctrlPr>
          </m:sub>
        </m:sSub>
      </m:oMath>
      <w:r>
        <w:rPr>
          <w:rFonts w:hint="eastAsia" w:ascii="Cambria Math" w:hAnsi="Cambria Math" w:eastAsia="宋体"/>
          <w:color w:val="000000" w:themeColor="text1"/>
          <w:szCs w:val="21"/>
          <w14:textFill>
            <w14:solidFill>
              <w14:schemeClr w14:val="tx1"/>
            </w14:solidFill>
          </w14:textFill>
        </w:rPr>
        <w:t>：为第y年减排量（tCO</w:t>
      </w:r>
      <w:r>
        <w:rPr>
          <w:rFonts w:hint="eastAsia" w:ascii="Cambria Math" w:hAnsi="Cambria Math" w:eastAsia="宋体"/>
          <w:color w:val="000000" w:themeColor="text1"/>
          <w:szCs w:val="21"/>
          <w:vertAlign w:val="subscript"/>
          <w14:textFill>
            <w14:solidFill>
              <w14:schemeClr w14:val="tx1"/>
            </w14:solidFill>
          </w14:textFill>
        </w:rPr>
        <w:t>2</w:t>
      </w:r>
      <w:r>
        <w:rPr>
          <w:rFonts w:hint="eastAsia" w:ascii="Cambria Math" w:hAnsi="Cambria Math" w:eastAsia="宋体"/>
          <w:color w:val="000000" w:themeColor="text1"/>
          <w:szCs w:val="21"/>
          <w14:textFill>
            <w14:solidFill>
              <w14:schemeClr w14:val="tx1"/>
            </w14:solidFill>
          </w14:textFill>
        </w:rPr>
        <w:t>）；</w:t>
      </w:r>
    </w:p>
    <w:p>
      <w:pPr>
        <w:adjustRightInd w:val="0"/>
        <w:snapToGrid w:val="0"/>
        <w:spacing w:after="0" w:afterLines="-2147483648"/>
        <w:ind w:firstLine="420" w:firstLineChars="200"/>
        <w:rPr>
          <w:rFonts w:ascii="Cambria Math" w:hAnsi="Cambria Math" w:eastAsia="宋体"/>
          <w:color w:val="000000" w:themeColor="text1"/>
          <w:szCs w:val="21"/>
          <w14:textFill>
            <w14:solidFill>
              <w14:schemeClr w14:val="tx1"/>
            </w14:solidFill>
          </w14:textFill>
        </w:rPr>
      </w:pPr>
      <m:oMath>
        <m:sSub>
          <m:sSubPr>
            <m:ctrlPr>
              <w:rPr>
                <w:rFonts w:hint="eastAsia" w:ascii="Cambria Math" w:hAnsi="Cambria Math" w:eastAsia="宋体"/>
                <w:i/>
                <w:iCs/>
                <w:color w:val="000000" w:themeColor="text1"/>
                <w:szCs w:val="21"/>
                <w14:textFill>
                  <w14:solidFill>
                    <w14:schemeClr w14:val="tx1"/>
                  </w14:solidFill>
                </w14:textFill>
              </w:rPr>
            </m:ctrlPr>
          </m:sSubPr>
          <m:e>
            <m:r>
              <m:rPr/>
              <w:rPr>
                <w:rFonts w:hint="default" w:ascii="Cambria Math" w:hAnsi="Cambria Math" w:eastAsia="宋体"/>
                <w:color w:val="000000" w:themeColor="text1"/>
                <w:szCs w:val="21"/>
                <w14:textFill>
                  <w14:solidFill>
                    <w14:schemeClr w14:val="tx1"/>
                  </w14:solidFill>
                </w14:textFill>
              </w:rPr>
              <m:t>BE</m:t>
            </m:r>
            <m:ctrlPr>
              <w:rPr>
                <w:rFonts w:hint="eastAsia" w:ascii="Cambria Math" w:hAnsi="Cambria Math" w:eastAsia="宋体"/>
                <w:i/>
                <w:iCs/>
                <w:color w:val="000000" w:themeColor="text1"/>
                <w:szCs w:val="21"/>
                <w14:textFill>
                  <w14:solidFill>
                    <w14:schemeClr w14:val="tx1"/>
                  </w14:solidFill>
                </w14:textFill>
              </w:rPr>
            </m:ctrlPr>
          </m:e>
          <m:sub>
            <m:r>
              <m:rPr/>
              <w:rPr>
                <w:rFonts w:hint="default" w:ascii="Cambria Math" w:hAnsi="Cambria Math" w:eastAsia="宋体"/>
                <w:color w:val="000000" w:themeColor="text1"/>
                <w:szCs w:val="21"/>
                <w14:textFill>
                  <w14:solidFill>
                    <w14:schemeClr w14:val="tx1"/>
                  </w14:solidFill>
                </w14:textFill>
              </w:rPr>
              <m:t>y</m:t>
            </m:r>
            <m:ctrlPr>
              <w:rPr>
                <w:rFonts w:hint="eastAsia" w:ascii="Cambria Math" w:hAnsi="Cambria Math" w:eastAsia="宋体"/>
                <w:i/>
                <w:iCs/>
                <w:color w:val="000000" w:themeColor="text1"/>
                <w:szCs w:val="21"/>
                <w14:textFill>
                  <w14:solidFill>
                    <w14:schemeClr w14:val="tx1"/>
                  </w14:solidFill>
                </w14:textFill>
              </w:rPr>
            </m:ctrlPr>
          </m:sub>
        </m:sSub>
      </m:oMath>
      <w:r>
        <w:rPr>
          <w:rFonts w:hint="eastAsia" w:ascii="Cambria Math" w:hAnsi="Cambria Math" w:eastAsia="宋体"/>
          <w:color w:val="000000" w:themeColor="text1"/>
          <w:szCs w:val="21"/>
          <w14:textFill>
            <w14:solidFill>
              <w14:schemeClr w14:val="tx1"/>
            </w14:solidFill>
          </w14:textFill>
        </w:rPr>
        <w:t>：为第y年基准线排放量（tCO</w:t>
      </w:r>
      <w:r>
        <w:rPr>
          <w:rFonts w:hint="eastAsia" w:ascii="Cambria Math" w:hAnsi="Cambria Math" w:eastAsia="宋体"/>
          <w:color w:val="000000" w:themeColor="text1"/>
          <w:szCs w:val="21"/>
          <w:vertAlign w:val="subscript"/>
          <w14:textFill>
            <w14:solidFill>
              <w14:schemeClr w14:val="tx1"/>
            </w14:solidFill>
          </w14:textFill>
        </w:rPr>
        <w:t>2</w:t>
      </w:r>
      <w:r>
        <w:rPr>
          <w:rFonts w:hint="eastAsia" w:ascii="Cambria Math" w:hAnsi="Cambria Math" w:eastAsia="宋体"/>
          <w:color w:val="000000" w:themeColor="text1"/>
          <w:szCs w:val="21"/>
          <w14:textFill>
            <w14:solidFill>
              <w14:schemeClr w14:val="tx1"/>
            </w14:solidFill>
          </w14:textFill>
        </w:rPr>
        <w:t>）</w:t>
      </w:r>
      <w:r>
        <w:rPr>
          <w:rFonts w:hint="eastAsia" w:ascii="Cambria Math" w:hAnsi="Cambria Math" w:eastAsia="宋体"/>
          <w:color w:val="000000" w:themeColor="text1"/>
          <w:szCs w:val="21"/>
          <w:lang w:eastAsia="zh-CN"/>
          <w14:textFill>
            <w14:solidFill>
              <w14:schemeClr w14:val="tx1"/>
            </w14:solidFill>
          </w14:textFill>
        </w:rPr>
        <w:t>。</w:t>
      </w:r>
    </w:p>
    <w:p>
      <w:pPr>
        <w:pStyle w:val="22"/>
        <w:adjustRightInd w:val="0"/>
        <w:snapToGrid w:val="0"/>
        <w:spacing w:before="313" w:beforeLines="100" w:line="360" w:lineRule="auto"/>
        <w:ind w:firstLine="0" w:firstLineChars="0"/>
        <w:outlineLvl w:val="1"/>
        <w:rPr>
          <w:rFonts w:hint="eastAsia" w:ascii="黑体" w:hAnsi="黑体" w:eastAsia="黑体"/>
          <w:szCs w:val="21"/>
        </w:rPr>
      </w:pPr>
      <w:r>
        <w:rPr>
          <w:rFonts w:hint="eastAsia" w:ascii="黑体" w:hAnsi="黑体" w:eastAsia="黑体"/>
          <w:color w:val="000000" w:themeColor="text1"/>
          <w:szCs w:val="21"/>
          <w14:textFill>
            <w14:solidFill>
              <w14:schemeClr w14:val="tx1"/>
            </w14:solidFill>
          </w14:textFill>
        </w:rPr>
        <w:t xml:space="preserve">7 </w:t>
      </w:r>
      <w:r>
        <w:rPr>
          <w:rFonts w:hint="eastAsia" w:ascii="黑体" w:hAnsi="黑体" w:eastAsia="黑体"/>
          <w:szCs w:val="21"/>
        </w:rPr>
        <w:t>数据监测与管理</w:t>
      </w:r>
    </w:p>
    <w:p>
      <w:pPr>
        <w:adjustRightInd w:val="0"/>
        <w:snapToGrid w:val="0"/>
        <w:spacing w:line="360" w:lineRule="auto"/>
        <w:jc w:val="left"/>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7.1 项目实施需监测的参数和数据</w:t>
      </w:r>
    </w:p>
    <w:p>
      <w:pPr>
        <w:adjustRightInd w:val="0"/>
        <w:snapToGrid w:val="0"/>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项目实施需确定的参数和数据的技术内容和确定方法见表</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w:t>
      </w:r>
    </w:p>
    <w:p>
      <w:pPr>
        <w:spacing w:line="360" w:lineRule="auto"/>
        <w:jc w:val="center"/>
        <w:rPr>
          <w:rFonts w:hint="eastAsia"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1</w:t>
      </w:r>
      <w:r>
        <w:rPr>
          <w:rFonts w:hint="eastAsia" w:ascii="黑体" w:hAnsi="黑体" w:eastAsia="黑体" w:cs="黑体"/>
          <w:color w:val="000000" w:themeColor="text1"/>
          <w:szCs w:val="21"/>
          <w14:textFill>
            <w14:solidFill>
              <w14:schemeClr w14:val="tx1"/>
            </w14:solidFill>
          </w14:textFill>
        </w:rPr>
        <w:t xml:space="preserve"> </w:t>
      </w: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hint="eastAsia" w:ascii="Cambria Math" w:hAnsi="Cambria Math"/>
                <w:color w:val="000000" w:themeColor="text1"/>
                <w:sz w:val="18"/>
                <w:szCs w:val="18"/>
                <w14:textFill>
                  <w14:solidFill>
                    <w14:schemeClr w14:val="tx1"/>
                  </w14:solidFill>
                </w14:textFill>
              </w:rPr>
              <m:t>EF</m:t>
            </m:r>
            <m:ctrlPr>
              <w:rPr>
                <w:rFonts w:hint="eastAsia" w:ascii="Cambria Math" w:hAnsi="Cambria Math"/>
                <w:color w:val="000000" w:themeColor="text1"/>
                <w:sz w:val="18"/>
                <w:szCs w:val="18"/>
                <w14:textFill>
                  <w14:solidFill>
                    <w14:schemeClr w14:val="tx1"/>
                  </w14:solidFill>
                </w14:textFill>
              </w:rPr>
            </m:ctrlPr>
          </m:e>
          <m:sub>
            <m:r>
              <m:rPr>
                <m:sty m:val="p"/>
              </m:rPr>
              <w:rPr>
                <w:rFonts w:hint="eastAsia"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3"/>
        <w:tblW w:w="88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59"/>
        <w:gridCol w:w="62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数据/参数名称</w:t>
            </w:r>
          </w:p>
        </w:tc>
        <w:tc>
          <w:tcPr>
            <w:tcW w:w="629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m:oMathPara>
              <m:oMathParaPr>
                <m:jc m:val="center"/>
              </m:oMathParaP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hint="eastAsia" w:ascii="Cambria Math" w:hAnsi="Cambria Math"/>
                        <w:color w:val="000000" w:themeColor="text1"/>
                        <w:sz w:val="18"/>
                        <w:szCs w:val="18"/>
                        <w14:textFill>
                          <w14:solidFill>
                            <w14:schemeClr w14:val="tx1"/>
                          </w14:solidFill>
                        </w14:textFill>
                      </w:rPr>
                      <m:t>EF</m:t>
                    </m:r>
                    <m:ctrlPr>
                      <w:rPr>
                        <w:rFonts w:hint="eastAsia" w:ascii="Cambria Math" w:hAnsi="Cambria Math"/>
                        <w:color w:val="000000" w:themeColor="text1"/>
                        <w:sz w:val="18"/>
                        <w:szCs w:val="18"/>
                        <w14:textFill>
                          <w14:solidFill>
                            <w14:schemeClr w14:val="tx1"/>
                          </w14:solidFill>
                        </w14:textFill>
                      </w:rPr>
                    </m:ctrlPr>
                  </m:e>
                  <m:sub>
                    <m:r>
                      <m:rPr>
                        <m:sty m:val="p"/>
                      </m:rPr>
                      <w:rPr>
                        <w:rFonts w:hint="eastAsia"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应用的公式编号</w:t>
            </w:r>
          </w:p>
        </w:tc>
        <w:tc>
          <w:tcPr>
            <w:tcW w:w="629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数据描述</w:t>
            </w:r>
          </w:p>
        </w:tc>
        <w:tc>
          <w:tcPr>
            <w:tcW w:w="6299" w:type="dxa"/>
            <w:shd w:val="clear" w:color="auto" w:fill="FFFFFF" w:themeFill="background1"/>
            <w:vAlign w:val="bottom"/>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第y年北京市电网年</w:t>
            </w:r>
            <w:r>
              <w:rPr>
                <w:rFonts w:hint="eastAsia" w:ascii="宋体" w:hAnsi="宋体"/>
                <w:color w:val="000000" w:themeColor="text1"/>
                <w:sz w:val="18"/>
                <w:szCs w:val="18"/>
                <w:lang w:val="en-US" w:eastAsia="zh-CN"/>
                <w14:textFill>
                  <w14:solidFill>
                    <w14:schemeClr w14:val="tx1"/>
                  </w14:solidFill>
                </w14:textFill>
              </w:rPr>
              <w:t>平</w:t>
            </w:r>
            <w:r>
              <w:rPr>
                <w:rFonts w:hint="eastAsia" w:ascii="宋体" w:hAnsi="宋体"/>
                <w:color w:val="000000" w:themeColor="text1"/>
                <w:sz w:val="18"/>
                <w:szCs w:val="18"/>
                <w14:textFill>
                  <w14:solidFill>
                    <w14:schemeClr w14:val="tx1"/>
                  </w14:solidFill>
                </w14:textFill>
              </w:rPr>
              <w:t>均供电的二氧化碳排放因子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数据单位</w:t>
            </w:r>
          </w:p>
        </w:tc>
        <w:tc>
          <w:tcPr>
            <w:tcW w:w="629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tCO</w:t>
            </w:r>
            <w:r>
              <w:rPr>
                <w:rFonts w:ascii="宋体" w:hAnsi="宋体"/>
                <w:color w:val="000000" w:themeColor="text1"/>
                <w:sz w:val="18"/>
                <w:szCs w:val="18"/>
                <w:vertAlign w:val="subscript"/>
                <w14:textFill>
                  <w14:solidFill>
                    <w14:schemeClr w14:val="tx1"/>
                  </w14:solidFill>
                </w14:textFill>
              </w:rPr>
              <w:t>2</w:t>
            </w:r>
            <w:r>
              <w:rPr>
                <w:rFonts w:ascii="宋体" w:hAnsi="宋体"/>
                <w:color w:val="000000" w:themeColor="text1"/>
                <w:sz w:val="18"/>
                <w:szCs w:val="18"/>
                <w14:textFill>
                  <w14:solidFill>
                    <w14:schemeClr w14:val="tx1"/>
                  </w14:solidFill>
                </w14:textFill>
              </w:rPr>
              <w:t>/MWh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数据来源</w:t>
            </w:r>
          </w:p>
        </w:tc>
        <w:tc>
          <w:tcPr>
            <w:tcW w:w="6299" w:type="dxa"/>
            <w:shd w:val="clear" w:color="auto" w:fill="FFFFFF"/>
            <w:vAlign w:val="bottom"/>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第y年</w:t>
            </w:r>
            <w:r>
              <w:rPr>
                <w:rFonts w:hint="eastAsia" w:ascii="宋体" w:hAnsi="宋体"/>
                <w:color w:val="000000" w:themeColor="text1"/>
                <w:sz w:val="18"/>
                <w:szCs w:val="18"/>
                <w:lang w:val="en-US" w:eastAsia="zh-CN"/>
                <w14:textFill>
                  <w14:solidFill>
                    <w14:schemeClr w14:val="tx1"/>
                  </w14:solidFill>
                </w14:textFill>
              </w:rPr>
              <w:t>北京市</w:t>
            </w:r>
            <w:r>
              <w:rPr>
                <w:rFonts w:hint="eastAsia" w:ascii="宋体" w:hAnsi="宋体"/>
                <w:color w:val="000000" w:themeColor="text1"/>
                <w:sz w:val="18"/>
                <w:szCs w:val="18"/>
                <w14:textFill>
                  <w14:solidFill>
                    <w14:schemeClr w14:val="tx1"/>
                  </w14:solidFill>
                </w14:textFill>
              </w:rPr>
              <w:t>碳排放权交易市场中使用的</w:t>
            </w:r>
            <w:r>
              <w:rPr>
                <w:rFonts w:hint="eastAsia" w:ascii="宋体" w:hAnsi="宋体" w:eastAsia="宋体"/>
                <w:color w:val="000000" w:themeColor="text1"/>
                <w:sz w:val="18"/>
                <w:szCs w:val="18"/>
                <w:lang w:val="en-US" w:eastAsia="zh-CN"/>
                <w14:textFill>
                  <w14:solidFill>
                    <w14:schemeClr w14:val="tx1"/>
                  </w14:solidFill>
                </w14:textFill>
              </w:rPr>
              <w:t>电网年平均供电</w:t>
            </w:r>
            <w:r>
              <w:rPr>
                <w:rFonts w:hint="eastAsia" w:ascii="宋体" w:hAnsi="宋体" w:eastAsia="宋体"/>
                <w:color w:val="000000" w:themeColor="text1"/>
                <w:sz w:val="18"/>
                <w:szCs w:val="18"/>
                <w14:textFill>
                  <w14:solidFill>
                    <w14:schemeClr w14:val="tx1"/>
                  </w14:solidFill>
                </w14:textFill>
              </w:rPr>
              <w:t>二氧化碳排放因子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数值</w:t>
            </w:r>
          </w:p>
        </w:tc>
        <w:tc>
          <w:tcPr>
            <w:tcW w:w="6299" w:type="dxa"/>
            <w:vAlign w:val="center"/>
          </w:tcPr>
          <w:p>
            <w:pPr>
              <w:pStyle w:val="24"/>
              <w:widowControl w:val="0"/>
              <w:adjustRightInd w:val="0"/>
              <w:snapToGrid w:val="0"/>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来自数据来源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数据用途</w:t>
            </w:r>
          </w:p>
        </w:tc>
        <w:tc>
          <w:tcPr>
            <w:tcW w:w="629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计算项目的基准线排放</w:t>
            </w:r>
          </w:p>
        </w:tc>
      </w:tr>
    </w:tbl>
    <w:p>
      <w:pPr>
        <w:adjustRightInd w:val="0"/>
        <w:snapToGrid w:val="0"/>
        <w:jc w:val="center"/>
        <w:rPr>
          <w:rFonts w:hint="eastAsia" w:ascii="黑体" w:hAnsi="黑体" w:eastAsia="黑体" w:cs="黑体"/>
          <w:color w:val="000000" w:themeColor="text1"/>
          <w:szCs w:val="21"/>
          <w14:textFill>
            <w14:solidFill>
              <w14:schemeClr w14:val="tx1"/>
            </w14:solidFill>
          </w14:textFill>
        </w:rPr>
      </w:pPr>
    </w:p>
    <w:p>
      <w:pPr>
        <w:spacing w:line="360" w:lineRule="auto"/>
        <w:jc w:val="center"/>
        <w:rPr>
          <w:rFonts w:hint="eastAsia"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2</w:t>
      </w:r>
      <w:r>
        <w:rPr>
          <w:rFonts w:hint="eastAsia" w:ascii="黑体" w:hAnsi="黑体" w:eastAsia="黑体" w:cs="黑体"/>
          <w:color w:val="000000" w:themeColor="text1"/>
          <w:szCs w:val="21"/>
          <w14:textFill>
            <w14:solidFill>
              <w14:schemeClr w14:val="tx1"/>
            </w14:solidFill>
          </w14:textFill>
        </w:rPr>
        <w:t xml:space="preserve"> </w:t>
      </w: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hint="eastAsia" w:ascii="Cambria Math" w:hAnsi="Cambria Math"/>
                <w:color w:val="000000" w:themeColor="text1"/>
                <w:sz w:val="18"/>
                <w:szCs w:val="18"/>
                <w14:textFill>
                  <w14:solidFill>
                    <w14:schemeClr w14:val="tx1"/>
                  </w14:solidFill>
                </w14:textFill>
              </w:rPr>
              <m:t>EG</m:t>
            </m:r>
            <m:ctrlPr>
              <w:rPr>
                <w:rFonts w:hint="eastAsia" w:ascii="Cambria Math" w:hAnsi="Cambria Math"/>
                <w:color w:val="000000" w:themeColor="text1"/>
                <w:sz w:val="18"/>
                <w:szCs w:val="18"/>
                <w14:textFill>
                  <w14:solidFill>
                    <w14:schemeClr w14:val="tx1"/>
                  </w14:solidFill>
                </w14:textFill>
              </w:rPr>
            </m:ctrlPr>
          </m:e>
          <m:sub>
            <m:r>
              <m:rPr>
                <m:sty m:val="p"/>
              </m:rPr>
              <w:rPr>
                <w:rFonts w:hint="eastAsia"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3"/>
        <w:tblW w:w="883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62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48"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数据/参数名称</w:t>
            </w:r>
          </w:p>
        </w:tc>
        <w:tc>
          <w:tcPr>
            <w:tcW w:w="6282"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m:oMathPara>
              <m:oMathParaPr>
                <m:jc m:val="center"/>
              </m:oMathParaP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hint="eastAsia" w:ascii="Cambria Math" w:hAnsi="Cambria Math"/>
                        <w:color w:val="000000" w:themeColor="text1"/>
                        <w:sz w:val="18"/>
                        <w:szCs w:val="18"/>
                        <w14:textFill>
                          <w14:solidFill>
                            <w14:schemeClr w14:val="tx1"/>
                          </w14:solidFill>
                        </w14:textFill>
                      </w:rPr>
                      <m:t>EG</m:t>
                    </m:r>
                    <m:ctrlPr>
                      <w:rPr>
                        <w:rFonts w:hint="eastAsia" w:ascii="Cambria Math" w:hAnsi="Cambria Math"/>
                        <w:color w:val="000000" w:themeColor="text1"/>
                        <w:sz w:val="18"/>
                        <w:szCs w:val="18"/>
                        <w14:textFill>
                          <w14:solidFill>
                            <w14:schemeClr w14:val="tx1"/>
                          </w14:solidFill>
                        </w14:textFill>
                      </w:rPr>
                    </m:ctrlPr>
                  </m:e>
                  <m:sub>
                    <m:r>
                      <m:rPr>
                        <m:sty m:val="p"/>
                      </m:rPr>
                      <w:rPr>
                        <w:rFonts w:hint="eastAsia"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48"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应用的公式编号</w:t>
            </w:r>
          </w:p>
        </w:tc>
        <w:tc>
          <w:tcPr>
            <w:tcW w:w="6282"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48"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数据描述</w:t>
            </w:r>
          </w:p>
        </w:tc>
        <w:tc>
          <w:tcPr>
            <w:tcW w:w="6282"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第y年项目的充电量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48"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数据单位</w:t>
            </w:r>
          </w:p>
        </w:tc>
        <w:tc>
          <w:tcPr>
            <w:tcW w:w="6282"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48"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数据来源</w:t>
            </w:r>
          </w:p>
        </w:tc>
        <w:tc>
          <w:tcPr>
            <w:tcW w:w="6282"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使用充电终端电能表计量，通过项目开发方平台监测获得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48"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监测点要求</w:t>
            </w:r>
          </w:p>
        </w:tc>
        <w:tc>
          <w:tcPr>
            <w:tcW w:w="6282"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内置于</w:t>
            </w:r>
            <w:r>
              <w:rPr>
                <w:rFonts w:hint="eastAsia" w:ascii="宋体" w:hAnsi="宋体"/>
                <w:color w:val="000000" w:themeColor="text1"/>
                <w:sz w:val="18"/>
                <w:szCs w:val="18"/>
                <w14:textFill>
                  <w14:solidFill>
                    <w14:schemeClr w14:val="tx1"/>
                  </w14:solidFill>
                </w14:textFill>
              </w:rPr>
              <w:t>充电终端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548"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监测仪表要求</w:t>
            </w:r>
          </w:p>
        </w:tc>
        <w:tc>
          <w:tcPr>
            <w:tcW w:w="6282" w:type="dxa"/>
            <w:vAlign w:val="center"/>
          </w:tcPr>
          <w:p>
            <w:pPr>
              <w:pStyle w:val="24"/>
              <w:widowControl w:val="0"/>
              <w:adjustRightInd w:val="0"/>
              <w:snapToGrid w:val="0"/>
              <w:jc w:val="both"/>
              <w:rPr>
                <w:rFonts w:hint="eastAsia"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充电终端内置电能表应符合国家及行业相关标准</w:t>
            </w:r>
            <w:r>
              <w:rPr>
                <w:rFonts w:hint="eastAsia" w:ascii="宋体" w:hAnsi="宋体"/>
                <w:color w:val="000000" w:themeColor="text1"/>
                <w:sz w:val="18"/>
                <w:szCs w:val="18"/>
                <w:lang w:eastAsia="zh-CN"/>
                <w14:textFill>
                  <w14:solidFill>
                    <w14:schemeClr w14:val="tx1"/>
                  </w14:solidFill>
                </w14:textFill>
              </w:rPr>
              <w:t>（</w:t>
            </w:r>
            <w:r>
              <w:rPr>
                <w:rFonts w:hint="eastAsia" w:ascii="宋体" w:hAnsi="宋体" w:eastAsia="宋体"/>
                <w:color w:val="000000" w:themeColor="text1"/>
                <w:sz w:val="18"/>
                <w:szCs w:val="18"/>
                <w14:textFill>
                  <w14:solidFill>
                    <w14:schemeClr w14:val="tx1"/>
                  </w14:solidFill>
                </w14:textFill>
              </w:rPr>
              <w:t>《GB/T 29318—2024 电动汽车非车载充电机电能计量》《GB/T 28569—2024 电动汽车交流充电桩电能计量》</w:t>
            </w:r>
            <w:r>
              <w:rPr>
                <w:rFonts w:hint="eastAsia" w:ascii="宋体" w:hAnsi="宋体"/>
                <w:color w:val="000000" w:themeColor="text1"/>
                <w:sz w:val="18"/>
                <w:szCs w:val="18"/>
                <w:lang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48"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监测程序与方法要求</w:t>
            </w:r>
          </w:p>
        </w:tc>
        <w:tc>
          <w:tcPr>
            <w:tcW w:w="6282"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详见7.2相关内容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48"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监测频次与记录要求</w:t>
            </w:r>
          </w:p>
        </w:tc>
        <w:tc>
          <w:tcPr>
            <w:tcW w:w="6282"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监测</w:t>
            </w:r>
            <w:r>
              <w:rPr>
                <w:rFonts w:hint="eastAsia" w:ascii="宋体" w:hAnsi="宋体"/>
                <w:color w:val="000000" w:themeColor="text1"/>
                <w:sz w:val="18"/>
                <w:szCs w:val="18"/>
                <w:lang w:val="en-US" w:eastAsia="zh-CN"/>
                <w14:textFill>
                  <w14:solidFill>
                    <w14:schemeClr w14:val="tx1"/>
                  </w14:solidFill>
                </w14:textFill>
              </w:rPr>
              <w:t>每次充电量</w:t>
            </w:r>
            <w:r>
              <w:rPr>
                <w:rFonts w:hint="eastAsia"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lang w:val="en-US" w:eastAsia="zh-CN"/>
                <w14:textFill>
                  <w14:solidFill>
                    <w14:schemeClr w14:val="tx1"/>
                  </w14:solidFill>
                </w14:textFill>
              </w:rPr>
              <w:t>并进行</w:t>
            </w:r>
            <w:r>
              <w:rPr>
                <w:rFonts w:hint="eastAsia" w:ascii="宋体" w:hAnsi="宋体"/>
                <w:color w:val="000000" w:themeColor="text1"/>
                <w:sz w:val="18"/>
                <w:szCs w:val="18"/>
                <w14:textFill>
                  <w14:solidFill>
                    <w14:schemeClr w14:val="tx1"/>
                  </w14:solidFill>
                </w14:textFill>
              </w:rPr>
              <w:t>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48"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质量保证/质量控制程序要求</w:t>
            </w:r>
          </w:p>
        </w:tc>
        <w:tc>
          <w:tcPr>
            <w:tcW w:w="6282"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eastAsia="宋体" w:cs="Times New Roman"/>
                <w:color w:val="000000" w:themeColor="text1"/>
                <w:kern w:val="0"/>
                <w:sz w:val="18"/>
                <w:szCs w:val="18"/>
                <w:lang w:val="en-US" w:eastAsia="zh-CN" w:bidi="ar"/>
                <w14:textFill>
                  <w14:solidFill>
                    <w14:schemeClr w14:val="tx1"/>
                  </w14:solidFill>
                </w14:textFill>
              </w:rPr>
              <w:t>定期对电能表进行校准维护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2548"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数据用途</w:t>
            </w:r>
          </w:p>
        </w:tc>
        <w:tc>
          <w:tcPr>
            <w:tcW w:w="6282"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计算项目基准线排放量、项目排放量</w:t>
            </w:r>
          </w:p>
        </w:tc>
      </w:tr>
    </w:tbl>
    <w:p>
      <w:pPr>
        <w:adjustRightInd w:val="0"/>
        <w:snapToGrid w:val="0"/>
        <w:jc w:val="center"/>
        <w:rPr>
          <w:rFonts w:hint="eastAsia" w:ascii="黑体" w:hAnsi="黑体" w:eastAsia="黑体" w:cs="黑体"/>
          <w:color w:val="000000" w:themeColor="text1"/>
          <w:szCs w:val="21"/>
          <w14:textFill>
            <w14:solidFill>
              <w14:schemeClr w14:val="tx1"/>
            </w14:solidFill>
          </w14:textFill>
        </w:rPr>
      </w:pPr>
    </w:p>
    <w:p>
      <w:pPr>
        <w:adjustRightInd w:val="0"/>
        <w:snapToGrid w:val="0"/>
        <w:spacing w:line="360" w:lineRule="auto"/>
        <w:jc w:val="left"/>
        <w:outlineLvl w:val="2"/>
        <w:rPr>
          <w:rFonts w:hint="eastAsia" w:ascii="黑体" w:hAnsi="黑体" w:eastAsia="黑体"/>
          <w:bCs/>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7.2 </w:t>
      </w:r>
      <w:r>
        <w:rPr>
          <w:rFonts w:hint="eastAsia" w:ascii="黑体" w:hAnsi="黑体" w:eastAsia="黑体"/>
          <w:szCs w:val="21"/>
        </w:rPr>
        <w:t>项目监测的数据管理要求</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（1）项目开发方应建立健全的数据管理体系，制定项目监测计划与实施要求。</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（2）建立内部管理制度，明确负责部门及其职责、具体工作要求。</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（3）数据监测方面，充电终端应符合《GB/T 29318—2024 电动汽车非车载充电机电能计量》《GB/T 28569—2024 电动汽车交流充电桩电能计量》等国家标准要求。数据质量保证与质量控制要求应与方法学监测参数要求保持一致。</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）项目设计和运行阶段产生的所有数据、信息均应以电子版或纸质版存档，存档</w:t>
      </w:r>
      <w:r>
        <w:rPr>
          <w:rFonts w:hint="eastAsia" w:ascii="宋体" w:hAnsi="宋体" w:eastAsia="宋体"/>
          <w:color w:val="000000" w:themeColor="text1"/>
          <w:szCs w:val="21"/>
          <w:lang w:val="en-US" w:eastAsia="zh-CN"/>
          <w14:textFill>
            <w14:solidFill>
              <w14:schemeClr w14:val="tx1"/>
            </w14:solidFill>
          </w14:textFill>
        </w:rPr>
        <w:t>周期应不少于项目结束后5</w:t>
      </w:r>
      <w:r>
        <w:rPr>
          <w:rFonts w:hint="eastAsia" w:ascii="宋体" w:hAnsi="宋体" w:eastAsia="宋体"/>
          <w:color w:val="000000" w:themeColor="text1"/>
          <w:szCs w:val="21"/>
          <w14:textFill>
            <w14:solidFill>
              <w14:schemeClr w14:val="tx1"/>
            </w14:solidFill>
          </w14:textFill>
        </w:rPr>
        <w:t>年，确保相关数据可被追溯。</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）项目开发方应将</w:t>
      </w:r>
      <w:r>
        <w:rPr>
          <w:rFonts w:hint="eastAsia" w:ascii="宋体" w:hAnsi="宋体" w:eastAsia="宋体"/>
          <w:color w:val="000000" w:themeColor="text1"/>
          <w:szCs w:val="21"/>
          <w:lang w:val="en-US" w:eastAsia="zh-CN"/>
          <w14:textFill>
            <w14:solidFill>
              <w14:schemeClr w14:val="tx1"/>
            </w14:solidFill>
          </w14:textFill>
        </w:rPr>
        <w:t>项目</w:t>
      </w:r>
      <w:r>
        <w:rPr>
          <w:rFonts w:hint="eastAsia" w:ascii="宋体" w:hAnsi="宋体" w:eastAsia="宋体"/>
          <w:color w:val="000000" w:themeColor="text1"/>
          <w:szCs w:val="21"/>
          <w14:textFill>
            <w14:solidFill>
              <w14:schemeClr w14:val="tx1"/>
            </w14:solidFill>
          </w14:textFill>
        </w:rPr>
        <w:t>相关数据及信息</w:t>
      </w:r>
      <w:r>
        <w:rPr>
          <w:rFonts w:hint="eastAsia" w:ascii="宋体" w:hAnsi="宋体" w:eastAsia="宋体"/>
          <w:color w:val="000000" w:themeColor="text1"/>
          <w:szCs w:val="21"/>
          <w:lang w:val="en-US" w:eastAsia="zh-CN"/>
          <w14:textFill>
            <w14:solidFill>
              <w14:schemeClr w14:val="tx1"/>
            </w14:solidFill>
          </w14:textFill>
        </w:rPr>
        <w:t>提交</w:t>
      </w:r>
      <w:r>
        <w:rPr>
          <w:rFonts w:hint="eastAsia" w:ascii="宋体" w:hAnsi="宋体" w:eastAsia="宋体"/>
          <w:color w:val="000000" w:themeColor="text1"/>
          <w:szCs w:val="21"/>
          <w14:textFill>
            <w14:solidFill>
              <w14:schemeClr w14:val="tx1"/>
            </w14:solidFill>
          </w14:textFill>
        </w:rPr>
        <w:t>至</w:t>
      </w:r>
      <w:r>
        <w:rPr>
          <w:rFonts w:hint="eastAsia" w:ascii="宋体" w:hAnsi="宋体" w:eastAsia="宋体"/>
          <w:color w:val="000000" w:themeColor="text1"/>
          <w:szCs w:val="21"/>
          <w:lang w:val="en-US" w:eastAsia="zh-CN"/>
          <w14:textFill>
            <w14:solidFill>
              <w14:schemeClr w14:val="tx1"/>
            </w14:solidFill>
          </w14:textFill>
        </w:rPr>
        <w:t>主管部门</w:t>
      </w:r>
      <w:r>
        <w:rPr>
          <w:rFonts w:hint="eastAsia" w:ascii="宋体" w:hAnsi="宋体" w:eastAsia="宋体"/>
          <w:color w:val="000000" w:themeColor="text1"/>
          <w:szCs w:val="21"/>
          <w14:textFill>
            <w14:solidFill>
              <w14:schemeClr w14:val="tx1"/>
            </w14:solidFill>
          </w14:textFill>
        </w:rPr>
        <w:t>。</w:t>
      </w:r>
    </w:p>
    <w:p>
      <w:pPr>
        <w:pStyle w:val="43"/>
        <w:spacing w:before="313" w:beforeLines="100" w:after="313" w:afterLines="100"/>
      </w:pPr>
      <w:r>
        <w:rPr>
          <w:rFonts w:hint="eastAsia" w:ascii="黑体" w:hAnsi="黑体" w:eastAsia="黑体"/>
          <w:szCs w:val="21"/>
        </w:rPr>
        <w:t>8</w:t>
      </w:r>
      <w:r>
        <w:rPr>
          <w:rFonts w:hint="eastAsia" w:hAnsi="黑体"/>
          <w:szCs w:val="21"/>
          <w:lang w:val="en-US" w:eastAsia="zh-CN"/>
        </w:rPr>
        <w:t xml:space="preserve"> </w:t>
      </w:r>
      <w:r>
        <w:rPr>
          <w:rFonts w:hint="eastAsia"/>
        </w:rPr>
        <w:t>项目</w:t>
      </w:r>
      <w:r>
        <w:rPr>
          <w:rFonts w:hint="eastAsia"/>
          <w:lang w:val="en-US" w:eastAsia="zh-CN"/>
        </w:rPr>
        <w:t>组织</w:t>
      </w:r>
      <w:r>
        <w:rPr>
          <w:rFonts w:hint="eastAsia"/>
        </w:rPr>
        <w:t>实施与收益管理</w:t>
      </w:r>
    </w:p>
    <w:p>
      <w:pPr>
        <w:numPr>
          <w:ilvl w:val="0"/>
          <w:numId w:val="1"/>
        </w:numPr>
        <w:adjustRightInd w:val="0"/>
        <w:snapToGrid w:val="0"/>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项目</w:t>
      </w:r>
      <w:r>
        <w:rPr>
          <w:rFonts w:hint="eastAsia" w:ascii="宋体" w:hAnsi="宋体" w:eastAsia="宋体" w:cs="宋体"/>
          <w:color w:val="000000" w:themeColor="text1"/>
          <w:lang w:val="en-US" w:eastAsia="zh-CN"/>
          <w14:textFill>
            <w14:solidFill>
              <w14:schemeClr w14:val="tx1"/>
            </w14:solidFill>
          </w14:textFill>
        </w:rPr>
        <w:t>组织</w:t>
      </w:r>
      <w:r>
        <w:rPr>
          <w:rFonts w:hint="eastAsia" w:ascii="宋体" w:hAnsi="宋体" w:eastAsia="宋体" w:cs="宋体"/>
          <w:color w:val="000000" w:themeColor="text1"/>
          <w14:textFill>
            <w14:solidFill>
              <w14:schemeClr w14:val="tx1"/>
            </w14:solidFill>
          </w14:textFill>
        </w:rPr>
        <w:t>实施：项目开发方应制定项目</w:t>
      </w:r>
      <w:r>
        <w:rPr>
          <w:rFonts w:hint="eastAsia" w:ascii="宋体" w:hAnsi="宋体" w:eastAsia="宋体" w:cs="宋体"/>
          <w:color w:val="000000" w:themeColor="text1"/>
          <w:lang w:val="en-US" w:eastAsia="zh-CN"/>
          <w14:textFill>
            <w14:solidFill>
              <w14:schemeClr w14:val="tx1"/>
            </w14:solidFill>
          </w14:textFill>
        </w:rPr>
        <w:t>组织实施方案，包括项目公益性承诺、组织机构及人员保障、项目实施管理和项目成本预测等内容。</w:t>
      </w:r>
    </w:p>
    <w:p>
      <w:pPr>
        <w:numPr>
          <w:ilvl w:val="0"/>
          <w:numId w:val="1"/>
        </w:numPr>
        <w:adjustRightInd w:val="0"/>
        <w:snapToGrid w:val="0"/>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项目收益管理：</w:t>
      </w:r>
      <w:r>
        <w:rPr>
          <w:rFonts w:hint="eastAsia" w:ascii="宋体" w:hAnsi="宋体" w:eastAsia="宋体" w:cs="宋体"/>
          <w:color w:val="000000" w:themeColor="text1"/>
          <w14:textFill>
            <w14:solidFill>
              <w14:schemeClr w14:val="tx1"/>
            </w14:solidFill>
          </w14:textFill>
        </w:rPr>
        <w:t>项目开发方应制定项目收益管理方案，原则上出售减排量获得的收益扣除项目管理费后全部反馈注册参与用户。</w:t>
      </w:r>
    </w:p>
    <w:p>
      <w:pPr>
        <w:adjustRightInd w:val="0"/>
        <w:snapToGrid w:val="0"/>
        <w:spacing w:before="240" w:beforeLines="100" w:line="360" w:lineRule="auto"/>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9 项目核查要求</w:t>
      </w:r>
    </w:p>
    <w:p>
      <w:pPr>
        <w:adjustRightInd w:val="0"/>
        <w:snapToGrid w:val="0"/>
        <w:spacing w:line="360" w:lineRule="auto"/>
        <w:outlineLvl w:val="2"/>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9.1</w:t>
      </w:r>
      <w:r>
        <w:rPr>
          <w:rFonts w:hint="eastAsia" w:ascii="黑体" w:hAnsi="黑体" w:eastAsia="黑体" w:cs="黑体"/>
        </w:rPr>
        <w:t>项目适用条件的核查要点</w:t>
      </w:r>
    </w:p>
    <w:p>
      <w:pPr>
        <w:adjustRightInd w:val="0"/>
        <w:snapToGrid w:val="0"/>
        <w:spacing w:line="240" w:lineRule="auto"/>
        <w:ind w:firstLine="420" w:firstLineChars="0"/>
        <w:outlineLvl w:val="2"/>
        <w:rPr>
          <w:rFonts w:hint="eastAsia" w:ascii="宋体" w:hAnsi="宋体" w:eastAsia="宋体" w:cs="宋体"/>
          <w:lang w:val="en-US" w:eastAsia="zh-CN"/>
        </w:rPr>
      </w:pPr>
      <w:r>
        <w:rPr>
          <w:rFonts w:hint="eastAsia" w:ascii="宋体" w:hAnsi="宋体" w:eastAsia="宋体" w:cs="宋体"/>
          <w:lang w:val="en-US" w:eastAsia="zh-CN"/>
        </w:rPr>
        <w:t>对方法学的适用条件逐条核查，重点确认以下内容：</w:t>
      </w:r>
    </w:p>
    <w:p>
      <w:pPr>
        <w:adjustRightInd w:val="0"/>
        <w:snapToGrid w:val="0"/>
        <w:spacing w:line="240" w:lineRule="auto"/>
        <w:ind w:firstLine="420" w:firstLineChars="0"/>
        <w:outlineLvl w:val="2"/>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szCs w:val="21"/>
        </w:rPr>
        <w:t>查阅营业执照</w:t>
      </w:r>
      <w:r>
        <w:rPr>
          <w:rFonts w:hint="eastAsia" w:ascii="宋体" w:hAnsi="宋体" w:eastAsia="宋体" w:cs="宋体"/>
          <w:color w:val="auto"/>
          <w:szCs w:val="21"/>
        </w:rPr>
        <w:t>等文件</w:t>
      </w:r>
      <w:r>
        <w:rPr>
          <w:rFonts w:hint="eastAsia" w:ascii="宋体" w:hAnsi="宋体" w:eastAsia="宋体" w:cs="宋体"/>
          <w:szCs w:val="21"/>
        </w:rPr>
        <w:t>，</w:t>
      </w:r>
      <w:r>
        <w:rPr>
          <w:rFonts w:hint="eastAsia" w:ascii="宋体" w:hAnsi="宋体" w:eastAsia="宋体" w:cs="宋体"/>
          <w:color w:val="auto"/>
          <w:szCs w:val="21"/>
          <w:lang w:val="en-US" w:eastAsia="zh-CN"/>
        </w:rPr>
        <w:t>确定</w:t>
      </w:r>
      <w:r>
        <w:rPr>
          <w:rFonts w:hint="eastAsia" w:ascii="宋体" w:hAnsi="宋体" w:eastAsia="宋体" w:cs="宋体"/>
          <w:szCs w:val="21"/>
          <w:lang w:val="en-US" w:eastAsia="zh-CN"/>
        </w:rPr>
        <w:t>是否</w:t>
      </w:r>
      <w:r>
        <w:rPr>
          <w:rFonts w:hint="eastAsia" w:ascii="宋体" w:hAnsi="宋体" w:eastAsia="宋体" w:cs="宋体"/>
          <w:szCs w:val="21"/>
        </w:rPr>
        <w:t>为经营性集中式公共充电终端</w:t>
      </w:r>
      <w:r>
        <w:rPr>
          <w:rFonts w:hint="eastAsia" w:ascii="宋体" w:hAnsi="宋体" w:eastAsia="宋体" w:cs="宋体"/>
          <w:szCs w:val="21"/>
          <w:lang w:eastAsia="zh-CN"/>
        </w:rPr>
        <w:t>。</w:t>
      </w:r>
    </w:p>
    <w:p>
      <w:pPr>
        <w:adjustRightInd w:val="0"/>
        <w:snapToGrid w:val="0"/>
        <w:spacing w:line="24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szCs w:val="21"/>
        </w:rPr>
        <w:t>查阅项</w:t>
      </w:r>
      <w:r>
        <w:rPr>
          <w:rFonts w:hint="eastAsia" w:ascii="宋体" w:hAnsi="宋体" w:eastAsia="宋体" w:cs="宋体"/>
          <w:szCs w:val="21"/>
          <w:lang w:val="en-US" w:eastAsia="zh-CN"/>
        </w:rPr>
        <w:t>目</w:t>
      </w:r>
      <w:r>
        <w:rPr>
          <w:rFonts w:hint="eastAsia" w:ascii="宋体" w:hAnsi="宋体" w:eastAsia="宋体" w:cs="宋体"/>
          <w:color w:val="000000" w:themeColor="text1"/>
          <w:szCs w:val="21"/>
          <w14:textFill>
            <w14:solidFill>
              <w14:schemeClr w14:val="tx1"/>
            </w14:solidFill>
          </w14:textFill>
        </w:rPr>
        <w:t>绿</w:t>
      </w:r>
      <w:r>
        <w:rPr>
          <w:rFonts w:hint="eastAsia" w:ascii="宋体" w:hAnsi="宋体" w:eastAsia="宋体" w:cs="宋体"/>
          <w:color w:val="000000" w:themeColor="text1"/>
          <w:szCs w:val="21"/>
          <w:lang w:val="en-US" w:eastAsia="zh-CN"/>
          <w14:textFill>
            <w14:solidFill>
              <w14:schemeClr w14:val="tx1"/>
            </w14:solidFill>
          </w14:textFill>
        </w:rPr>
        <w:t>色</w:t>
      </w:r>
      <w:r>
        <w:rPr>
          <w:rFonts w:hint="eastAsia" w:ascii="宋体" w:hAnsi="宋体" w:eastAsia="宋体" w:cs="宋体"/>
          <w:color w:val="000000" w:themeColor="text1"/>
          <w:szCs w:val="21"/>
          <w14:textFill>
            <w14:solidFill>
              <w14:schemeClr w14:val="tx1"/>
            </w14:solidFill>
          </w14:textFill>
        </w:rPr>
        <w:t>电</w:t>
      </w:r>
      <w:r>
        <w:rPr>
          <w:rFonts w:hint="eastAsia" w:ascii="宋体" w:hAnsi="宋体" w:eastAsia="宋体" w:cs="宋体"/>
          <w:color w:val="000000" w:themeColor="text1"/>
          <w:szCs w:val="21"/>
          <w:lang w:val="en-US" w:eastAsia="zh-CN"/>
          <w14:textFill>
            <w14:solidFill>
              <w14:schemeClr w14:val="tx1"/>
            </w14:solidFill>
          </w14:textFill>
        </w:rPr>
        <w:t>力</w:t>
      </w:r>
      <w:r>
        <w:rPr>
          <w:rFonts w:hint="eastAsia" w:ascii="宋体" w:hAnsi="宋体" w:eastAsia="宋体" w:cs="宋体"/>
          <w:color w:val="000000" w:themeColor="text1"/>
          <w:szCs w:val="21"/>
          <w14:textFill>
            <w14:solidFill>
              <w14:schemeClr w14:val="tx1"/>
            </w14:solidFill>
          </w14:textFill>
        </w:rPr>
        <w:t>消费凭证、绿</w:t>
      </w:r>
      <w:r>
        <w:rPr>
          <w:rFonts w:hint="eastAsia" w:ascii="宋体" w:hAnsi="宋体" w:eastAsia="宋体" w:cs="宋体"/>
          <w:color w:val="000000" w:themeColor="text1"/>
          <w:szCs w:val="21"/>
          <w:lang w:val="en-US" w:eastAsia="zh-CN"/>
          <w14:textFill>
            <w14:solidFill>
              <w14:schemeClr w14:val="tx1"/>
            </w14:solidFill>
          </w14:textFill>
        </w:rPr>
        <w:t>色</w:t>
      </w:r>
      <w:r>
        <w:rPr>
          <w:rFonts w:hint="eastAsia" w:ascii="宋体" w:hAnsi="宋体" w:eastAsia="宋体" w:cs="宋体"/>
          <w:color w:val="000000" w:themeColor="text1"/>
          <w:szCs w:val="21"/>
          <w14:textFill>
            <w14:solidFill>
              <w14:schemeClr w14:val="tx1"/>
            </w14:solidFill>
          </w14:textFill>
        </w:rPr>
        <w:t>电</w:t>
      </w:r>
      <w:r>
        <w:rPr>
          <w:rFonts w:hint="eastAsia" w:ascii="宋体" w:hAnsi="宋体" w:eastAsia="宋体" w:cs="宋体"/>
          <w:color w:val="000000" w:themeColor="text1"/>
          <w:szCs w:val="21"/>
          <w:lang w:val="en-US" w:eastAsia="zh-CN"/>
          <w14:textFill>
            <w14:solidFill>
              <w14:schemeClr w14:val="tx1"/>
            </w14:solidFill>
          </w14:textFill>
        </w:rPr>
        <w:t>力</w:t>
      </w:r>
      <w:r>
        <w:rPr>
          <w:rFonts w:hint="eastAsia" w:ascii="宋体" w:hAnsi="宋体" w:eastAsia="宋体" w:cs="宋体"/>
          <w:color w:val="000000" w:themeColor="text1"/>
          <w:szCs w:val="21"/>
          <w14:textFill>
            <w14:solidFill>
              <w14:schemeClr w14:val="tx1"/>
            </w14:solidFill>
          </w14:textFill>
        </w:rPr>
        <w:t>消费</w:t>
      </w:r>
      <w:r>
        <w:rPr>
          <w:rFonts w:hint="eastAsia" w:ascii="宋体" w:hAnsi="宋体" w:eastAsia="宋体" w:cs="宋体"/>
          <w:color w:val="000000" w:themeColor="text1"/>
          <w:szCs w:val="21"/>
          <w:lang w:val="en-US" w:eastAsia="zh-CN"/>
          <w14:textFill>
            <w14:solidFill>
              <w14:schemeClr w14:val="tx1"/>
            </w14:solidFill>
          </w14:textFill>
        </w:rPr>
        <w:t>结</w:t>
      </w:r>
      <w:r>
        <w:rPr>
          <w:rFonts w:hint="eastAsia" w:ascii="宋体" w:hAnsi="宋体" w:eastAsia="宋体" w:cs="宋体"/>
          <w:color w:val="000000" w:themeColor="text1"/>
          <w:szCs w:val="21"/>
          <w14:textFill>
            <w14:solidFill>
              <w14:schemeClr w14:val="tx1"/>
            </w14:solidFill>
          </w14:textFill>
        </w:rPr>
        <w:t>算单、绿</w:t>
      </w:r>
      <w:r>
        <w:rPr>
          <w:rFonts w:hint="eastAsia" w:ascii="宋体" w:hAnsi="宋体" w:eastAsia="宋体" w:cs="宋体"/>
          <w:color w:val="000000" w:themeColor="text1"/>
          <w:szCs w:val="21"/>
          <w:lang w:val="en-US" w:eastAsia="zh-CN"/>
          <w14:textFill>
            <w14:solidFill>
              <w14:schemeClr w14:val="tx1"/>
            </w14:solidFill>
          </w14:textFill>
        </w:rPr>
        <w:t>色</w:t>
      </w:r>
      <w:r>
        <w:rPr>
          <w:rFonts w:hint="eastAsia" w:ascii="宋体" w:hAnsi="宋体" w:eastAsia="宋体" w:cs="宋体"/>
          <w:color w:val="000000" w:themeColor="text1"/>
          <w:szCs w:val="21"/>
          <w14:textFill>
            <w14:solidFill>
              <w14:schemeClr w14:val="tx1"/>
            </w14:solidFill>
          </w14:textFill>
        </w:rPr>
        <w:t>电</w:t>
      </w:r>
      <w:r>
        <w:rPr>
          <w:rFonts w:hint="eastAsia" w:ascii="宋体" w:hAnsi="宋体" w:eastAsia="宋体" w:cs="宋体"/>
          <w:color w:val="000000" w:themeColor="text1"/>
          <w:szCs w:val="21"/>
          <w:lang w:val="en-US" w:eastAsia="zh-CN"/>
          <w14:textFill>
            <w14:solidFill>
              <w14:schemeClr w14:val="tx1"/>
            </w14:solidFill>
          </w14:textFill>
        </w:rPr>
        <w:t>力</w:t>
      </w:r>
      <w:r>
        <w:rPr>
          <w:rFonts w:hint="eastAsia" w:ascii="宋体" w:hAnsi="宋体" w:eastAsia="宋体" w:cs="宋体"/>
          <w:color w:val="000000" w:themeColor="text1"/>
          <w:szCs w:val="21"/>
          <w14:textFill>
            <w14:solidFill>
              <w14:schemeClr w14:val="tx1"/>
            </w14:solidFill>
          </w14:textFill>
        </w:rPr>
        <w:t>购买合同</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电费账单等文件</w:t>
      </w:r>
      <w:r>
        <w:rPr>
          <w:rFonts w:hint="eastAsia" w:ascii="宋体" w:hAnsi="宋体" w:eastAsia="宋体" w:cs="宋体"/>
          <w:szCs w:val="21"/>
        </w:rPr>
        <w:t>，</w:t>
      </w:r>
      <w:r>
        <w:rPr>
          <w:rFonts w:hint="eastAsia" w:ascii="宋体" w:hAnsi="宋体" w:eastAsia="宋体" w:cs="宋体"/>
          <w:color w:val="000000" w:themeColor="text1"/>
          <w:szCs w:val="21"/>
          <w:lang w:val="en-US" w:eastAsia="zh-CN"/>
          <w14:textFill>
            <w14:solidFill>
              <w14:schemeClr w14:val="tx1"/>
            </w14:solidFill>
          </w14:textFill>
        </w:rPr>
        <w:t>确定充电终端提供的电力</w:t>
      </w:r>
      <w:r>
        <w:rPr>
          <w:rFonts w:hint="eastAsia" w:ascii="宋体" w:hAnsi="宋体" w:eastAsia="宋体" w:cs="宋体"/>
          <w:szCs w:val="21"/>
          <w:lang w:val="en-US" w:eastAsia="zh-CN"/>
        </w:rPr>
        <w:t>是否</w:t>
      </w:r>
      <w:r>
        <w:rPr>
          <w:rFonts w:hint="eastAsia" w:ascii="宋体" w:hAnsi="宋体" w:eastAsia="宋体" w:cs="宋体"/>
          <w:szCs w:val="21"/>
          <w:lang w:eastAsia="zh-CN"/>
        </w:rPr>
        <w:t>全部是绿</w:t>
      </w:r>
      <w:r>
        <w:rPr>
          <w:rFonts w:hint="eastAsia" w:ascii="宋体" w:hAnsi="宋体" w:eastAsia="宋体" w:cs="宋体"/>
          <w:szCs w:val="21"/>
          <w:lang w:val="en-US" w:eastAsia="zh-CN"/>
        </w:rPr>
        <w:t>色电力</w:t>
      </w:r>
      <w:r>
        <w:rPr>
          <w:rFonts w:hint="eastAsia" w:ascii="宋体" w:hAnsi="宋体" w:eastAsia="宋体" w:cs="宋体"/>
          <w:szCs w:val="21"/>
          <w:lang w:eastAsia="zh-CN"/>
        </w:rPr>
        <w:t>。</w:t>
      </w:r>
    </w:p>
    <w:p>
      <w:pPr>
        <w:adjustRightInd w:val="0"/>
        <w:snapToGrid w:val="0"/>
        <w:spacing w:before="240" w:beforeLines="100" w:line="360" w:lineRule="auto"/>
        <w:outlineLvl w:val="2"/>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9.2 项目边界</w:t>
      </w:r>
      <w:r>
        <w:rPr>
          <w:rFonts w:hint="eastAsia" w:ascii="黑体" w:hAnsi="黑体" w:eastAsia="黑体" w:cs="黑体"/>
        </w:rPr>
        <w:t>的核查要点</w:t>
      </w:r>
    </w:p>
    <w:p>
      <w:pPr>
        <w:adjustRightInd w:val="0"/>
        <w:snapToGrid w:val="0"/>
        <w:spacing w:line="360" w:lineRule="auto"/>
        <w:ind w:firstLine="420" w:firstLineChars="0"/>
        <w:outlineLvl w:val="2"/>
        <w:rPr>
          <w:rFonts w:hint="eastAsia" w:ascii="宋体" w:hAnsi="宋体" w:eastAsia="宋体" w:cs="宋体"/>
          <w:szCs w:val="22"/>
          <w:lang w:eastAsia="zh-CN"/>
        </w:rPr>
      </w:pPr>
      <w:r>
        <w:rPr>
          <w:rFonts w:hint="eastAsia" w:ascii="宋体" w:hAnsi="宋体" w:eastAsia="宋体" w:cs="宋体"/>
          <w:szCs w:val="22"/>
        </w:rPr>
        <w:t>查阅营业执照等文件</w:t>
      </w:r>
      <w:r>
        <w:rPr>
          <w:rFonts w:hint="eastAsia" w:ascii="宋体" w:hAnsi="宋体" w:eastAsia="宋体" w:cs="宋体"/>
          <w:szCs w:val="22"/>
          <w:lang w:eastAsia="zh-CN"/>
        </w:rPr>
        <w:t>，</w:t>
      </w:r>
      <w:r>
        <w:rPr>
          <w:rFonts w:hint="eastAsia" w:ascii="宋体" w:hAnsi="宋体" w:eastAsia="宋体" w:cs="宋体"/>
          <w:szCs w:val="22"/>
        </w:rPr>
        <w:t>确定</w:t>
      </w:r>
      <w:r>
        <w:rPr>
          <w:rFonts w:hint="eastAsia" w:ascii="宋体" w:hAnsi="宋体" w:eastAsia="宋体" w:cs="宋体"/>
          <w:szCs w:val="22"/>
          <w:lang w:val="en-US" w:eastAsia="zh-CN"/>
        </w:rPr>
        <w:t>提供100%绿色电力的充电终端是否</w:t>
      </w:r>
      <w:r>
        <w:rPr>
          <w:rFonts w:hint="eastAsia" w:ascii="宋体" w:hAnsi="宋体" w:eastAsia="宋体" w:cs="宋体"/>
          <w:szCs w:val="22"/>
        </w:rPr>
        <w:t>位于北京市行政区域范围内</w:t>
      </w:r>
      <w:r>
        <w:rPr>
          <w:rFonts w:hint="eastAsia" w:ascii="宋体" w:hAnsi="宋体" w:eastAsia="宋体" w:cs="宋体"/>
          <w:szCs w:val="22"/>
          <w:lang w:eastAsia="zh-CN"/>
        </w:rPr>
        <w:t>。</w:t>
      </w:r>
    </w:p>
    <w:p>
      <w:pPr>
        <w:adjustRightInd w:val="0"/>
        <w:snapToGrid w:val="0"/>
        <w:spacing w:line="360" w:lineRule="auto"/>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9.3 项目计入期</w:t>
      </w:r>
      <w:r>
        <w:rPr>
          <w:rFonts w:hint="eastAsia" w:ascii="黑体" w:hAnsi="黑体" w:eastAsia="黑体" w:cs="黑体"/>
        </w:rPr>
        <w:t>的核查要点</w:t>
      </w:r>
    </w:p>
    <w:p>
      <w:pPr>
        <w:adjustRightInd w:val="0"/>
        <w:snapToGrid w:val="0"/>
        <w:spacing w:line="240" w:lineRule="auto"/>
        <w:ind w:firstLine="420" w:firstLineChars="0"/>
        <w:outlineLvl w:val="2"/>
        <w:rPr>
          <w:rFonts w:hint="eastAsia" w:ascii="宋体" w:hAnsi="宋体" w:eastAsia="宋体" w:cs="宋体"/>
          <w:szCs w:val="22"/>
        </w:rPr>
      </w:pPr>
      <w:r>
        <w:rPr>
          <w:rFonts w:hint="eastAsia" w:ascii="宋体" w:hAnsi="宋体" w:eastAsia="宋体" w:cs="宋体"/>
          <w:szCs w:val="22"/>
        </w:rPr>
        <w:t>查阅项目设计文件、大数据</w:t>
      </w:r>
      <w:r>
        <w:rPr>
          <w:rFonts w:hint="eastAsia" w:ascii="宋体" w:hAnsi="宋体" w:eastAsia="宋体" w:cs="宋体"/>
          <w:szCs w:val="22"/>
          <w:lang w:val="en-US" w:eastAsia="zh-CN"/>
        </w:rPr>
        <w:t>平台</w:t>
      </w:r>
      <w:r>
        <w:rPr>
          <w:rFonts w:hint="eastAsia" w:ascii="宋体" w:hAnsi="宋体" w:eastAsia="宋体" w:cs="宋体"/>
          <w:szCs w:val="22"/>
        </w:rPr>
        <w:t>监测信息等资料，核实项目开始时间、项目计入期是否符合本文件5.2的要求。</w:t>
      </w:r>
    </w:p>
    <w:p>
      <w:pPr>
        <w:adjustRightInd w:val="0"/>
        <w:snapToGrid w:val="0"/>
        <w:spacing w:line="360" w:lineRule="auto"/>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9.4 项目减排量核算</w:t>
      </w:r>
      <w:r>
        <w:rPr>
          <w:rFonts w:hint="eastAsia" w:ascii="黑体" w:hAnsi="黑体" w:eastAsia="黑体" w:cs="黑体"/>
        </w:rPr>
        <w:t>的核查要点</w:t>
      </w:r>
    </w:p>
    <w:p>
      <w:pPr>
        <w:adjustRightInd w:val="0"/>
        <w:snapToGrid w:val="0"/>
        <w:spacing w:line="24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查阅项目开发方平台中监测数据等文件，审核</w:t>
      </w:r>
      <w:r>
        <w:rPr>
          <w:rFonts w:hint="eastAsia" w:ascii="宋体" w:hAnsi="宋体" w:eastAsia="宋体"/>
          <w:color w:val="000000" w:themeColor="text1"/>
          <w:szCs w:val="21"/>
          <w14:textFill>
            <w14:solidFill>
              <w14:schemeClr w14:val="tx1"/>
            </w14:solidFill>
          </w14:textFill>
        </w:rPr>
        <w:t>项目边界内</w:t>
      </w:r>
      <w:r>
        <w:rPr>
          <w:rFonts w:hint="eastAsia" w:ascii="宋体" w:hAnsi="宋体" w:eastAsia="宋体"/>
          <w:color w:val="000000" w:themeColor="text1"/>
          <w:szCs w:val="21"/>
          <w:lang w:val="en-US" w:eastAsia="zh-CN"/>
          <w14:textFill>
            <w14:solidFill>
              <w14:schemeClr w14:val="tx1"/>
            </w14:solidFill>
          </w14:textFill>
        </w:rPr>
        <w:t>新能源</w:t>
      </w:r>
      <w:r>
        <w:rPr>
          <w:rFonts w:hint="eastAsia" w:ascii="宋体" w:hAnsi="宋体" w:eastAsia="宋体"/>
          <w:color w:val="000000" w:themeColor="text1"/>
          <w:szCs w:val="21"/>
          <w14:textFill>
            <w14:solidFill>
              <w14:schemeClr w14:val="tx1"/>
            </w14:solidFill>
          </w14:textFill>
        </w:rPr>
        <w:t>汽车利用充电终端充电电量</w:t>
      </w:r>
      <w:r>
        <w:rPr>
          <w:rFonts w:hint="eastAsia" w:ascii="宋体" w:hAnsi="宋体" w:eastAsia="宋体"/>
          <w:color w:val="000000" w:themeColor="text1"/>
          <w:szCs w:val="21"/>
          <w:lang w:val="en-US" w:eastAsia="zh-CN"/>
          <w14:textFill>
            <w14:solidFill>
              <w14:schemeClr w14:val="tx1"/>
            </w14:solidFill>
          </w14:textFill>
        </w:rPr>
        <w:t>监测数据</w:t>
      </w:r>
      <w:r>
        <w:rPr>
          <w:rFonts w:hint="eastAsia" w:ascii="宋体" w:hAnsi="宋体" w:eastAsia="宋体"/>
          <w:color w:val="000000" w:themeColor="text1"/>
          <w:szCs w:val="21"/>
          <w14:textFill>
            <w14:solidFill>
              <w14:schemeClr w14:val="tx1"/>
            </w14:solidFill>
          </w14:textFill>
        </w:rPr>
        <w:t>，确定项目减排量数据准确性。</w:t>
      </w:r>
    </w:p>
    <w:p>
      <w:pPr>
        <w:keepNext w:val="0"/>
        <w:keepLines w:val="0"/>
        <w:widowControl/>
        <w:suppressLineNumbers w:val="0"/>
        <w:spacing w:before="313" w:beforeLines="100"/>
        <w:jc w:val="left"/>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9.5 项目监测和数据管理的核查要点</w:t>
      </w:r>
    </w:p>
    <w:p>
      <w:pPr>
        <w:keepNext w:val="0"/>
        <w:keepLines w:val="0"/>
        <w:widowControl/>
        <w:suppressLineNumbers w:val="0"/>
        <w:spacing w:before="313" w:beforeLines="100"/>
        <w:ind w:firstLine="420" w:firstLineChars="200"/>
        <w:jc w:val="left"/>
        <w:rPr>
          <w:rFonts w:hint="eastAsia" w:ascii="黑体" w:hAnsi="黑体" w:eastAsia="黑体"/>
          <w:color w:val="000000" w:themeColor="text1"/>
          <w:szCs w:val="21"/>
          <w14:textFill>
            <w14:solidFill>
              <w14:schemeClr w14:val="tx1"/>
            </w14:solidFill>
          </w14:textFill>
        </w:rPr>
      </w:pPr>
      <w:r>
        <w:rPr>
          <w:rFonts w:hint="eastAsia" w:ascii="宋体" w:hAnsi="宋体" w:eastAsia="宋体" w:cs="宋体"/>
          <w:color w:val="000000"/>
          <w:kern w:val="0"/>
          <w:sz w:val="21"/>
          <w:szCs w:val="21"/>
          <w:lang w:val="en-US" w:eastAsia="zh-CN" w:bidi="ar"/>
        </w:rPr>
        <w:t>查阅项目设计文件、减排量核算报告、监测计量点位图、计量装置检定（校准）报告等相关证据材料，以及现场走访查看电能表的安装位置、精度、个数等，确定项目设计文件、监测计划描述的准确性，核实项目业主是否按照监测计划实施监测。</w:t>
      </w:r>
    </w:p>
    <w:p>
      <w:pPr>
        <w:keepNext w:val="0"/>
        <w:keepLines w:val="0"/>
        <w:widowControl/>
        <w:suppressLineNumbers w:val="0"/>
        <w:spacing w:before="313" w:beforeLines="100"/>
        <w:jc w:val="left"/>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9.6 项目组织实施方案核查要点</w:t>
      </w:r>
    </w:p>
    <w:p>
      <w:pPr>
        <w:keepNext w:val="0"/>
        <w:keepLines w:val="0"/>
        <w:widowControl/>
        <w:suppressLineNumbers w:val="0"/>
        <w:spacing w:before="313" w:beforeLines="100"/>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查阅项目设计文件、组织实施方案及其执行过程中的相关证据，核实项目组织实施方案的有效性及其执行情况。</w:t>
      </w:r>
    </w:p>
    <w:p>
      <w:pPr>
        <w:keepNext w:val="0"/>
        <w:keepLines w:val="0"/>
        <w:widowControl/>
        <w:suppressLineNumbers w:val="0"/>
        <w:spacing w:before="313" w:beforeLines="100"/>
        <w:jc w:val="left"/>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9.7 项目收益管理方案核查要点</w:t>
      </w:r>
    </w:p>
    <w:p>
      <w:pPr>
        <w:keepNext w:val="0"/>
        <w:keepLines w:val="0"/>
        <w:widowControl/>
        <w:suppressLineNumbers w:val="0"/>
        <w:spacing w:before="313" w:beforeLines="100"/>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查阅项目设计文件、收益管理方案及其执行过程中的相关证据，核实项目是否按照收益管理方案反馈注册参与用户。</w:t>
      </w:r>
    </w:p>
    <w:p>
      <w:pPr>
        <w:pStyle w:val="43"/>
        <w:spacing w:before="120" w:after="120"/>
        <w:rPr>
          <w:rFonts w:hint="eastAsia" w:hAnsi="黑体"/>
          <w:b/>
          <w:bCs/>
          <w:color w:val="000000" w:themeColor="text1"/>
          <w14:textFill>
            <w14:solidFill>
              <w14:schemeClr w14:val="tx1"/>
            </w14:solidFill>
          </w14:textFill>
        </w:rPr>
      </w:pPr>
      <w:r>
        <w:rPr>
          <w:rFonts w:hint="eastAsia" w:hAnsi="黑体"/>
          <w:color w:val="000000" w:themeColor="text1"/>
          <w14:textFill>
            <w14:solidFill>
              <w14:schemeClr w14:val="tx1"/>
            </w14:solidFill>
          </w14:textFill>
        </w:rPr>
        <w:t>9.</w:t>
      </w:r>
      <w:r>
        <w:rPr>
          <w:rFonts w:hint="eastAsia" w:hAnsi="黑体"/>
          <w:color w:val="000000" w:themeColor="text1"/>
          <w:lang w:val="en-US" w:eastAsia="zh-CN"/>
          <w14:textFill>
            <w14:solidFill>
              <w14:schemeClr w14:val="tx1"/>
            </w14:solidFill>
          </w14:textFill>
        </w:rPr>
        <w:t xml:space="preserve">8 </w:t>
      </w:r>
      <w:r>
        <w:rPr>
          <w:rFonts w:hint="eastAsia" w:hAnsi="黑体"/>
        </w:rPr>
        <w:t>参数的核查要点及方法</w:t>
      </w:r>
    </w:p>
    <w:p>
      <w:pPr>
        <w:adjustRightInd w:val="0"/>
        <w:snapToGrid w:val="0"/>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参数确定的要点及方法见下表。</w:t>
      </w:r>
    </w:p>
    <w:p>
      <w:pPr>
        <w:spacing w:line="360" w:lineRule="auto"/>
        <w:jc w:val="center"/>
        <w:rPr>
          <w:rFonts w:hint="eastAsia"/>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 xml:space="preserve"> 参数确定的要点及方法</w:t>
      </w:r>
    </w:p>
    <w:tbl>
      <w:tblPr>
        <w:tblStyle w:val="13"/>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783"/>
        <w:gridCol w:w="3135"/>
        <w:gridCol w:w="4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Borders>
              <w:top w:val="single" w:color="auto" w:sz="4" w:space="0"/>
              <w:left w:val="single" w:color="auto" w:sz="4" w:space="0"/>
              <w:bottom w:val="single" w:color="auto" w:sz="4" w:space="0"/>
              <w:right w:val="single" w:color="auto" w:sz="4" w:space="0"/>
              <w:tl2br w:val="nil"/>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序号</w:t>
            </w:r>
          </w:p>
        </w:tc>
        <w:tc>
          <w:tcPr>
            <w:tcW w:w="783"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参数</w:t>
            </w:r>
          </w:p>
        </w:tc>
        <w:tc>
          <w:tcPr>
            <w:tcW w:w="313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项目设计阶段</w:t>
            </w:r>
          </w:p>
        </w:tc>
        <w:tc>
          <w:tcPr>
            <w:tcW w:w="4002"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减排量核算结算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1</w:t>
            </w:r>
          </w:p>
        </w:tc>
        <w:tc>
          <w:tcPr>
            <w:tcW w:w="783"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m:oMathPara>
              <m:oMathParaPr>
                <m:jc m:val="center"/>
              </m:oMathParaP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ascii="Cambria Math" w:hAnsi="Cambria Math"/>
                        <w:color w:val="000000" w:themeColor="text1"/>
                        <w:sz w:val="18"/>
                        <w:szCs w:val="18"/>
                        <w14:textFill>
                          <w14:solidFill>
                            <w14:schemeClr w14:val="tx1"/>
                          </w14:solidFill>
                        </w14:textFill>
                      </w:rPr>
                      <m:t>EG</m:t>
                    </m:r>
                    <m:ctrlPr>
                      <w:rPr>
                        <w:rFonts w:hint="eastAsia" w:ascii="Cambria Math" w:hAnsi="Cambria Math"/>
                        <w:color w:val="000000" w:themeColor="text1"/>
                        <w:sz w:val="18"/>
                        <w:szCs w:val="18"/>
                        <w14:textFill>
                          <w14:solidFill>
                            <w14:schemeClr w14:val="tx1"/>
                          </w14:solidFill>
                        </w14:textFill>
                      </w:rPr>
                    </m:ctrlPr>
                  </m:e>
                  <m:sub>
                    <m:r>
                      <m:rPr>
                        <m:sty m:val="p"/>
                      </m:rPr>
                      <w:rPr>
                        <w:rFonts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m:oMathPara>
          </w:p>
        </w:tc>
        <w:tc>
          <w:tcPr>
            <w:tcW w:w="3135" w:type="dxa"/>
            <w:tcBorders>
              <w:top w:val="single" w:color="auto" w:sz="4" w:space="0"/>
              <w:left w:val="single" w:color="auto" w:sz="4" w:space="0"/>
              <w:bottom w:val="single" w:color="auto" w:sz="4" w:space="0"/>
              <w:right w:val="single" w:color="auto" w:sz="4" w:space="0"/>
            </w:tcBorders>
            <w:shd w:val="clear" w:color="auto" w:fill="FFFFFF"/>
            <w:vAlign w:val="center"/>
          </w:tcPr>
          <w:p>
            <w:pPr>
              <w:jc w:val="left"/>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查看项目开发方平台监测的项目边界内</w:t>
            </w:r>
            <w:r>
              <w:rPr>
                <w:rFonts w:hint="eastAsia" w:ascii="宋体" w:hAnsi="宋体" w:eastAsia="宋体"/>
                <w:color w:val="000000" w:themeColor="text1"/>
                <w:sz w:val="18"/>
                <w:szCs w:val="18"/>
                <w:lang w:val="en-US" w:eastAsia="zh-CN"/>
                <w14:textFill>
                  <w14:solidFill>
                    <w14:schemeClr w14:val="tx1"/>
                  </w14:solidFill>
                </w14:textFill>
              </w:rPr>
              <w:t>新能源</w:t>
            </w:r>
            <w:r>
              <w:rPr>
                <w:rFonts w:hint="eastAsia" w:ascii="宋体" w:hAnsi="宋体" w:eastAsia="宋体"/>
                <w:color w:val="000000" w:themeColor="text1"/>
                <w:sz w:val="18"/>
                <w:szCs w:val="18"/>
                <w14:textFill>
                  <w14:solidFill>
                    <w14:schemeClr w14:val="tx1"/>
                  </w14:solidFill>
                </w14:textFill>
              </w:rPr>
              <w:t>汽车利用充电终端充电电量</w:t>
            </w:r>
            <w:r>
              <w:rPr>
                <w:rFonts w:hint="eastAsia" w:ascii="宋体" w:hAnsi="宋体" w:eastAsia="宋体"/>
                <w:color w:val="000000" w:themeColor="text1"/>
                <w:sz w:val="18"/>
                <w:szCs w:val="18"/>
                <w:lang w:eastAsia="zh-CN"/>
                <w14:textFill>
                  <w14:solidFill>
                    <w14:schemeClr w14:val="tx1"/>
                  </w14:solidFill>
                </w14:textFill>
              </w:rPr>
              <w:t>。</w:t>
            </w:r>
          </w:p>
        </w:tc>
        <w:tc>
          <w:tcPr>
            <w:tcW w:w="4002" w:type="dxa"/>
            <w:tcBorders>
              <w:top w:val="single" w:color="auto" w:sz="4" w:space="0"/>
              <w:left w:val="single" w:color="auto" w:sz="4" w:space="0"/>
              <w:bottom w:val="single" w:color="auto" w:sz="4" w:space="0"/>
              <w:right w:val="single" w:color="auto" w:sz="4" w:space="0"/>
            </w:tcBorders>
            <w:shd w:val="clear" w:color="auto" w:fill="FFFFFF"/>
            <w:vAlign w:val="center"/>
          </w:tcPr>
          <w:p>
            <w:pPr>
              <w:jc w:val="left"/>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查阅充电终端合格证明、项目开发方平台监测的项目边界内</w:t>
            </w:r>
            <w:r>
              <w:rPr>
                <w:rFonts w:hint="eastAsia" w:ascii="宋体" w:hAnsi="宋体" w:eastAsia="宋体"/>
                <w:color w:val="000000" w:themeColor="text1"/>
                <w:sz w:val="18"/>
                <w:szCs w:val="18"/>
                <w:lang w:val="en-US" w:eastAsia="zh-CN"/>
                <w14:textFill>
                  <w14:solidFill>
                    <w14:schemeClr w14:val="tx1"/>
                  </w14:solidFill>
                </w14:textFill>
              </w:rPr>
              <w:t>新能源</w:t>
            </w:r>
            <w:r>
              <w:rPr>
                <w:rFonts w:hint="eastAsia" w:ascii="宋体" w:hAnsi="宋体" w:eastAsia="宋体"/>
                <w:color w:val="000000" w:themeColor="text1"/>
                <w:sz w:val="18"/>
                <w:szCs w:val="18"/>
                <w14:textFill>
                  <w14:solidFill>
                    <w14:schemeClr w14:val="tx1"/>
                  </w14:solidFill>
                </w14:textFill>
              </w:rPr>
              <w:t>汽车利用充电终端充电电量、项目充电终端所在充电站的电费结算账单、绿色电力消费核算单等文件。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5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2</w:t>
            </w:r>
          </w:p>
        </w:tc>
        <w:tc>
          <w:tcPr>
            <w:tcW w:w="783"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m:oMathPara>
              <m:oMathParaPr>
                <m:jc m:val="center"/>
              </m:oMathParaP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ascii="Cambria Math" w:hAnsi="Cambria Math"/>
                        <w:color w:val="000000" w:themeColor="text1"/>
                        <w:sz w:val="18"/>
                        <w:szCs w:val="18"/>
                        <w14:textFill>
                          <w14:solidFill>
                            <w14:schemeClr w14:val="tx1"/>
                          </w14:solidFill>
                        </w14:textFill>
                      </w:rPr>
                      <m:t>EF</m:t>
                    </m:r>
                    <m:ctrlPr>
                      <w:rPr>
                        <w:rFonts w:hint="eastAsia" w:ascii="Cambria Math" w:hAnsi="Cambria Math"/>
                        <w:color w:val="000000" w:themeColor="text1"/>
                        <w:sz w:val="18"/>
                        <w:szCs w:val="18"/>
                        <w14:textFill>
                          <w14:solidFill>
                            <w14:schemeClr w14:val="tx1"/>
                          </w14:solidFill>
                        </w14:textFill>
                      </w:rPr>
                    </m:ctrlPr>
                  </m:e>
                  <m:sub>
                    <m:r>
                      <m:rPr>
                        <m:sty m:val="p"/>
                      </m:rPr>
                      <w:rPr>
                        <w:rFonts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m:oMathPara>
          </w:p>
        </w:tc>
        <w:tc>
          <w:tcPr>
            <w:tcW w:w="3135" w:type="dxa"/>
            <w:tcBorders>
              <w:top w:val="single" w:color="auto" w:sz="4" w:space="0"/>
              <w:left w:val="single" w:color="auto" w:sz="4" w:space="0"/>
              <w:bottom w:val="single" w:color="auto" w:sz="4" w:space="0"/>
              <w:right w:val="single" w:color="auto" w:sz="4" w:space="0"/>
            </w:tcBorders>
            <w:shd w:val="clear" w:color="auto" w:fill="FFFFFF"/>
            <w:vAlign w:val="center"/>
          </w:tcPr>
          <w:p>
            <w:pPr>
              <w:jc w:val="left"/>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查阅北京市</w:t>
            </w:r>
            <w:r>
              <w:rPr>
                <w:rFonts w:hint="eastAsia" w:ascii="宋体" w:hAnsi="宋体" w:eastAsia="宋体"/>
                <w:color w:val="000000" w:themeColor="text1"/>
                <w:sz w:val="18"/>
                <w:szCs w:val="18"/>
                <w:lang w:val="en-US" w:eastAsia="zh-CN"/>
                <w14:textFill>
                  <w14:solidFill>
                    <w14:schemeClr w14:val="tx1"/>
                  </w14:solidFill>
                </w14:textFill>
              </w:rPr>
              <w:t>碳排放权交易市场</w:t>
            </w:r>
            <w:r>
              <w:rPr>
                <w:rFonts w:hint="eastAsia" w:ascii="宋体" w:hAnsi="宋体" w:eastAsia="宋体"/>
                <w:color w:val="000000" w:themeColor="text1"/>
                <w:sz w:val="18"/>
                <w:szCs w:val="18"/>
                <w14:textFill>
                  <w14:solidFill>
                    <w14:schemeClr w14:val="tx1"/>
                  </w14:solidFill>
                </w14:textFill>
              </w:rPr>
              <w:t>中</w:t>
            </w:r>
            <w:r>
              <w:rPr>
                <w:rFonts w:hint="eastAsia" w:ascii="宋体" w:hAnsi="宋体" w:eastAsia="宋体"/>
                <w:color w:val="000000" w:themeColor="text1"/>
                <w:sz w:val="18"/>
                <w:szCs w:val="18"/>
                <w:lang w:val="en-US" w:eastAsia="zh-CN"/>
                <w14:textFill>
                  <w14:solidFill>
                    <w14:schemeClr w14:val="tx1"/>
                  </w14:solidFill>
                </w14:textFill>
              </w:rPr>
              <w:t>使用的电网年平均供电</w:t>
            </w:r>
            <w:r>
              <w:rPr>
                <w:rFonts w:hint="eastAsia" w:ascii="宋体" w:hAnsi="宋体" w:eastAsia="宋体"/>
                <w:color w:val="000000" w:themeColor="text1"/>
                <w:sz w:val="18"/>
                <w:szCs w:val="18"/>
                <w14:textFill>
                  <w14:solidFill>
                    <w14:schemeClr w14:val="tx1"/>
                  </w14:solidFill>
                </w14:textFill>
              </w:rPr>
              <w:t>二氧化碳排放因子。</w:t>
            </w:r>
          </w:p>
        </w:tc>
        <w:tc>
          <w:tcPr>
            <w:tcW w:w="4002" w:type="dxa"/>
            <w:tcBorders>
              <w:top w:val="single" w:color="auto" w:sz="4" w:space="0"/>
              <w:left w:val="single" w:color="auto" w:sz="4" w:space="0"/>
              <w:bottom w:val="single" w:color="auto" w:sz="4" w:space="0"/>
              <w:right w:val="single" w:color="auto" w:sz="4" w:space="0"/>
            </w:tcBorders>
            <w:shd w:val="clear" w:color="auto" w:fill="FFFFFF"/>
            <w:vAlign w:val="center"/>
          </w:tcPr>
          <w:p>
            <w:pPr>
              <w:jc w:val="left"/>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查阅北京市</w:t>
            </w:r>
            <w:r>
              <w:rPr>
                <w:rFonts w:hint="eastAsia" w:ascii="宋体" w:hAnsi="宋体" w:eastAsia="宋体"/>
                <w:color w:val="000000" w:themeColor="text1"/>
                <w:sz w:val="18"/>
                <w:szCs w:val="18"/>
                <w:lang w:val="en-US" w:eastAsia="zh-CN"/>
                <w14:textFill>
                  <w14:solidFill>
                    <w14:schemeClr w14:val="tx1"/>
                  </w14:solidFill>
                </w14:textFill>
              </w:rPr>
              <w:t>碳排放权交易市场</w:t>
            </w:r>
            <w:r>
              <w:rPr>
                <w:rFonts w:hint="eastAsia" w:ascii="宋体" w:hAnsi="宋体" w:eastAsia="宋体"/>
                <w:color w:val="000000" w:themeColor="text1"/>
                <w:sz w:val="18"/>
                <w:szCs w:val="18"/>
                <w14:textFill>
                  <w14:solidFill>
                    <w14:schemeClr w14:val="tx1"/>
                  </w14:solidFill>
                </w14:textFill>
              </w:rPr>
              <w:t>中</w:t>
            </w:r>
            <w:r>
              <w:rPr>
                <w:rFonts w:hint="eastAsia" w:ascii="宋体" w:hAnsi="宋体" w:eastAsia="宋体"/>
                <w:color w:val="000000" w:themeColor="text1"/>
                <w:sz w:val="18"/>
                <w:szCs w:val="18"/>
                <w:lang w:val="en-US" w:eastAsia="zh-CN"/>
                <w14:textFill>
                  <w14:solidFill>
                    <w14:schemeClr w14:val="tx1"/>
                  </w14:solidFill>
                </w14:textFill>
              </w:rPr>
              <w:t>使用的电网年平均供电</w:t>
            </w:r>
            <w:r>
              <w:rPr>
                <w:rFonts w:hint="eastAsia" w:ascii="宋体" w:hAnsi="宋体" w:eastAsia="宋体"/>
                <w:color w:val="000000" w:themeColor="text1"/>
                <w:sz w:val="18"/>
                <w:szCs w:val="18"/>
                <w14:textFill>
                  <w14:solidFill>
                    <w14:schemeClr w14:val="tx1"/>
                  </w14:solidFill>
                </w14:textFill>
              </w:rPr>
              <w:t>二氧化碳排放因子</w:t>
            </w:r>
            <w:r>
              <w:rPr>
                <w:rFonts w:hint="eastAsia" w:ascii="宋体" w:hAnsi="宋体" w:eastAsia="宋体"/>
                <w:color w:val="000000" w:themeColor="text1"/>
                <w:sz w:val="18"/>
                <w:szCs w:val="18"/>
                <w:lang w:eastAsia="zh-CN"/>
                <w14:textFill>
                  <w14:solidFill>
                    <w14:schemeClr w14:val="tx1"/>
                  </w14:solidFill>
                </w14:textFill>
              </w:rPr>
              <w:t>。</w:t>
            </w:r>
          </w:p>
        </w:tc>
      </w:tr>
    </w:tbl>
    <w:p>
      <w:pPr>
        <w:pStyle w:val="44"/>
        <w:spacing w:before="240" w:after="240"/>
        <w:rPr>
          <w:rFonts w:hint="eastAsia" w:hAnsi="黑体"/>
        </w:rPr>
      </w:pPr>
      <w:r>
        <w:rPr>
          <w:rFonts w:hint="eastAsia" w:hAnsi="黑体"/>
        </w:rPr>
        <w:t>10 方法学编制单位</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lang w:val="en-US" w:eastAsia="zh-CN"/>
        </w:rPr>
        <w:t>在本文件的编制过程中</w:t>
      </w:r>
      <w:r>
        <w:rPr>
          <w:rFonts w:hint="eastAsia" w:ascii="宋体" w:hAnsi="宋体" w:eastAsia="宋体" w:cs="宋体"/>
          <w:color w:val="000000" w:themeColor="text1"/>
          <w:szCs w:val="21"/>
          <w14:textFill>
            <w14:solidFill>
              <w14:schemeClr w14:val="tx1"/>
            </w14:solidFill>
          </w14:textFill>
        </w:rPr>
        <w:t>首都电力交易中心有限公司、国网北京市电力公司、北京电力经济技术研究院有限公司、清华四川能源互联网研究院、中环联合（北京）认证中心有限公司、北京师范大学</w:t>
      </w:r>
      <w:r>
        <w:rPr>
          <w:rFonts w:hint="eastAsia" w:ascii="宋体" w:hAnsi="宋体" w:eastAsia="宋体" w:cs="宋体"/>
          <w:lang w:val="en-US" w:eastAsia="zh-CN"/>
        </w:rPr>
        <w:t>作出积极贡献</w:t>
      </w:r>
      <w:r>
        <w:rPr>
          <w:rFonts w:hint="eastAsia" w:ascii="宋体" w:hAnsi="宋体" w:eastAsia="宋体" w:cs="宋体"/>
          <w:color w:val="000000" w:themeColor="text1"/>
          <w:szCs w:val="21"/>
          <w14:textFill>
            <w14:solidFill>
              <w14:schemeClr w14:val="tx1"/>
            </w14:solidFill>
          </w14:textFill>
        </w:rPr>
        <w:t>。</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p>
    <w:p>
      <w:pPr>
        <w:adjustRightInd w:val="0"/>
        <w:snapToGrid w:val="0"/>
        <w:spacing w:line="360" w:lineRule="auto"/>
        <w:jc w:val="center"/>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参考文献</w:t>
      </w:r>
    </w:p>
    <w:p>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宋体" w:hAnsi="宋体" w:eastAsia="宋体" w:cs="宋体"/>
        </w:rPr>
      </w:pPr>
      <w:r>
        <w:rPr>
          <w:rFonts w:hint="eastAsia" w:ascii="宋体" w:hAnsi="宋体" w:eastAsia="宋体" w:cs="宋体"/>
        </w:rPr>
        <w:t>[1] GB/T 29317-2021《电动汽车充换电设施术语》</w:t>
      </w:r>
    </w:p>
    <w:p>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宋体" w:hAnsi="宋体" w:eastAsia="宋体" w:cs="宋体"/>
        </w:rPr>
      </w:pPr>
      <w:r>
        <w:rPr>
          <w:rFonts w:hint="eastAsia" w:ascii="宋体" w:hAnsi="宋体" w:eastAsia="宋体" w:cs="宋体"/>
        </w:rPr>
        <w:t>[2]</w:t>
      </w:r>
      <w:r>
        <w:rPr>
          <w:rFonts w:hint="eastAsia" w:ascii="宋体" w:hAnsi="宋体" w:eastAsia="宋体" w:cs="宋体"/>
          <w:szCs w:val="21"/>
          <w:lang w:eastAsia="zh-CN"/>
        </w:rPr>
        <w:t>《新能源汽车生产企业及产品准入管理规定》（工信部令第39号，2020年54号令修订）</w:t>
      </w:r>
    </w:p>
    <w:p>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宋体" w:hAnsi="宋体" w:eastAsia="宋体" w:cs="宋体"/>
          <w:szCs w:val="21"/>
          <w:highlight w:val="yellow"/>
        </w:rPr>
      </w:pPr>
      <w:r>
        <w:rPr>
          <w:rFonts w:hint="eastAsia" w:ascii="宋体" w:hAnsi="宋体" w:eastAsia="宋体" w:cs="宋体"/>
        </w:rPr>
        <w:t>[3]</w:t>
      </w:r>
      <w:r>
        <w:rPr>
          <w:rFonts w:hint="eastAsia" w:ascii="宋体" w:hAnsi="宋体" w:eastAsia="宋体" w:cs="宋体"/>
          <w:lang w:val="en-US" w:eastAsia="zh-CN"/>
        </w:rPr>
        <w:t xml:space="preserve"> </w:t>
      </w:r>
      <w:r>
        <w:rPr>
          <w:rFonts w:hint="eastAsia" w:ascii="宋体" w:hAnsi="宋体" w:eastAsia="宋体" w:cs="宋体"/>
          <w:szCs w:val="21"/>
        </w:rPr>
        <w:t>DB11/T 3043—2024《碳普惠项目减排量核算技术规范 低碳出行》</w:t>
      </w:r>
    </w:p>
    <w:p>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 DB11/T 1455-2017《电动汽车充电基础设施规划设计标准》</w:t>
      </w:r>
    </w:p>
    <w:p>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宋体" w:hAnsi="宋体" w:eastAsia="宋体" w:cs="宋体"/>
          <w:sz w:val="21"/>
          <w:szCs w:val="22"/>
          <w:lang w:eastAsia="zh-CN"/>
        </w:rPr>
      </w:pPr>
      <w:r>
        <w:rPr>
          <w:rFonts w:hint="eastAsia" w:ascii="宋体" w:hAnsi="宋体" w:eastAsia="宋体" w:cs="宋体"/>
          <w:szCs w:val="21"/>
        </w:rPr>
        <w:t>[</w:t>
      </w:r>
      <w:r>
        <w:rPr>
          <w:rFonts w:hint="eastAsia" w:ascii="宋体" w:hAnsi="宋体" w:eastAsia="宋体" w:cs="宋体"/>
          <w:szCs w:val="21"/>
          <w:lang w:val="en-US" w:eastAsia="zh-CN"/>
        </w:rPr>
        <w:t>5</w:t>
      </w:r>
      <w:r>
        <w:rPr>
          <w:rFonts w:hint="eastAsia" w:ascii="宋体" w:hAnsi="宋体" w:eastAsia="宋体" w:cs="宋体"/>
          <w:szCs w:val="21"/>
        </w:rPr>
        <w:t>]</w:t>
      </w:r>
      <w:r>
        <w:rPr>
          <w:rFonts w:hint="eastAsia" w:ascii="宋体" w:hAnsi="宋体" w:eastAsia="宋体" w:cs="宋体"/>
          <w:lang w:val="en-US" w:eastAsia="zh-CN"/>
        </w:rPr>
        <w:t xml:space="preserve"> </w:t>
      </w:r>
      <w:r>
        <w:rPr>
          <w:rFonts w:hint="eastAsia" w:ascii="宋体" w:hAnsi="宋体" w:eastAsia="宋体" w:cs="宋体"/>
          <w:sz w:val="21"/>
          <w:szCs w:val="22"/>
        </w:rPr>
        <w:t>CM-098-V01</w:t>
      </w:r>
      <w:r>
        <w:rPr>
          <w:rFonts w:hint="eastAsia" w:ascii="宋体" w:hAnsi="宋体" w:eastAsia="宋体" w:cs="宋体"/>
          <w:sz w:val="21"/>
          <w:szCs w:val="22"/>
          <w:lang w:eastAsia="zh-CN"/>
        </w:rPr>
        <w:t>《</w:t>
      </w:r>
      <w:r>
        <w:rPr>
          <w:rFonts w:hint="eastAsia" w:ascii="宋体" w:hAnsi="宋体" w:eastAsia="宋体" w:cs="宋体"/>
          <w:sz w:val="21"/>
          <w:szCs w:val="22"/>
        </w:rPr>
        <w:t>温室气体自愿减排项目方法学 电动汽车充电站及充电桩温室气体减排</w:t>
      </w:r>
      <w:r>
        <w:rPr>
          <w:rFonts w:hint="eastAsia" w:ascii="宋体" w:hAnsi="宋体" w:eastAsia="宋体" w:cs="宋体"/>
          <w:sz w:val="21"/>
          <w:szCs w:val="22"/>
          <w:lang w:eastAsia="zh-CN"/>
        </w:rPr>
        <w:t>》</w:t>
      </w:r>
    </w:p>
    <w:p>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宋体" w:hAnsi="宋体" w:eastAsia="宋体" w:cs="宋体"/>
        </w:rPr>
      </w:pPr>
    </w:p>
    <w:sectPr>
      <w:footerReference r:id="rId3" w:type="default"/>
      <w:pgSz w:w="11905" w:h="16838"/>
      <w:pgMar w:top="2154" w:right="1474" w:bottom="2041" w:left="1587" w:header="851" w:footer="1587"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S Mincho">
    <w:altName w:val="方正书宋_GBK"/>
    <w:panose1 w:val="02020609040205080304"/>
    <w:charset w:val="80"/>
    <w:family w:val="modern"/>
    <w:pitch w:val="default"/>
    <w:sig w:usb0="00000000" w:usb1="00000000" w:usb2="00000010" w:usb3="00000000" w:csb0="4002009F" w:csb1="DFD70000"/>
  </w:font>
  <w:font w:name="仿宋">
    <w:altName w:val="微软雅黑"/>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ambria Math">
    <w:altName w:val="DejaVu Math TeX Gyre"/>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2A0B73"/>
    <w:multiLevelType w:val="singleLevel"/>
    <w:tmpl w:val="CE2A0B7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false"/>
  <w:bordersDoNotSurroundFooter w:val="false"/>
  <w:revisionView w:markup="0"/>
  <w:trackRevisions w:val="true"/>
  <w:documentProtection w:enforcement="0"/>
  <w:defaultTabStop w:val="420"/>
  <w:drawingGridHorizontalSpacing w:val="210"/>
  <w:drawingGridVerticalSpacing w:val="-794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E86"/>
    <w:rsid w:val="0004762F"/>
    <w:rsid w:val="000655A8"/>
    <w:rsid w:val="00092509"/>
    <w:rsid w:val="000D1E78"/>
    <w:rsid w:val="000D1FAE"/>
    <w:rsid w:val="000E7FC5"/>
    <w:rsid w:val="00103897"/>
    <w:rsid w:val="001243A3"/>
    <w:rsid w:val="001400C3"/>
    <w:rsid w:val="001431B6"/>
    <w:rsid w:val="00150B56"/>
    <w:rsid w:val="0019380A"/>
    <w:rsid w:val="001B0979"/>
    <w:rsid w:val="00207852"/>
    <w:rsid w:val="00256F01"/>
    <w:rsid w:val="00267E86"/>
    <w:rsid w:val="00271CCF"/>
    <w:rsid w:val="002749AE"/>
    <w:rsid w:val="00292E97"/>
    <w:rsid w:val="00296F54"/>
    <w:rsid w:val="002D6937"/>
    <w:rsid w:val="00316840"/>
    <w:rsid w:val="00325778"/>
    <w:rsid w:val="00366870"/>
    <w:rsid w:val="00381040"/>
    <w:rsid w:val="00385DF2"/>
    <w:rsid w:val="003A07AD"/>
    <w:rsid w:val="004716EF"/>
    <w:rsid w:val="00473A69"/>
    <w:rsid w:val="004B701E"/>
    <w:rsid w:val="004F473A"/>
    <w:rsid w:val="00501328"/>
    <w:rsid w:val="005313C8"/>
    <w:rsid w:val="00541F20"/>
    <w:rsid w:val="00555280"/>
    <w:rsid w:val="00570378"/>
    <w:rsid w:val="005D7145"/>
    <w:rsid w:val="005F5898"/>
    <w:rsid w:val="0060566C"/>
    <w:rsid w:val="00641324"/>
    <w:rsid w:val="00643C91"/>
    <w:rsid w:val="00645EE8"/>
    <w:rsid w:val="0067439E"/>
    <w:rsid w:val="0068236C"/>
    <w:rsid w:val="006B1CBB"/>
    <w:rsid w:val="00701256"/>
    <w:rsid w:val="007417FB"/>
    <w:rsid w:val="0077169A"/>
    <w:rsid w:val="00777D6C"/>
    <w:rsid w:val="00781DF2"/>
    <w:rsid w:val="007D0274"/>
    <w:rsid w:val="007E6D26"/>
    <w:rsid w:val="007F6C6F"/>
    <w:rsid w:val="00802D94"/>
    <w:rsid w:val="00844FCA"/>
    <w:rsid w:val="008542B0"/>
    <w:rsid w:val="00881045"/>
    <w:rsid w:val="008A1F28"/>
    <w:rsid w:val="008E6E86"/>
    <w:rsid w:val="008E75B9"/>
    <w:rsid w:val="008F30FF"/>
    <w:rsid w:val="009013AD"/>
    <w:rsid w:val="0092576C"/>
    <w:rsid w:val="00930024"/>
    <w:rsid w:val="00936276"/>
    <w:rsid w:val="009646A9"/>
    <w:rsid w:val="009773D1"/>
    <w:rsid w:val="009A33A4"/>
    <w:rsid w:val="009C5EAD"/>
    <w:rsid w:val="009C72DA"/>
    <w:rsid w:val="009D0A36"/>
    <w:rsid w:val="009D1250"/>
    <w:rsid w:val="009E39B9"/>
    <w:rsid w:val="009F64FA"/>
    <w:rsid w:val="00A04B72"/>
    <w:rsid w:val="00A16BE5"/>
    <w:rsid w:val="00A50425"/>
    <w:rsid w:val="00A54755"/>
    <w:rsid w:val="00A571B3"/>
    <w:rsid w:val="00A75DA8"/>
    <w:rsid w:val="00A84E61"/>
    <w:rsid w:val="00AF0EC0"/>
    <w:rsid w:val="00B8093B"/>
    <w:rsid w:val="00B91575"/>
    <w:rsid w:val="00B92B78"/>
    <w:rsid w:val="00C1336E"/>
    <w:rsid w:val="00C35BBD"/>
    <w:rsid w:val="00C932F3"/>
    <w:rsid w:val="00CC38B1"/>
    <w:rsid w:val="00CD6F14"/>
    <w:rsid w:val="00D13981"/>
    <w:rsid w:val="00D6424B"/>
    <w:rsid w:val="00DA371D"/>
    <w:rsid w:val="00DA3B96"/>
    <w:rsid w:val="00DC1E0E"/>
    <w:rsid w:val="00DD31CB"/>
    <w:rsid w:val="00E4159F"/>
    <w:rsid w:val="00E569AC"/>
    <w:rsid w:val="00E615EE"/>
    <w:rsid w:val="00E76334"/>
    <w:rsid w:val="00EA199C"/>
    <w:rsid w:val="00F3424D"/>
    <w:rsid w:val="00F557E7"/>
    <w:rsid w:val="00F634A3"/>
    <w:rsid w:val="00F736FC"/>
    <w:rsid w:val="00F81CB3"/>
    <w:rsid w:val="00FB468C"/>
    <w:rsid w:val="00FC6951"/>
    <w:rsid w:val="00FE4C1E"/>
    <w:rsid w:val="00FF2A1C"/>
    <w:rsid w:val="01084A2D"/>
    <w:rsid w:val="01086C64"/>
    <w:rsid w:val="013C246A"/>
    <w:rsid w:val="01445780"/>
    <w:rsid w:val="01604F14"/>
    <w:rsid w:val="01626374"/>
    <w:rsid w:val="016B2BBD"/>
    <w:rsid w:val="019E3125"/>
    <w:rsid w:val="01AC75F0"/>
    <w:rsid w:val="01C54B55"/>
    <w:rsid w:val="01DF5C17"/>
    <w:rsid w:val="022556DD"/>
    <w:rsid w:val="02290C40"/>
    <w:rsid w:val="02317AF5"/>
    <w:rsid w:val="02A66735"/>
    <w:rsid w:val="02E62FD5"/>
    <w:rsid w:val="02F4124E"/>
    <w:rsid w:val="030E4FDF"/>
    <w:rsid w:val="03195159"/>
    <w:rsid w:val="03253AFD"/>
    <w:rsid w:val="03256636"/>
    <w:rsid w:val="034F0B7A"/>
    <w:rsid w:val="035C032D"/>
    <w:rsid w:val="038D51FF"/>
    <w:rsid w:val="03906A9D"/>
    <w:rsid w:val="039667A9"/>
    <w:rsid w:val="03A569EC"/>
    <w:rsid w:val="03BE360A"/>
    <w:rsid w:val="03CA0201"/>
    <w:rsid w:val="03D80B70"/>
    <w:rsid w:val="03DF228C"/>
    <w:rsid w:val="04277401"/>
    <w:rsid w:val="042F7AA3"/>
    <w:rsid w:val="043406B9"/>
    <w:rsid w:val="04673CA2"/>
    <w:rsid w:val="046E5030"/>
    <w:rsid w:val="04776C76"/>
    <w:rsid w:val="04956A61"/>
    <w:rsid w:val="04A62A1C"/>
    <w:rsid w:val="04A86794"/>
    <w:rsid w:val="04B30B92"/>
    <w:rsid w:val="04D43529"/>
    <w:rsid w:val="04E86B91"/>
    <w:rsid w:val="04F15639"/>
    <w:rsid w:val="051756C8"/>
    <w:rsid w:val="052676B9"/>
    <w:rsid w:val="052B1173"/>
    <w:rsid w:val="05300538"/>
    <w:rsid w:val="053A13B6"/>
    <w:rsid w:val="05486CD8"/>
    <w:rsid w:val="05656433"/>
    <w:rsid w:val="05681A7F"/>
    <w:rsid w:val="05D435B9"/>
    <w:rsid w:val="05E774BE"/>
    <w:rsid w:val="06147E59"/>
    <w:rsid w:val="061816F7"/>
    <w:rsid w:val="06190FCC"/>
    <w:rsid w:val="06233BF8"/>
    <w:rsid w:val="063B53E6"/>
    <w:rsid w:val="064E336B"/>
    <w:rsid w:val="065961DA"/>
    <w:rsid w:val="066E57BB"/>
    <w:rsid w:val="067A4160"/>
    <w:rsid w:val="06A64083"/>
    <w:rsid w:val="06B61737"/>
    <w:rsid w:val="06BA630B"/>
    <w:rsid w:val="06BB7D2F"/>
    <w:rsid w:val="06CC603E"/>
    <w:rsid w:val="06D849E3"/>
    <w:rsid w:val="06DA3DE2"/>
    <w:rsid w:val="06FC2DC7"/>
    <w:rsid w:val="07035F04"/>
    <w:rsid w:val="070677A2"/>
    <w:rsid w:val="07091040"/>
    <w:rsid w:val="070B6B66"/>
    <w:rsid w:val="070C4EFE"/>
    <w:rsid w:val="07287718"/>
    <w:rsid w:val="073F2C19"/>
    <w:rsid w:val="07524795"/>
    <w:rsid w:val="07550729"/>
    <w:rsid w:val="0786234F"/>
    <w:rsid w:val="078828AD"/>
    <w:rsid w:val="078D7EC3"/>
    <w:rsid w:val="079B438E"/>
    <w:rsid w:val="07A50D69"/>
    <w:rsid w:val="07DB478B"/>
    <w:rsid w:val="07E13D6B"/>
    <w:rsid w:val="08060D12"/>
    <w:rsid w:val="080C0DE8"/>
    <w:rsid w:val="08564CB9"/>
    <w:rsid w:val="087B41C0"/>
    <w:rsid w:val="08805332"/>
    <w:rsid w:val="08E3465D"/>
    <w:rsid w:val="08F0070A"/>
    <w:rsid w:val="09613FEC"/>
    <w:rsid w:val="096864F2"/>
    <w:rsid w:val="096E162E"/>
    <w:rsid w:val="097B1260"/>
    <w:rsid w:val="0983157E"/>
    <w:rsid w:val="09842C00"/>
    <w:rsid w:val="0992531D"/>
    <w:rsid w:val="09A45050"/>
    <w:rsid w:val="09C15FD7"/>
    <w:rsid w:val="09CA0CDA"/>
    <w:rsid w:val="09D5345C"/>
    <w:rsid w:val="09DB4F16"/>
    <w:rsid w:val="09EF6C13"/>
    <w:rsid w:val="09F204B1"/>
    <w:rsid w:val="0A083831"/>
    <w:rsid w:val="0A2763AD"/>
    <w:rsid w:val="0A3C34DB"/>
    <w:rsid w:val="0A4E393A"/>
    <w:rsid w:val="0A5C592B"/>
    <w:rsid w:val="0A643BE2"/>
    <w:rsid w:val="0A7315F2"/>
    <w:rsid w:val="0A905BB1"/>
    <w:rsid w:val="0A997E99"/>
    <w:rsid w:val="0AA95014"/>
    <w:rsid w:val="0ABD461B"/>
    <w:rsid w:val="0AC77248"/>
    <w:rsid w:val="0AD61B81"/>
    <w:rsid w:val="0AE20526"/>
    <w:rsid w:val="0AFB1087"/>
    <w:rsid w:val="0AFC119D"/>
    <w:rsid w:val="0B1C3A38"/>
    <w:rsid w:val="0B204BAA"/>
    <w:rsid w:val="0B301291"/>
    <w:rsid w:val="0B5C3E34"/>
    <w:rsid w:val="0B713897"/>
    <w:rsid w:val="0BA650B0"/>
    <w:rsid w:val="0BC639A4"/>
    <w:rsid w:val="0BE82C2E"/>
    <w:rsid w:val="0C550884"/>
    <w:rsid w:val="0C583863"/>
    <w:rsid w:val="0C5965C6"/>
    <w:rsid w:val="0C790A16"/>
    <w:rsid w:val="0CAA5073"/>
    <w:rsid w:val="0CCD48BE"/>
    <w:rsid w:val="0CD143AE"/>
    <w:rsid w:val="0CDB6FDB"/>
    <w:rsid w:val="0CDF2F6F"/>
    <w:rsid w:val="0CEE4F60"/>
    <w:rsid w:val="0CFA3905"/>
    <w:rsid w:val="0CFF0F1B"/>
    <w:rsid w:val="0D110C4F"/>
    <w:rsid w:val="0D186481"/>
    <w:rsid w:val="0D1A5D55"/>
    <w:rsid w:val="0D951880"/>
    <w:rsid w:val="0D9A4F5E"/>
    <w:rsid w:val="0DB7190D"/>
    <w:rsid w:val="0DE819AF"/>
    <w:rsid w:val="0DED5218"/>
    <w:rsid w:val="0DF26CD2"/>
    <w:rsid w:val="0E0367E9"/>
    <w:rsid w:val="0E15651D"/>
    <w:rsid w:val="0E460DCC"/>
    <w:rsid w:val="0E4B63E2"/>
    <w:rsid w:val="0E4D4EA6"/>
    <w:rsid w:val="0E544711"/>
    <w:rsid w:val="0E5928AD"/>
    <w:rsid w:val="0E833DCE"/>
    <w:rsid w:val="0E8A0CB9"/>
    <w:rsid w:val="0EB16245"/>
    <w:rsid w:val="0EC51081"/>
    <w:rsid w:val="0EF91869"/>
    <w:rsid w:val="0F0851E1"/>
    <w:rsid w:val="0F1669F0"/>
    <w:rsid w:val="0F220EF1"/>
    <w:rsid w:val="0F452E31"/>
    <w:rsid w:val="0F657EFC"/>
    <w:rsid w:val="0F931DEF"/>
    <w:rsid w:val="0FA43FFC"/>
    <w:rsid w:val="0FB57FB7"/>
    <w:rsid w:val="0FC91CB4"/>
    <w:rsid w:val="0FF56606"/>
    <w:rsid w:val="0FF66BCF"/>
    <w:rsid w:val="101F18D4"/>
    <w:rsid w:val="102539E4"/>
    <w:rsid w:val="1041184B"/>
    <w:rsid w:val="104906FF"/>
    <w:rsid w:val="10686DD7"/>
    <w:rsid w:val="10A6479B"/>
    <w:rsid w:val="10B1077E"/>
    <w:rsid w:val="10D3604C"/>
    <w:rsid w:val="10D5129D"/>
    <w:rsid w:val="10E50428"/>
    <w:rsid w:val="11082369"/>
    <w:rsid w:val="110A60E1"/>
    <w:rsid w:val="113B4A52"/>
    <w:rsid w:val="115D1989"/>
    <w:rsid w:val="11867E5D"/>
    <w:rsid w:val="118A0FD0"/>
    <w:rsid w:val="11967974"/>
    <w:rsid w:val="11AC53EA"/>
    <w:rsid w:val="11B83D8F"/>
    <w:rsid w:val="11BF6ECB"/>
    <w:rsid w:val="11E626AA"/>
    <w:rsid w:val="11F02A35"/>
    <w:rsid w:val="11F363FF"/>
    <w:rsid w:val="12015736"/>
    <w:rsid w:val="121A05A5"/>
    <w:rsid w:val="121F3DCB"/>
    <w:rsid w:val="122431D2"/>
    <w:rsid w:val="12342C88"/>
    <w:rsid w:val="123A47A4"/>
    <w:rsid w:val="124675EC"/>
    <w:rsid w:val="12483364"/>
    <w:rsid w:val="125F245C"/>
    <w:rsid w:val="126B7958"/>
    <w:rsid w:val="128123D2"/>
    <w:rsid w:val="12887C05"/>
    <w:rsid w:val="12891287"/>
    <w:rsid w:val="128B3251"/>
    <w:rsid w:val="129A3494"/>
    <w:rsid w:val="12AE2F61"/>
    <w:rsid w:val="12CC5D44"/>
    <w:rsid w:val="12D40754"/>
    <w:rsid w:val="12FB2185"/>
    <w:rsid w:val="13165211"/>
    <w:rsid w:val="131B1189"/>
    <w:rsid w:val="13433B2C"/>
    <w:rsid w:val="13473646"/>
    <w:rsid w:val="13705200"/>
    <w:rsid w:val="13741F37"/>
    <w:rsid w:val="1379754E"/>
    <w:rsid w:val="13B9394D"/>
    <w:rsid w:val="13C01C15"/>
    <w:rsid w:val="13CA5B3F"/>
    <w:rsid w:val="13DB1B23"/>
    <w:rsid w:val="13DD5026"/>
    <w:rsid w:val="14184FB8"/>
    <w:rsid w:val="145204CA"/>
    <w:rsid w:val="14524026"/>
    <w:rsid w:val="14667AD2"/>
    <w:rsid w:val="14706BA3"/>
    <w:rsid w:val="14740441"/>
    <w:rsid w:val="148B12E6"/>
    <w:rsid w:val="148D505F"/>
    <w:rsid w:val="14922675"/>
    <w:rsid w:val="14977C8B"/>
    <w:rsid w:val="14A16D5C"/>
    <w:rsid w:val="14B06F9F"/>
    <w:rsid w:val="14B720DC"/>
    <w:rsid w:val="14C173FE"/>
    <w:rsid w:val="14C8078D"/>
    <w:rsid w:val="14E07884"/>
    <w:rsid w:val="15033573"/>
    <w:rsid w:val="15396384"/>
    <w:rsid w:val="158E72E0"/>
    <w:rsid w:val="159D5775"/>
    <w:rsid w:val="15B12FCF"/>
    <w:rsid w:val="15D71825"/>
    <w:rsid w:val="15E11B06"/>
    <w:rsid w:val="15EF53A5"/>
    <w:rsid w:val="15FA27BA"/>
    <w:rsid w:val="16111CBF"/>
    <w:rsid w:val="161E46A2"/>
    <w:rsid w:val="16223ECC"/>
    <w:rsid w:val="162714E3"/>
    <w:rsid w:val="164756E1"/>
    <w:rsid w:val="1647748F"/>
    <w:rsid w:val="166A0A7A"/>
    <w:rsid w:val="166B5873"/>
    <w:rsid w:val="16A86AED"/>
    <w:rsid w:val="16AA0D03"/>
    <w:rsid w:val="16AA639C"/>
    <w:rsid w:val="16B0772A"/>
    <w:rsid w:val="16C55B13"/>
    <w:rsid w:val="16C62250"/>
    <w:rsid w:val="16D74CB7"/>
    <w:rsid w:val="16E55626"/>
    <w:rsid w:val="16E6314C"/>
    <w:rsid w:val="17005FBC"/>
    <w:rsid w:val="171B2DF6"/>
    <w:rsid w:val="17375756"/>
    <w:rsid w:val="17451C21"/>
    <w:rsid w:val="175B7522"/>
    <w:rsid w:val="1767603B"/>
    <w:rsid w:val="176C3651"/>
    <w:rsid w:val="17A0154D"/>
    <w:rsid w:val="17BA04D8"/>
    <w:rsid w:val="17C0399D"/>
    <w:rsid w:val="17C52D61"/>
    <w:rsid w:val="17F83137"/>
    <w:rsid w:val="18273A1C"/>
    <w:rsid w:val="186F4B00"/>
    <w:rsid w:val="187A1FE6"/>
    <w:rsid w:val="187E26D8"/>
    <w:rsid w:val="189746FE"/>
    <w:rsid w:val="189D4520"/>
    <w:rsid w:val="18E20752"/>
    <w:rsid w:val="18E254C5"/>
    <w:rsid w:val="18EA23E1"/>
    <w:rsid w:val="18EA6F23"/>
    <w:rsid w:val="18FF04F5"/>
    <w:rsid w:val="190873AA"/>
    <w:rsid w:val="19393A07"/>
    <w:rsid w:val="195919B3"/>
    <w:rsid w:val="19600F94"/>
    <w:rsid w:val="19856A7A"/>
    <w:rsid w:val="19CF7EC7"/>
    <w:rsid w:val="19D63004"/>
    <w:rsid w:val="19EA1D92"/>
    <w:rsid w:val="19F4792E"/>
    <w:rsid w:val="1A3F6DFB"/>
    <w:rsid w:val="1A5106BF"/>
    <w:rsid w:val="1A8554F5"/>
    <w:rsid w:val="1A8E7D82"/>
    <w:rsid w:val="1AA44EB0"/>
    <w:rsid w:val="1AA94BBC"/>
    <w:rsid w:val="1AB07CF9"/>
    <w:rsid w:val="1AB570BD"/>
    <w:rsid w:val="1ADE1D72"/>
    <w:rsid w:val="1ADF413A"/>
    <w:rsid w:val="1AEB6F83"/>
    <w:rsid w:val="1AF220BF"/>
    <w:rsid w:val="1AF26F22"/>
    <w:rsid w:val="1B0A1726"/>
    <w:rsid w:val="1B102545"/>
    <w:rsid w:val="1B2D5284"/>
    <w:rsid w:val="1B46240B"/>
    <w:rsid w:val="1B4C2048"/>
    <w:rsid w:val="1B4E306E"/>
    <w:rsid w:val="1B9618B6"/>
    <w:rsid w:val="1BEF65FF"/>
    <w:rsid w:val="1C0B6E45"/>
    <w:rsid w:val="1C4921B3"/>
    <w:rsid w:val="1C7C2837"/>
    <w:rsid w:val="1CA218C3"/>
    <w:rsid w:val="1CAE5F06"/>
    <w:rsid w:val="1CD37CCF"/>
    <w:rsid w:val="1CF3643B"/>
    <w:rsid w:val="1D083E1C"/>
    <w:rsid w:val="1D100F23"/>
    <w:rsid w:val="1D13631D"/>
    <w:rsid w:val="1D187E8A"/>
    <w:rsid w:val="1D196663"/>
    <w:rsid w:val="1D2F096E"/>
    <w:rsid w:val="1D4D7DF6"/>
    <w:rsid w:val="1D9456B0"/>
    <w:rsid w:val="1DAF4298"/>
    <w:rsid w:val="1DE81A69"/>
    <w:rsid w:val="1DF0665E"/>
    <w:rsid w:val="1DF20628"/>
    <w:rsid w:val="1E0F11DA"/>
    <w:rsid w:val="1E3B5525"/>
    <w:rsid w:val="1E401394"/>
    <w:rsid w:val="1E4A5D6E"/>
    <w:rsid w:val="1E4F5A7B"/>
    <w:rsid w:val="1E5A4F56"/>
    <w:rsid w:val="1E6A4663"/>
    <w:rsid w:val="1E7B061E"/>
    <w:rsid w:val="1E7D7EF2"/>
    <w:rsid w:val="1EAA4A5F"/>
    <w:rsid w:val="1EAE09F3"/>
    <w:rsid w:val="1EBB4EBE"/>
    <w:rsid w:val="1ECA3253"/>
    <w:rsid w:val="1ED560D1"/>
    <w:rsid w:val="1EF834FA"/>
    <w:rsid w:val="1EFA1543"/>
    <w:rsid w:val="1F332CA6"/>
    <w:rsid w:val="1F3B6A88"/>
    <w:rsid w:val="1F444EB4"/>
    <w:rsid w:val="1F5570C1"/>
    <w:rsid w:val="1F5F1CED"/>
    <w:rsid w:val="1F6410B2"/>
    <w:rsid w:val="1F666BD8"/>
    <w:rsid w:val="1F7F2339"/>
    <w:rsid w:val="1FAB3029"/>
    <w:rsid w:val="1FBE07C2"/>
    <w:rsid w:val="1FCA53B9"/>
    <w:rsid w:val="1FCB4A5D"/>
    <w:rsid w:val="1FE842E7"/>
    <w:rsid w:val="1FEB532F"/>
    <w:rsid w:val="200A52C3"/>
    <w:rsid w:val="20623843"/>
    <w:rsid w:val="20743577"/>
    <w:rsid w:val="208323B0"/>
    <w:rsid w:val="208A2D9A"/>
    <w:rsid w:val="20A2270A"/>
    <w:rsid w:val="20BF24C5"/>
    <w:rsid w:val="20C55B80"/>
    <w:rsid w:val="20F63F8C"/>
    <w:rsid w:val="21195B5F"/>
    <w:rsid w:val="211F1734"/>
    <w:rsid w:val="21266ADD"/>
    <w:rsid w:val="21440166"/>
    <w:rsid w:val="214B077B"/>
    <w:rsid w:val="2178732C"/>
    <w:rsid w:val="217A696B"/>
    <w:rsid w:val="21A07893"/>
    <w:rsid w:val="21A70A44"/>
    <w:rsid w:val="21BC3427"/>
    <w:rsid w:val="21C422DC"/>
    <w:rsid w:val="22031056"/>
    <w:rsid w:val="220F79FB"/>
    <w:rsid w:val="22145011"/>
    <w:rsid w:val="22297D19"/>
    <w:rsid w:val="224A27E1"/>
    <w:rsid w:val="225E003A"/>
    <w:rsid w:val="226F2247"/>
    <w:rsid w:val="22D24584"/>
    <w:rsid w:val="22E5250A"/>
    <w:rsid w:val="231F4DAE"/>
    <w:rsid w:val="23256DAA"/>
    <w:rsid w:val="233D40F4"/>
    <w:rsid w:val="2359040B"/>
    <w:rsid w:val="236525C6"/>
    <w:rsid w:val="23753F08"/>
    <w:rsid w:val="23847F75"/>
    <w:rsid w:val="23BA1BE8"/>
    <w:rsid w:val="23BC7A4E"/>
    <w:rsid w:val="23C5553B"/>
    <w:rsid w:val="23F76998"/>
    <w:rsid w:val="241237D2"/>
    <w:rsid w:val="242D025B"/>
    <w:rsid w:val="246C2EE2"/>
    <w:rsid w:val="247E49C4"/>
    <w:rsid w:val="248F097F"/>
    <w:rsid w:val="24CF521F"/>
    <w:rsid w:val="24F1163A"/>
    <w:rsid w:val="24FA6740"/>
    <w:rsid w:val="2517038E"/>
    <w:rsid w:val="254E4396"/>
    <w:rsid w:val="256040C9"/>
    <w:rsid w:val="25C7239A"/>
    <w:rsid w:val="25CD79B1"/>
    <w:rsid w:val="25EC486C"/>
    <w:rsid w:val="262275D1"/>
    <w:rsid w:val="263317DE"/>
    <w:rsid w:val="266100F9"/>
    <w:rsid w:val="2677791D"/>
    <w:rsid w:val="2695315B"/>
    <w:rsid w:val="26997893"/>
    <w:rsid w:val="26FD42C6"/>
    <w:rsid w:val="27117D71"/>
    <w:rsid w:val="27127645"/>
    <w:rsid w:val="27151E5F"/>
    <w:rsid w:val="273D0B66"/>
    <w:rsid w:val="276E2ACE"/>
    <w:rsid w:val="27856069"/>
    <w:rsid w:val="2786250D"/>
    <w:rsid w:val="27914A0E"/>
    <w:rsid w:val="27AF5E66"/>
    <w:rsid w:val="27E47234"/>
    <w:rsid w:val="27F60D15"/>
    <w:rsid w:val="280451E0"/>
    <w:rsid w:val="28074CD0"/>
    <w:rsid w:val="28090A48"/>
    <w:rsid w:val="280D678A"/>
    <w:rsid w:val="28153891"/>
    <w:rsid w:val="28357A8F"/>
    <w:rsid w:val="285F2D5E"/>
    <w:rsid w:val="28A95D87"/>
    <w:rsid w:val="28E76FDC"/>
    <w:rsid w:val="28EC18E6"/>
    <w:rsid w:val="28F2772E"/>
    <w:rsid w:val="2903193C"/>
    <w:rsid w:val="29325D7D"/>
    <w:rsid w:val="293715E5"/>
    <w:rsid w:val="29373393"/>
    <w:rsid w:val="29406294"/>
    <w:rsid w:val="294A1318"/>
    <w:rsid w:val="295D6146"/>
    <w:rsid w:val="29622B06"/>
    <w:rsid w:val="2973086F"/>
    <w:rsid w:val="298F31CF"/>
    <w:rsid w:val="29DA2F38"/>
    <w:rsid w:val="29DD3F3B"/>
    <w:rsid w:val="2A50295E"/>
    <w:rsid w:val="2A7C3754"/>
    <w:rsid w:val="2A7D127A"/>
    <w:rsid w:val="2AA902C1"/>
    <w:rsid w:val="2AC35809"/>
    <w:rsid w:val="2AEB2687"/>
    <w:rsid w:val="2AEC6B2B"/>
    <w:rsid w:val="2B084FE7"/>
    <w:rsid w:val="2B2C33CC"/>
    <w:rsid w:val="2B2D7144"/>
    <w:rsid w:val="2B612949"/>
    <w:rsid w:val="2B7B3A0B"/>
    <w:rsid w:val="2B9729CB"/>
    <w:rsid w:val="2B9D4174"/>
    <w:rsid w:val="2BA81589"/>
    <w:rsid w:val="2BBC402D"/>
    <w:rsid w:val="2BC37160"/>
    <w:rsid w:val="2BC43107"/>
    <w:rsid w:val="2BC52ED8"/>
    <w:rsid w:val="2BDB094E"/>
    <w:rsid w:val="2C163734"/>
    <w:rsid w:val="2C365B84"/>
    <w:rsid w:val="2C42277B"/>
    <w:rsid w:val="2C574478"/>
    <w:rsid w:val="2C626979"/>
    <w:rsid w:val="2C7768C8"/>
    <w:rsid w:val="2CAC2EF0"/>
    <w:rsid w:val="2CC15D95"/>
    <w:rsid w:val="2CC80ED2"/>
    <w:rsid w:val="2CCC458F"/>
    <w:rsid w:val="2CE657FC"/>
    <w:rsid w:val="2D121481"/>
    <w:rsid w:val="2D2F45BD"/>
    <w:rsid w:val="2D4F15F3"/>
    <w:rsid w:val="2D5A7747"/>
    <w:rsid w:val="2D6B7AAF"/>
    <w:rsid w:val="2D74105A"/>
    <w:rsid w:val="2D744BB6"/>
    <w:rsid w:val="2D746964"/>
    <w:rsid w:val="2D8172D3"/>
    <w:rsid w:val="2D9B48F5"/>
    <w:rsid w:val="2DB9081B"/>
    <w:rsid w:val="2DC25921"/>
    <w:rsid w:val="2DC84AFE"/>
    <w:rsid w:val="2DC84F02"/>
    <w:rsid w:val="2DCD42C6"/>
    <w:rsid w:val="2DD8662A"/>
    <w:rsid w:val="2DD90EBD"/>
    <w:rsid w:val="2E017D5B"/>
    <w:rsid w:val="2E163EBF"/>
    <w:rsid w:val="2E24482E"/>
    <w:rsid w:val="2E43314F"/>
    <w:rsid w:val="2E515E22"/>
    <w:rsid w:val="2E642CC4"/>
    <w:rsid w:val="2E693FEF"/>
    <w:rsid w:val="2E76495E"/>
    <w:rsid w:val="2E944A8A"/>
    <w:rsid w:val="2E953036"/>
    <w:rsid w:val="2F1C5505"/>
    <w:rsid w:val="2F2B74F6"/>
    <w:rsid w:val="2F601896"/>
    <w:rsid w:val="2F633134"/>
    <w:rsid w:val="2F6D7926"/>
    <w:rsid w:val="2F7EF292"/>
    <w:rsid w:val="2F834938"/>
    <w:rsid w:val="2FA572A9"/>
    <w:rsid w:val="2FAA48BF"/>
    <w:rsid w:val="2FAF1ED5"/>
    <w:rsid w:val="2FD15B01"/>
    <w:rsid w:val="2FE14059"/>
    <w:rsid w:val="30074904"/>
    <w:rsid w:val="30112B90"/>
    <w:rsid w:val="301A5FEF"/>
    <w:rsid w:val="304C3BC8"/>
    <w:rsid w:val="30517430"/>
    <w:rsid w:val="307153DD"/>
    <w:rsid w:val="30A6152A"/>
    <w:rsid w:val="30B17ECF"/>
    <w:rsid w:val="30BF439A"/>
    <w:rsid w:val="30E40394"/>
    <w:rsid w:val="30F46739"/>
    <w:rsid w:val="30FC739C"/>
    <w:rsid w:val="310D77FB"/>
    <w:rsid w:val="310E5321"/>
    <w:rsid w:val="311B169D"/>
    <w:rsid w:val="31210BB1"/>
    <w:rsid w:val="31210CAE"/>
    <w:rsid w:val="313F54DB"/>
    <w:rsid w:val="314A5DDE"/>
    <w:rsid w:val="31660CB9"/>
    <w:rsid w:val="3186310A"/>
    <w:rsid w:val="31992E3D"/>
    <w:rsid w:val="31BA754C"/>
    <w:rsid w:val="31C07523"/>
    <w:rsid w:val="31E322A4"/>
    <w:rsid w:val="31E63BA8"/>
    <w:rsid w:val="31ED4F37"/>
    <w:rsid w:val="31FE7144"/>
    <w:rsid w:val="320A5AE9"/>
    <w:rsid w:val="321150C9"/>
    <w:rsid w:val="32382656"/>
    <w:rsid w:val="32513718"/>
    <w:rsid w:val="328A6C2A"/>
    <w:rsid w:val="329676C6"/>
    <w:rsid w:val="32987598"/>
    <w:rsid w:val="329F4483"/>
    <w:rsid w:val="32A7158A"/>
    <w:rsid w:val="32BB5035"/>
    <w:rsid w:val="32CE4D68"/>
    <w:rsid w:val="32D3412D"/>
    <w:rsid w:val="32D54349"/>
    <w:rsid w:val="32DA1A96"/>
    <w:rsid w:val="32E4458C"/>
    <w:rsid w:val="32EC51EE"/>
    <w:rsid w:val="32F626A9"/>
    <w:rsid w:val="33124B69"/>
    <w:rsid w:val="331F3816"/>
    <w:rsid w:val="33240E2C"/>
    <w:rsid w:val="33466FF4"/>
    <w:rsid w:val="334B460B"/>
    <w:rsid w:val="335F7550"/>
    <w:rsid w:val="338673F1"/>
    <w:rsid w:val="3390201E"/>
    <w:rsid w:val="33AD7074"/>
    <w:rsid w:val="33BB353F"/>
    <w:rsid w:val="33F627C9"/>
    <w:rsid w:val="3413465F"/>
    <w:rsid w:val="345117AD"/>
    <w:rsid w:val="34621C0C"/>
    <w:rsid w:val="348722BC"/>
    <w:rsid w:val="34BD20F5"/>
    <w:rsid w:val="34DC5417"/>
    <w:rsid w:val="34F36D08"/>
    <w:rsid w:val="351F7AFD"/>
    <w:rsid w:val="35213875"/>
    <w:rsid w:val="35262C3A"/>
    <w:rsid w:val="353A54BF"/>
    <w:rsid w:val="35411821"/>
    <w:rsid w:val="35414F6E"/>
    <w:rsid w:val="35492DCC"/>
    <w:rsid w:val="354A557E"/>
    <w:rsid w:val="35723B12"/>
    <w:rsid w:val="358D0F0B"/>
    <w:rsid w:val="35942299"/>
    <w:rsid w:val="35CD25D4"/>
    <w:rsid w:val="35D5640E"/>
    <w:rsid w:val="35F66AB0"/>
    <w:rsid w:val="36140CE4"/>
    <w:rsid w:val="36343134"/>
    <w:rsid w:val="364C6123"/>
    <w:rsid w:val="365D6B2F"/>
    <w:rsid w:val="366D60BB"/>
    <w:rsid w:val="3679323D"/>
    <w:rsid w:val="367C4ADB"/>
    <w:rsid w:val="369736C3"/>
    <w:rsid w:val="369938DF"/>
    <w:rsid w:val="36A66AAC"/>
    <w:rsid w:val="36A852DC"/>
    <w:rsid w:val="36AE738B"/>
    <w:rsid w:val="36C739BA"/>
    <w:rsid w:val="36D367A4"/>
    <w:rsid w:val="36E27034"/>
    <w:rsid w:val="36E36908"/>
    <w:rsid w:val="36E52892"/>
    <w:rsid w:val="37A07217"/>
    <w:rsid w:val="37B409D1"/>
    <w:rsid w:val="37BA58BB"/>
    <w:rsid w:val="37BF0C34"/>
    <w:rsid w:val="37CB7AC8"/>
    <w:rsid w:val="37E64902"/>
    <w:rsid w:val="37E82428"/>
    <w:rsid w:val="37EA2644"/>
    <w:rsid w:val="37F02B25"/>
    <w:rsid w:val="38084878"/>
    <w:rsid w:val="384358B1"/>
    <w:rsid w:val="385C1AD2"/>
    <w:rsid w:val="387852AD"/>
    <w:rsid w:val="38C74734"/>
    <w:rsid w:val="38D40BFF"/>
    <w:rsid w:val="38ED3A6E"/>
    <w:rsid w:val="38EE1CC0"/>
    <w:rsid w:val="38FE5C7B"/>
    <w:rsid w:val="3925123D"/>
    <w:rsid w:val="392F4087"/>
    <w:rsid w:val="39A9658E"/>
    <w:rsid w:val="39AD696B"/>
    <w:rsid w:val="39BF34CA"/>
    <w:rsid w:val="39F1151D"/>
    <w:rsid w:val="39F23A32"/>
    <w:rsid w:val="39F64577"/>
    <w:rsid w:val="3A1C285D"/>
    <w:rsid w:val="3A217E73"/>
    <w:rsid w:val="3A257964"/>
    <w:rsid w:val="3A26548A"/>
    <w:rsid w:val="3A4C64F3"/>
    <w:rsid w:val="3A8C3180"/>
    <w:rsid w:val="3A9C399E"/>
    <w:rsid w:val="3AAF1923"/>
    <w:rsid w:val="3AEC0481"/>
    <w:rsid w:val="3B0532F1"/>
    <w:rsid w:val="3B0649B6"/>
    <w:rsid w:val="3B331C0C"/>
    <w:rsid w:val="3B3661EE"/>
    <w:rsid w:val="3B44206B"/>
    <w:rsid w:val="3B476ACD"/>
    <w:rsid w:val="3B5273F2"/>
    <w:rsid w:val="3B5878C5"/>
    <w:rsid w:val="3B660234"/>
    <w:rsid w:val="3B824942"/>
    <w:rsid w:val="3B8406BA"/>
    <w:rsid w:val="3BB84807"/>
    <w:rsid w:val="3BBA232E"/>
    <w:rsid w:val="3BBC4153"/>
    <w:rsid w:val="3BD07B42"/>
    <w:rsid w:val="3BE178BA"/>
    <w:rsid w:val="3BE61375"/>
    <w:rsid w:val="3BF462D3"/>
    <w:rsid w:val="3C096E11"/>
    <w:rsid w:val="3C1C4D96"/>
    <w:rsid w:val="3C5C5193"/>
    <w:rsid w:val="3C5E0F0B"/>
    <w:rsid w:val="3C6978B0"/>
    <w:rsid w:val="3CB925E5"/>
    <w:rsid w:val="3CE37662"/>
    <w:rsid w:val="3D136199"/>
    <w:rsid w:val="3D3440FA"/>
    <w:rsid w:val="3D474DCF"/>
    <w:rsid w:val="3D526C34"/>
    <w:rsid w:val="3D5D11C3"/>
    <w:rsid w:val="3D73139F"/>
    <w:rsid w:val="3D7FC584"/>
    <w:rsid w:val="3D9170BE"/>
    <w:rsid w:val="3D9B618F"/>
    <w:rsid w:val="3DBA03C3"/>
    <w:rsid w:val="3DCA7774"/>
    <w:rsid w:val="3DCF4EAF"/>
    <w:rsid w:val="3DF633C5"/>
    <w:rsid w:val="3E0A13E6"/>
    <w:rsid w:val="3E1C72D0"/>
    <w:rsid w:val="3E2241BA"/>
    <w:rsid w:val="3E2E7003"/>
    <w:rsid w:val="3E3A59A8"/>
    <w:rsid w:val="3E42660A"/>
    <w:rsid w:val="3E500D27"/>
    <w:rsid w:val="3E66679D"/>
    <w:rsid w:val="3E7C1B1C"/>
    <w:rsid w:val="3E817133"/>
    <w:rsid w:val="3E864749"/>
    <w:rsid w:val="3E895FE7"/>
    <w:rsid w:val="3E9C3F6D"/>
    <w:rsid w:val="3EBF1A09"/>
    <w:rsid w:val="3EC55271"/>
    <w:rsid w:val="3ECA61B9"/>
    <w:rsid w:val="3EE80F60"/>
    <w:rsid w:val="3EF94CDF"/>
    <w:rsid w:val="3F43263A"/>
    <w:rsid w:val="3F996C59"/>
    <w:rsid w:val="3FC413B8"/>
    <w:rsid w:val="3FD956D5"/>
    <w:rsid w:val="3FDB2873"/>
    <w:rsid w:val="3FEE1AEA"/>
    <w:rsid w:val="3FFF2A05"/>
    <w:rsid w:val="401144E6"/>
    <w:rsid w:val="40291830"/>
    <w:rsid w:val="40324B88"/>
    <w:rsid w:val="40363F4D"/>
    <w:rsid w:val="40381A73"/>
    <w:rsid w:val="404E1296"/>
    <w:rsid w:val="405745EF"/>
    <w:rsid w:val="407D392A"/>
    <w:rsid w:val="4081341A"/>
    <w:rsid w:val="409E3FCC"/>
    <w:rsid w:val="40A9471F"/>
    <w:rsid w:val="40BA692C"/>
    <w:rsid w:val="40C10152"/>
    <w:rsid w:val="40C94F5B"/>
    <w:rsid w:val="40D7128C"/>
    <w:rsid w:val="40D774DE"/>
    <w:rsid w:val="40DE0E3E"/>
    <w:rsid w:val="410A7375"/>
    <w:rsid w:val="41250249"/>
    <w:rsid w:val="41326E0A"/>
    <w:rsid w:val="41354204"/>
    <w:rsid w:val="414D154E"/>
    <w:rsid w:val="415419B3"/>
    <w:rsid w:val="4182569C"/>
    <w:rsid w:val="41850CE8"/>
    <w:rsid w:val="41A7476B"/>
    <w:rsid w:val="41B45A71"/>
    <w:rsid w:val="41D43A1D"/>
    <w:rsid w:val="42051E29"/>
    <w:rsid w:val="420F4A55"/>
    <w:rsid w:val="4229421C"/>
    <w:rsid w:val="423A41C8"/>
    <w:rsid w:val="426E5960"/>
    <w:rsid w:val="427C658F"/>
    <w:rsid w:val="42AF0A6B"/>
    <w:rsid w:val="430020BB"/>
    <w:rsid w:val="43171E14"/>
    <w:rsid w:val="43244531"/>
    <w:rsid w:val="43452E25"/>
    <w:rsid w:val="436037BB"/>
    <w:rsid w:val="43635059"/>
    <w:rsid w:val="43682562"/>
    <w:rsid w:val="437B05F4"/>
    <w:rsid w:val="437C436D"/>
    <w:rsid w:val="43802B87"/>
    <w:rsid w:val="439E377F"/>
    <w:rsid w:val="43A833B4"/>
    <w:rsid w:val="43B26752"/>
    <w:rsid w:val="43BB4E95"/>
    <w:rsid w:val="43C71A8C"/>
    <w:rsid w:val="43D2480F"/>
    <w:rsid w:val="43D45F57"/>
    <w:rsid w:val="43DE0B83"/>
    <w:rsid w:val="43E066A9"/>
    <w:rsid w:val="43E75C8A"/>
    <w:rsid w:val="43F42155"/>
    <w:rsid w:val="43F70B4E"/>
    <w:rsid w:val="440A3726"/>
    <w:rsid w:val="440E76BA"/>
    <w:rsid w:val="442832A4"/>
    <w:rsid w:val="44316F05"/>
    <w:rsid w:val="4444198E"/>
    <w:rsid w:val="44705C7F"/>
    <w:rsid w:val="449776B0"/>
    <w:rsid w:val="44B6565C"/>
    <w:rsid w:val="44C64BDA"/>
    <w:rsid w:val="44CD30D2"/>
    <w:rsid w:val="44D83825"/>
    <w:rsid w:val="44E24EC8"/>
    <w:rsid w:val="45014B29"/>
    <w:rsid w:val="45032AA5"/>
    <w:rsid w:val="456A26C4"/>
    <w:rsid w:val="456F5F37"/>
    <w:rsid w:val="458B6AE9"/>
    <w:rsid w:val="459534C4"/>
    <w:rsid w:val="45B24076"/>
    <w:rsid w:val="45B778DE"/>
    <w:rsid w:val="45BE0C6C"/>
    <w:rsid w:val="45C36283"/>
    <w:rsid w:val="45D24718"/>
    <w:rsid w:val="45D93CF8"/>
    <w:rsid w:val="45DC0084"/>
    <w:rsid w:val="45F4468E"/>
    <w:rsid w:val="45F5238C"/>
    <w:rsid w:val="46080139"/>
    <w:rsid w:val="462E7BA0"/>
    <w:rsid w:val="463A4797"/>
    <w:rsid w:val="463D6035"/>
    <w:rsid w:val="464F6F1E"/>
    <w:rsid w:val="46517D32"/>
    <w:rsid w:val="46AB7443"/>
    <w:rsid w:val="46C202E8"/>
    <w:rsid w:val="46ED7A5B"/>
    <w:rsid w:val="46EE37D3"/>
    <w:rsid w:val="46F506BE"/>
    <w:rsid w:val="47372A84"/>
    <w:rsid w:val="473A3F6A"/>
    <w:rsid w:val="474156B1"/>
    <w:rsid w:val="4779309D"/>
    <w:rsid w:val="4799373F"/>
    <w:rsid w:val="47C04E8F"/>
    <w:rsid w:val="47EF6D93"/>
    <w:rsid w:val="48142DC6"/>
    <w:rsid w:val="48166B3E"/>
    <w:rsid w:val="4819662E"/>
    <w:rsid w:val="48427933"/>
    <w:rsid w:val="48667B2A"/>
    <w:rsid w:val="488975B4"/>
    <w:rsid w:val="489B5295"/>
    <w:rsid w:val="48AC1250"/>
    <w:rsid w:val="48AD604A"/>
    <w:rsid w:val="48B87BF5"/>
    <w:rsid w:val="48CB3DCC"/>
    <w:rsid w:val="48DC1C3B"/>
    <w:rsid w:val="49105C83"/>
    <w:rsid w:val="491B0AD8"/>
    <w:rsid w:val="492B486B"/>
    <w:rsid w:val="493515F2"/>
    <w:rsid w:val="49483F79"/>
    <w:rsid w:val="49757894"/>
    <w:rsid w:val="49822BAA"/>
    <w:rsid w:val="49A07007"/>
    <w:rsid w:val="49B40DFB"/>
    <w:rsid w:val="49BE1831"/>
    <w:rsid w:val="49C425C9"/>
    <w:rsid w:val="49CA7BE0"/>
    <w:rsid w:val="49D62A28"/>
    <w:rsid w:val="4A0D21C2"/>
    <w:rsid w:val="4A113A61"/>
    <w:rsid w:val="4A1B4962"/>
    <w:rsid w:val="4A276319"/>
    <w:rsid w:val="4A2A2D74"/>
    <w:rsid w:val="4A2A683B"/>
    <w:rsid w:val="4A392FB7"/>
    <w:rsid w:val="4A4831FA"/>
    <w:rsid w:val="4A61240F"/>
    <w:rsid w:val="4A653DAC"/>
    <w:rsid w:val="4A875AD1"/>
    <w:rsid w:val="4A995804"/>
    <w:rsid w:val="4AA448D5"/>
    <w:rsid w:val="4AAE5753"/>
    <w:rsid w:val="4AAF6DD6"/>
    <w:rsid w:val="4AB32D6A"/>
    <w:rsid w:val="4ABD5996"/>
    <w:rsid w:val="4AEF3676"/>
    <w:rsid w:val="4B700C5B"/>
    <w:rsid w:val="4B72535D"/>
    <w:rsid w:val="4B9A7A86"/>
    <w:rsid w:val="4BA803F5"/>
    <w:rsid w:val="4BB477AD"/>
    <w:rsid w:val="4BBF20A9"/>
    <w:rsid w:val="4BE331DB"/>
    <w:rsid w:val="4BE64A79"/>
    <w:rsid w:val="4BF929FE"/>
    <w:rsid w:val="4C196BFC"/>
    <w:rsid w:val="4C20442F"/>
    <w:rsid w:val="4C687B84"/>
    <w:rsid w:val="4C6B4F7E"/>
    <w:rsid w:val="4C721BF8"/>
    <w:rsid w:val="4C9B5863"/>
    <w:rsid w:val="4CA566E2"/>
    <w:rsid w:val="4CBD3A2C"/>
    <w:rsid w:val="4CBE1552"/>
    <w:rsid w:val="4D155616"/>
    <w:rsid w:val="4D1F61F8"/>
    <w:rsid w:val="4D2C295F"/>
    <w:rsid w:val="4D3F2693"/>
    <w:rsid w:val="4D4557D4"/>
    <w:rsid w:val="4D550108"/>
    <w:rsid w:val="4D573E80"/>
    <w:rsid w:val="4D616AAD"/>
    <w:rsid w:val="4D6E2F78"/>
    <w:rsid w:val="4D773DD8"/>
    <w:rsid w:val="4D7E765F"/>
    <w:rsid w:val="4D87403A"/>
    <w:rsid w:val="4DA91E14"/>
    <w:rsid w:val="4DAF5056"/>
    <w:rsid w:val="4DFE60AA"/>
    <w:rsid w:val="4E031912"/>
    <w:rsid w:val="4E146DA6"/>
    <w:rsid w:val="4E5C1022"/>
    <w:rsid w:val="4E6B59CF"/>
    <w:rsid w:val="4E6D3230"/>
    <w:rsid w:val="4E740A62"/>
    <w:rsid w:val="4E7F59EB"/>
    <w:rsid w:val="4E8535F7"/>
    <w:rsid w:val="4E9A2E01"/>
    <w:rsid w:val="4ECF3EEA"/>
    <w:rsid w:val="4EDA3A8E"/>
    <w:rsid w:val="4EE72FE2"/>
    <w:rsid w:val="4EF53E96"/>
    <w:rsid w:val="4F14636A"/>
    <w:rsid w:val="4F4C1CD9"/>
    <w:rsid w:val="4F6B59C1"/>
    <w:rsid w:val="4F6E54B1"/>
    <w:rsid w:val="4F7687E8"/>
    <w:rsid w:val="4F7B673F"/>
    <w:rsid w:val="4F9667B6"/>
    <w:rsid w:val="4F9B7EA7"/>
    <w:rsid w:val="4F9C06C7"/>
    <w:rsid w:val="4FD5108C"/>
    <w:rsid w:val="4FE912AB"/>
    <w:rsid w:val="4FFC0D0F"/>
    <w:rsid w:val="500206B3"/>
    <w:rsid w:val="50196C1C"/>
    <w:rsid w:val="501E32E6"/>
    <w:rsid w:val="501F1883"/>
    <w:rsid w:val="502D2C76"/>
    <w:rsid w:val="504428BE"/>
    <w:rsid w:val="50447FC0"/>
    <w:rsid w:val="505C7A00"/>
    <w:rsid w:val="505C7F65"/>
    <w:rsid w:val="505D00DF"/>
    <w:rsid w:val="505E72D4"/>
    <w:rsid w:val="51226553"/>
    <w:rsid w:val="51346287"/>
    <w:rsid w:val="513D41D6"/>
    <w:rsid w:val="51450494"/>
    <w:rsid w:val="51583D23"/>
    <w:rsid w:val="515F5807"/>
    <w:rsid w:val="51786173"/>
    <w:rsid w:val="518B234A"/>
    <w:rsid w:val="51C413B8"/>
    <w:rsid w:val="51C60943"/>
    <w:rsid w:val="51CC1C37"/>
    <w:rsid w:val="51D07D5D"/>
    <w:rsid w:val="51F7178E"/>
    <w:rsid w:val="51FF3704"/>
    <w:rsid w:val="522105B9"/>
    <w:rsid w:val="523429E2"/>
    <w:rsid w:val="524A3FB4"/>
    <w:rsid w:val="524C1FAC"/>
    <w:rsid w:val="525B57E5"/>
    <w:rsid w:val="52720E14"/>
    <w:rsid w:val="527B23BF"/>
    <w:rsid w:val="52C33D66"/>
    <w:rsid w:val="52D715BF"/>
    <w:rsid w:val="52DE4816"/>
    <w:rsid w:val="52E8557B"/>
    <w:rsid w:val="52EE523A"/>
    <w:rsid w:val="53051C89"/>
    <w:rsid w:val="530E3233"/>
    <w:rsid w:val="531531BE"/>
    <w:rsid w:val="53283BC9"/>
    <w:rsid w:val="53407165"/>
    <w:rsid w:val="535350EA"/>
    <w:rsid w:val="535D23D9"/>
    <w:rsid w:val="53746E0E"/>
    <w:rsid w:val="538434F5"/>
    <w:rsid w:val="538E7ED0"/>
    <w:rsid w:val="53985924"/>
    <w:rsid w:val="53C9715A"/>
    <w:rsid w:val="53DD2AE1"/>
    <w:rsid w:val="53E21FCA"/>
    <w:rsid w:val="53EC109A"/>
    <w:rsid w:val="53FC7156"/>
    <w:rsid w:val="543237A8"/>
    <w:rsid w:val="5449029B"/>
    <w:rsid w:val="546A2443"/>
    <w:rsid w:val="546D21DB"/>
    <w:rsid w:val="549534E0"/>
    <w:rsid w:val="54B8530B"/>
    <w:rsid w:val="54D47B64"/>
    <w:rsid w:val="550D2661"/>
    <w:rsid w:val="55286102"/>
    <w:rsid w:val="55313209"/>
    <w:rsid w:val="55452810"/>
    <w:rsid w:val="5572737D"/>
    <w:rsid w:val="55B53F29"/>
    <w:rsid w:val="55C52214"/>
    <w:rsid w:val="55CC4CE0"/>
    <w:rsid w:val="55D9189F"/>
    <w:rsid w:val="55FF3307"/>
    <w:rsid w:val="56026953"/>
    <w:rsid w:val="56336B0D"/>
    <w:rsid w:val="565A678F"/>
    <w:rsid w:val="565D1DDC"/>
    <w:rsid w:val="565F7902"/>
    <w:rsid w:val="566273F2"/>
    <w:rsid w:val="567315FF"/>
    <w:rsid w:val="568E01E7"/>
    <w:rsid w:val="56A17F1A"/>
    <w:rsid w:val="56AE457F"/>
    <w:rsid w:val="56B934B6"/>
    <w:rsid w:val="56BF65F2"/>
    <w:rsid w:val="56C8194B"/>
    <w:rsid w:val="56CD1FDC"/>
    <w:rsid w:val="56FA762A"/>
    <w:rsid w:val="57032983"/>
    <w:rsid w:val="572823EA"/>
    <w:rsid w:val="57390153"/>
    <w:rsid w:val="57392849"/>
    <w:rsid w:val="574865E8"/>
    <w:rsid w:val="57581F3D"/>
    <w:rsid w:val="57792C45"/>
    <w:rsid w:val="57835872"/>
    <w:rsid w:val="5794182D"/>
    <w:rsid w:val="57A2219C"/>
    <w:rsid w:val="57C9597B"/>
    <w:rsid w:val="57D12A81"/>
    <w:rsid w:val="580F7106"/>
    <w:rsid w:val="5818420C"/>
    <w:rsid w:val="58226E39"/>
    <w:rsid w:val="582901C7"/>
    <w:rsid w:val="582C7CB7"/>
    <w:rsid w:val="582F1556"/>
    <w:rsid w:val="583F2209"/>
    <w:rsid w:val="58450D79"/>
    <w:rsid w:val="5851771E"/>
    <w:rsid w:val="585A65D3"/>
    <w:rsid w:val="58694A68"/>
    <w:rsid w:val="588003B2"/>
    <w:rsid w:val="58C46142"/>
    <w:rsid w:val="58CB7ED3"/>
    <w:rsid w:val="58EB1921"/>
    <w:rsid w:val="58FC3B2E"/>
    <w:rsid w:val="5900361E"/>
    <w:rsid w:val="59172716"/>
    <w:rsid w:val="591C1ADA"/>
    <w:rsid w:val="592B4413"/>
    <w:rsid w:val="5939268C"/>
    <w:rsid w:val="59411541"/>
    <w:rsid w:val="59464DA9"/>
    <w:rsid w:val="594C6863"/>
    <w:rsid w:val="594D4389"/>
    <w:rsid w:val="59520915"/>
    <w:rsid w:val="59835FFD"/>
    <w:rsid w:val="59A73A9A"/>
    <w:rsid w:val="59BD32BD"/>
    <w:rsid w:val="59CD1026"/>
    <w:rsid w:val="59F9006D"/>
    <w:rsid w:val="5A117165"/>
    <w:rsid w:val="5A251AD0"/>
    <w:rsid w:val="5A285D45"/>
    <w:rsid w:val="5A2F1906"/>
    <w:rsid w:val="5A366BCB"/>
    <w:rsid w:val="5A3B2434"/>
    <w:rsid w:val="5A660AF8"/>
    <w:rsid w:val="5A686794"/>
    <w:rsid w:val="5A7A11AE"/>
    <w:rsid w:val="5A874791"/>
    <w:rsid w:val="5AAC3332"/>
    <w:rsid w:val="5AB32912"/>
    <w:rsid w:val="5AC95C92"/>
    <w:rsid w:val="5AD7795C"/>
    <w:rsid w:val="5AD9459C"/>
    <w:rsid w:val="5B1E422F"/>
    <w:rsid w:val="5B347DF2"/>
    <w:rsid w:val="5B353327"/>
    <w:rsid w:val="5B7529BF"/>
    <w:rsid w:val="5B7E4CCE"/>
    <w:rsid w:val="5B834092"/>
    <w:rsid w:val="5B863B83"/>
    <w:rsid w:val="5B920779"/>
    <w:rsid w:val="5BB15652"/>
    <w:rsid w:val="5BBB7CD0"/>
    <w:rsid w:val="5BEA2363"/>
    <w:rsid w:val="5BFE196B"/>
    <w:rsid w:val="5C195737"/>
    <w:rsid w:val="5C1B42CB"/>
    <w:rsid w:val="5C2018E1"/>
    <w:rsid w:val="5C394AC6"/>
    <w:rsid w:val="5C7E547D"/>
    <w:rsid w:val="5C841E70"/>
    <w:rsid w:val="5CA471AD"/>
    <w:rsid w:val="5CC22998"/>
    <w:rsid w:val="5CD56326"/>
    <w:rsid w:val="5CF101F6"/>
    <w:rsid w:val="5CFC1244"/>
    <w:rsid w:val="5D0631CD"/>
    <w:rsid w:val="5D066D29"/>
    <w:rsid w:val="5D151EFF"/>
    <w:rsid w:val="5D3A4C25"/>
    <w:rsid w:val="5D487342"/>
    <w:rsid w:val="5D760E88"/>
    <w:rsid w:val="5D7E7207"/>
    <w:rsid w:val="5D810AA5"/>
    <w:rsid w:val="5E3B5887"/>
    <w:rsid w:val="5E525F9E"/>
    <w:rsid w:val="5E6C7060"/>
    <w:rsid w:val="5E7B3747"/>
    <w:rsid w:val="5E8C325E"/>
    <w:rsid w:val="5E9071F2"/>
    <w:rsid w:val="5EA45F8B"/>
    <w:rsid w:val="5EC72965"/>
    <w:rsid w:val="5F090D52"/>
    <w:rsid w:val="5F1550E1"/>
    <w:rsid w:val="5F1F0576"/>
    <w:rsid w:val="5F2E5FC0"/>
    <w:rsid w:val="5F3C4C84"/>
    <w:rsid w:val="5F5244A8"/>
    <w:rsid w:val="5F661D01"/>
    <w:rsid w:val="5F6D7533"/>
    <w:rsid w:val="5F700DD2"/>
    <w:rsid w:val="5F7C32D2"/>
    <w:rsid w:val="5F816B3B"/>
    <w:rsid w:val="5F830B05"/>
    <w:rsid w:val="5F8D6EB2"/>
    <w:rsid w:val="5F93686E"/>
    <w:rsid w:val="5FA56CCD"/>
    <w:rsid w:val="5FBE3A3F"/>
    <w:rsid w:val="5FC353A5"/>
    <w:rsid w:val="5FD27396"/>
    <w:rsid w:val="600532C8"/>
    <w:rsid w:val="601B6F8F"/>
    <w:rsid w:val="605129B1"/>
    <w:rsid w:val="6054424F"/>
    <w:rsid w:val="605E6E7C"/>
    <w:rsid w:val="60623DF2"/>
    <w:rsid w:val="606D5311"/>
    <w:rsid w:val="607641C6"/>
    <w:rsid w:val="60966616"/>
    <w:rsid w:val="60AA0313"/>
    <w:rsid w:val="60AC195D"/>
    <w:rsid w:val="60AE3960"/>
    <w:rsid w:val="60C82547"/>
    <w:rsid w:val="60CE5DB0"/>
    <w:rsid w:val="60D94755"/>
    <w:rsid w:val="60DF105A"/>
    <w:rsid w:val="60E22684"/>
    <w:rsid w:val="60E23609"/>
    <w:rsid w:val="612754C0"/>
    <w:rsid w:val="61533EBB"/>
    <w:rsid w:val="61903065"/>
    <w:rsid w:val="61A11716"/>
    <w:rsid w:val="61BA4586"/>
    <w:rsid w:val="61C21F70"/>
    <w:rsid w:val="61ED04B8"/>
    <w:rsid w:val="61FA4982"/>
    <w:rsid w:val="620B4DE2"/>
    <w:rsid w:val="62127F1E"/>
    <w:rsid w:val="626544F2"/>
    <w:rsid w:val="627110E9"/>
    <w:rsid w:val="62BB6808"/>
    <w:rsid w:val="62BD60DC"/>
    <w:rsid w:val="62CA07F9"/>
    <w:rsid w:val="62D13935"/>
    <w:rsid w:val="62D6719E"/>
    <w:rsid w:val="62E0626E"/>
    <w:rsid w:val="62E573E1"/>
    <w:rsid w:val="62E95123"/>
    <w:rsid w:val="630068FA"/>
    <w:rsid w:val="633D546F"/>
    <w:rsid w:val="636447A9"/>
    <w:rsid w:val="636649C5"/>
    <w:rsid w:val="636E73D6"/>
    <w:rsid w:val="637442ED"/>
    <w:rsid w:val="63780255"/>
    <w:rsid w:val="637846AE"/>
    <w:rsid w:val="63A02E10"/>
    <w:rsid w:val="64122457"/>
    <w:rsid w:val="641C6E32"/>
    <w:rsid w:val="64446389"/>
    <w:rsid w:val="646802C9"/>
    <w:rsid w:val="64686C63"/>
    <w:rsid w:val="646F4F97"/>
    <w:rsid w:val="64706357"/>
    <w:rsid w:val="64801AB7"/>
    <w:rsid w:val="6481138B"/>
    <w:rsid w:val="64883D72"/>
    <w:rsid w:val="64B960B5"/>
    <w:rsid w:val="64CA2D32"/>
    <w:rsid w:val="64D771FD"/>
    <w:rsid w:val="6502071E"/>
    <w:rsid w:val="65077AE2"/>
    <w:rsid w:val="65085608"/>
    <w:rsid w:val="65270184"/>
    <w:rsid w:val="652A37D1"/>
    <w:rsid w:val="6549634D"/>
    <w:rsid w:val="65736F26"/>
    <w:rsid w:val="658253BB"/>
    <w:rsid w:val="659375C8"/>
    <w:rsid w:val="65A90B99"/>
    <w:rsid w:val="65AC068A"/>
    <w:rsid w:val="65E240AB"/>
    <w:rsid w:val="66042274"/>
    <w:rsid w:val="66171FA7"/>
    <w:rsid w:val="66377F53"/>
    <w:rsid w:val="664E34EF"/>
    <w:rsid w:val="6655487D"/>
    <w:rsid w:val="665705F5"/>
    <w:rsid w:val="6659611C"/>
    <w:rsid w:val="667E3DD4"/>
    <w:rsid w:val="6692162D"/>
    <w:rsid w:val="66A870A3"/>
    <w:rsid w:val="66C46C29"/>
    <w:rsid w:val="66D165FA"/>
    <w:rsid w:val="66E856F1"/>
    <w:rsid w:val="66FB10F9"/>
    <w:rsid w:val="66FB3677"/>
    <w:rsid w:val="67006EDF"/>
    <w:rsid w:val="671958AB"/>
    <w:rsid w:val="674548F2"/>
    <w:rsid w:val="67492634"/>
    <w:rsid w:val="674E7C4A"/>
    <w:rsid w:val="67A96C2F"/>
    <w:rsid w:val="67B11959"/>
    <w:rsid w:val="67CB3049"/>
    <w:rsid w:val="67D57A24"/>
    <w:rsid w:val="67DF6634"/>
    <w:rsid w:val="67E10ABE"/>
    <w:rsid w:val="67E265E5"/>
    <w:rsid w:val="67F02AB0"/>
    <w:rsid w:val="680E1188"/>
    <w:rsid w:val="680E66C4"/>
    <w:rsid w:val="68305A7D"/>
    <w:rsid w:val="68686AEA"/>
    <w:rsid w:val="68784853"/>
    <w:rsid w:val="68B43ADD"/>
    <w:rsid w:val="68BA4E6C"/>
    <w:rsid w:val="68BA7EAC"/>
    <w:rsid w:val="68BC5088"/>
    <w:rsid w:val="68C857DA"/>
    <w:rsid w:val="68CD337D"/>
    <w:rsid w:val="68D20407"/>
    <w:rsid w:val="68F8098E"/>
    <w:rsid w:val="68FB795E"/>
    <w:rsid w:val="69196036"/>
    <w:rsid w:val="69232A11"/>
    <w:rsid w:val="697B284D"/>
    <w:rsid w:val="698C05B6"/>
    <w:rsid w:val="699B6A4B"/>
    <w:rsid w:val="69CF4947"/>
    <w:rsid w:val="69D16911"/>
    <w:rsid w:val="69F04FE9"/>
    <w:rsid w:val="6A06437E"/>
    <w:rsid w:val="6A0E546F"/>
    <w:rsid w:val="6A162A12"/>
    <w:rsid w:val="6A307EC9"/>
    <w:rsid w:val="6AA81420"/>
    <w:rsid w:val="6AB72182"/>
    <w:rsid w:val="6AD541DF"/>
    <w:rsid w:val="6AD9782B"/>
    <w:rsid w:val="6AE901F4"/>
    <w:rsid w:val="6AE96AFF"/>
    <w:rsid w:val="6B0845B4"/>
    <w:rsid w:val="6B1C1E0E"/>
    <w:rsid w:val="6B3A4ABE"/>
    <w:rsid w:val="6B437609"/>
    <w:rsid w:val="6B7439F8"/>
    <w:rsid w:val="6B8235AE"/>
    <w:rsid w:val="6B8249E2"/>
    <w:rsid w:val="6B87372B"/>
    <w:rsid w:val="6BC819FD"/>
    <w:rsid w:val="6BC9410B"/>
    <w:rsid w:val="6BD36970"/>
    <w:rsid w:val="6BD44496"/>
    <w:rsid w:val="6BD961EA"/>
    <w:rsid w:val="6C2C6080"/>
    <w:rsid w:val="6C4433CA"/>
    <w:rsid w:val="6C56047F"/>
    <w:rsid w:val="6C5630FD"/>
    <w:rsid w:val="6C6A16B7"/>
    <w:rsid w:val="6C826BFA"/>
    <w:rsid w:val="6C8D2FC3"/>
    <w:rsid w:val="6C9A19D3"/>
    <w:rsid w:val="6CA36342"/>
    <w:rsid w:val="6CC10EBE"/>
    <w:rsid w:val="6CCA7D73"/>
    <w:rsid w:val="6CE30E35"/>
    <w:rsid w:val="6CE355A2"/>
    <w:rsid w:val="6CE412B4"/>
    <w:rsid w:val="6CEC658F"/>
    <w:rsid w:val="6D042B59"/>
    <w:rsid w:val="6D0668D1"/>
    <w:rsid w:val="6D0D7C60"/>
    <w:rsid w:val="6D192AA9"/>
    <w:rsid w:val="6D266F73"/>
    <w:rsid w:val="6D34343E"/>
    <w:rsid w:val="6D5133CE"/>
    <w:rsid w:val="6D5E2269"/>
    <w:rsid w:val="6D620694"/>
    <w:rsid w:val="6D837C63"/>
    <w:rsid w:val="6D940381"/>
    <w:rsid w:val="6DA305C4"/>
    <w:rsid w:val="6DB620A5"/>
    <w:rsid w:val="6DCA5B51"/>
    <w:rsid w:val="6DCA78FF"/>
    <w:rsid w:val="6DCD73EF"/>
    <w:rsid w:val="6DDD3AD6"/>
    <w:rsid w:val="6DE5082C"/>
    <w:rsid w:val="6E0A23F1"/>
    <w:rsid w:val="6E162EC1"/>
    <w:rsid w:val="6E4678CD"/>
    <w:rsid w:val="6E661D1D"/>
    <w:rsid w:val="6E66587A"/>
    <w:rsid w:val="6E893C14"/>
    <w:rsid w:val="6EA75E92"/>
    <w:rsid w:val="6EC30F1E"/>
    <w:rsid w:val="6EC46A44"/>
    <w:rsid w:val="6EC6456A"/>
    <w:rsid w:val="6EE36ECA"/>
    <w:rsid w:val="6EE37A5C"/>
    <w:rsid w:val="6EE964AB"/>
    <w:rsid w:val="6F0230C8"/>
    <w:rsid w:val="6F0D2199"/>
    <w:rsid w:val="6F2F210F"/>
    <w:rsid w:val="6F4A0598"/>
    <w:rsid w:val="6F502086"/>
    <w:rsid w:val="6F51516B"/>
    <w:rsid w:val="6F767D3E"/>
    <w:rsid w:val="6F912DCA"/>
    <w:rsid w:val="6FB865A9"/>
    <w:rsid w:val="6FBE7937"/>
    <w:rsid w:val="6FF15617"/>
    <w:rsid w:val="6FF52A90"/>
    <w:rsid w:val="700F0193"/>
    <w:rsid w:val="702552C0"/>
    <w:rsid w:val="704936A5"/>
    <w:rsid w:val="70514307"/>
    <w:rsid w:val="70656298"/>
    <w:rsid w:val="70657DB3"/>
    <w:rsid w:val="70714AF7"/>
    <w:rsid w:val="7099764F"/>
    <w:rsid w:val="70A72179"/>
    <w:rsid w:val="70AE52B6"/>
    <w:rsid w:val="70C76378"/>
    <w:rsid w:val="70E909E4"/>
    <w:rsid w:val="71176909"/>
    <w:rsid w:val="711772FF"/>
    <w:rsid w:val="711C4915"/>
    <w:rsid w:val="711E068D"/>
    <w:rsid w:val="7128150C"/>
    <w:rsid w:val="713752AB"/>
    <w:rsid w:val="714300F4"/>
    <w:rsid w:val="7173087E"/>
    <w:rsid w:val="717464FF"/>
    <w:rsid w:val="71754026"/>
    <w:rsid w:val="71881FAB"/>
    <w:rsid w:val="71995F66"/>
    <w:rsid w:val="71A212BE"/>
    <w:rsid w:val="71BE59CD"/>
    <w:rsid w:val="71DC1925"/>
    <w:rsid w:val="71F413EE"/>
    <w:rsid w:val="7201352A"/>
    <w:rsid w:val="7205731D"/>
    <w:rsid w:val="72086C48"/>
    <w:rsid w:val="7232523A"/>
    <w:rsid w:val="723E08BB"/>
    <w:rsid w:val="724638CB"/>
    <w:rsid w:val="724C122A"/>
    <w:rsid w:val="724C2FD8"/>
    <w:rsid w:val="72655E48"/>
    <w:rsid w:val="72676064"/>
    <w:rsid w:val="72712A3F"/>
    <w:rsid w:val="72733B5C"/>
    <w:rsid w:val="727E6F0A"/>
    <w:rsid w:val="728E35F1"/>
    <w:rsid w:val="729130E1"/>
    <w:rsid w:val="72E476B5"/>
    <w:rsid w:val="730162BB"/>
    <w:rsid w:val="730E1AAB"/>
    <w:rsid w:val="73216213"/>
    <w:rsid w:val="7325566E"/>
    <w:rsid w:val="73260519"/>
    <w:rsid w:val="732A1122"/>
    <w:rsid w:val="73426189"/>
    <w:rsid w:val="73467A28"/>
    <w:rsid w:val="73731284"/>
    <w:rsid w:val="73861A6D"/>
    <w:rsid w:val="738A025C"/>
    <w:rsid w:val="7390242F"/>
    <w:rsid w:val="739A7D73"/>
    <w:rsid w:val="73AC13B0"/>
    <w:rsid w:val="73BC418E"/>
    <w:rsid w:val="73F56E3D"/>
    <w:rsid w:val="73F76F74"/>
    <w:rsid w:val="74387CB8"/>
    <w:rsid w:val="743957DE"/>
    <w:rsid w:val="744B0F20"/>
    <w:rsid w:val="744F5002"/>
    <w:rsid w:val="74654825"/>
    <w:rsid w:val="746565D3"/>
    <w:rsid w:val="746E72F9"/>
    <w:rsid w:val="747D1B6F"/>
    <w:rsid w:val="74890514"/>
    <w:rsid w:val="748E5B2A"/>
    <w:rsid w:val="74A54C22"/>
    <w:rsid w:val="74AA5834"/>
    <w:rsid w:val="74BF0573"/>
    <w:rsid w:val="74BF5CE3"/>
    <w:rsid w:val="74CB0B2C"/>
    <w:rsid w:val="74CC6652"/>
    <w:rsid w:val="74E0439D"/>
    <w:rsid w:val="74EA0887"/>
    <w:rsid w:val="74F811F5"/>
    <w:rsid w:val="750202C6"/>
    <w:rsid w:val="75265D63"/>
    <w:rsid w:val="755D54FC"/>
    <w:rsid w:val="75610B49"/>
    <w:rsid w:val="757A7E5C"/>
    <w:rsid w:val="75A44ED9"/>
    <w:rsid w:val="75BE243F"/>
    <w:rsid w:val="75C9373C"/>
    <w:rsid w:val="75DF4163"/>
    <w:rsid w:val="75E62D8F"/>
    <w:rsid w:val="75FC4D15"/>
    <w:rsid w:val="76067942"/>
    <w:rsid w:val="760A1C23"/>
    <w:rsid w:val="76170789"/>
    <w:rsid w:val="763C15B6"/>
    <w:rsid w:val="763E532E"/>
    <w:rsid w:val="7641097A"/>
    <w:rsid w:val="764F3097"/>
    <w:rsid w:val="769431A0"/>
    <w:rsid w:val="76966F18"/>
    <w:rsid w:val="76AA1D10"/>
    <w:rsid w:val="76AE4262"/>
    <w:rsid w:val="76CD220E"/>
    <w:rsid w:val="76CE0460"/>
    <w:rsid w:val="76E2215D"/>
    <w:rsid w:val="76E75814"/>
    <w:rsid w:val="76F51448"/>
    <w:rsid w:val="76FF4ABD"/>
    <w:rsid w:val="770976EA"/>
    <w:rsid w:val="77324E93"/>
    <w:rsid w:val="77471FC0"/>
    <w:rsid w:val="77731007"/>
    <w:rsid w:val="77764653"/>
    <w:rsid w:val="77866F8C"/>
    <w:rsid w:val="77954AC0"/>
    <w:rsid w:val="77A33DD6"/>
    <w:rsid w:val="77B25235"/>
    <w:rsid w:val="77CE7C06"/>
    <w:rsid w:val="77F02658"/>
    <w:rsid w:val="77F9147D"/>
    <w:rsid w:val="78034139"/>
    <w:rsid w:val="7808174F"/>
    <w:rsid w:val="780F6F82"/>
    <w:rsid w:val="781B3959"/>
    <w:rsid w:val="78280044"/>
    <w:rsid w:val="78291AB0"/>
    <w:rsid w:val="782F13D2"/>
    <w:rsid w:val="783BB626"/>
    <w:rsid w:val="78461ACA"/>
    <w:rsid w:val="784C3D37"/>
    <w:rsid w:val="786372CE"/>
    <w:rsid w:val="786848E4"/>
    <w:rsid w:val="7885778E"/>
    <w:rsid w:val="78A771BA"/>
    <w:rsid w:val="78C8256F"/>
    <w:rsid w:val="78DE0866"/>
    <w:rsid w:val="78E75809"/>
    <w:rsid w:val="79004B1D"/>
    <w:rsid w:val="791800B8"/>
    <w:rsid w:val="79433B0E"/>
    <w:rsid w:val="79504B14"/>
    <w:rsid w:val="795B057F"/>
    <w:rsid w:val="7984574E"/>
    <w:rsid w:val="79AC4B42"/>
    <w:rsid w:val="79B31B8F"/>
    <w:rsid w:val="79C8563A"/>
    <w:rsid w:val="79CE0777"/>
    <w:rsid w:val="79E41D48"/>
    <w:rsid w:val="79EB3A48"/>
    <w:rsid w:val="79F532FD"/>
    <w:rsid w:val="7A170370"/>
    <w:rsid w:val="7A5549F4"/>
    <w:rsid w:val="7A5E1AFB"/>
    <w:rsid w:val="7A715CD2"/>
    <w:rsid w:val="7AA8546C"/>
    <w:rsid w:val="7AAF2356"/>
    <w:rsid w:val="7ACC115A"/>
    <w:rsid w:val="7AF4420D"/>
    <w:rsid w:val="7AFE508C"/>
    <w:rsid w:val="7B2F3759"/>
    <w:rsid w:val="7B3B008E"/>
    <w:rsid w:val="7B4B6523"/>
    <w:rsid w:val="7B50099E"/>
    <w:rsid w:val="7B5B5EDB"/>
    <w:rsid w:val="7B692002"/>
    <w:rsid w:val="7B705F89"/>
    <w:rsid w:val="7B9F55D9"/>
    <w:rsid w:val="7BA14395"/>
    <w:rsid w:val="7BE2148C"/>
    <w:rsid w:val="7BFB0508"/>
    <w:rsid w:val="7C173577"/>
    <w:rsid w:val="7C39281F"/>
    <w:rsid w:val="7C433AEA"/>
    <w:rsid w:val="7C492337"/>
    <w:rsid w:val="7C947B61"/>
    <w:rsid w:val="7CAF2AE1"/>
    <w:rsid w:val="7CAF6B09"/>
    <w:rsid w:val="7CD7276A"/>
    <w:rsid w:val="7D006E99"/>
    <w:rsid w:val="7D2679F2"/>
    <w:rsid w:val="7D2D1C58"/>
    <w:rsid w:val="7D3905FD"/>
    <w:rsid w:val="7D3E79C1"/>
    <w:rsid w:val="7D755AB7"/>
    <w:rsid w:val="7D7F1C62"/>
    <w:rsid w:val="7D8C48FE"/>
    <w:rsid w:val="7D943A85"/>
    <w:rsid w:val="7DA939D5"/>
    <w:rsid w:val="7DAE0FEB"/>
    <w:rsid w:val="7DBD2D35"/>
    <w:rsid w:val="7DF369FE"/>
    <w:rsid w:val="7E154BC6"/>
    <w:rsid w:val="7E172803"/>
    <w:rsid w:val="7E2B6198"/>
    <w:rsid w:val="7E7E09BD"/>
    <w:rsid w:val="7E814842"/>
    <w:rsid w:val="7EBB576E"/>
    <w:rsid w:val="7EC363D0"/>
    <w:rsid w:val="7EC70679"/>
    <w:rsid w:val="7EF70770"/>
    <w:rsid w:val="7F111831"/>
    <w:rsid w:val="7F4F4108"/>
    <w:rsid w:val="7F995383"/>
    <w:rsid w:val="7FAE52D2"/>
    <w:rsid w:val="7FB83A5B"/>
    <w:rsid w:val="7FE5681A"/>
    <w:rsid w:val="7FE77EFA"/>
    <w:rsid w:val="7FE900B8"/>
    <w:rsid w:val="7FEE3921"/>
    <w:rsid w:val="7FF667A0"/>
    <w:rsid w:val="7FFE6ED3"/>
    <w:rsid w:val="7FFEE850"/>
    <w:rsid w:val="B6FF73CB"/>
    <w:rsid w:val="B9F24737"/>
    <w:rsid w:val="BA7B23C6"/>
    <w:rsid w:val="BFA9462C"/>
    <w:rsid w:val="BFFFAF76"/>
    <w:rsid w:val="D66E4FA9"/>
    <w:rsid w:val="D7DD5CF9"/>
    <w:rsid w:val="DEDFE612"/>
    <w:rsid w:val="DFDE781D"/>
    <w:rsid w:val="F3BDAFEF"/>
    <w:rsid w:val="F9F7A499"/>
    <w:rsid w:val="FF6F9FE3"/>
    <w:rsid w:val="FFFF9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spacing w:beforeLines="200" w:afterLines="130" w:line="360" w:lineRule="auto"/>
      <w:jc w:val="center"/>
      <w:outlineLvl w:val="1"/>
    </w:pPr>
    <w:rPr>
      <w:rFonts w:ascii="Times New Roman" w:hAnsi="Times New Roman" w:eastAsia="宋体"/>
      <w:b/>
      <w:bCs/>
      <w:kern w:val="0"/>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b/>
      <w:bCs/>
      <w:kern w:val="0"/>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3"/>
    <w:qFormat/>
    <w:uiPriority w:val="0"/>
    <w:pPr>
      <w:jc w:val="left"/>
    </w:pPr>
  </w:style>
  <w:style w:type="paragraph" w:styleId="7">
    <w:name w:val="Body Text"/>
    <w:qFormat/>
    <w:uiPriority w:val="0"/>
    <w:pPr>
      <w:widowControl w:val="0"/>
      <w:spacing w:after="120"/>
      <w:jc w:val="both"/>
    </w:pPr>
    <w:rPr>
      <w:rFonts w:ascii="等线" w:hAnsi="等线" w:eastAsia="等线" w:cs="Times New Roman"/>
      <w:kern w:val="2"/>
      <w:sz w:val="21"/>
      <w:szCs w:val="22"/>
      <w:lang w:val="en-US" w:eastAsia="zh-CN" w:bidi="ar-SA"/>
    </w:rPr>
  </w:style>
  <w:style w:type="paragraph" w:styleId="8">
    <w:name w:val="Balloon Text"/>
    <w:basedOn w:val="1"/>
    <w:link w:val="39"/>
    <w:qFormat/>
    <w:uiPriority w:val="0"/>
    <w:rPr>
      <w:sz w:val="18"/>
      <w:szCs w:val="18"/>
    </w:rPr>
  </w:style>
  <w:style w:type="paragraph" w:styleId="9">
    <w:name w:val="footer"/>
    <w:basedOn w:val="1"/>
    <w:unhideWhenUsed/>
    <w:qFormat/>
    <w:uiPriority w:val="0"/>
    <w:pPr>
      <w:tabs>
        <w:tab w:val="center" w:pos="4153"/>
        <w:tab w:val="right" w:pos="8306"/>
      </w:tabs>
      <w:snapToGrid w:val="0"/>
      <w:jc w:val="left"/>
    </w:pPr>
    <w:rPr>
      <w:rFonts w:ascii="Times New Roman" w:hAnsi="Times New Roman" w:eastAsia="宋体"/>
      <w:kern w:val="0"/>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pPr>
      <w:spacing w:beforeAutospacing="1" w:afterAutospacing="1"/>
      <w:jc w:val="left"/>
    </w:pPr>
    <w:rPr>
      <w:kern w:val="0"/>
      <w:sz w:val="24"/>
    </w:rPr>
  </w:style>
  <w:style w:type="paragraph" w:styleId="12">
    <w:name w:val="annotation subject"/>
    <w:basedOn w:val="6"/>
    <w:next w:val="6"/>
    <w:link w:val="34"/>
    <w:qFormat/>
    <w:uiPriority w:val="0"/>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qFormat/>
    <w:uiPriority w:val="0"/>
  </w:style>
  <w:style w:type="character" w:styleId="18">
    <w:name w:val="Hyperlink"/>
    <w:basedOn w:val="15"/>
    <w:qFormat/>
    <w:uiPriority w:val="0"/>
    <w:rPr>
      <w:color w:val="0000FF"/>
      <w:u w:val="single"/>
    </w:rPr>
  </w:style>
  <w:style w:type="character" w:styleId="19">
    <w:name w:val="annotation reference"/>
    <w:basedOn w:val="15"/>
    <w:qFormat/>
    <w:uiPriority w:val="0"/>
    <w:rPr>
      <w:sz w:val="21"/>
      <w:szCs w:val="21"/>
    </w:rPr>
  </w:style>
  <w:style w:type="paragraph" w:customStyle="1" w:styleId="20">
    <w:name w:val="1111"/>
    <w:basedOn w:val="2"/>
    <w:qFormat/>
    <w:uiPriority w:val="0"/>
    <w:pPr>
      <w:adjustRightInd w:val="0"/>
      <w:snapToGrid w:val="0"/>
      <w:spacing w:before="0" w:after="0" w:line="360" w:lineRule="auto"/>
      <w:ind w:firstLine="622" w:firstLineChars="200"/>
    </w:pPr>
    <w:rPr>
      <w:rFonts w:ascii="仿宋_GB2312" w:hAnsi="Times New Roman" w:eastAsia="仿宋_GB2312"/>
      <w:sz w:val="31"/>
      <w:szCs w:val="31"/>
    </w:rPr>
  </w:style>
  <w:style w:type="character" w:customStyle="1" w:styleId="21">
    <w:name w:val="标题 2 字符"/>
    <w:link w:val="3"/>
    <w:qFormat/>
    <w:uiPriority w:val="0"/>
    <w:rPr>
      <w:rFonts w:ascii="Times New Roman" w:hAnsi="Times New Roman" w:eastAsia="宋体"/>
      <w:b/>
      <w:bCs/>
      <w:kern w:val="0"/>
      <w:sz w:val="32"/>
      <w:szCs w:val="32"/>
    </w:rPr>
  </w:style>
  <w:style w:type="paragraph" w:customStyle="1" w:styleId="22">
    <w:name w:val="列表段落1"/>
    <w:basedOn w:val="1"/>
    <w:qFormat/>
    <w:uiPriority w:val="99"/>
    <w:pPr>
      <w:ind w:firstLine="420" w:firstLineChars="200"/>
    </w:pPr>
  </w:style>
  <w:style w:type="paragraph" w:customStyle="1" w:styleId="2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4">
    <w:name w:val="报告表格"/>
    <w:qFormat/>
    <w:uiPriority w:val="0"/>
    <w:pPr>
      <w:jc w:val="center"/>
    </w:pPr>
    <w:rPr>
      <w:rFonts w:ascii="Times New Roman" w:hAnsi="Times New Roman" w:eastAsia="宋体" w:cs="Times New Roman"/>
      <w:szCs w:val="24"/>
      <w:lang w:val="en-US" w:eastAsia="zh-CN" w:bidi="ar-SA"/>
    </w:rPr>
  </w:style>
  <w:style w:type="paragraph" w:customStyle="1" w:styleId="25">
    <w:name w:val="附录表标题"/>
    <w:basedOn w:val="1"/>
    <w:next w:val="23"/>
    <w:qFormat/>
    <w:uiPriority w:val="0"/>
    <w:pPr>
      <w:spacing w:line="360" w:lineRule="auto"/>
      <w:jc w:val="center"/>
    </w:pPr>
    <w:rPr>
      <w:rFonts w:ascii="黑体"/>
    </w:rPr>
  </w:style>
  <w:style w:type="paragraph" w:customStyle="1" w:styleId="26">
    <w:name w:val="RegSectionLevel1"/>
    <w:qFormat/>
    <w:uiPriority w:val="0"/>
    <w:pPr>
      <w:keepNext/>
      <w:spacing w:before="120"/>
      <w:outlineLvl w:val="0"/>
    </w:pPr>
    <w:rPr>
      <w:rFonts w:ascii="Times New Roman" w:hAnsi="Times New Roman" w:eastAsia="MS Mincho" w:cs="Times New Roman"/>
      <w:b/>
      <w:sz w:val="22"/>
      <w:lang w:val="en-GB" w:eastAsia="en-US" w:bidi="ar-SA"/>
    </w:rPr>
  </w:style>
  <w:style w:type="character" w:customStyle="1" w:styleId="27">
    <w:name w:val="font21"/>
    <w:basedOn w:val="15"/>
    <w:qFormat/>
    <w:uiPriority w:val="0"/>
    <w:rPr>
      <w:rFonts w:hint="eastAsia" w:ascii="宋体" w:hAnsi="宋体" w:eastAsia="宋体" w:cs="宋体"/>
      <w:color w:val="000000"/>
      <w:sz w:val="22"/>
      <w:szCs w:val="22"/>
      <w:u w:val="none"/>
      <w:vertAlign w:val="subscript"/>
    </w:rPr>
  </w:style>
  <w:style w:type="character" w:customStyle="1" w:styleId="28">
    <w:name w:val="font11"/>
    <w:basedOn w:val="15"/>
    <w:qFormat/>
    <w:uiPriority w:val="0"/>
    <w:rPr>
      <w:rFonts w:hint="eastAsia" w:ascii="宋体" w:hAnsi="宋体" w:eastAsia="宋体" w:cs="宋体"/>
      <w:color w:val="000000"/>
      <w:sz w:val="22"/>
      <w:szCs w:val="22"/>
      <w:u w:val="none"/>
    </w:rPr>
  </w:style>
  <w:style w:type="paragraph" w:customStyle="1" w:styleId="29">
    <w:name w:val="样式1"/>
    <w:basedOn w:val="1"/>
    <w:qFormat/>
    <w:uiPriority w:val="0"/>
    <w:pPr>
      <w:ind w:firstLine="560" w:firstLineChars="200"/>
    </w:pPr>
    <w:rPr>
      <w:rFonts w:ascii="仿宋" w:hAnsi="仿宋" w:eastAsia="仿宋" w:cstheme="minorBidi"/>
      <w:sz w:val="28"/>
      <w:szCs w:val="32"/>
    </w:rPr>
  </w:style>
  <w:style w:type="paragraph" w:customStyle="1" w:styleId="30">
    <w:name w:val="立项监测文件标题1"/>
    <w:next w:val="29"/>
    <w:qFormat/>
    <w:uiPriority w:val="0"/>
    <w:pPr>
      <w:keepNext/>
      <w:spacing w:before="120" w:beforeLines="50" w:after="120" w:afterLines="50"/>
      <w:outlineLvl w:val="3"/>
    </w:pPr>
    <w:rPr>
      <w:rFonts w:ascii="Times New Roman" w:hAnsi="Times New Roman" w:eastAsia="宋体" w:cs="Times New Roman"/>
      <w:b/>
      <w:sz w:val="28"/>
      <w:szCs w:val="28"/>
      <w:lang w:val="en-US" w:eastAsia="zh-CN" w:bidi="ar-SA"/>
    </w:rPr>
  </w:style>
  <w:style w:type="character" w:customStyle="1" w:styleId="31">
    <w:name w:val="font31"/>
    <w:basedOn w:val="15"/>
    <w:qFormat/>
    <w:uiPriority w:val="0"/>
    <w:rPr>
      <w:rFonts w:hint="eastAsia" w:ascii="宋体" w:hAnsi="宋体" w:eastAsia="宋体" w:cs="宋体"/>
      <w:color w:val="000000"/>
      <w:sz w:val="22"/>
      <w:szCs w:val="22"/>
      <w:u w:val="none"/>
      <w:vertAlign w:val="subscript"/>
    </w:rPr>
  </w:style>
  <w:style w:type="paragraph" w:customStyle="1" w:styleId="32">
    <w:name w:val="修订1"/>
    <w:hidden/>
    <w:unhideWhenUsed/>
    <w:qFormat/>
    <w:uiPriority w:val="99"/>
    <w:rPr>
      <w:rFonts w:ascii="等线" w:hAnsi="等线" w:eastAsia="等线" w:cs="Times New Roman"/>
      <w:kern w:val="2"/>
      <w:sz w:val="21"/>
      <w:szCs w:val="22"/>
      <w:lang w:val="en-US" w:eastAsia="zh-CN" w:bidi="ar-SA"/>
    </w:rPr>
  </w:style>
  <w:style w:type="character" w:customStyle="1" w:styleId="33">
    <w:name w:val="批注文字 字符"/>
    <w:basedOn w:val="15"/>
    <w:link w:val="6"/>
    <w:qFormat/>
    <w:uiPriority w:val="0"/>
    <w:rPr>
      <w:rFonts w:ascii="等线" w:hAnsi="等线" w:eastAsia="等线"/>
      <w:kern w:val="2"/>
      <w:sz w:val="21"/>
      <w:szCs w:val="22"/>
    </w:rPr>
  </w:style>
  <w:style w:type="character" w:customStyle="1" w:styleId="34">
    <w:name w:val="批注主题 字符"/>
    <w:basedOn w:val="33"/>
    <w:link w:val="12"/>
    <w:qFormat/>
    <w:uiPriority w:val="0"/>
    <w:rPr>
      <w:rFonts w:ascii="等线" w:hAnsi="等线" w:eastAsia="等线"/>
      <w:b/>
      <w:bCs/>
      <w:kern w:val="2"/>
      <w:sz w:val="21"/>
      <w:szCs w:val="22"/>
    </w:rPr>
  </w:style>
  <w:style w:type="character" w:customStyle="1" w:styleId="35">
    <w:name w:val="fontstyle01"/>
    <w:basedOn w:val="15"/>
    <w:qFormat/>
    <w:uiPriority w:val="0"/>
    <w:rPr>
      <w:rFonts w:hint="eastAsia" w:ascii="宋体" w:hAnsi="宋体" w:eastAsia="宋体"/>
      <w:color w:val="000000"/>
      <w:sz w:val="18"/>
      <w:szCs w:val="18"/>
    </w:rPr>
  </w:style>
  <w:style w:type="paragraph" w:customStyle="1" w:styleId="36">
    <w:name w:val="修订2"/>
    <w:hidden/>
    <w:unhideWhenUsed/>
    <w:qFormat/>
    <w:uiPriority w:val="99"/>
    <w:rPr>
      <w:rFonts w:ascii="等线" w:hAnsi="等线" w:eastAsia="等线" w:cs="Times New Roman"/>
      <w:kern w:val="2"/>
      <w:sz w:val="21"/>
      <w:szCs w:val="22"/>
      <w:lang w:val="en-US" w:eastAsia="zh-CN" w:bidi="ar-SA"/>
    </w:rPr>
  </w:style>
  <w:style w:type="character" w:customStyle="1" w:styleId="37">
    <w:name w:val="font41"/>
    <w:basedOn w:val="15"/>
    <w:qFormat/>
    <w:uiPriority w:val="0"/>
    <w:rPr>
      <w:rFonts w:hint="eastAsia" w:ascii="宋体" w:hAnsi="宋体" w:eastAsia="宋体" w:cs="宋体"/>
      <w:color w:val="000000"/>
      <w:sz w:val="22"/>
      <w:szCs w:val="22"/>
      <w:u w:val="none"/>
      <w:vertAlign w:val="subscript"/>
    </w:rPr>
  </w:style>
  <w:style w:type="paragraph" w:customStyle="1" w:styleId="38">
    <w:name w:val="修订3"/>
    <w:hidden/>
    <w:unhideWhenUsed/>
    <w:qFormat/>
    <w:uiPriority w:val="99"/>
    <w:rPr>
      <w:rFonts w:ascii="等线" w:hAnsi="等线" w:eastAsia="等线" w:cs="Times New Roman"/>
      <w:kern w:val="2"/>
      <w:sz w:val="21"/>
      <w:szCs w:val="22"/>
      <w:lang w:val="en-US" w:eastAsia="zh-CN" w:bidi="ar-SA"/>
    </w:rPr>
  </w:style>
  <w:style w:type="character" w:customStyle="1" w:styleId="39">
    <w:name w:val="批注框文本 字符"/>
    <w:basedOn w:val="15"/>
    <w:link w:val="8"/>
    <w:qFormat/>
    <w:uiPriority w:val="0"/>
    <w:rPr>
      <w:rFonts w:ascii="等线" w:hAnsi="等线" w:eastAsia="等线"/>
      <w:kern w:val="2"/>
      <w:sz w:val="18"/>
      <w:szCs w:val="18"/>
    </w:rPr>
  </w:style>
  <w:style w:type="paragraph" w:customStyle="1" w:styleId="40">
    <w:name w:val="修订4"/>
    <w:hidden/>
    <w:unhideWhenUsed/>
    <w:qFormat/>
    <w:uiPriority w:val="99"/>
    <w:rPr>
      <w:rFonts w:ascii="等线" w:hAnsi="等线" w:eastAsia="等线" w:cs="Times New Roman"/>
      <w:kern w:val="2"/>
      <w:sz w:val="21"/>
      <w:szCs w:val="22"/>
      <w:lang w:val="en-US" w:eastAsia="zh-CN" w:bidi="ar-SA"/>
    </w:rPr>
  </w:style>
  <w:style w:type="paragraph" w:customStyle="1" w:styleId="41">
    <w:name w:val="修订5"/>
    <w:hidden/>
    <w:unhideWhenUsed/>
    <w:qFormat/>
    <w:uiPriority w:val="99"/>
    <w:rPr>
      <w:rFonts w:ascii="等线" w:hAnsi="等线" w:eastAsia="等线" w:cs="Times New Roman"/>
      <w:kern w:val="2"/>
      <w:sz w:val="21"/>
      <w:szCs w:val="22"/>
      <w:lang w:val="en-US" w:eastAsia="zh-CN" w:bidi="ar-SA"/>
    </w:rPr>
  </w:style>
  <w:style w:type="paragraph" w:customStyle="1" w:styleId="42">
    <w:name w:val="修订6"/>
    <w:hidden/>
    <w:unhideWhenUsed/>
    <w:qFormat/>
    <w:uiPriority w:val="99"/>
    <w:rPr>
      <w:rFonts w:ascii="等线" w:hAnsi="等线" w:eastAsia="等线" w:cs="Times New Roman"/>
      <w:kern w:val="2"/>
      <w:sz w:val="21"/>
      <w:szCs w:val="22"/>
      <w:lang w:val="en-US" w:eastAsia="zh-CN" w:bidi="ar-SA"/>
    </w:rPr>
  </w:style>
  <w:style w:type="paragraph" w:customStyle="1" w:styleId="43">
    <w:name w:val="一级条标题"/>
    <w:next w:val="23"/>
    <w:qFormat/>
    <w:uiPriority w:val="0"/>
    <w:pPr>
      <w:spacing w:before="156" w:beforeLines="50" w:after="156" w:afterLines="50"/>
      <w:jc w:val="both"/>
      <w:outlineLvl w:val="2"/>
    </w:pPr>
    <w:rPr>
      <w:rFonts w:ascii="黑体" w:hAnsi="Times New Roman" w:eastAsia="黑体" w:cs="Times New Roman"/>
      <w:sz w:val="21"/>
      <w:szCs w:val="21"/>
      <w:lang w:val="en-US" w:eastAsia="zh-CN" w:bidi="ar-SA"/>
    </w:rPr>
  </w:style>
  <w:style w:type="paragraph" w:customStyle="1" w:styleId="44">
    <w:name w:val="章标题"/>
    <w:next w:val="23"/>
    <w:qFormat/>
    <w:uiPriority w:val="0"/>
    <w:p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5">
    <w:name w:val="Revision"/>
    <w:hidden/>
    <w:unhideWhenUsed/>
    <w:qFormat/>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3425</Words>
  <Characters>3648</Characters>
  <Lines>37</Lines>
  <Paragraphs>10</Paragraphs>
  <TotalTime>141</TotalTime>
  <ScaleCrop>false</ScaleCrop>
  <LinksUpToDate>false</LinksUpToDate>
  <CharactersWithSpaces>3764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2026-02-09T02:44:00Z</dcterms:created>
  <dc:creator>王金龙</dc:creator>
  <cp:lastModifiedBy>user</cp:lastModifiedBy>
  <cp:lastPrinted>2026-09-07T10:05:44Z</cp:lastPrinted>
  <dcterms:modified xsi:type="dcterms:W3CDTF">2026-09-07T10:20:00Z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eyJoZGlkIjoiZGYxY2IwMzgxZGFhZWFmNDRiNjViMGRkMDAzMGM5OGIiLCJ1c2VySWQiOiIxMjc4NjY2OTI4In0=</vt:lpwstr>
  </property>
  <property fmtid="{D5CDD505-2E9C-101B-9397-08002B2CF9AE}" pid="4" name="ICV">
    <vt:lpwstr>9B54DE92FF5E42A690EA0D42137254E6_13</vt:lpwstr>
  </property>
</Properties>
</file>