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6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021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年度第四批达北京市第四阶段排放标准的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771"/>
      <w:r>
        <w:rPr>
          <w:rFonts w:ascii="Times New Roman" w:hAnsi="Times New Roman" w:cs="Times New Roman" w:eastAsiaTheme="minorEastAsia"/>
          <w:b/>
          <w:bCs/>
        </w:rPr>
        <w:t>1、中联重科股份有限公司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ZE60E-10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履带式液压挖掘机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发动机：4TNV94L-BVTY2C (洋马发动机（山东）有限公司)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喷油泵型号：YPD-MP4 (YANMAR CO.,LTD)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喷油器型号：YDLLA (YANMAR CO.,LTD)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2A502CE6"/>
    <w:rsid w:val="3A337244"/>
    <w:rsid w:val="594A49AC"/>
    <w:rsid w:val="63806252"/>
    <w:rsid w:val="6C207410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北京市生态环境局</cp:lastModifiedBy>
  <dcterms:modified xsi:type="dcterms:W3CDTF">2021-03-08T10:14:55Z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