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年度第四批达国四排放标准的重型汽油车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48"/>
      <w:r>
        <w:rPr>
          <w:rFonts w:ascii="Times New Roman" w:hAnsi="Times New Roman" w:cs="Times New Roman" w:eastAsiaTheme="minorEastAsia"/>
          <w:b/>
          <w:bCs/>
        </w:rPr>
        <w:t>1、江西江铃汽车集团改装车股份有限公司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JSV5060XSWZ5-L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发动机：9GR (日本丰田汽车公司)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机外净化器：右前: TH4 (TOYOTA MOTOR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右后: UC2 (TOYOTA MOTOR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左前: TH4 (TOYOTA MOTOR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左后: UC2 (TOYOTA MOTOR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燃油蒸发控制系统：77704-28220 (AISAN INDUSTRY CO.,LTD.)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89467-0S010 (电装(广州南沙)有限公司)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89465-36070 (DENSO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89467-0S020 (电装(广州南沙)有限公司)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89465-36080 (DENSO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OBD型号：89661-36790 (DENSO CORPORATION)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63806252"/>
    <w:rsid w:val="6C207410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