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STSongStd-Light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附件8</w:t>
      </w:r>
    </w:p>
    <w:p>
      <w:pPr>
        <w:jc w:val="center"/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更改、补充以前发布车型目录</w:t>
      </w: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一、</w:t>
      </w:r>
      <w:r>
        <w:rPr>
          <w:rFonts w:ascii="STSongStd-Light" w:hAnsi="STSongStd-Light" w:cs="STSongStd-Light"/>
          <w:b/>
          <w:bCs/>
          <w:color w:val="auto"/>
        </w:rPr>
        <w:t>更改补充2020年度第二批车型目录</w:t>
      </w:r>
    </w:p>
    <w:p>
      <w:pPr>
        <w:spacing w:line="400" w:lineRule="atLeast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0" w:name="_Toc101949738"/>
      <w:r>
        <w:rPr>
          <w:rFonts w:hint="eastAsia"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、中国第一汽车集团有限公司</w:t>
      </w:r>
      <w:bookmarkEnd w:id="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CA6472HA6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发动机：CA4GC20TD-32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机外净化器：1205510-DD01(长春佛吉亚排气系统有限公司)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燃油蒸发控制装置：5HA2-13970(天津市格林利福新技术有限公司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 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后：LSU 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发动机：CA4GC20TD-32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机外净化器：1205510-DD01(长春佛吉亚排气系统有限公司)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燃油蒸发控制装置：5HA2-13970(天津市格林利福新技术有限公司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 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发动机：CA4GC20TD-32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机外净化器：1205510-DD03(长春佛吉亚排气系统有限公司)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燃油蒸发控制装置：5HA2-13970(天津市格林利福新技术有限公司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 5.2(联合汽车电子有限公司)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发动机：CA4GC20TD-32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机外净化器：1205510-DD02(长春佛吉亚排气系统有限公司)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燃油蒸发控制装置：5HA2-13970(天津市格林利福新技术有限公司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氧传感器：前：LSU5.2(联合汽车电子有限公司)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CA6472HA6T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发动机：CA4GC20TD-32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机外净化器：1205510-DD01(长春弗吉亚排气系统有限公司)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燃油蒸发控制装置：5HA2-13970(天津市格林利福新技术有限公司)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 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后：LSU 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发动机：CA4GC20TD-32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机外净化器：1205510-DD01(长春弗吉亚排气系统有限公司)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燃油蒸发控制装置：5HA2-13970(天津市格林利福新技术有限公司)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 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发动机：CA4GC20TD-32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机外净化器：1205510-DD02(长春弗吉亚排气系统有限公司)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燃油蒸发控制装置：5HA2-13970(天津市格林利福新技术有限公司)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氧传感器：前：LSU5.2(联合汽车电子有限公司)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发动机：CA4GC20TD-32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机外净化器：1205510-DD03(长春弗吉亚排气系统有限公司)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燃油蒸发控制装置：5HA2-13970(天津市格林利福新技术有限公司)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氧传感器：前：LSU5.2(联合汽车电子有限公司)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更改补充2020年度第八批车型目录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9</w:t>
      </w:r>
    </w:p>
    <w:p>
      <w:pPr>
        <w:outlineLvl w:val="0"/>
        <w:rPr>
          <w:rFonts w:ascii="Times New Roman" w:hAnsi="Times New Roman" w:cs="Times New Roman"/>
        </w:rPr>
      </w:pPr>
      <w:bookmarkStart w:id="1" w:name="_Toc101949739"/>
      <w:r>
        <w:rPr>
          <w:rFonts w:hint="eastAsia"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、东风汽车股份有限公司</w:t>
      </w:r>
      <w:bookmarkEnd w:id="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DFA5040XXYEBEV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电池型号:由 LF80  更改为  LF80,CB260,LF160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更改补充2020年度第九批车型目录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7</w:t>
      </w:r>
    </w:p>
    <w:p>
      <w:pPr>
        <w:outlineLvl w:val="0"/>
        <w:rPr>
          <w:rFonts w:ascii="Times New Roman" w:hAnsi="Times New Roman" w:cs="Times New Roman"/>
        </w:rPr>
      </w:pPr>
      <w:bookmarkStart w:id="2" w:name="_Toc101949740"/>
      <w:r>
        <w:rPr>
          <w:rFonts w:hint="eastAsia" w:ascii="Times New Roman" w:hAnsi="Times New Roman" w:cs="Times New Roman"/>
          <w:b/>
          <w:bCs/>
        </w:rPr>
        <w:t>27</w:t>
      </w:r>
      <w:r>
        <w:rPr>
          <w:rFonts w:ascii="Times New Roman" w:hAnsi="Times New Roman" w:cs="Times New Roman"/>
          <w:b/>
          <w:bCs/>
        </w:rPr>
        <w:t>、肇庆小鹏新能源投资有限公司</w:t>
      </w:r>
      <w:bookmarkEnd w:id="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NHQ7000BEVED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电动机型号:由 前：TZ220XS529/后：TZ220XS701  更改为  前：TZ220XS529/后：TZ220XS701,前：TZ220XS529/后：TZ220XSFDM80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电池型号:由 TPLi0808-346  更改为  TPLi0808-346,TPLi0803-352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NHQ7000BEVEB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电动机型号:由 TZ220XS701  更改为  TZ220XS701,TZ220XSFDM80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电池型号:由 TPLi0808-346  更改为  TPLi0808-346,TPLi0803-352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5</w:t>
      </w:r>
    </w:p>
    <w:p>
      <w:pPr>
        <w:outlineLvl w:val="0"/>
        <w:rPr>
          <w:rFonts w:ascii="Times New Roman" w:hAnsi="Times New Roman" w:cs="Times New Roman"/>
        </w:rPr>
      </w:pPr>
      <w:bookmarkStart w:id="3" w:name="_Toc101949741"/>
      <w:r>
        <w:rPr>
          <w:rFonts w:hint="eastAsia"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、济南轻骑大韩摩托车有限责任公司</w:t>
      </w:r>
      <w:bookmarkEnd w:id="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QH300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发动机：2V58MN (济南轻骑大韩摩托车有限责任公司)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机外净化器：14516KH9210(南京德普瑞克环保科技股份公司)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燃油蒸发控制装置：52530HG7200(金华合发科技有限公司)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氧传感器：前：28488580(德尔福（上海）动力推进系统有限公司)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后：28488580(德尔福（上海）动力推进系统有限公司)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更改补充2020年度第十三批车型目录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outlineLvl w:val="0"/>
        <w:rPr>
          <w:rFonts w:ascii="Times New Roman" w:hAnsi="Times New Roman" w:cs="Times New Roman"/>
        </w:rPr>
      </w:pPr>
      <w:bookmarkStart w:id="4" w:name="_Toc101949742"/>
      <w:r>
        <w:rPr>
          <w:rFonts w:hint="eastAsia"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、武汉新光专用汽车制造有限公司</w:t>
      </w:r>
      <w:bookmarkEnd w:id="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WX5252GQWVI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发动机：MC11.40-60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喷油泵型号：CP18-MC(博世汽车柴油系统有限公司)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喷油器型号：IN-11(博世汽车柴油系统有限公司)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OBD型号：OBD-M2-E6(博世汽车柴油系统有限公司)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催化转化器(ASC)：上ASC：RV540118；下ASC：RV540123(上：中国重型汽车集团有限公司；下：中国重型汽车集团有限公司)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SCR排气处理器型号：上SCR：RV540118；下SCR：RV540123(上：中国重型汽车集团有限公司；下：中国重型汽车集团有限公司)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DPF排气处理器型号：RV540122(中国重型汽车集团有限公司)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DOC排气处理器型号：RV540121(中国重型汽车集团有限公司)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EGR型号：RE080004(中国重型汽车集团有限公司)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EGS-NX;后: EGS-NX(前：博世汽车系统(无锡)有限公司 后：博世汽车系统(无锡)有限公司)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在线监控车载终端：SVT81(上海势航网络科技有限公司)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发动机：MC11.40-60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喷油泵型号：CP18-MC(博世动力总成有限公司)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喷油器型号：IN-11(博世动力总成有限公司)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OBD型号：OBD-M2-E6(博世动力总成有限公司)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催化转化器(ASC)：上ASC：RV540118；下ASC：RV540123(上：中国重型汽车集团有限公司；下：中国重型汽车集团有限公司)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SCR排气处理器型号：上SCR：RV540118；下SCR：RV540123(上：中国重型汽车集团有限公司；下：中国重型汽车集团有限公司)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DPF排气处理器型号：RV540122(中国重型汽车集团有限公司)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DOC排气处理器型号：RV540121(中国重型汽车集团有限公司)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EGR型号：RE080004(中国重型汽车集团有限公司)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 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 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五、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更改补充2020年度第二十批车型目录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7</w:t>
      </w:r>
    </w:p>
    <w:p>
      <w:pPr>
        <w:outlineLvl w:val="0"/>
        <w:rPr>
          <w:rFonts w:ascii="Times New Roman" w:hAnsi="Times New Roman" w:cs="Times New Roman"/>
        </w:rPr>
      </w:pPr>
      <w:bookmarkStart w:id="5" w:name="_Toc101949743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、东风汽车股份有限公司</w:t>
      </w:r>
      <w:bookmarkEnd w:id="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DFA5040XYZEBEV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纯电动邮政车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电池型号:由 LF80,CB260  更改为  LF80,CB260,LF160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1</w:t>
      </w:r>
    </w:p>
    <w:p>
      <w:pPr>
        <w:outlineLvl w:val="0"/>
        <w:rPr>
          <w:rFonts w:ascii="Times New Roman" w:hAnsi="Times New Roman" w:cs="Times New Roman"/>
        </w:rPr>
      </w:pPr>
      <w:bookmarkStart w:id="6" w:name="_Toc101949744"/>
      <w:r>
        <w:rPr>
          <w:rFonts w:hint="eastAsia"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1、比亚迪汽车有限公司</w:t>
      </w:r>
      <w:bookmarkEnd w:id="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BYD7152WT6HEVSS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发动机：BYD476ZQB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机外净化器：前：GS6J3024(长沙佛吉亚排气控制技术有限公司)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后：GS64007(长沙佛吉亚排气控制技术有限公司)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燃油蒸发控制装置：CC185(德尔福(上海)动力推进系统有限公司)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颗粒捕集器（GPF）：GS6J3024(长沙佛吉亚排气控制技术有限公司)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六、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更改补充2021年度第五批车型目录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7</w:t>
      </w:r>
    </w:p>
    <w:p>
      <w:pPr>
        <w:outlineLvl w:val="0"/>
        <w:rPr>
          <w:rFonts w:ascii="Times New Roman" w:hAnsi="Times New Roman" w:cs="Times New Roman"/>
        </w:rPr>
      </w:pPr>
      <w:bookmarkStart w:id="7" w:name="_Toc101949745"/>
      <w:r>
        <w:rPr>
          <w:rFonts w:hint="eastAsia" w:ascii="Times New Roman" w:hAnsi="Times New Roman" w:cs="Times New Roman"/>
          <w:b/>
          <w:bCs/>
        </w:rPr>
        <w:t>26</w:t>
      </w:r>
      <w:r>
        <w:rPr>
          <w:rFonts w:ascii="Times New Roman" w:hAnsi="Times New Roman" w:cs="Times New Roman"/>
          <w:b/>
          <w:bCs/>
        </w:rPr>
        <w:t>、浙江合众新能源汽车有限公司</w:t>
      </w:r>
      <w:bookmarkEnd w:id="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THZ6450BEVS30C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电动机型号:由 TZ180XS160  更改为  TZ180XS160,TZ165XS033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七、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更改补充2021年度第六批车型目录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8" w:name="_Toc101949746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、日照威奕汽车有限公司</w:t>
      </w:r>
      <w:bookmarkEnd w:id="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CW6450AG01AHEV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发动机：E15GH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机外净化器：前：GWCHZH-D10(保定市屹马汽车配件制造有限公司)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后：GWCHZH-F03(精诚工科汽车系统有限公司)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燃油蒸发控制装置：GWTG-B03(廊坊华安汽车装备有限公司)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 5.2(联合汽车电子有限公司)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 TSP(联合汽车电子有限公司)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八、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9" w:name="_Toc101949747"/>
      <w:r>
        <w:rPr>
          <w:rFonts w:hint="eastAsia"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、日照威奕汽车有限公司</w:t>
      </w:r>
      <w:bookmarkEnd w:id="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CW6450AG01BHEV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发动机：E15GH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机外净化器：前：GWCHZH-D10(保定市屹马汽车配件制造有限公司)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后：GWCHZH-F03(精诚工科汽车系统有限公司)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燃油蒸发控制装置：GWTG-B03(廊坊华安汽车装备有限公司)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 5.2(联合汽车电子有限公司)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 TSP(联合汽车电子有限公司)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101949748"/>
      <w:r>
        <w:rPr>
          <w:rFonts w:ascii="Times New Roman" w:hAnsi="Times New Roman" w:cs="Times New Roman"/>
          <w:b/>
          <w:bCs/>
        </w:rPr>
        <w:t>2</w:t>
      </w:r>
      <w:r>
        <w:rPr>
          <w:rFonts w:hint="eastAsia"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、河北长安汽车有限公司</w:t>
      </w:r>
      <w:bookmarkEnd w:id="1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SC5031XXYSCBB6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SC5031XXYDCAA6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SC5031XXYDCBC6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SC5031XXYDCBH6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SC5031XXYDCAD6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SC5031XXYDCBA6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SC5031XXYDCAZ6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SC5031XXYDCBF6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SC5031XXYSCAD6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发动机：DAM16KR (哈尔滨东安汽车动力股份有限公司)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机外净化器：CZ75ZS6SW(无锡威孚力达催化净化器有限责任公司)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燃油蒸发控制装置：CA-SZE-01(柳州舜泽尔汽车零部件有限公司)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氧传感器：前：LDS-Y09A(武汉菱电汽车电控系统股份有限公司)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后：LDS-Y01A(武汉菱电汽车电控系统股份有限公司)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颗粒捕集器（GPF）：CZ30ZS6SW(无锡威孚力达催化净化器有限责任公司)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SC5031CCYSCBD6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SC1031SCAD6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SC5031CCYDCAD6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SC1031DCAE6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SC1031DCAB6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SC1031DCAA6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SC1031DCAD6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SC1031SCAA6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发动机：DAM16KR (哈尔滨东安汽车动力股份有限公司)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机外净化器：CZ75ZS6SW(无锡威孚力达催化净化器有限责任公司)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燃油蒸发控制装置：CA-SZE-01(柳州舜泽尔汽车零部件有限公司)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氧传感器：前：LDS-Y09A(武汉菱电汽车电控系统股份有限公司)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后：LDS-Y01A(武汉菱电汽车电控系统股份有限公司)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颗粒捕集器（GPF）：CZ30ZS6SW(无锡威孚力达催化净化器有限责任公司)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九、</w:t>
      </w:r>
      <w:r>
        <w:rPr>
          <w:rFonts w:ascii="STSongStd-Light" w:hAnsi="STSongStd-Light" w:cs="STSongStd-Light"/>
          <w:b/>
          <w:bCs/>
          <w:color w:val="auto"/>
        </w:rPr>
        <w:t>更改补充2021年度第十二批车型目录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7</w:t>
      </w:r>
    </w:p>
    <w:p>
      <w:pPr>
        <w:outlineLvl w:val="0"/>
        <w:rPr>
          <w:rFonts w:ascii="Times New Roman" w:hAnsi="Times New Roman" w:cs="Times New Roman"/>
        </w:rPr>
      </w:pPr>
      <w:bookmarkStart w:id="11" w:name="_Toc101949749"/>
      <w:r>
        <w:rPr>
          <w:rFonts w:hint="eastAsia"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、陕西汽车集团股份有限公司</w:t>
      </w:r>
      <w:bookmarkEnd w:id="1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SX4257MF4BEV1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俗名:无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电动机型号:由 TZ380XS002  更改为  TZ380XS002；TZ400XS023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5</w:t>
      </w:r>
    </w:p>
    <w:p>
      <w:pPr>
        <w:outlineLvl w:val="0"/>
        <w:rPr>
          <w:rFonts w:ascii="Times New Roman" w:hAnsi="Times New Roman" w:cs="Times New Roman"/>
        </w:rPr>
      </w:pPr>
      <w:bookmarkStart w:id="12" w:name="_Toc101949750"/>
      <w:r>
        <w:rPr>
          <w:rFonts w:hint="eastAsia"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、江门市大长江集团有限公司</w:t>
      </w:r>
      <w:bookmarkEnd w:id="1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HJ150-11E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HJ150-11F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发动机：157FMJ-2A (重庆望江豪爵发动机有限公司)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机外净化器：前：H30AF(艾科卡特催化器丹阳有限公司(HCDC))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后：H304F(艾科卡特催化器丹阳有限公司(HCDC))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燃油蒸发控制装置：26H(江门市吉莱多机械有限公司(FY))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氧传感器：H290(巩诚电装(重庆)有限公司昆山分公司(DENSO))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3" w:name="_Toc101949751"/>
      <w:r>
        <w:rPr>
          <w:rFonts w:ascii="Times New Roman" w:hAnsi="Times New Roman" w:cs="Times New Roman"/>
          <w:b/>
          <w:bCs/>
        </w:rPr>
        <w:t>2、新大洲本田摩托（苏州）有限公司</w:t>
      </w:r>
      <w:bookmarkEnd w:id="1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SDH110-25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发动机：SDH1P47FMH (新大洲本田摩托（苏州）有限公司)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机外净化器：K2N A01(巴斯夫催化剂（桂林）有限公司)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燃油蒸发控制装置：K0R(厦门信源环保科技有限公司)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氧传感器：DC3(巩诚电装（重庆）有限公司)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更改补充2021年度第十五批车型目录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14" w:name="_Toc101949752"/>
      <w:r>
        <w:rPr>
          <w:rFonts w:hint="eastAsia" w:ascii="Times New Roman" w:hAnsi="Times New Roman" w:cs="Times New Roman"/>
          <w:b/>
          <w:bCs/>
        </w:rPr>
        <w:t>30</w:t>
      </w:r>
      <w:r>
        <w:rPr>
          <w:rFonts w:ascii="Times New Roman" w:hAnsi="Times New Roman" w:cs="Times New Roman"/>
          <w:b/>
          <w:bCs/>
        </w:rPr>
        <w:t>、重庆长安汽车股份有限公司</w:t>
      </w:r>
      <w:bookmarkEnd w:id="1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SC7201AAA6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发动机：JL486ZQ5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机外净化器：CZ75ZS6G-25(重庆长安汽车股份有限公司)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/>
        </w:rPr>
        <w:t>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 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 TSP(联合汽车电子有限公司)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颗粒捕集器（GPF）：CZ30ZS6G-25(重庆长安汽车股份有限公司)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十一、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更改补充2021年度第十七批车型目录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outlineLvl w:val="0"/>
        <w:rPr>
          <w:rFonts w:ascii="Times New Roman" w:hAnsi="Times New Roman" w:cs="Times New Roman"/>
        </w:rPr>
      </w:pPr>
      <w:bookmarkStart w:id="15" w:name="_Toc101949753"/>
      <w:r>
        <w:rPr>
          <w:rFonts w:hint="eastAsia" w:ascii="Times New Roman" w:hAnsi="Times New Roman" w:cs="Times New Roman"/>
          <w:b/>
          <w:bCs/>
        </w:rPr>
        <w:t>42</w:t>
      </w:r>
      <w:r>
        <w:rPr>
          <w:rFonts w:ascii="Times New Roman" w:hAnsi="Times New Roman" w:cs="Times New Roman"/>
          <w:b/>
          <w:bCs/>
        </w:rPr>
        <w:t>、陕西汽车集团股份有限公司</w:t>
      </w:r>
      <w:bookmarkEnd w:id="1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SX4259MD4WQ1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危险品牵引汽车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发动机：WP13.480E62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发动机：WP13.480E62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十二、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更改补充2021年度第十八批车型目录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outlineLvl w:val="0"/>
        <w:rPr>
          <w:rFonts w:ascii="Times New Roman" w:hAnsi="Times New Roman" w:cs="Times New Roman"/>
        </w:rPr>
      </w:pPr>
      <w:bookmarkStart w:id="16" w:name="_Toc101949754"/>
      <w:r>
        <w:rPr>
          <w:rFonts w:hint="eastAsia" w:ascii="Times New Roman" w:hAnsi="Times New Roman" w:cs="Times New Roman"/>
          <w:b/>
          <w:bCs/>
        </w:rPr>
        <w:t>37</w:t>
      </w:r>
      <w:r>
        <w:rPr>
          <w:rFonts w:ascii="Times New Roman" w:hAnsi="Times New Roman" w:cs="Times New Roman"/>
          <w:b/>
          <w:bCs/>
        </w:rPr>
        <w:t>、上汽大通汽车有限公司</w:t>
      </w:r>
      <w:bookmarkEnd w:id="1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SH5043XLCZFDCMZ5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发动机：SC28R130Q6 (上海柴油机股份有限公司)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喷油泵型号：CP1H(博世动力总成有限公司)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增压器型号：BV43(博格华纳汽车零部件(宁波)有限公司)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OBD型号：SCOBD601(上海柴油机股份有限公司)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催化转化器(ASC)：DPC01(上海柴油机股份有限公司)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SCR排气处理器型号：DPC01(上海柴油机股份有限公司)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DPF排气处理器型号：DPC01(上海柴油机股份有限公司)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DOC排气处理器型号：DPC01(上海柴油机股份有限公司)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EGR型号：EM-EGR-Genll(皮尔博格汽车零部件(昆山)有限公司)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在线监控车载终端：JKC-300(武汉英泰斯特电子技术有限公司)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发动机：SC28R130Q6 (上海柴油机股份有限公司)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喷油泵型号：CP1H(博世动力总成有限公司)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增压器型号：BV43(博格华纳汽车零部件(宁波)有限公司)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OBD型号：SCOBD601(上海柴油机股份有限公司)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催化转化器(ASC)：DPC01(上海柴油机股份有限公司)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SCR排气处理器型号：DPC01(上海柴油机股份有限公司)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DPF排气处理器型号：DPC01(上海柴油机股份有限公司)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DOC排气处理器型号：DPC01(上海柴油机股份有限公司)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EGR型号：EM-EGR-Genll(皮尔博格汽车零部件(昆山)有限公司)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在线监控车载终端：HPM60(江苏海平面数据科技有限公司)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十三、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更改补充2021年度第二十批车型目录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9</w:t>
      </w:r>
    </w:p>
    <w:p>
      <w:pPr>
        <w:outlineLvl w:val="0"/>
        <w:rPr>
          <w:rFonts w:ascii="Times New Roman" w:hAnsi="Times New Roman" w:cs="Times New Roman"/>
        </w:rPr>
      </w:pPr>
      <w:bookmarkStart w:id="17" w:name="_Toc101949755"/>
      <w:r>
        <w:rPr>
          <w:rFonts w:hint="eastAsia"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1、东风汽车股份有限公司</w:t>
      </w:r>
      <w:bookmarkEnd w:id="1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DFA5040XLCEBEV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电池型号:由 CB260  更改为  CB260，LF160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十四、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更改补充2022年度第一批车型目录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18" w:name="_Toc101949756"/>
      <w:r>
        <w:rPr>
          <w:rFonts w:hint="eastAsia"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、北汽（广州）汽车有限公司</w:t>
      </w:r>
      <w:bookmarkEnd w:id="1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BJ6474U6XDK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发动机：A156T1H (北京汽车动力总成有限公司)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机外净化器：C62XC15BM6C(无锡威孚环保催化剂有限公司)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燃油蒸发控制装置：X1553B(廊坊华安汽车装备有限公司)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 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颗粒捕集器（GPF）：C62XG15BM6B(无锡威孚环保催化剂有限公司)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发动机：A156T1H (北京汽车动力总成有限公司)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机外净化器：C62XC15BM6(无锡威孚环保催化剂有限公司)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燃油蒸发控制装置：X1553B(廊坊华安汽车装备有限公司)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 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颗粒捕集器（GPF）：C62XG15BM6(无锡威孚环保催化剂有限公司)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2</w:t>
      </w:r>
    </w:p>
    <w:p>
      <w:pPr>
        <w:outlineLvl w:val="0"/>
        <w:rPr>
          <w:rFonts w:ascii="Times New Roman" w:hAnsi="Times New Roman" w:cs="Times New Roman"/>
        </w:rPr>
      </w:pPr>
      <w:bookmarkStart w:id="19" w:name="_Toc101949757"/>
      <w:r>
        <w:rPr>
          <w:rFonts w:hint="eastAsia" w:ascii="Times New Roman" w:hAnsi="Times New Roman" w:cs="Times New Roman"/>
          <w:b/>
          <w:bCs/>
        </w:rPr>
        <w:t>32</w:t>
      </w:r>
      <w:r>
        <w:rPr>
          <w:rFonts w:ascii="Times New Roman" w:hAnsi="Times New Roman" w:cs="Times New Roman"/>
          <w:b/>
          <w:bCs/>
        </w:rPr>
        <w:t>、三一汽车制造有限公司</w:t>
      </w:r>
      <w:bookmarkEnd w:id="1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SYM5436JQZ55C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发动机：WP9H336E62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 GT35(盖瑞特动力科技（上海）有限公司)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在线监控车载终端：HQT401(杭州鸿泉物联网技术股份有限公司)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十五、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更改补充2022年度第三批车型目录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  <w:r>
        <w:rPr>
          <w:rFonts w:hint="eastAsia" w:ascii="STSongStd-Light" w:hAnsi="STSongStd-Light" w:cs="STSongStd-Light"/>
          <w:color w:val="auto"/>
        </w:rPr>
        <w:t>1</w:t>
      </w:r>
    </w:p>
    <w:p>
      <w:pPr>
        <w:outlineLvl w:val="0"/>
        <w:rPr>
          <w:rFonts w:ascii="Times New Roman" w:hAnsi="Times New Roman" w:cs="Times New Roman"/>
        </w:rPr>
      </w:pPr>
      <w:bookmarkStart w:id="20" w:name="_Toc101949758"/>
      <w:r>
        <w:rPr>
          <w:rFonts w:hint="eastAsia"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、中国第一汽车集团有限公司</w:t>
      </w:r>
      <w:bookmarkEnd w:id="2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CA3310P66L4T4A1BEV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换电式纯电动自卸汽车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电动机型号:由 TZ400XS035  更改为  TZ400XS035；TZ400XS35C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1</w:t>
      </w:r>
    </w:p>
    <w:p>
      <w:pPr>
        <w:outlineLvl w:val="0"/>
        <w:rPr>
          <w:rFonts w:ascii="Times New Roman" w:hAnsi="Times New Roman" w:cs="Times New Roman"/>
        </w:rPr>
      </w:pPr>
      <w:bookmarkStart w:id="21" w:name="_Toc101949759"/>
      <w:r>
        <w:rPr>
          <w:rFonts w:hint="eastAsia" w:ascii="Times New Roman" w:hAnsi="Times New Roman" w:cs="Times New Roman"/>
          <w:b/>
          <w:bCs/>
        </w:rPr>
        <w:t>28</w:t>
      </w:r>
      <w:r>
        <w:rPr>
          <w:rFonts w:ascii="Times New Roman" w:hAnsi="Times New Roman" w:cs="Times New Roman"/>
          <w:b/>
          <w:bCs/>
        </w:rPr>
        <w:t>、长安福特汽车有限公司</w:t>
      </w:r>
      <w:bookmarkEnd w:id="2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CAF7205A61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CAF7205A62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CAF7205A63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十六、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更改补充2022年度第四批车型目录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22" w:name="_Toc101949760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、长城汽车股份有限公司</w:t>
      </w:r>
      <w:bookmarkEnd w:id="2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CC6450BZ00A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发动机：GW4B15L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机外净化器：无：GWCHZH-F04(无锡威孚力达催化净化器有限责任公司)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燃油蒸发控制装置：GWTG-B03(廊坊华安汽车装备有限公司)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 5.2(联合汽车电子有限公司)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 TSP(联合汽车电子有限公司)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颗粒捕集器（GPF）：无：GWCHZH-F04(无锡威孚力达催化净化器有限责任公司)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十七、</w:t>
      </w:r>
      <w:r>
        <w:rPr>
          <w:rFonts w:ascii="STSongStd-Light" w:hAnsi="STSongStd-Light" w:cs="STSongStd-Light"/>
          <w:b/>
          <w:bCs/>
          <w:color w:val="auto"/>
        </w:rPr>
        <w:t>企业更名</w:t>
      </w:r>
    </w:p>
    <w:p>
      <w:pPr>
        <w:outlineLvl w:val="0"/>
        <w:rPr>
          <w:rFonts w:ascii="Times New Roman" w:hAnsi="Times New Roman" w:cs="Times New Roman"/>
          <w:b/>
          <w:bCs/>
        </w:rPr>
      </w:pPr>
      <w:bookmarkStart w:id="23" w:name="_Toc101949761"/>
      <w:r>
        <w:rPr>
          <w:rFonts w:ascii="Times New Roman" w:hAnsi="Times New Roman" w:cs="Times New Roman"/>
          <w:b/>
          <w:bCs/>
        </w:rPr>
        <w:t>1、北京安龙特种车辆有限公司</w:t>
      </w:r>
      <w:bookmarkEnd w:id="23"/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 xml:space="preserve"> 更名为：北京安龙科技集团有限公司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STSongStd-Light" w:hAnsi="STSongStd-Light" w:cs="STSongStd-Light"/>
        </w:rPr>
        <w:br w:type="page"/>
      </w:r>
      <w:r>
        <w:rPr>
          <w:rFonts w:hint="eastAsia" w:ascii="STSongStd-Light" w:hAnsi="STSongStd-Light" w:cs="STSongStd-Light"/>
          <w:b/>
          <w:bCs/>
          <w:color w:val="auto"/>
        </w:rPr>
        <w:t>十八、</w:t>
      </w:r>
      <w:r>
        <w:rPr>
          <w:rFonts w:ascii="STSongStd-Light" w:hAnsi="STSongStd-Light" w:cs="STSongStd-Light"/>
          <w:b/>
          <w:bCs/>
          <w:color w:val="auto"/>
        </w:rPr>
        <w:t>配件信息批量变更</w:t>
      </w:r>
    </w:p>
    <w:p>
      <w:pPr>
        <w:rPr>
          <w:rFonts w:ascii="STSongStd-Light" w:hAnsi="STSongStd-Light" w:cs="STSongStd-Light"/>
        </w:rPr>
      </w:pPr>
      <w:r>
        <w:rPr>
          <w:rFonts w:ascii="Times New Roman" w:hAnsi="Times New Roman" w:cs="Times New Roman"/>
          <w:b/>
          <w:bCs/>
        </w:rPr>
        <w:t>1.中国重汽集团济南商用车有限公司</w:t>
      </w:r>
      <w:r>
        <w:rPr>
          <w:rFonts w:ascii="STSongStd-Light" w:hAnsi="STSongStd-Light" w:cs="STSongStd-Light"/>
        </w:rPr>
        <w:t xml:space="preserve"> 申请将配件生成厂家变更为：盖瑞特动力科技(武汉)有限公司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>批量变更的配件信息列表为：</w:t>
      </w:r>
    </w:p>
    <w:p>
      <w:pPr>
        <w:rPr>
          <w:rFonts w:ascii="Times New Roman" w:hAnsi="Times New Roman" w:cs="Times New Roman"/>
          <w:color w:val="auto"/>
        </w:rPr>
      </w:pPr>
    </w:p>
    <w:tbl>
      <w:tblPr>
        <w:tblStyle w:val="4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1641"/>
        <w:gridCol w:w="1194"/>
        <w:gridCol w:w="3402"/>
        <w:gridCol w:w="10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ZZ1047F3314F145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ZZ5047XYYH3315F145</w:t>
            </w:r>
            <w:r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ZZ5047XXYF3314F145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ZZ5047XXYG3315F144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ZZ1047G3315F144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ZZ5047CCYG3315F144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ZZ1117G3315F1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ZZ5047XLCH3315F145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ZZ1047F3315F144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ZZ1107G3315F1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ZZ1087G3315F183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ZZ5117GSSG3315F1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ZZ5047CTYG3315F142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ZZ5047XLCH3315F144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ZZ5047XXYG3315F142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ZZ1087G3815F183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ZZ5047XXYH3315F145H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ZZ5047XLCG3315F142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ZZ5047XYYH3315F145</w:t>
            </w:r>
            <w:r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ZZ5047CCYF3314F145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增压器型号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霍尼韦尔涡轮增压技术(武汉)有限公司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>
      <w:pPr>
        <w:rPr>
          <w:rFonts w:ascii="STSongStd-Light" w:hAnsi="STSongStd-Light" w:cs="STSongStd-Light"/>
        </w:rPr>
      </w:pPr>
      <w:r>
        <w:rPr>
          <w:rFonts w:ascii="Times New Roman" w:hAnsi="Times New Roman" w:cs="Times New Roman"/>
          <w:b/>
          <w:bCs/>
        </w:rPr>
        <w:t>2.厦门金龙旅行车有限公司</w:t>
      </w:r>
      <w:r>
        <w:rPr>
          <w:rFonts w:ascii="STSongStd-Light" w:hAnsi="STSongStd-Light" w:cs="STSongStd-Light"/>
        </w:rPr>
        <w:t xml:space="preserve"> 申请将配件生成厂家变更为：博格华纳燃油系统（烟台）有限公司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>批量变更的配件信息列表为：</w:t>
      </w:r>
    </w:p>
    <w:tbl>
      <w:tblPr>
        <w:tblStyle w:val="4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660"/>
        <w:gridCol w:w="1418"/>
        <w:gridCol w:w="3543"/>
        <w:gridCol w:w="9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XML5070XYL16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ECU型号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YCECU-011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德尔福柴油系统(烟台)有限公司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XML6729J16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ECU型号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YCECU-011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德尔福柴油系统(烟台)有限公司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XML6700J26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ECU型号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YCECU-011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德尔福柴油系统(烟台)有限公司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XML6791J16XXC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ECU型号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YCECU-011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德尔福柴油系统（烟台）有限公司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XML5070XYL16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YCFP-011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德尔福柴油系统(烟台)有限公司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XML6700J26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YCFP-011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德尔福柴油系统(烟台)有限公司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XML6729J16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YCFP-011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德尔福柴油系统(烟台)有限公司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XML6791J16XXC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YCFP-011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德尔福柴油系统（烟台）有限公司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XML5070XYL16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喷油器型号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YCFI-011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德尔福柴油系统(烟台)有限公司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XML6729J16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喷油器型号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YCFI-011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德尔福柴油系统(烟台)有限公司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XML6700J26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喷油器型号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YCFI-011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德尔福柴油系统(烟台)有限公司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XML6791J16XXC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喷油器型号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YCFI-011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德尔福柴油系统（烟台）有限公司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/>
    <w:p>
      <w:pPr>
        <w:rPr>
          <w:rFonts w:ascii="Times New Roman" w:hAnsi="Times New Roman" w:cs="Times New Roman"/>
          <w:color w:val="auto"/>
        </w:rPr>
      </w:pPr>
    </w:p>
    <w:p>
      <w:bookmarkStart w:id="24" w:name="_GoBack"/>
      <w:bookmarkEnd w:id="24"/>
    </w:p>
    <w:sectPr>
      <w:pgSz w:w="11907" w:h="16840"/>
      <w:pgMar w:top="2098" w:right="1134" w:bottom="1247" w:left="1531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64E3A"/>
    <w:rsid w:val="09C811E6"/>
    <w:rsid w:val="101E34FC"/>
    <w:rsid w:val="28C64E3A"/>
    <w:rsid w:val="29047561"/>
    <w:rsid w:val="35391C4D"/>
    <w:rsid w:val="43544E35"/>
    <w:rsid w:val="52CB4437"/>
    <w:rsid w:val="7A21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2022-04-27T10:09:00Z</dcterms:created>
  <dc:creator>赵旭</dc:creator>
  <cp:lastModifiedBy>赵旭</cp:lastModifiedBy>
  <dcterms:modified xsi:type="dcterms:W3CDTF">2022-04-27T10:11:27Z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