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年度第十七批达国家第四阶段排放标准的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3435832"/>
      <w:r>
        <w:rPr>
          <w:rFonts w:ascii="Times New Roman" w:hAnsi="Times New Roman" w:cs="Times New Roman"/>
          <w:b/>
          <w:bCs/>
        </w:rPr>
        <w:t>1、柳工常州机械有限公司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LD17CMLG4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履带式推土机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 (广西康明斯工业动力有限公司)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SCR系统尿素计量泵型号：A060H209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卫星导航精准定位系统：ATGM332D-5N (中科微)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车载终端系统：TEC201 (滕智智能工厂)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LD17DLG4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履带式推土机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 (广西康明斯工业动力有限公司)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SCR系统尿素计量泵型号：A060H209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卫星导航精准定位系统：ATGM332D-5N (中科微)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车载终端系统：TEC201 (滕智智能工厂)</w:t>
      </w:r>
    </w:p>
    <w:p>
      <w:pPr>
        <w:widowControl/>
        <w:autoSpaceDE/>
        <w:autoSpaceDN/>
        <w:adjustRightInd/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  <w:rsid w:val="21DD33C8"/>
    <w:rsid w:val="2415315B"/>
    <w:rsid w:val="62081833"/>
    <w:rsid w:val="719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767</Characters>
  <Lines>0</Lines>
  <Paragraphs>0</Paragraphs>
  <TotalTime>0</TotalTime>
  <ScaleCrop>false</ScaleCrop>
  <LinksUpToDate>false</LinksUpToDate>
  <CharactersWithSpaces>819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66B6D6CFE5FE4491BDB4AF8F42EE7D5F</vt:lpwstr>
  </property>
</Properties>
</file>