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600" w:lineRule="atLeast"/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年度第二十四批达国六排放标准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6b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阶段的</w:t>
      </w:r>
    </w:p>
    <w:p>
      <w:pPr>
        <w:spacing w:line="400" w:lineRule="atLeast"/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重型柴油发动机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122614932"/>
      <w:r>
        <w:rPr>
          <w:rFonts w:ascii="Times New Roman" w:hAnsi="Times New Roman"/>
        </w:rPr>
        <w:t>1、广西玉柴机器股份有限公司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YCK11500-61A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YCK11460-61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YCK11500-61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YCK11460-61A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YCK11430-61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DOC排气处理器型号：YCDOC03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SCR排气处理器型号：YCSCR03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DPF排气处理器型号：YCDPF03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催化转化器(ASC)：YCASC03 (广西玉柴排气技术有限公司)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E5AFA"/>
    <w:rsid w:val="4B6E5AFA"/>
    <w:rsid w:val="56B82468"/>
    <w:rsid w:val="722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2022-12-23T01:04:00Z</dcterms:created>
  <dc:creator>赵旭</dc:creator>
  <cp:lastModifiedBy>赵旭</cp:lastModifiedBy>
  <dcterms:modified xsi:type="dcterms:W3CDTF">2022-12-23T01:06:36Z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