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年度第二十四批达国家第四阶段排放标准的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非道路移动机械用柴油发动机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122614937"/>
      <w:r>
        <w:rPr>
          <w:rFonts w:ascii="Times New Roman" w:hAnsi="Times New Roman"/>
        </w:rPr>
        <w:t>1、潍柴动力股份有限公司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WP10HG270E471B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发动机：WP10HG270E471B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122614938"/>
      <w:r>
        <w:rPr>
          <w:rFonts w:ascii="Times New Roman" w:hAnsi="Times New Roman"/>
        </w:rPr>
        <w:t>2、Perkins Engines Company Limited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404EA-22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发动机：404EA-22 (Perkins Engines Company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喷油泵型号：54130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喷油器型号：0100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C1.1IVN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发动机：C1.1 IVN (Perkins Engines Company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喷油泵型号：094500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喷油器型号：8110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增压器型号：B01AA (Caterpillar Inc.)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122614939"/>
      <w:r>
        <w:rPr>
          <w:rFonts w:ascii="Times New Roman" w:hAnsi="Times New Roman"/>
        </w:rPr>
        <w:t>3、广西玉柴机器股份有限公司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YCA05200-T400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YCA05190-T400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发动机：YCA05200-T400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NCD型号：W40158A80N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PCD型号：W40158A80N (广西玉柴机器股份有限公司)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5AFA"/>
    <w:rsid w:val="1E7C52A4"/>
    <w:rsid w:val="4B6E5AFA"/>
    <w:rsid w:val="56B82468"/>
    <w:rsid w:val="712F069B"/>
    <w:rsid w:val="722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2022-12-23T01:04:00Z</dcterms:created>
  <dc:creator>赵旭</dc:creator>
  <cp:lastModifiedBy>赵旭</cp:lastModifiedBy>
  <dcterms:modified xsi:type="dcterms:W3CDTF">2022-12-23T01:07:02Z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