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bookmarkStart w:id="2" w:name="_GoBack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2023年度第十批达国六排放标准6b阶段的重型燃气车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8088461"/>
      <w:r>
        <w:rPr>
          <w:rFonts w:ascii="Times New Roman" w:hAnsi="Times New Roman"/>
        </w:rPr>
        <w:t>1、中国第一汽车集团有限公司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CA4180P77M26E6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平头天然气半挂牵引汽车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CA4250P66M25T1E6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平头天然气半挂牵引汽车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发动机：CA6SM4B51E61N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压力调节器或蒸发器：1151010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机外净化器：在排气管路尾部,距离增压器≤2000: 1205010-52F（三元催化）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 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 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OBD型号：CNVI+FAW_NG_03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 (鱼快创领智能科技(南京)有限公司)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发动机：CA6SM4B51E61N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压力调节器或蒸发器：ZZ995-MKDYL-01 (长春致远新能源装备股份有限公司)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机外净化器：在排气管路尾部,距离增压器≤2000: 1205010-52F（三元催化）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 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 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OBD型号：CNVI+FAW_NG_03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 (鱼快创领智能科技(南京)有限公司)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8088462"/>
      <w:r>
        <w:rPr>
          <w:rFonts w:ascii="Times New Roman" w:hAnsi="Times New Roman"/>
        </w:rPr>
        <w:t>2、北京福田戴姆勒汽车有限公司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BJ4189L6DDL-06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发动机：X12NNS6B460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压力调节器或蒸发器：MPR2.0 MDS (Metatron S.p.A.)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TWCP0161（三元）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TWCP0162（三元）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混合装置：F0429 (北京福田康明斯发动机有限公司)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>
      <w:pPr>
        <w:widowControl/>
        <w:autoSpaceDE/>
        <w:autoSpaceDN/>
        <w:adjustRightInd/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3153F94"/>
    <w:rsid w:val="43153F94"/>
    <w:rsid w:val="4517259F"/>
    <w:rsid w:val="4E5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2526</Words>
  <Characters>3870</Characters>
  <Lines>0</Lines>
  <Paragraphs>0</Paragraphs>
  <TotalTime>0</TotalTime>
  <ScaleCrop>false</ScaleCrop>
  <LinksUpToDate>false</LinksUpToDate>
  <CharactersWithSpaces>4249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2023-06-21T02:36:00Z</dcterms:created>
  <dc:creator>赵旭</dc:creator>
  <cp:lastModifiedBy>赵旭</cp:lastModifiedBy>
  <dcterms:modified xsi:type="dcterms:W3CDTF">2023-06-21T02:37:05Z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EB97C08F6F104D18AF79F3D7351192A6_11</vt:lpwstr>
  </property>
</Properties>
</file>