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附件7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2023年度第十批达国六排放标准6b阶段的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重型燃气发动机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8088480"/>
      <w:r>
        <w:rPr>
          <w:rFonts w:ascii="Times New Roman" w:hAnsi="Times New Roman"/>
        </w:rPr>
        <w:t>1、中国第一汽车集团有限公司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CA6SM4-57E61N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CA6SM4-55E61N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CA6SM4-56E61N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CA6SM4-53E61N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CA6SM4-51E61N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CA6SM4-48E61N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CA6SM4A46E61N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CA6SM4B51E61N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发动机：CA6SM4-57E61N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压力调节器：1151010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机外净化器：1205010-52F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 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OBD型号：CNVI+FAW_NG_03 (摩菲伊肯控制技术（杭州）有限公司)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发动机：CA6SM4-57E61N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压力调节器：1151010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机外净化器：1205010-52F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 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OBD型号：CNVI+FAW_NG_03 (摩菲伊肯控制技术（杭州）有限公司)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发动机：CA6SM4-57E61N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机外净化器：1205010-52F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氧传感器：前: LSU 4.9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后: LSF 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(摩菲伊肯控制技术（杭州）有限公司)</w:t>
      </w:r>
    </w:p>
    <w:p>
      <w:r>
        <w:rPr>
          <w:rFonts w:ascii="Times New Roman" w:hAnsi="Times New Roman" w:cs="Times New Roman"/>
        </w:rPr>
        <w:t>OBD型号：CNVI+FAW_NG_03 (摩菲伊肯控制技术（杭州）有限公司)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30BD292F"/>
    <w:rsid w:val="30B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2023-06-21T02:37:00Z</dcterms:created>
  <dc:creator>赵旭</dc:creator>
  <cp:lastModifiedBy>赵旭</cp:lastModifiedBy>
  <dcterms:modified xsi:type="dcterms:W3CDTF">2023-06-21T02:37:55Z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AD88431CB3634BEB9475B445BA731F87_11</vt:lpwstr>
  </property>
</Properties>
</file>