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pacing w:line="600" w:lineRule="atLeast"/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年度第九批达国六排放标准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spacing w:line="600" w:lineRule="atLeast"/>
        <w:jc w:val="center"/>
        <w:rPr>
          <w:rFonts w:ascii="STSongStd-Light" w:hAnsi="STSongStd-Light" w:eastAsia="等线" w:cs="STSongStd-Light"/>
          <w:color w:val="auto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重型柴油发动机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(</w:t>
      </w:r>
      <w:r>
        <w:rPr>
          <w:rFonts w:hint="eastAsia" w:ascii="STSongStd-Light" w:hAnsi="STSongStd-Light" w:eastAsia="等线" w:cs="STSongStd-Light"/>
          <w:color w:val="auto"/>
        </w:rPr>
        <w:t>下文出现的</w:t>
      </w:r>
      <w:r>
        <w:rPr>
          <w:rFonts w:ascii="STSongStd-Light" w:hAnsi="STSongStd-Light" w:eastAsia="等线" w:cs="STSongStd-Light"/>
          <w:color w:val="auto"/>
        </w:rPr>
        <w:t>“*”</w:t>
      </w:r>
      <w:r>
        <w:rPr>
          <w:rFonts w:hint="eastAsia" w:ascii="STSongStd-Light" w:hAnsi="STSongStd-Light" w:eastAsia="等线" w:cs="STSongStd-Light"/>
          <w:color w:val="auto"/>
        </w:rPr>
        <w:t>代表随机变动实号，</w:t>
      </w:r>
      <w:r>
        <w:rPr>
          <w:rFonts w:ascii="STSongStd-Light" w:hAnsi="STSongStd-Light" w:eastAsia="等线" w:cs="STSongStd-Light"/>
          <w:color w:val="auto"/>
        </w:rPr>
        <w:t>“</w:t>
      </w:r>
      <w:r>
        <w:rPr>
          <w:rFonts w:hint="eastAsia" w:ascii="STSongStd-Light" w:hAnsi="STSongStd-Light" w:eastAsia="等线" w:cs="STSongStd-Light"/>
          <w:color w:val="auto"/>
        </w:rPr>
        <w:t>（</w:t>
      </w:r>
      <w:r>
        <w:rPr>
          <w:rFonts w:ascii="STSongStd-Light" w:hAnsi="STSongStd-Light" w:eastAsia="等线" w:cs="STSongStd-Light"/>
          <w:color w:val="auto"/>
        </w:rPr>
        <w:t>*</w:t>
      </w:r>
      <w:r>
        <w:rPr>
          <w:rFonts w:hint="eastAsia" w:ascii="STSongStd-Light" w:hAnsi="STSongStd-Light" w:eastAsia="等线" w:cs="STSongStd-Light"/>
          <w:color w:val="auto"/>
        </w:rPr>
        <w:t>）</w:t>
      </w:r>
      <w:r>
        <w:rPr>
          <w:rFonts w:ascii="STSongStd-Light" w:hAnsi="STSongStd-Light" w:eastAsia="等线" w:cs="STSongStd-Light"/>
          <w:color w:val="auto"/>
        </w:rPr>
        <w:t>”</w:t>
      </w:r>
      <w:r>
        <w:rPr>
          <w:rFonts w:hint="eastAsia" w:ascii="STSongStd-Light" w:hAnsi="STSongStd-Light" w:eastAsia="等线" w:cs="STSongStd-Light"/>
          <w:color w:val="auto"/>
        </w:rPr>
        <w:t>代表随机变动实号或虚号</w:t>
      </w:r>
      <w:r>
        <w:rPr>
          <w:rFonts w:ascii="STSongStd-Light" w:hAnsi="STSongStd-Light" w:eastAsia="等线" w:cs="STSongStd-Light"/>
          <w:color w:val="auto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243549079"/>
      <w:r>
        <w:rPr>
          <w:rFonts w:ascii="Times New Roman" w:hAnsi="Times New Roman" w:eastAsia="等线" w:cs="Times New Roman"/>
          <w:b/>
          <w:bCs/>
        </w:rPr>
        <w:t>1、北京福田康明斯发动机有限公司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F4.5NS6B240A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F4.5NS6B235A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F4.5NS6B220A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F4.5NS6B200A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F4.5NS6B190A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333539167"/>
      <w:r>
        <w:rPr>
          <w:rFonts w:ascii="Times New Roman" w:hAnsi="Times New Roman" w:eastAsia="等线" w:cs="Times New Roman"/>
          <w:b/>
          <w:bCs/>
        </w:rPr>
        <w:t>2、中国第一汽车集团有限公司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CA6DL6A38E68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CA6DL6-36E68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CA6DL6A36E68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CA6DL6-35E68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CA6DL6-32E68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CA6DL6B36E68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喷油泵型号：CP-20-6DL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喷油器型号：CRIN-20-6DL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NOX传感器型号：前:3602510;后:3602510 (前:中国第一汽车集团有限公司;后:中国第一汽车集团有限公司)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DOC排气处理器型号：1205010-67F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SCR排气处理器型号：1208010-67F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DPF排气处理器型号：1209010-67F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OBD型号：CNVI+FAW_H_04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催化转化器(ASC)：1205020-67F (中国第一汽车集团有限公司)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A204930"/>
    <w:rsid w:val="11AD286B"/>
    <w:rsid w:val="18862E67"/>
    <w:rsid w:val="39A4364F"/>
    <w:rsid w:val="435E3C28"/>
    <w:rsid w:val="58301183"/>
    <w:rsid w:val="67880CF0"/>
    <w:rsid w:val="7A2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2024-06-12T06:31:00Z</dcterms:created>
  <dc:creator>赵旭</dc:creator>
  <cp:lastModifiedBy>赵旭</cp:lastModifiedBy>
  <dcterms:modified xsi:type="dcterms:W3CDTF">2024-06-12T06:33:19Z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F44B6D90691A4CEAB72110871632E6EA_13</vt:lpwstr>
  </property>
</Properties>
</file>