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hint="eastAsia"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年度第九批达国四排放标准的重型汽油车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848412940"/>
      <w:r>
        <w:rPr>
          <w:rFonts w:ascii="Times New Roman" w:hAnsi="Times New Roman" w:eastAsia="等线" w:cs="Times New Roman"/>
          <w:b/>
          <w:bCs/>
        </w:rPr>
        <w:t>1、江铃汽车股份有限公司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JX1044TG2SHEV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插电式增程混合动力载货汽车载货汽车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JX5044XXYTG2SHEV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JX5044XLCTG2SHEV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JX5044CCYTG2SHEV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发动机：GE15A4H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JEGAT041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JEGAT042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燃油蒸发控制系统：MS1-9468-B* (纬湃汽车电子（长春）有限公司)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OBD型号：MG1US008 (联合汽车电子有限公司)</w:t>
      </w:r>
    </w:p>
    <w:p>
      <w:r>
        <w:rPr>
          <w:rFonts w:ascii="STSongStd-Light" w:hAnsi="STSongStd-Light" w:eastAsia="等线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8862E67"/>
    <w:rsid w:val="39A4364F"/>
    <w:rsid w:val="58301183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98F48C5267F64A6F92AC76F8993CDDFC_13</vt:lpwstr>
  </property>
</Properties>
</file>