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年度第十批达国家第四阶段排放标准的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非道路移动机械</w:t>
      </w:r>
    </w:p>
    <w:p>
      <w:pPr>
        <w:spacing w:line="400" w:lineRule="atLeast"/>
        <w:jc w:val="center"/>
        <w:rPr>
          <w:rFonts w:hint="eastAsia" w:ascii="宋体" w:hAnsi="宋体" w:cs="宋体"/>
        </w:rPr>
      </w:pPr>
      <w:r>
        <w:rPr>
          <w:rFonts w:ascii="STSongStd-Light" w:hAnsi="STSongStd-Light"/>
        </w:rPr>
        <w:t>(</w:t>
      </w:r>
      <w:r>
        <w:rPr>
          <w:rFonts w:ascii="宋体" w:hAnsi="宋体"/>
        </w:rPr>
        <w:t>下文出现的</w:t>
      </w:r>
      <w:r>
        <w:rPr>
          <w:rFonts w:ascii="STSongStd-Light" w:hAnsi="STSongStd-Light"/>
        </w:rPr>
        <w:t>“*”</w:t>
      </w:r>
      <w:r>
        <w:rPr>
          <w:rFonts w:ascii="宋体" w:hAnsi="宋体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ascii="宋体" w:hAnsi="宋体"/>
        </w:rPr>
        <w:t>（</w:t>
      </w:r>
      <w:r>
        <w:rPr>
          <w:rFonts w:ascii="STSongStd-Light" w:hAnsi="STSongStd-Light"/>
        </w:rPr>
        <w:t>*</w:t>
      </w:r>
      <w:r>
        <w:rPr>
          <w:rFonts w:ascii="宋体" w:hAnsi="宋体"/>
        </w:rPr>
        <w:t>）</w:t>
      </w:r>
      <w:r>
        <w:rPr>
          <w:rFonts w:ascii="STSongStd-Light" w:hAnsi="STSongStd-Light"/>
        </w:rPr>
        <w:t>”</w:t>
      </w:r>
      <w:r>
        <w:rPr>
          <w:rFonts w:ascii="宋体" w:hAnsi="宋体"/>
        </w:rPr>
        <w:t>代表随机变动实号或虚号</w:t>
      </w:r>
      <w:r>
        <w:rPr>
          <w:rFonts w:ascii="STSongStd-Light" w:hAnsi="STSongStd-Light"/>
        </w:rPr>
        <w:t>)</w:t>
      </w:r>
      <w:r>
        <w:rPr>
          <w:rFonts w:hint="eastAsia" w:ascii="宋体" w:hAnsi="宋体" w:cs="宋体"/>
        </w:rPr>
        <w:t xml:space="preserve">  </w:t>
      </w:r>
    </w:p>
    <w:p>
      <w:pPr>
        <w:jc w:val="center"/>
        <w:rPr>
          <w:rFonts w:hint="eastAsia" w:ascii="宋体" w:hAnsi="宋体" w:cs="宋体"/>
        </w:rPr>
      </w:pPr>
    </w:p>
    <w:p>
      <w:pPr>
        <w:pStyle w:val="2"/>
        <w:rPr>
          <w:rFonts w:hint="eastAsia" w:ascii="宋体" w:hAnsi="宋体" w:cs="宋体"/>
          <w:b w:val="0"/>
        </w:rPr>
      </w:pPr>
      <w:bookmarkStart w:id="0" w:name="_Toc170571928"/>
      <w:r>
        <w:rPr>
          <w:rFonts w:hint="eastAsia" w:ascii="宋体" w:hAnsi="宋体" w:cs="宋体"/>
        </w:rPr>
        <w:t>1、英轩重工有限公司</w:t>
      </w:r>
      <w:bookmarkEnd w:id="0"/>
      <w:r>
        <w:rPr>
          <w:rFonts w:hint="eastAsia" w:ascii="宋体" w:hAnsi="宋体" w:cs="宋体"/>
        </w:rPr>
        <w:t xml:space="preserve">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CPC25-QC11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叉车（内燃平衡重式叉车）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CPCD20-QC11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叉车（内燃平衡重式叉车）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CPCD40-QC11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叉车（内燃平衡重式叉车）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CPCD25-QC11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叉车（内燃平衡重式叉车）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CPC35-QC11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叉车（内燃平衡重式叉车）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CPCD30-QC11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叉车（内燃平衡重式叉车）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CPCD35-QC11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叉车（内燃平衡重式叉车）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CPCD38-QC11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叉车（内燃平衡重式叉车）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CPC40-QC11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叉车（内燃平衡重式叉车）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发动机：V29-50C43 (安徽全柴动力股份有限公司) 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喷油泵型号：NCP2.1 (南岳电控（衡阳）工业技术股份有限)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喷油器型号：NCI2.1 (南岳电控（衡阳）工业技术股份有限)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0A590516"/>
    <w:rsid w:val="0A590516"/>
    <w:rsid w:val="1A197394"/>
    <w:rsid w:val="1FF75767"/>
    <w:rsid w:val="2A984F65"/>
    <w:rsid w:val="50C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2024-07-01T07:47:00Z</dcterms:created>
  <dc:creator>赵旭</dc:creator>
  <cp:lastModifiedBy>赵旭</cp:lastModifiedBy>
  <dcterms:modified xsi:type="dcterms:W3CDTF">2024-07-01T07:50:30Z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7FD1E75242A64DA499FA958A0AEC6026_13</vt:lpwstr>
  </property>
</Properties>
</file>