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55CD2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8</w:t>
      </w:r>
    </w:p>
    <w:p w14:paraId="0652D871">
      <w:pPr>
        <w:spacing w:line="600" w:lineRule="atLeast"/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二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</w:t>
      </w:r>
    </w:p>
    <w:p w14:paraId="01AA8F58">
      <w:pPr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重型燃气发动机</w:t>
      </w:r>
    </w:p>
    <w:p w14:paraId="40AC2C7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 w14:paraId="312D579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678B0F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46419013"/>
      <w:r>
        <w:rPr>
          <w:rFonts w:hint="default" w:ascii="Times New Roman" w:hAnsi="Times New Roman" w:eastAsia="宋体" w:cs="Times New Roman"/>
          <w:sz w:val="24"/>
          <w:szCs w:val="24"/>
        </w:rPr>
        <w:t>1、广西玉柴机器股份有限公司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9715E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YCK15570N-60A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7476B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YCK15540N-60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01049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压力调节器：HFR (广西玉柴机器股份有限公司)</w:t>
      </w:r>
    </w:p>
    <w:p w14:paraId="015B55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 (广西玉柴机器股份有限公司)</w:t>
      </w:r>
    </w:p>
    <w:p w14:paraId="1CB47C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机外净化器：YCTWC03 (广西玉柴排气技术有限公司)</w:t>
      </w:r>
    </w:p>
    <w:p w14:paraId="05EC84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YCGO (广西玉柴机器股份有限公司)</w:t>
      </w:r>
    </w:p>
    <w:p w14:paraId="3EAECB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后: GO (广西玉柴机器股份有限公司)</w:t>
      </w:r>
    </w:p>
    <w:p w14:paraId="2B0601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3D4E7F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 (广西玉柴机器股份有限公司)</w:t>
      </w:r>
    </w:p>
    <w:p w14:paraId="4E269D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74C82BD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373580E"/>
    <w:rsid w:val="0B884C23"/>
    <w:rsid w:val="1C036E96"/>
    <w:rsid w:val="1EBE5640"/>
    <w:rsid w:val="2D431677"/>
    <w:rsid w:val="454F164D"/>
    <w:rsid w:val="5E4749BC"/>
    <w:rsid w:val="6F896F89"/>
    <w:rsid w:val="7373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2024-08-05T01:13:00Z</dcterms:created>
  <dc:creator>赵旭</dc:creator>
  <cp:lastModifiedBy>赵旭</cp:lastModifiedBy>
  <dcterms:modified xsi:type="dcterms:W3CDTF">2024-08-05T01:15:20Z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B9B14557B0AB4C0394D90971C0E99ADA_13</vt:lpwstr>
  </property>
</Properties>
</file>