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611D">
      <w:pPr>
        <w:pStyle w:val="3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附件6</w:t>
      </w:r>
    </w:p>
    <w:p w14:paraId="31932FF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达国家第四阶段排放标准的</w:t>
      </w:r>
    </w:p>
    <w:p w14:paraId="562462F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非道路移动机械</w:t>
      </w:r>
    </w:p>
    <w:p w14:paraId="5A136D6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5A59B79D">
      <w:pPr>
        <w:jc w:val="center"/>
        <w:rPr>
          <w:rFonts w:hint="eastAsia" w:ascii="宋体" w:hAnsi="宋体" w:eastAsia="宋体" w:cs="宋体"/>
        </w:rPr>
      </w:pPr>
    </w:p>
    <w:p w14:paraId="43F451F8">
      <w:pPr>
        <w:jc w:val="both"/>
        <w:rPr>
          <w:rFonts w:hint="eastAsia" w:ascii="宋体" w:hAnsi="宋体" w:eastAsia="宋体" w:cs="宋体"/>
        </w:rPr>
      </w:pPr>
    </w:p>
    <w:p w14:paraId="78BB33C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1098"/>
      <w:r>
        <w:rPr>
          <w:rFonts w:hint="eastAsia" w:ascii="宋体" w:hAnsi="宋体" w:eastAsia="宋体" w:cs="宋体"/>
          <w:sz w:val="24"/>
          <w:szCs w:val="24"/>
        </w:rPr>
        <w:t>1、英轩重工有限公司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75F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CPC35-XC07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叉车（内燃平衡重式叉车）</w:t>
      </w:r>
    </w:p>
    <w:p w14:paraId="5606EA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发动机：4D29V41 (浙江新柴股份有限公司) </w:t>
      </w:r>
    </w:p>
    <w:p w14:paraId="58B61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喷油泵型号：XC-VP4 (南京威孚金宁有限公司)</w:t>
      </w:r>
    </w:p>
    <w:p w14:paraId="32D3B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喷油器型号：KBAL-P001C (山东菏泽华星油泵油嘴有限公司)</w:t>
      </w:r>
    </w:p>
    <w:p w14:paraId="4ED22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ECU型号：XC-ECU (南京威孚金宁有限公司)</w:t>
      </w:r>
    </w:p>
    <w:p w14:paraId="4D7C0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67A9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YX656HEV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插电增程式混合动力电动轮胎式装载机</w:t>
      </w:r>
    </w:p>
    <w:p w14:paraId="3A919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发动机：YCF36160-T480 (广西玉柴机器股份有限公司) </w:t>
      </w:r>
    </w:p>
    <w:p w14:paraId="76D53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3DD91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C4E2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增压器型号：YCTC-752/YCTC-383/YCTC-502 (康跃科技（山东）有限公司/潍坊富源增压器有限公司/湖南天雁机械有限公司)</w:t>
      </w:r>
    </w:p>
    <w:p w14:paraId="689539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6382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ECU型号：YCECU-A38 (博世动力总成有限公司)</w:t>
      </w:r>
    </w:p>
    <w:p w14:paraId="62FA8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9106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7A2D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卫星导航精准定位系统：HOMER4C (北京博创联动科技有限公司)</w:t>
      </w:r>
    </w:p>
    <w:p w14:paraId="34A4B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车载终端系统：HOMER4C (北京博创联动科技有限公司)</w:t>
      </w:r>
    </w:p>
    <w:p w14:paraId="0399272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5EA57AD5"/>
    <w:rsid w:val="66A63D78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BCBA30C4E0154F499D980BCF6653EF53_13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