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2AFFF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47362403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批达国四排放标准的重型汽油车</w:t>
      </w:r>
    </w:p>
    <w:p w14:paraId="4DD590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</w:p>
    <w:p w14:paraId="42428540">
      <w:pPr>
        <w:jc w:val="center"/>
        <w:rPr>
          <w:rFonts w:ascii="Times New Roman" w:hAnsi="Times New Roman" w:cs="Times New Roman"/>
        </w:rPr>
      </w:pPr>
    </w:p>
    <w:p w14:paraId="07DEAFB8">
      <w:pPr>
        <w:pStyle w:val="2"/>
        <w:rPr>
          <w:rFonts w:ascii="Times New Roman" w:hAnsi="Times New Roman"/>
          <w:b w:val="0"/>
        </w:rPr>
      </w:pPr>
      <w:bookmarkStart w:id="0" w:name="_Toc198582575"/>
      <w:r>
        <w:rPr>
          <w:rFonts w:ascii="Times New Roman" w:hAnsi="Times New Roman"/>
        </w:rPr>
        <w:t>1、山东威士捷房车制造有限公司</w:t>
      </w:r>
      <w:bookmarkEnd w:id="0"/>
      <w:r>
        <w:rPr>
          <w:rFonts w:ascii="Times New Roman" w:hAnsi="Times New Roman"/>
        </w:rPr>
        <w:t xml:space="preserve"> </w:t>
      </w:r>
    </w:p>
    <w:p w14:paraId="21F99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WSJ5061XLJBYDHEV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插电式增程混合动力旅居车</w:t>
      </w:r>
      <w:r>
        <w:rPr>
          <w:rFonts w:ascii="Times New Roman" w:hAnsi="Times New Roman" w:cs="Times New Roman"/>
        </w:rPr>
        <w:tab/>
      </w:r>
    </w:p>
    <w:p w14:paraId="4342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 w14:paraId="27157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机外净化器：BYD-476 (弗迪科技有限公司)</w:t>
      </w:r>
    </w:p>
    <w:p w14:paraId="4ED3D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PCV阀：BYD-476 (比亚迪汽车工业有限公司)</w:t>
      </w:r>
    </w:p>
    <w:p w14:paraId="6B1CA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 w14:paraId="4EE2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LSUADV (联合汽车电子有限公司)</w:t>
      </w:r>
    </w:p>
    <w:p w14:paraId="0B30D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 F01R 00M A56 (联合汽车电子有限公司)</w:t>
      </w:r>
    </w:p>
    <w:p w14:paraId="0B16B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EGR型号：BYD-476 (比亚迪汽车工业有限公司)</w:t>
      </w:r>
    </w:p>
    <w:p w14:paraId="72264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ECU型号：TB30 (弗迪动力有限公司)</w:t>
      </w:r>
    </w:p>
    <w:p w14:paraId="27D4D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OBD型号：TB30 (弗迪动力有限公司)</w:t>
      </w:r>
    </w:p>
    <w:p w14:paraId="61D85F32"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A0569D"/>
    <w:rsid w:val="17C23687"/>
    <w:rsid w:val="2137748C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95842C7DD6C94D54A088C4DCE41F97DB_13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