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8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十六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批达国家第四阶段排放标准的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非道路移动机械用柴油发动机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    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707289246"/>
      <w:r>
        <w:rPr>
          <w:rFonts w:hint="default" w:ascii="Times New Roman" w:hAnsi="Times New Roman" w:eastAsia="宋体" w:cs="Times New Roman"/>
          <w:sz w:val="24"/>
          <w:szCs w:val="24"/>
        </w:rPr>
        <w:t>1、潍柴动力股份有限公司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WP4.6NG210E440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WP4.6NG200E441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 (潍柴动力股份有限公司)</w:t>
      </w: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7444"/>
    <w:rsid w:val="1C037444"/>
    <w:rsid w:val="23FE5A92"/>
    <w:rsid w:val="4B9E31E4"/>
    <w:rsid w:val="533E2B70"/>
    <w:rsid w:val="5C3C1999"/>
    <w:rsid w:val="60861741"/>
    <w:rsid w:val="6DD13A2E"/>
    <w:rsid w:val="7B0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2025-09-05T07:47:00Z</dcterms:created>
  <dc:creator>ZX</dc:creator>
  <cp:lastModifiedBy>ZX</cp:lastModifiedBy>
  <dcterms:modified xsi:type="dcterms:W3CDTF">2025-09-05T07:51:54Z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