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附件6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第十七批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达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国家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第四阶段排放标准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的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非道路机械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715889782"/>
      <w:r>
        <w:rPr>
          <w:rFonts w:hint="default" w:ascii="Times New Roman" w:hAnsi="Times New Roman" w:eastAsia="宋体" w:cs="Times New Roman"/>
          <w:sz w:val="24"/>
          <w:szCs w:val="24"/>
        </w:rPr>
        <w:t>1、卡特彼勒(青州)有限公司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655G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轮式装载机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发动机：WP10HG230E474D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中冷器型号：5692350 (卡特彼勒（青州）有限公司)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ECU型号：WISE13A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催化转化器（ASC）型号：WPASC01 (潍柴\NGK\巴斯夫)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排温传感器型号：WPHT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卫星导航精准定位系统：PLCN1 (Caterpillar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车载终端系统：PLCN1 (Caterpillar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656G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轮式装载机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发动机：WP10HG230E474D (潍柴动力股份有限公司)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中冷器型号：5692350 (卡特彼勒（青州）有限公司)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ECU型号：WISE13A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催化转化器（ASC）型号：WPASC01 (潍柴\NGK\巴斯夫)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排温传感器型号：WPHT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卫星导航精准定位系统：PLCN1 (Caterpillar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车载终端系统：PLCN1 (Caterpillar Inc.)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77270689"/>
      <w:r>
        <w:rPr>
          <w:rFonts w:hint="default" w:ascii="Times New Roman" w:hAnsi="Times New Roman" w:eastAsia="宋体" w:cs="Times New Roman"/>
          <w:sz w:val="24"/>
          <w:szCs w:val="24"/>
        </w:rPr>
        <w:t>2、雷沃重工集团有限公司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FR85F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液压挖掘机、农用挖掘机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发动机：WP3.2G50E436 (潍柴动力扬州柴油机有限责任公司)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喷油器型号：CRP40-Y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ECU型号：WISE15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 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 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FR95F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发动机：WP3.2G50E436 (潍柴动力扬州柴油机有限责任公司)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喷油器型号：CRP40-Y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增压器型号：HP60K (康跃科技（山东）有限公司)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ECU型号：WISE15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 (江苏千里马科技有限公司)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 (江苏千里马科技有限公司)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775978601"/>
      <w:r>
        <w:rPr>
          <w:rFonts w:hint="default" w:ascii="Times New Roman" w:hAnsi="Times New Roman" w:eastAsia="宋体" w:cs="Times New Roman"/>
          <w:sz w:val="24"/>
          <w:szCs w:val="24"/>
        </w:rPr>
        <w:t>3、龙工（上海）叉车有限公司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CPCD50-5Q43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平衡重式叉车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发动机：V35-88C41 (安徽全柴动力股份有限公司)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增压器型号：JP60A (湖南天雁机械有限责任公司)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ECU型号：ECU01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DOC排气处理器型号：DOC42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DPF排气处理器型号：DPF42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NCD型号：NP01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PCD型号：NP01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排温传感器型号：PT200 (安徽全柴动力股份有限公司)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卫星导航精准定位系统：IMK01PF (合肥协力仪表控制技术股份有限公司)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车载终端系统：IMK01PF (合肥协力仪表控制技术股份有限公司)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DE2"/>
    <w:rsid w:val="180D286B"/>
    <w:rsid w:val="389F3242"/>
    <w:rsid w:val="3FE84DE2"/>
    <w:rsid w:val="4E9B0754"/>
    <w:rsid w:val="5CD45D7D"/>
    <w:rsid w:val="5FE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2025-09-26T08:57:00Z</dcterms:created>
  <dc:creator>ZX</dc:creator>
  <cp:lastModifiedBy>ZX</cp:lastModifiedBy>
  <dcterms:modified xsi:type="dcterms:W3CDTF">2025-09-26T08:59:28Z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