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2025年度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第二十批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达国六排放标准6b阶段的重型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燃气车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394422675"/>
      <w:r>
        <w:rPr>
          <w:rFonts w:hint="default" w:ascii="Times New Roman" w:hAnsi="Times New Roman" w:eastAsia="宋体" w:cs="Times New Roman"/>
          <w:sz w:val="24"/>
          <w:szCs w:val="24"/>
        </w:rPr>
        <w:t>1、北京福田戴姆勒汽车有限公司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BJ4189L6AAM-01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发动机：A15NNS6B540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SU24WW5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发动机：A15NNS6B580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SU24WW5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BJ4189L6AAM-02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发动机：A15NNS6B580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SU24WW5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发动机：A15NNS6B540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SU24WW5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BJ4269N6DAM-01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发动机：A14NNS6B510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TWCP0161（三元）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SU24WW5 (NGK SPARK PLUG CO., LTD.)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14B9E"/>
    <w:rsid w:val="1B714B9E"/>
    <w:rsid w:val="52915FD9"/>
    <w:rsid w:val="68A0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2025-11-17T07:05:00Z</dcterms:created>
  <dc:creator>ZX</dc:creator>
  <cp:lastModifiedBy>ZX</cp:lastModifiedBy>
  <dcterms:modified xsi:type="dcterms:W3CDTF">2025-11-17T07:06:32Z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