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第二十三批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55271151"/>
      <w:r>
        <w:rPr>
          <w:rFonts w:hint="default" w:ascii="Times New Roman" w:hAnsi="Times New Roman" w:eastAsia="宋体" w:cs="Times New Roman"/>
          <w:sz w:val="24"/>
          <w:szCs w:val="24"/>
        </w:rPr>
        <w:t>1、本田技研工业株式会社熊本制作所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CRF1100AS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发动机：SD13E (本田技研工业株式会社熊本制作所)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MLN E01-2 (Mitsui Kinzoku Catalysts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MLN E01-1 (Mitsui Kinzoku Catalysts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(SENTEC E&amp;E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LMA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LMA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CRF1100D3S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发动机：SD13E (本田技研工业株式会社熊本制作所)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MLN E01-2 (Mitsui Kinzoku Catalysts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MLN E01-1 (Mitsui Kinzoku Catalysts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(SENTEC E&amp;E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LMA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LMA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CRF1100DL4S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发动机：SD13E (本田技研工业株式会社熊本制作所)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MLN E01-2 (Mitsui Kinzoku Catalysts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MLN E01-1 (Mitsui Kinzoku Catalysts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(SENTEC E&amp;E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LMA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LMA (Niterra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06430160"/>
      <w:r>
        <w:rPr>
          <w:rFonts w:hint="default" w:ascii="Times New Roman" w:hAnsi="Times New Roman" w:eastAsia="宋体" w:cs="Times New Roman"/>
          <w:sz w:val="24"/>
          <w:szCs w:val="24"/>
        </w:rPr>
        <w:t>2、杜卡迪摩托（泰国）有限公司 (Ducati Motor (Thailand) Co., Ltd.)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STREETFIGHTER V4 3G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发动机：DPTWDH (Ducati Powertrain (Thailand) Co., 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572.4.238.1A (巴斯夫催化剂（桂林）有限公司 BASF Catalysts (Guilin)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572.4.238.1A (巴斯夫催化剂（桂林）有限公司 BASF Catalysts (Guilin)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燃油蒸发控制装置：426.4.008.1A (CHINA OCEAN ENTERPRISE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右中: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左中: AZD5001-BA002 (NGK SPARK PLUG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915577741"/>
      <w:r>
        <w:rPr>
          <w:rFonts w:hint="default" w:ascii="Times New Roman" w:hAnsi="Times New Roman" w:eastAsia="宋体" w:cs="Times New Roman"/>
          <w:sz w:val="24"/>
          <w:szCs w:val="24"/>
        </w:rPr>
        <w:t>3、厦门厦杏摩托有限公司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XS150T-12A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发动机：XS1P57MJ-2A (厦门厦杏摩托有限公司)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机外净化器：ZG1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燃油蒸发控制装置：17550-ZC1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氧传感器：1262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721402770"/>
      <w:r>
        <w:rPr>
          <w:rFonts w:hint="default" w:ascii="Times New Roman" w:hAnsi="Times New Roman" w:eastAsia="宋体" w:cs="Times New Roman"/>
          <w:sz w:val="24"/>
          <w:szCs w:val="24"/>
        </w:rPr>
        <w:t>4、台州市椒江之威摩托车制造有限公司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WY150T-13C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发动机：157QMJ-B (台州市椒江之威摩托车制造有限公司)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机外净化器：JL4514TB331GD (靖江市锦莲环保设备制造有限公司)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氧传感器：RY12L (浙江朗杰电子有限公司)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70062092"/>
      <w:r>
        <w:rPr>
          <w:rFonts w:hint="default" w:ascii="Times New Roman" w:hAnsi="Times New Roman" w:eastAsia="宋体" w:cs="Times New Roman"/>
          <w:sz w:val="24"/>
          <w:szCs w:val="24"/>
        </w:rPr>
        <w:t>5、五羊-本田摩托（广州）有限公司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发动机：WH460MR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MLS H01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MLS H01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MLS H01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燃油蒸发控制装置：KPNP1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OMA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LMA (Ceramic Sensor Co., Ltd. (Komaki factory))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7888599"/>
      <w:r>
        <w:rPr>
          <w:rFonts w:hint="default" w:ascii="Times New Roman" w:hAnsi="Times New Roman" w:eastAsia="宋体" w:cs="Times New Roman"/>
          <w:sz w:val="24"/>
          <w:szCs w:val="24"/>
        </w:rPr>
        <w:t>6、雅马哈发动机株式会社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SG92D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发动机：G3V5E (印尼雅马哈摩托车制造有限公司)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机外净化器：D22A (PT. CATALER INDONESIA)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燃油蒸发控制装置：B2T-00 (信通交通器材股份有限公司)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氧传感器：BTF (P.T. DENSO INDONESIA)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453329695"/>
      <w:r>
        <w:rPr>
          <w:rFonts w:hint="default" w:ascii="Times New Roman" w:hAnsi="Times New Roman" w:eastAsia="宋体" w:cs="Times New Roman"/>
          <w:sz w:val="24"/>
          <w:szCs w:val="24"/>
        </w:rPr>
        <w:t>7、浙江天鹰机车有限公司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TY250T-28F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发动机：1P72MM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机外净化器：TX250 CN4 (湖北航特科技有限责任公司)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0808290B"/>
    <w:rsid w:val="0B714341"/>
    <w:rsid w:val="2FA2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