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atLeast"/>
        <w:jc w:val="both"/>
        <w:rPr>
          <w:rFonts w:hint="default" w:ascii="Times New Roman" w:hAnsi="Times New Roman" w:eastAsia="宋体" w:cs="Times New Roman"/>
          <w:b/>
          <w:sz w:val="36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2026年度第二批达国家第四阶段排放标准的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非道路移动机械用柴油发动机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52106756"/>
      <w:r>
        <w:rPr>
          <w:rFonts w:hint="default" w:ascii="Times New Roman" w:hAnsi="Times New Roman" w:eastAsia="宋体" w:cs="Times New Roman"/>
          <w:sz w:val="24"/>
          <w:szCs w:val="24"/>
        </w:rPr>
        <w:t>1、昆明云内动力股份有限公司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YN30CR58LG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发动机：YN30CR58LG (昆明云内动力股份有限公司)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100941162"/>
      <w:r>
        <w:rPr>
          <w:rFonts w:hint="default" w:ascii="Times New Roman" w:hAnsi="Times New Roman" w:eastAsia="宋体" w:cs="Times New Roman"/>
          <w:sz w:val="24"/>
          <w:szCs w:val="24"/>
        </w:rPr>
        <w:t>2、株式会社久保田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D1305-EF04_CN4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发动机：D1305-EF04_CN4 (株式会社久保田)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V2607-DI-ET06_CN4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发动机：V2607-DI-ET06_CN4 (株式会社久保田)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42ED3997"/>
    <w:rsid w:val="43216205"/>
    <w:rsid w:val="5A2E35B7"/>
    <w:rsid w:val="5BC7347F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