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附件8</w:t>
      </w:r>
    </w:p>
    <w:p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2026年度第三批达国家第四阶段排放标准的</w:t>
      </w:r>
    </w:p>
    <w:p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非道路移动机械用柴油发动机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Toc1315110958"/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186369041"/>
      <w:r>
        <w:rPr>
          <w:rFonts w:hint="default" w:ascii="Times New Roman" w:hAnsi="Times New Roman" w:eastAsia="宋体" w:cs="Times New Roman"/>
          <w:sz w:val="24"/>
          <w:szCs w:val="24"/>
        </w:rPr>
        <w:t>1、艾奇蒂现代发动机（天津）有限公司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DC03-PFE00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发动机：DC03-PFE00 (艾奇蒂现代发动机（天津）有限公司)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DOC排气处理器型号：LDDOC001 (凯龙高科)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DPF排气处理器型号：LDDPF001 (凯龙高科)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DC03-PFE01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发动机：DC03-PFE01 (艾奇蒂现代发动机（天津）有限公司)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DOC排气处理器型号：LDDOC001 (凯龙高科)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DPF排气处理器型号：LDDPF001 (凯龙高科)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DW02-PFE06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发动机：DW02-PFE06 (艾奇蒂现代发动机（天津）有限公司)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DW02-PFE07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发动机：DW02-PFE07 (艾奇蒂现代发动机（天津）有限公司)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2、HD HYUNDAI INFRACORE CO., LTD.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DX08E00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DX08E01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发动机：DX08E00 (HD HYUNDAI INFRACORE CO., LTD.)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SCR排气处理器型号：500111-00456 (HEESUNG CATALYSTS CORP.)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DOC排气处理器型号：500111-00493 (HEESUNG CATALYSTS CORP.)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DPF排气处理器型号：400406-01547 (HEESUNG CATALYSTS CORP.)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催化转化器（ASC）型号：500111-00459 (HEESUNG CATALYSTS CORP.)</w:t>
      </w:r>
    </w:p>
    <w:p>
      <w:pPr>
        <w:rPr>
          <w:rFonts w:hint="eastAsia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064910FB"/>
    <w:rsid w:val="064F7191"/>
    <w:rsid w:val="117C453F"/>
    <w:rsid w:val="12BB67C6"/>
    <w:rsid w:val="1587363C"/>
    <w:rsid w:val="2AF5429B"/>
    <w:rsid w:val="3574402F"/>
    <w:rsid w:val="362628BB"/>
    <w:rsid w:val="48B414A6"/>
    <w:rsid w:val="5A1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