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28230338"/>
      <w:r>
        <w:rPr>
          <w:rFonts w:hint="default" w:ascii="Times New Roman" w:hAnsi="Times New Roman" w:eastAsia="宋体" w:cs="Times New Roman"/>
          <w:sz w:val="24"/>
          <w:szCs w:val="24"/>
        </w:rPr>
        <w:t>1、龙工（上海）叉车有限公司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CPCD35-XR23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CPC35-5R23Z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发动机：YN30CR58LG (昆明云内动力股份有限公司)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  <w:rsid w:val="263A7825"/>
    <w:rsid w:val="40736489"/>
    <w:rsid w:val="534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