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排放标准的重型汽油车</w:t>
      </w:r>
    </w:p>
    <w:p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6107513"/>
      <w:r>
        <w:rPr>
          <w:rFonts w:hint="default" w:ascii="Times New Roman" w:hAnsi="Times New Roman" w:eastAsia="宋体" w:cs="Times New Roman"/>
          <w:sz w:val="24"/>
          <w:szCs w:val="24"/>
        </w:rPr>
        <w:t>1、四川冉越汽车有限公司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RYV5060XSW11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发动机：CA6GV30TD-04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1205510-QB02 (天纳克富晟(长春)汽车零部件有限公司)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1205510-QB02 (天纳克福晟（长春）汽车零部件有限公司)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燃油蒸发控制系统：1130010-QM01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LSU5.2 (联合汽车电子有限公司)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0AB570A6"/>
    <w:rsid w:val="364B4EAB"/>
    <w:rsid w:val="743F1B31"/>
    <w:rsid w:val="74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