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E0C3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1FAF22C0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六排放标准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6b阶段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的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重型柴油发动机</w:t>
      </w:r>
    </w:p>
    <w:p w14:paraId="0AE90DBD"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 w14:paraId="3AB52E27">
      <w:pPr>
        <w:spacing w:beforeLines="0" w:afterLine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</w:p>
    <w:p w14:paraId="69D2E02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27926538"/>
      <w:r>
        <w:rPr>
          <w:rFonts w:hint="default" w:ascii="Times New Roman" w:hAnsi="Times New Roman" w:eastAsia="宋体" w:cs="Times New Roman"/>
          <w:sz w:val="24"/>
          <w:szCs w:val="24"/>
        </w:rPr>
        <w:t>1、广西玉柴机器股份有限公司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42B42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YCS05290-66A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F3F4C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YCS05245-66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E72A8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YCS05260-66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63A82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YCS05270-66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146AC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YCS05290-66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7BC02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发动机：YCS05290-66A (广西玉柴机器股份有限公司) </w:t>
      </w:r>
    </w:p>
    <w:p w14:paraId="72D119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5A0A3D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7ADDD6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7619CC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28B4B5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AC951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YCS07280-66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464C7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发动机：YCS07280-66 (广西玉柴机器股份有限公司) </w:t>
      </w:r>
    </w:p>
    <w:p w14:paraId="3B2E42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3BD28C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10B1C1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4CAE02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4A3B0D4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A5B463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57544419"/>
      <w:r>
        <w:rPr>
          <w:rFonts w:hint="default" w:ascii="Times New Roman" w:hAnsi="Times New Roman" w:eastAsia="宋体" w:cs="Times New Roman"/>
          <w:sz w:val="24"/>
          <w:szCs w:val="24"/>
        </w:rPr>
        <w:t>2、昆明云内动力股份有限公司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6A942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E25-155AL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94AB4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发动机：E25-155AL (昆明云内动力股份有限公司) </w:t>
      </w:r>
    </w:p>
    <w:p w14:paraId="040E8C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0ABC9B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213411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020FB2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2051F77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03BECE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822514044"/>
      <w:r>
        <w:rPr>
          <w:rFonts w:hint="default" w:ascii="Times New Roman" w:hAnsi="Times New Roman" w:eastAsia="宋体" w:cs="Times New Roman"/>
          <w:sz w:val="24"/>
          <w:szCs w:val="24"/>
        </w:rPr>
        <w:t>3、潍柴动力股份有限公司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A14E3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WP14DI.610E621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5F420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WP14DI.500E621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D53BC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WP14DI.530E621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AF4E9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WP14DI.560E621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032B2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WP14DI.580E621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AA7CF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发动机：WP14DI.610E621 (潍柴动力股份有限公司) </w:t>
      </w:r>
    </w:p>
    <w:p w14:paraId="57EA12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203A77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85522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6CE69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  <w:sectPr>
          <w:pgSz w:w="11907" w:h="16840"/>
          <w:pgMar w:top="2098" w:right="1134" w:bottom="1247" w:left="1531" w:header="720" w:footer="720" w:gutter="0"/>
          <w:cols w:space="720" w:num="1"/>
        </w:sect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0E6C1B20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3A88"/>
    <w:rsid w:val="68A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12832</Words>
  <Characters>18408</Characters>
  <Lines>0</Lines>
  <Paragraphs>0</Paragraphs>
  <TotalTime>0</TotalTime>
  <ScaleCrop>false</ScaleCrop>
  <LinksUpToDate>false</LinksUpToDate>
  <CharactersWithSpaces>19124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2026-05-18T06:59:00Z</dcterms:created>
  <dc:creator>darren</dc:creator>
  <cp:lastModifiedBy>时间语录</cp:lastModifiedBy>
  <dcterms:modified xsi:type="dcterms:W3CDTF">2026-05-18T07:15:10Z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68DF8AFBCC0D499FAF2FBC47AA401972_12</vt:lpwstr>
  </property>
</Properties>
</file>