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6B75F">
      <w:pPr>
        <w:spacing w:beforeLines="0" w:afterLines="0"/>
        <w:jc w:val="both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附件5</w:t>
      </w:r>
    </w:p>
    <w:p w14:paraId="4C783215">
      <w:pPr>
        <w:spacing w:beforeLines="0" w:afterLines="0" w:line="400" w:lineRule="atLeast"/>
        <w:jc w:val="center"/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2026年度第</w:t>
      </w:r>
      <w:r>
        <w:rPr>
          <w:rFonts w:hint="eastAsia" w:ascii="Times New Roman" w:hAnsi="Times New Roman" w:eastAsia="宋体" w:cs="Times New Roman"/>
          <w:b/>
          <w:sz w:val="36"/>
          <w:szCs w:val="24"/>
          <w:highlight w:val="none"/>
          <w:lang w:eastAsia="zh-CN"/>
        </w:rPr>
        <w:t>十七</w:t>
      </w: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批达国家第四阶段排放标准的</w:t>
      </w:r>
    </w:p>
    <w:p w14:paraId="1819739C">
      <w:pPr>
        <w:spacing w:beforeLines="0" w:afterLines="0" w:line="400" w:lineRule="atLeast"/>
        <w:jc w:val="center"/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非道路机械用柴油发动机</w:t>
      </w:r>
    </w:p>
    <w:p w14:paraId="54AEEF92">
      <w:pPr>
        <w:spacing w:beforeLines="0" w:afterLines="0" w:line="400" w:lineRule="atLeast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(下文出现的“*”代表随机变动实号，“（*）”代表随机变动实号或虚号)  </w:t>
      </w:r>
    </w:p>
    <w:p w14:paraId="1BA98426">
      <w:pPr>
        <w:spacing w:beforeLines="0" w:afterLines="0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 w:bidi="ar-SA"/>
        </w:rPr>
      </w:pPr>
    </w:p>
    <w:p w14:paraId="384F409B">
      <w:pPr>
        <w:pStyle w:val="2"/>
        <w:spacing w:beforeLines="0" w:afterLines="0"/>
        <w:rPr>
          <w:rFonts w:hint="default" w:ascii="Times New Roman" w:hAnsi="Times New Roman" w:eastAsia="Times New Roman" w:cs="Times New Roman"/>
          <w:b w:val="0"/>
          <w:sz w:val="24"/>
          <w:szCs w:val="24"/>
        </w:rPr>
      </w:pPr>
      <w:bookmarkStart w:id="0" w:name="_Toc593618268"/>
      <w:r>
        <w:rPr>
          <w:rFonts w:hint="default" w:ascii="Times New Roman" w:hAnsi="Times New Roman" w:cs="Times New Roman"/>
          <w:sz w:val="24"/>
          <w:szCs w:val="24"/>
        </w:rPr>
        <w:t>1、HD Construction Equipment Co., Ltd.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9C6D661">
      <w:pPr>
        <w:spacing w:beforeLines="0" w:afterLines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DX08E02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</w:p>
    <w:p w14:paraId="6EC342C9">
      <w:pPr>
        <w:spacing w:beforeLines="0" w:afterLines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DX08E03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</w:p>
    <w:p w14:paraId="6C953DAE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发动机：DX08E03 (HD Construction Equipment Co., Ltd.) </w:t>
      </w:r>
    </w:p>
    <w:p w14:paraId="700A7B1B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SCR排气处理器型号：500111-00456 (HEESUNG CATALYSTS CORP.)</w:t>
      </w:r>
    </w:p>
    <w:p w14:paraId="559053F1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DOC排气处理器型号：500111-00493 (HEESUNG CATALYSTS CORP.)</w:t>
      </w:r>
    </w:p>
    <w:p w14:paraId="18BEF3BF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DPF排气处理器型号：400406-01547 (HEESUNG CATALYSTS CORP.)</w:t>
      </w:r>
    </w:p>
    <w:p w14:paraId="2EB372CA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催化转化器（ASC）型号：500111-00459 (HEESUNG CATALYSTS CORP.)</w:t>
      </w:r>
    </w:p>
    <w:p w14:paraId="1653C059">
      <w:pPr>
        <w:spacing w:beforeLines="0" w:afterLines="0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或</w:t>
      </w:r>
    </w:p>
    <w:p w14:paraId="1E2F4521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发动机：DX08E02 (HD Construction Equipment Co., Ltd.) </w:t>
      </w:r>
    </w:p>
    <w:p w14:paraId="2E608CCF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SCR排气处理器型号：500111-00456 (HEESUNG CATALYSTS CORP.)</w:t>
      </w:r>
    </w:p>
    <w:p w14:paraId="0748A81A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DOC排气处理器型号：500111-00493 (HEESUNG CATALYSTS CORP.)</w:t>
      </w:r>
    </w:p>
    <w:p w14:paraId="7DFA893B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DPF排气处理器型号：400406-01547 (HEESUNG CATALYSTS CORP.)</w:t>
      </w:r>
    </w:p>
    <w:p w14:paraId="090518DC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催化转化器（ASC）型号：500111-00459 (HEESUNG CATALYSTS CORP.)</w:t>
      </w:r>
    </w:p>
    <w:p w14:paraId="654FFB5D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E7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2026-09-07T01:19:09Z</dcterms:created>
  <dc:creator>Xujl</dc:creator>
  <cp:lastModifiedBy>Scorpio°</cp:lastModifiedBy>
  <dcterms:modified xsi:type="dcterms:W3CDTF">2026-09-07T01:19:22Z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eyJoZGlkIjoiN2YzNjBkOTgyNWQ1YTMxYzM3MzMwNWFiODNmOWIzYWMiLCJ1c2VySWQiOiI2Mjk2MjA4MjgifQ==</vt:lpwstr>
  </property>
  <property fmtid="{D5CDD505-2E9C-101B-9397-08002B2CF9AE}" pid="4" name="ICV">
    <vt:lpwstr>198EBB7459054A59AA38AF9F466936F6_12</vt:lpwstr>
  </property>
</Properties>
</file>