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516A3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附件6</w:t>
      </w:r>
    </w:p>
    <w:p w14:paraId="6BE6E56F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7E6B4671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2026年度第</w:t>
      </w:r>
      <w:r>
        <w:rPr>
          <w:rFonts w:hint="eastAsia" w:ascii="Times New Roman" w:hAnsi="Times New Roman" w:eastAsia="宋体" w:cs="Times New Roman"/>
          <w:b/>
          <w:sz w:val="36"/>
          <w:szCs w:val="24"/>
          <w:highlight w:val="none"/>
          <w:lang w:eastAsia="zh-CN"/>
        </w:rPr>
        <w:t>十八</w:t>
      </w: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批达国家第四阶段排放标准的</w:t>
      </w:r>
    </w:p>
    <w:p w14:paraId="23A39A2D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36"/>
          <w:szCs w:val="24"/>
          <w:highlight w:val="none"/>
        </w:rPr>
        <w:t>非道路机械用柴油发动机</w:t>
      </w:r>
    </w:p>
    <w:p w14:paraId="77D7A895">
      <w:pPr>
        <w:spacing w:beforeLines="0" w:afterLines="0" w:line="400" w:lineRule="atLeas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 </w:t>
      </w:r>
    </w:p>
    <w:p w14:paraId="17AC9CB3">
      <w:pPr>
        <w:spacing w:beforeLines="0" w:afterLines="0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</w:p>
    <w:p w14:paraId="51D976E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384708601"/>
      <w:r>
        <w:rPr>
          <w:rFonts w:hint="default" w:ascii="Times New Roman" w:hAnsi="Times New Roman" w:eastAsia="宋体" w:cs="Times New Roman"/>
          <w:sz w:val="24"/>
          <w:szCs w:val="24"/>
        </w:rPr>
        <w:t>1、艾奇蒂（天津）发动机有限公司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FFBED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DC03-PFE02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47ADD7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发动机：DC03-PFE02 (艾奇蒂（天津）发动机有限公司) </w:t>
      </w:r>
    </w:p>
    <w:p w14:paraId="073DDA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DOC排气处理器型号：LDDOC001 (凯龙高科)</w:t>
      </w:r>
    </w:p>
    <w:p w14:paraId="5E183F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DPF排气处理器型号：LDDPF001 (凯龙高科)</w:t>
      </w:r>
    </w:p>
    <w:p w14:paraId="0145BBFA">
      <w:bookmarkStart w:id="1" w:name="_GoBack"/>
      <w:bookmarkEnd w:id="1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67C7000"/>
    <w:rsid w:val="0ED96EF7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