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10021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附件8</w:t>
      </w:r>
    </w:p>
    <w:p w14:paraId="7CFA54DB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2026年度第二十批达国家第四阶段排放标准的</w:t>
      </w:r>
    </w:p>
    <w:p w14:paraId="609F283B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非道路移动机械用柴油发动机</w:t>
      </w:r>
    </w:p>
    <w:p w14:paraId="115C5AFB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</w:t>
      </w:r>
    </w:p>
    <w:p w14:paraId="1EA8E4F0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0A1117A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135952538"/>
      <w:r>
        <w:rPr>
          <w:rFonts w:hint="default" w:ascii="Times New Roman" w:hAnsi="Times New Roman" w:eastAsia="宋体" w:cs="Times New Roman"/>
          <w:sz w:val="24"/>
          <w:szCs w:val="24"/>
        </w:rPr>
        <w:t>1、广西玉柴机器股份有限公司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4C2C8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YCS07Q280-T480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3CC42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发动机：YCS07Q280-T480 (广西玉柴机器股份有限公司) </w:t>
      </w:r>
    </w:p>
    <w:p w14:paraId="4C708D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113503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41FB90E8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00920"/>
    <w:rsid w:val="62E0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2026-10-26T08:06:00Z</dcterms:created>
  <dc:creator>贺子，</dc:creator>
  <cp:lastModifiedBy>贺子，</cp:lastModifiedBy>
  <dcterms:modified xsi:type="dcterms:W3CDTF">2026-10-26T08:07:00Z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9D2FFB9A9A364B8BA5FEC7E48C8C8C84_11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