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kern w:val="144"/>
          <w:sz w:val="32"/>
          <w:szCs w:val="32"/>
          <w:lang w:val="en-US" w:eastAsia="zh-CN"/>
        </w:rPr>
      </w:pPr>
      <w:r>
        <w:rPr>
          <w:rFonts w:hint="eastAsia" w:ascii="黑体" w:hAnsi="黑体" w:eastAsia="黑体" w:cs="仿宋_GB2312"/>
          <w:kern w:val="144"/>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第五轮</w:t>
      </w:r>
      <w:r>
        <w:rPr>
          <w:rFonts w:hint="eastAsia" w:ascii="方正小标宋简体" w:eastAsia="方正小标宋简体" w:cs="方正小标宋简体"/>
          <w:sz w:val="44"/>
          <w:szCs w:val="44"/>
        </w:rPr>
        <w:t>市</w:t>
      </w:r>
      <w:r>
        <w:rPr>
          <w:rFonts w:hint="eastAsia" w:ascii="方正小标宋简体" w:eastAsia="方正小标宋简体" w:cs="方正小标宋简体"/>
          <w:sz w:val="44"/>
          <w:szCs w:val="44"/>
          <w:lang w:eastAsia="zh-CN"/>
        </w:rPr>
        <w:t>级交叉大气</w:t>
      </w:r>
      <w:r>
        <w:rPr>
          <w:rFonts w:hint="eastAsia" w:ascii="方正小标宋简体" w:eastAsia="方正小标宋简体" w:cs="方正小标宋简体"/>
          <w:sz w:val="44"/>
          <w:szCs w:val="44"/>
        </w:rPr>
        <w:t>“点穴式”专项</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Courier New" w:eastAsia="方正小标宋简体"/>
          <w:sz w:val="44"/>
          <w:szCs w:val="44"/>
          <w:lang w:val="en-US" w:eastAsia="zh-CN"/>
        </w:rPr>
      </w:pPr>
      <w:r>
        <w:rPr>
          <w:rFonts w:hint="eastAsia" w:ascii="方正小标宋简体" w:eastAsia="方正小标宋简体" w:cs="方正小标宋简体"/>
          <w:sz w:val="44"/>
          <w:szCs w:val="44"/>
        </w:rPr>
        <w:t>执法检查行动工作方案</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仿宋_GB2312" w:eastAsia="仿宋_GB2312" w:cs="仿宋_GB2312"/>
          <w:color w:val="000000"/>
          <w:sz w:val="32"/>
          <w:szCs w:val="32"/>
        </w:rPr>
      </w:pPr>
      <w:r>
        <w:rPr>
          <w:rFonts w:hint="eastAsia" w:ascii="仿宋_GB2312" w:eastAsia="仿宋_GB2312"/>
          <w:sz w:val="32"/>
          <w:szCs w:val="32"/>
        </w:rPr>
        <w:t>为推动本市空气质量持续改善，以非现场驱动现场，精准发现突出大气环境问题，推动市、区执法能力进一步提升，综合执法总队综合近期PM</w:t>
      </w:r>
      <w:r>
        <w:rPr>
          <w:rFonts w:hint="eastAsia" w:ascii="仿宋_GB2312" w:eastAsia="仿宋_GB2312"/>
          <w:sz w:val="32"/>
          <w:szCs w:val="32"/>
          <w:vertAlign w:val="subscript"/>
        </w:rPr>
        <w:t>2.5</w:t>
      </w:r>
      <w:r>
        <w:rPr>
          <w:rFonts w:hint="eastAsia" w:ascii="仿宋_GB2312" w:eastAsia="仿宋_GB2312"/>
          <w:sz w:val="32"/>
          <w:szCs w:val="32"/>
        </w:rPr>
        <w:t>排名情况，并结合秋冬季大气污染特点，选取</w:t>
      </w:r>
      <w:r>
        <w:rPr>
          <w:rFonts w:hint="eastAsia" w:ascii="仿宋_GB2312" w:eastAsia="仿宋_GB2312" w:cs="仿宋_GB2312"/>
          <w:color w:val="000000"/>
          <w:sz w:val="32"/>
          <w:szCs w:val="32"/>
          <w:lang w:eastAsia="zh-CN"/>
        </w:rPr>
        <w:t>东城区、西城区、朝阳区、海淀区、丰台区、房山区、通州区、大兴区</w:t>
      </w:r>
      <w:r>
        <w:rPr>
          <w:rFonts w:hint="eastAsia" w:ascii="仿宋_GB2312" w:eastAsia="仿宋_GB2312"/>
          <w:sz w:val="32"/>
          <w:szCs w:val="32"/>
        </w:rPr>
        <w:t>，</w:t>
      </w:r>
      <w:r>
        <w:rPr>
          <w:rFonts w:hint="eastAsia" w:ascii="仿宋_GB2312" w:eastAsia="仿宋_GB2312" w:cs="仿宋_GB2312"/>
          <w:color w:val="000000"/>
          <w:sz w:val="32"/>
          <w:szCs w:val="32"/>
        </w:rPr>
        <w:t>开展202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年第</w:t>
      </w:r>
      <w:r>
        <w:rPr>
          <w:rFonts w:hint="eastAsia" w:ascii="仿宋_GB2312" w:eastAsia="仿宋_GB2312" w:cs="仿宋_GB2312"/>
          <w:color w:val="000000"/>
          <w:sz w:val="32"/>
          <w:szCs w:val="32"/>
          <w:lang w:eastAsia="zh-CN"/>
        </w:rPr>
        <w:t>五</w:t>
      </w:r>
      <w:r>
        <w:rPr>
          <w:rFonts w:hint="eastAsia" w:ascii="仿宋_GB2312" w:eastAsia="仿宋_GB2312" w:cs="仿宋_GB2312"/>
          <w:color w:val="000000"/>
          <w:sz w:val="32"/>
          <w:szCs w:val="32"/>
        </w:rPr>
        <w:t>轮市</w:t>
      </w:r>
      <w:r>
        <w:rPr>
          <w:rFonts w:hint="eastAsia" w:ascii="仿宋_GB2312" w:eastAsia="仿宋_GB2312" w:cs="仿宋_GB2312"/>
          <w:color w:val="000000"/>
          <w:sz w:val="32"/>
          <w:szCs w:val="32"/>
          <w:lang w:eastAsia="zh-CN"/>
        </w:rPr>
        <w:t>级交叉</w:t>
      </w:r>
      <w:r>
        <w:rPr>
          <w:rFonts w:hint="eastAsia" w:ascii="仿宋_GB2312" w:eastAsia="仿宋_GB2312" w:cs="仿宋_GB2312"/>
          <w:color w:val="000000"/>
          <w:sz w:val="32"/>
          <w:szCs w:val="32"/>
        </w:rPr>
        <w:t>“点穴式”专项执法检查行动</w:t>
      </w:r>
      <w:r>
        <w:rPr>
          <w:rFonts w:hint="eastAsia" w:ascii="仿宋_GB2312" w:eastAsia="仿宋_GB2312"/>
          <w:sz w:val="32"/>
        </w:rPr>
        <w:t>。</w:t>
      </w:r>
      <w:r>
        <w:rPr>
          <w:rFonts w:hint="eastAsia" w:ascii="仿宋_GB2312" w:eastAsia="仿宋_GB2312" w:cs="仿宋_GB2312"/>
          <w:color w:val="000000"/>
          <w:sz w:val="32"/>
          <w:szCs w:val="32"/>
        </w:rPr>
        <w:t>具体工作方案如下：</w:t>
      </w:r>
    </w:p>
    <w:p>
      <w:pPr>
        <w:keepNext w:val="0"/>
        <w:keepLines w:val="0"/>
        <w:pageBreakBefore w:val="0"/>
        <w:widowControl w:val="0"/>
        <w:numPr>
          <w:ilvl w:val="0"/>
          <w:numId w:val="0"/>
        </w:numPr>
        <w:kinsoku/>
        <w:overflowPunct/>
        <w:topLinePunct w:val="0"/>
        <w:autoSpaceDE/>
        <w:autoSpaceDN/>
        <w:bidi w:val="0"/>
        <w:adjustRightInd/>
        <w:spacing w:line="560" w:lineRule="exact"/>
        <w:ind w:left="645" w:firstLine="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b w:val="0"/>
          <w:bCs w:val="0"/>
          <w:sz w:val="32"/>
          <w:szCs w:val="32"/>
        </w:rPr>
        <w:t>此次专项执法行动，</w:t>
      </w:r>
      <w:r>
        <w:rPr>
          <w:rFonts w:hint="eastAsia" w:ascii="仿宋_GB2312" w:eastAsia="仿宋_GB2312"/>
          <w:b w:val="0"/>
          <w:bCs w:val="0"/>
          <w:sz w:val="32"/>
          <w:szCs w:val="32"/>
          <w:lang w:eastAsia="zh-CN"/>
        </w:rPr>
        <w:t>借鉴</w:t>
      </w:r>
      <w:r>
        <w:rPr>
          <w:rFonts w:hint="eastAsia" w:ascii="仿宋_GB2312" w:hAnsi="仿宋_GB2312" w:eastAsia="仿宋_GB2312" w:cs="仿宋_GB2312"/>
          <w:b w:val="0"/>
          <w:bCs w:val="0"/>
          <w:sz w:val="32"/>
          <w:szCs w:val="32"/>
          <w:lang w:val="en-US" w:eastAsia="zh-CN"/>
        </w:rPr>
        <w:t>生态环境部监督帮扶形式，组成8个帮扶检查小组，</w:t>
      </w:r>
      <w:r>
        <w:rPr>
          <w:rFonts w:hint="eastAsia" w:ascii="仿宋_GB2312" w:hAnsi="仿宋_GB2312" w:eastAsia="仿宋_GB2312" w:cs="仿宋_GB2312"/>
          <w:b w:val="0"/>
          <w:bCs w:val="0"/>
          <w:sz w:val="32"/>
          <w:szCs w:val="32"/>
          <w:highlight w:val="none"/>
          <w:lang w:val="en-US" w:eastAsia="zh-CN"/>
        </w:rPr>
        <w:t>采取“</w:t>
      </w:r>
      <w:r>
        <w:rPr>
          <w:rFonts w:hint="eastAsia" w:ascii="仿宋_GB2312" w:hAnsi="仿宋_GB2312" w:eastAsia="仿宋_GB2312" w:cs="仿宋_GB2312"/>
          <w:sz w:val="32"/>
          <w:szCs w:val="32"/>
          <w:highlight w:val="none"/>
          <w:lang w:val="en-US" w:eastAsia="zh-CN"/>
        </w:rPr>
        <w:t>非现场+现场</w:t>
      </w:r>
      <w:r>
        <w:rPr>
          <w:rFonts w:hint="eastAsia" w:ascii="仿宋_GB2312" w:hAnsi="仿宋_GB2312" w:eastAsia="仿宋_GB2312" w:cs="仿宋_GB2312"/>
          <w:b w:val="0"/>
          <w:bCs w:val="0"/>
          <w:sz w:val="32"/>
          <w:szCs w:val="32"/>
          <w:highlight w:val="none"/>
          <w:lang w:val="en-US" w:eastAsia="zh-CN"/>
        </w:rPr>
        <w:t>”、“规定动作+自选动作”相结合的</w:t>
      </w:r>
      <w:r>
        <w:rPr>
          <w:rFonts w:hint="eastAsia" w:ascii="仿宋_GB2312" w:hAnsi="仿宋_GB2312" w:eastAsia="仿宋_GB2312" w:cs="仿宋_GB2312"/>
          <w:sz w:val="32"/>
          <w:szCs w:val="32"/>
          <w:highlight w:val="none"/>
          <w:lang w:val="en-US" w:eastAsia="zh-CN"/>
        </w:rPr>
        <w:t>执法</w:t>
      </w:r>
      <w:r>
        <w:rPr>
          <w:rFonts w:hint="eastAsia" w:ascii="仿宋_GB2312" w:hAnsi="仿宋_GB2312" w:eastAsia="仿宋_GB2312" w:cs="仿宋_GB2312"/>
          <w:b w:val="0"/>
          <w:bCs w:val="0"/>
          <w:sz w:val="32"/>
          <w:szCs w:val="32"/>
          <w:highlight w:val="none"/>
          <w:lang w:val="en-US" w:eastAsia="zh-CN"/>
        </w:rPr>
        <w:t>方式，</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lang w:val="en-US" w:eastAsia="zh-CN"/>
        </w:rPr>
        <w:t>8个区开展</w:t>
      </w:r>
      <w:r>
        <w:rPr>
          <w:rFonts w:hint="eastAsia" w:ascii="仿宋_GB2312" w:hAnsi="仿宋_GB2312" w:eastAsia="仿宋_GB2312" w:cs="仿宋_GB2312"/>
          <w:b w:val="0"/>
          <w:bCs w:val="0"/>
          <w:sz w:val="32"/>
          <w:szCs w:val="32"/>
          <w:highlight w:val="none"/>
          <w:lang w:eastAsia="zh-CN"/>
        </w:rPr>
        <w:t>市级交叉</w:t>
      </w:r>
      <w:r>
        <w:rPr>
          <w:rFonts w:hint="eastAsia" w:ascii="仿宋_GB2312" w:hAnsi="仿宋_GB2312" w:eastAsia="仿宋_GB2312" w:cs="仿宋_GB2312"/>
          <w:b w:val="0"/>
          <w:bCs w:val="0"/>
          <w:sz w:val="32"/>
          <w:szCs w:val="32"/>
          <w:highlight w:val="none"/>
        </w:rPr>
        <w:t>“点穴式”执法检查</w:t>
      </w:r>
      <w:r>
        <w:rPr>
          <w:rFonts w:hint="eastAsia" w:ascii="仿宋_GB2312" w:hAnsi="仿宋_GB2312" w:eastAsia="仿宋_GB2312" w:cs="仿宋_GB2312"/>
          <w:b w:val="0"/>
          <w:bCs w:val="0"/>
          <w:sz w:val="32"/>
          <w:szCs w:val="32"/>
          <w:highlight w:val="none"/>
          <w:lang w:eastAsia="zh-CN"/>
        </w:rPr>
        <w:t>工作</w:t>
      </w:r>
      <w:r>
        <w:rPr>
          <w:rFonts w:hint="eastAsia" w:ascii="仿宋_GB2312" w:hAnsi="仿宋_GB2312" w:eastAsia="仿宋_GB2312" w:cs="仿宋_GB2312"/>
          <w:b w:val="0"/>
          <w:bCs w:val="0"/>
          <w:sz w:val="32"/>
          <w:szCs w:val="32"/>
          <w:highlight w:val="none"/>
          <w:lang w:val="en-US" w:eastAsia="zh-CN"/>
        </w:rPr>
        <w:t>。期间总队将组织开展“远程指导+指挥调度”。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二、检查时间</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12</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22</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12</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26</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、人员组成</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hAnsi="楷体" w:eastAsia="仿宋_GB2312"/>
          <w:sz w:val="32"/>
          <w:szCs w:val="32"/>
          <w:lang w:eastAsia="zh-CN"/>
        </w:rPr>
      </w:pPr>
      <w:r>
        <w:rPr>
          <w:rFonts w:hint="eastAsia" w:ascii="仿宋_GB2312" w:hAnsi="黑体" w:eastAsia="仿宋_GB2312" w:cs="仿宋_GB2312"/>
          <w:color w:val="000000"/>
          <w:sz w:val="32"/>
          <w:szCs w:val="32"/>
        </w:rPr>
        <w:t>本轮“点穴式”</w:t>
      </w:r>
      <w:r>
        <w:rPr>
          <w:rFonts w:hint="eastAsia" w:ascii="仿宋_GB2312" w:hAnsi="黑体" w:eastAsia="仿宋_GB2312" w:cs="仿宋_GB2312"/>
          <w:color w:val="000000"/>
          <w:sz w:val="32"/>
          <w:szCs w:val="32"/>
          <w:lang w:eastAsia="zh-CN"/>
        </w:rPr>
        <w:t>各帮扶检查小组</w:t>
      </w:r>
      <w:r>
        <w:rPr>
          <w:rFonts w:hint="eastAsia" w:ascii="仿宋_GB2312" w:hAnsi="黑体" w:eastAsia="仿宋_GB2312" w:cs="仿宋_GB2312"/>
          <w:color w:val="000000"/>
          <w:sz w:val="32"/>
          <w:szCs w:val="32"/>
        </w:rPr>
        <w:t>由</w:t>
      </w:r>
      <w:r>
        <w:rPr>
          <w:rFonts w:hint="eastAsia" w:ascii="仿宋_GB2312" w:hAnsi="黑体" w:eastAsia="仿宋_GB2312" w:cs="仿宋_GB2312"/>
          <w:color w:val="000000"/>
          <w:sz w:val="32"/>
          <w:szCs w:val="32"/>
          <w:lang w:eastAsia="zh-CN"/>
        </w:rPr>
        <w:t>市生态环境保护综合执法总队</w:t>
      </w:r>
      <w:r>
        <w:rPr>
          <w:rFonts w:hint="eastAsia" w:ascii="仿宋_GB2312" w:hAnsi="黑体" w:eastAsia="仿宋_GB2312" w:cs="仿宋_GB2312"/>
          <w:color w:val="000000"/>
          <w:sz w:val="32"/>
          <w:szCs w:val="32"/>
          <w:lang w:val="en-US" w:eastAsia="zh-CN"/>
        </w:rPr>
        <w:t>2名</w:t>
      </w:r>
      <w:r>
        <w:rPr>
          <w:rFonts w:hint="eastAsia" w:ascii="仿宋_GB2312" w:hAnsi="黑体" w:eastAsia="仿宋_GB2312" w:cs="仿宋_GB2312"/>
          <w:color w:val="000000"/>
          <w:sz w:val="32"/>
          <w:szCs w:val="32"/>
          <w:lang w:eastAsia="zh-CN"/>
        </w:rPr>
        <w:t>联络员和</w:t>
      </w:r>
      <w:r>
        <w:rPr>
          <w:rFonts w:hint="eastAsia" w:ascii="仿宋_GB2312" w:hAnsi="黑体" w:eastAsia="仿宋_GB2312" w:cs="仿宋_GB2312"/>
          <w:color w:val="000000"/>
          <w:sz w:val="32"/>
          <w:szCs w:val="32"/>
          <w:lang w:val="en-US" w:eastAsia="zh-CN"/>
        </w:rPr>
        <w:t>4名抽调的区级执法人员组</w:t>
      </w:r>
      <w:r>
        <w:rPr>
          <w:rFonts w:hint="eastAsia" w:ascii="仿宋_GB2312" w:hAnsi="Calibri" w:eastAsia="仿宋_GB2312" w:cs="仿宋_GB2312"/>
          <w:sz w:val="32"/>
          <w:szCs w:val="32"/>
          <w:lang w:val="en-US" w:eastAsia="zh-CN"/>
        </w:rPr>
        <w:t>成</w:t>
      </w:r>
      <w:r>
        <w:rPr>
          <w:rFonts w:hint="default" w:ascii="仿宋_GB2312" w:eastAsia="仿宋_GB2312" w:cs="仿宋_GB2312"/>
          <w:sz w:val="32"/>
          <w:szCs w:val="32"/>
          <w:lang w:val="en" w:eastAsia="zh-CN"/>
        </w:rPr>
        <w:t>,</w:t>
      </w:r>
      <w:r>
        <w:rPr>
          <w:rFonts w:hint="eastAsia" w:ascii="仿宋_GB2312" w:hAnsi="Calibri" w:eastAsia="仿宋_GB2312" w:cs="仿宋_GB2312"/>
          <w:sz w:val="32"/>
          <w:szCs w:val="32"/>
          <w:lang w:eastAsia="zh-CN"/>
        </w:rPr>
        <w:t>主要负责</w:t>
      </w:r>
      <w:r>
        <w:rPr>
          <w:rFonts w:hint="eastAsia" w:ascii="仿宋_GB2312" w:hAnsi="楷体" w:eastAsia="仿宋_GB2312"/>
          <w:sz w:val="32"/>
          <w:szCs w:val="32"/>
        </w:rPr>
        <w:t>开展</w:t>
      </w:r>
      <w:r>
        <w:rPr>
          <w:rFonts w:hint="eastAsia" w:ascii="仿宋_GB2312" w:hAnsi="楷体" w:eastAsia="仿宋_GB2312"/>
          <w:sz w:val="32"/>
          <w:szCs w:val="32"/>
          <w:lang w:eastAsia="zh-CN"/>
        </w:rPr>
        <w:t>现场和非现场</w:t>
      </w:r>
      <w:r>
        <w:rPr>
          <w:rFonts w:hint="eastAsia" w:ascii="仿宋_GB2312" w:hAnsi="楷体" w:eastAsia="仿宋_GB2312"/>
          <w:sz w:val="32"/>
          <w:szCs w:val="32"/>
        </w:rPr>
        <w:t>执法检查，</w:t>
      </w:r>
      <w:r>
        <w:rPr>
          <w:rFonts w:hint="eastAsia" w:ascii="仿宋_GB2312" w:hAnsi="楷体" w:eastAsia="仿宋_GB2312"/>
          <w:sz w:val="32"/>
          <w:szCs w:val="32"/>
          <w:lang w:eastAsia="zh-CN"/>
        </w:rPr>
        <w:t>查找</w:t>
      </w:r>
      <w:r>
        <w:rPr>
          <w:rFonts w:hint="eastAsia" w:ascii="仿宋_GB2312" w:hAnsi="楷体" w:eastAsia="仿宋_GB2312"/>
          <w:sz w:val="32"/>
          <w:szCs w:val="32"/>
        </w:rPr>
        <w:t>问题，拍照取证并录入执法系统上传</w:t>
      </w:r>
      <w:r>
        <w:rPr>
          <w:rFonts w:hint="eastAsia" w:ascii="仿宋_GB2312" w:hAnsi="楷体" w:eastAsia="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、检查内容</w:t>
      </w:r>
    </w:p>
    <w:p>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lang w:val="en-US" w:eastAsia="zh-CN"/>
        </w:rPr>
        <w:t>VOCs重点</w:t>
      </w:r>
      <w:r>
        <w:rPr>
          <w:rFonts w:hint="eastAsia" w:ascii="仿宋_GB2312" w:hAnsi="仿宋_GB2312" w:eastAsia="仿宋_GB2312" w:cs="仿宋_GB2312"/>
          <w:sz w:val="32"/>
          <w:szCs w:val="32"/>
        </w:rPr>
        <w:t>行业，围绕</w:t>
      </w:r>
      <w:r>
        <w:rPr>
          <w:rFonts w:hint="eastAsia" w:ascii="仿宋_GB2312" w:hAnsi="仿宋_GB2312" w:eastAsia="仿宋_GB2312" w:cs="仿宋_GB2312"/>
          <w:sz w:val="32"/>
          <w:szCs w:val="32"/>
          <w:lang w:eastAsia="zh-CN"/>
        </w:rPr>
        <w:t>无组织</w:t>
      </w:r>
      <w:r>
        <w:rPr>
          <w:rFonts w:hint="eastAsia" w:ascii="仿宋_GB2312" w:hAnsi="仿宋_GB2312" w:eastAsia="仿宋_GB2312" w:cs="仿宋_GB2312"/>
          <w:sz w:val="32"/>
          <w:szCs w:val="32"/>
        </w:rPr>
        <w:t>排放环节，</w:t>
      </w:r>
      <w:r>
        <w:rPr>
          <w:rFonts w:hint="eastAsia" w:ascii="仿宋_GB2312" w:hAnsi="仿宋_GB2312" w:eastAsia="仿宋_GB2312" w:cs="仿宋_GB2312"/>
          <w:sz w:val="32"/>
          <w:szCs w:val="32"/>
          <w:lang w:eastAsia="zh-CN"/>
        </w:rPr>
        <w:t>从源头替代、过程管控和末端治理三方面开展检查。对涉及的使用低效治理设施的企业，要重点检查废气治理设施运行情况和</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去除率。</w:t>
      </w:r>
      <w:r>
        <w:rPr>
          <w:rFonts w:hint="eastAsia" w:ascii="仿宋_GB2312" w:hAnsi="仿宋_GB2312" w:eastAsia="仿宋_GB2312" w:cs="仿宋_GB2312"/>
          <w:sz w:val="32"/>
          <w:szCs w:val="32"/>
          <w:highlight w:val="none"/>
          <w:lang w:eastAsia="zh-CN"/>
        </w:rPr>
        <w:t>对于安装</w:t>
      </w:r>
      <w:r>
        <w:rPr>
          <w:rFonts w:hint="eastAsia" w:ascii="仿宋_GB2312" w:hAnsi="仿宋_GB2312" w:eastAsia="仿宋_GB2312" w:cs="仿宋_GB2312"/>
          <w:sz w:val="32"/>
          <w:szCs w:val="32"/>
          <w:highlight w:val="none"/>
          <w:lang w:val="en-US" w:eastAsia="zh-CN"/>
        </w:rPr>
        <w:t>大气污染物在线监控企业，还应关注自动监控设施运行情况（运行、维护、检修和校准校验），企业生产工况、污染治理设施运行与自动监控数据的相关性，查处不正常运行、在线数据弄虚作假和虚假标记等环境违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生活源方面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重点对汽车维修</w:t>
      </w:r>
      <w:r>
        <w:rPr>
          <w:rFonts w:hint="eastAsia" w:ascii="仿宋_GB2312" w:hAnsi="仿宋_GB2312" w:eastAsia="仿宋_GB2312" w:cs="仿宋_GB2312"/>
          <w:sz w:val="32"/>
          <w:szCs w:val="32"/>
          <w:highlight w:val="none"/>
        </w:rPr>
        <w:t>企业、加油站</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餐饮</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等大气污染源开展检查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一是督促已执行新标准的辖区汽修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和全市</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落实《汽车维修业大气污染物排放标准》（DB11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1228-2025）</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要求，重点查处</w:t>
      </w:r>
      <w:r>
        <w:rPr>
          <w:rFonts w:hint="eastAsia" w:ascii="仿宋_GB2312" w:hAnsi="仿宋_GB2312" w:eastAsia="仿宋_GB2312" w:cs="仿宋_GB2312"/>
          <w:sz w:val="32"/>
          <w:szCs w:val="32"/>
        </w:rPr>
        <w:t>超标排放、未</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废气处理装置</w:t>
      </w:r>
      <w:r>
        <w:rPr>
          <w:rFonts w:hint="eastAsia" w:ascii="仿宋_GB2312" w:hAnsi="仿宋_GB2312" w:eastAsia="仿宋_GB2312" w:cs="仿宋_GB2312"/>
          <w:sz w:val="32"/>
          <w:szCs w:val="32"/>
          <w:lang w:eastAsia="zh-CN"/>
        </w:rPr>
        <w:t>或废气</w:t>
      </w:r>
      <w:r>
        <w:rPr>
          <w:rFonts w:hint="eastAsia" w:ascii="仿宋_GB2312" w:hAnsi="仿宋_GB2312" w:eastAsia="仿宋_GB2312" w:cs="仿宋_GB2312"/>
          <w:sz w:val="32"/>
          <w:szCs w:val="32"/>
        </w:rPr>
        <w:t>治理设施不正常运行等违法行为。二是对重点区域餐饮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油烟净化设施的安装情况、运行情况、维护情况进行检查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重点查处</w:t>
      </w:r>
      <w:r>
        <w:rPr>
          <w:rFonts w:hint="eastAsia" w:ascii="仿宋_GB2312" w:hAnsi="仿宋_GB2312" w:eastAsia="仿宋_GB2312" w:cs="仿宋_GB2312"/>
          <w:sz w:val="32"/>
          <w:szCs w:val="32"/>
          <w:lang w:eastAsia="zh-CN"/>
        </w:rPr>
        <w:t>油烟直排或</w:t>
      </w:r>
      <w:r>
        <w:rPr>
          <w:rFonts w:hint="eastAsia" w:ascii="仿宋_GB2312" w:hAnsi="仿宋_GB2312" w:eastAsia="仿宋_GB2312" w:cs="仿宋_GB2312"/>
          <w:sz w:val="32"/>
          <w:szCs w:val="32"/>
        </w:rPr>
        <w:t>净化设施不正常运行</w:t>
      </w:r>
      <w:r>
        <w:rPr>
          <w:rFonts w:hint="eastAsia" w:ascii="仿宋_GB2312" w:hAnsi="仿宋_GB2312" w:eastAsia="仿宋_GB2312" w:cs="仿宋_GB2312"/>
          <w:sz w:val="32"/>
          <w:szCs w:val="32"/>
          <w:lang w:eastAsia="zh-CN"/>
        </w:rPr>
        <w:t>，导致油烟超标排放的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三是开展油气回收在线监控系统检查，</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油气回收装置相关阀门未正常开启或关闭、油路及相关阀门跑冒滴漏等问题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移动源方面</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pPr>
      <w:r>
        <w:rPr>
          <w:rFonts w:hint="eastAsia" w:ascii="仿宋_GB2312" w:eastAsia="仿宋_GB2312"/>
          <w:sz w:val="32"/>
          <w:szCs w:val="32"/>
          <w:highlight w:val="none"/>
          <w:lang w:eastAsia="zh-CN"/>
        </w:rPr>
        <w:t>聚焦施工工地、物流园、工业园、货物集散地等重点区域，</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查处重型柴油车</w:t>
      </w:r>
      <w:r>
        <w:rPr>
          <w:rFonts w:hint="eastAsia" w:ascii="仿宋_GB2312" w:eastAsia="仿宋_GB2312" w:cs="仿宋_GB2312"/>
          <w:i w:val="0"/>
          <w:caps w:val="0"/>
          <w:color w:val="000000"/>
          <w:spacing w:val="0"/>
          <w:kern w:val="2"/>
          <w:sz w:val="32"/>
          <w:szCs w:val="32"/>
          <w:highlight w:val="none"/>
          <w:shd w:val="clear" w:color="auto" w:fill="auto"/>
          <w:lang w:val="en-US" w:eastAsia="zh-CN" w:bidi="ar-SA"/>
        </w:rPr>
        <w:t>尾气</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超标排放以及擅自拆除、闲置、改装污染控制装置等违法行为。落实高排放非道路移动机械的禁止使用区域要求，查处在用非道路移动机械污染控制装置未正常使用和使用高排放机械等违法行为。针对油品使用环节，摸排“黑加油站点、非法流动加油车”违法线索，移交公安部门，减少因油品质量不过关带来的排放超标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4.非现场执法</w:t>
      </w:r>
    </w:p>
    <w:p>
      <w:r>
        <w:rPr>
          <w:rFonts w:hint="eastAsia" w:ascii="仿宋_GB2312" w:hAnsi="仿宋_GB2312" w:eastAsia="仿宋_GB2312" w:cs="仿宋_GB2312"/>
          <w:b w:val="0"/>
          <w:bCs w:val="0"/>
          <w:sz w:val="32"/>
          <w:szCs w:val="32"/>
          <w:lang w:val="en-US" w:eastAsia="zh-CN"/>
        </w:rPr>
        <w:t>各检查组对推送的非现场问题线索开展现场检查，同时，运用固定源自动监控、企业用电监控、油气回收在线监控、餐饮油烟在线监控等科技执法手段，对所点辖区开展远程排查，深入挖掘问题线索。固定源自动监控方面，核查废气小时均值数据超标，或存在无正常理由的长期数据零值、恒值，传输有效率较低等其它明显数据异常情况。企业用电监控方面，通过比对企业生产设施和治理设施用电情况，核查治理设施未开启、不正常运行等问题。油气回收在线监控方面，核查加油站气液比、罐压、后处理装置等预报警问题线索。餐饮油烟在线监控方面，核查长期数据缺失、电信号异常等情况。还可通过核对车辆排放</w:t>
      </w:r>
      <w:r>
        <w:rPr>
          <w:rFonts w:hint="eastAsia" w:ascii="仿宋_GB2312" w:hAnsi="仿宋_GB2312" w:eastAsia="仿宋_GB2312" w:cs="仿宋_GB2312"/>
          <w:sz w:val="32"/>
          <w:szCs w:val="32"/>
          <w:lang w:val="en-US" w:eastAsia="zh-CN"/>
        </w:rPr>
        <w:t>执法历</w:t>
      </w:r>
      <w:r>
        <w:rPr>
          <w:rFonts w:hint="eastAsia" w:ascii="仿宋_GB2312" w:hAnsi="仿宋_GB2312" w:eastAsia="仿宋_GB2312" w:cs="仿宋_GB2312"/>
          <w:b w:val="0"/>
          <w:bCs w:val="0"/>
          <w:sz w:val="32"/>
          <w:szCs w:val="32"/>
          <w:lang w:val="en-US" w:eastAsia="zh-CN"/>
        </w:rPr>
        <w:t>史记录，筛查二十辆以上用车大户是否存在一个自然年内经排放检验不合格的车辆数量超过注册车辆</w:t>
      </w:r>
      <w:r>
        <w:rPr>
          <w:rFonts w:hint="eastAsia" w:ascii="仿宋_GB2312" w:hAnsi="仿宋_GB2312" w:eastAsia="仿宋_GB2312" w:cs="仿宋_GB2312"/>
          <w:sz w:val="32"/>
          <w:szCs w:val="32"/>
          <w:lang w:val="en-US" w:eastAsia="zh-CN"/>
        </w:rPr>
        <w:t>数量百分之十的违法行为。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F6D12"/>
    <w:rsid w:val="019F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等线"/>
      <w:sz w:val="24"/>
      <w:szCs w:val="24"/>
    </w:rPr>
  </w:style>
  <w:style w:type="paragraph" w:customStyle="1" w:styleId="5">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2025-12-22T00:56:00Z</dcterms:created>
  <dc:creator>ZX</dc:creator>
  <cp:lastModifiedBy>ZX</cp:lastModifiedBy>
  <dcterms:modified xsi:type="dcterms:W3CDTF">2025-12-22T00:57:02Z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