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6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2026年1月问题线索核查工作方案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按照生态环境部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2026年1月问题线索核查工作安排，北京市生态环境局计划抽调东城区和顺义区生态环境局7名执法人员，对生态环境部下发的本市20条问题线索开展现场检查。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具体工作方案如下：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现场检查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生态环境部推送的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" w:eastAsia="zh-CN"/>
        </w:rPr>
        <w:t>20家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企业线索</w:t>
      </w:r>
      <w:r>
        <w:rPr>
          <w:rFonts w:hint="default" w:ascii="仿宋_GB2312" w:eastAsia="仿宋_GB2312" w:cs="仿宋_GB2312"/>
          <w:color w:val="000000"/>
          <w:sz w:val="32"/>
          <w:szCs w:val="32"/>
          <w:lang w:eastAsia="zh-Hans"/>
        </w:rPr>
        <w:t>，</w:t>
      </w:r>
      <w:r>
        <w:rPr>
          <w:rFonts w:hint="eastAsia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Hans" w:bidi="ar-SA"/>
        </w:rPr>
        <w:t>要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对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推送的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线索进行针对性回应</w:t>
      </w:r>
      <w:r>
        <w:rPr>
          <w:rFonts w:hint="default" w:ascii="仿宋_GB2312" w:eastAsia="仿宋_GB2312" w:cs="仿宋_GB2312"/>
          <w:color w:val="000000"/>
          <w:sz w:val="32"/>
          <w:szCs w:val="32"/>
          <w:lang w:eastAsia="zh-Hans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同时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对企业开展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全面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检查</w:t>
      </w:r>
      <w:r>
        <w:rPr>
          <w:rFonts w:hint="default" w:ascii="仿宋_GB2312" w:eastAsia="仿宋_GB2312" w:cs="仿宋_GB2312"/>
          <w:color w:val="00000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做到问题“一查清”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65" w:leftChars="0" w:hanging="720" w:firstLineChars="0"/>
        <w:textAlignment w:val="auto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检查时间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left="645" w:leftChars="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现场检查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" w:eastAsia="zh-CN"/>
        </w:rPr>
        <w:t>时间为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2026年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1月19日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至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2月6日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人员组成</w:t>
      </w: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及分工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本轮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  <w:t>问题线索核查小组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</w:rPr>
        <w:t>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市生态环境保护综合执法总队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  <w:t>2名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  <w:t>联络员和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  <w:t>7名抽调的区级执法人员组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成</w:t>
      </w:r>
      <w:r>
        <w:rPr>
          <w:rFonts w:hint="default" w:ascii="仿宋_GB2312" w:eastAsia="仿宋_GB2312" w:cs="仿宋_GB2312"/>
          <w:sz w:val="32"/>
          <w:szCs w:val="32"/>
          <w:lang w:val="en" w:eastAsia="zh-CN"/>
        </w:rPr>
        <w:t>,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主要负责</w:t>
      </w:r>
      <w:r>
        <w:rPr>
          <w:rFonts w:hint="eastAsia" w:ascii="仿宋_GB2312" w:hAnsi="楷体" w:eastAsia="仿宋_GB2312"/>
          <w:sz w:val="32"/>
          <w:szCs w:val="32"/>
        </w:rPr>
        <w:t>开展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现场</w:t>
      </w:r>
      <w:r>
        <w:rPr>
          <w:rFonts w:hint="eastAsia" w:ascii="仿宋_GB2312" w:hAnsi="楷体" w:eastAsia="仿宋_GB2312"/>
          <w:sz w:val="32"/>
          <w:szCs w:val="32"/>
        </w:rPr>
        <w:t>检查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、查找</w:t>
      </w:r>
      <w:r>
        <w:rPr>
          <w:rFonts w:hint="eastAsia" w:ascii="仿宋_GB2312" w:hAnsi="楷体" w:eastAsia="仿宋_GB2312"/>
          <w:sz w:val="32"/>
          <w:szCs w:val="32"/>
        </w:rPr>
        <w:t>问题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楷体" w:eastAsia="仿宋_GB2312"/>
          <w:sz w:val="32"/>
          <w:szCs w:val="32"/>
        </w:rPr>
        <w:t>拍照取证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/>
          <w:sz w:val="32"/>
          <w:szCs w:val="32"/>
        </w:rPr>
        <w:t>并录入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“强化监督定点帮扶”APP。线索所在区选派2名执法人员配合开展检查，主要负责扫码入企、录入北京市生态环境保护综合执法平台、制作现场笔录和调查询问笔录、查处违法行为和督促企业整改等。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left="645" w:leftChars="0"/>
        <w:textAlignment w:val="auto"/>
        <w:rPr>
          <w:rFonts w:hint="default" w:ascii="仿宋_GB2312" w:hAnsi="楷体" w:eastAsia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Hans"/>
        </w:rPr>
        <w:t>检查内容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Hans" w:bidi="ar-SA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问题线索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Hans" w:bidi="ar-SA"/>
        </w:rPr>
        <w:t>企业开展全面体检式检查，所有问题“一查清”。查看企业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排污许可证基础信息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排放口信息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治污设施运行情况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无组织排放情况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台账记录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执行报告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自行监测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情况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重点检查企业旁路偷排、超标排放、未安装或不正常运行治污设施、自动监测设备不正常运行、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监测报告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弄虚作假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u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突出环境问题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left="645" w:leftChars="0"/>
        <w:textAlignment w:val="auto"/>
        <w:rPr>
          <w:rFonts w:hint="default" w:ascii="仿宋_GB2312" w:hAnsi="楷体" w:eastAsia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</w:rPr>
        <w:t>市、区两级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生态环境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执法部门</w:t>
      </w:r>
      <w:r>
        <w:rPr>
          <w:rFonts w:hint="eastAsia" w:ascii="仿宋_GB2312" w:hAnsi="Times New Roman" w:eastAsia="仿宋_GB2312" w:cs="仿宋_GB2312"/>
          <w:kern w:val="144"/>
          <w:sz w:val="32"/>
          <w:szCs w:val="32"/>
          <w:highlight w:val="none"/>
        </w:rPr>
        <w:t>要严格执行中央八项规定</w:t>
      </w:r>
      <w:r>
        <w:rPr>
          <w:rFonts w:hint="eastAsia" w:ascii="仿宋_GB2312" w:hAnsi="Times New Roman" w:eastAsia="仿宋_GB2312" w:cs="仿宋_GB2312"/>
          <w:kern w:val="144"/>
          <w:sz w:val="32"/>
          <w:szCs w:val="32"/>
          <w:highlight w:val="none"/>
          <w:lang w:eastAsia="zh-CN"/>
        </w:rPr>
        <w:t>及其实施细则</w:t>
      </w:r>
      <w:r>
        <w:rPr>
          <w:rFonts w:hint="eastAsia" w:ascii="仿宋_GB2312" w:hAnsi="Times New Roman" w:eastAsia="仿宋_GB2312" w:cs="仿宋_GB2312"/>
          <w:kern w:val="144"/>
          <w:sz w:val="32"/>
          <w:szCs w:val="32"/>
          <w:highlight w:val="none"/>
        </w:rPr>
        <w:t>精神和党风廉政建设等相关要求。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</w:rPr>
        <w:t>执法人员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val="en-US" w:eastAsia="zh-CN"/>
        </w:rPr>
        <w:t>要规范言行举止，文明执法；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要严格按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eastAsia="zh-CN"/>
        </w:rPr>
        <w:t>问题</w:t>
      </w:r>
      <w:r>
        <w:rPr>
          <w:rFonts w:hint="eastAsia" w:eastAsia="仿宋_GB2312" w:cs="Times New Roman"/>
          <w:b w:val="0"/>
          <w:bCs w:val="0"/>
          <w:sz w:val="32"/>
          <w:szCs w:val="24"/>
          <w:highlight w:val="none"/>
          <w:lang w:val="en-US" w:eastAsia="zh-Hans"/>
        </w:rPr>
        <w:t>线索</w:t>
      </w:r>
      <w:r>
        <w:rPr>
          <w:rFonts w:hint="eastAsia" w:eastAsia="仿宋_GB2312" w:cs="Times New Roman"/>
          <w:b w:val="0"/>
          <w:bCs w:val="0"/>
          <w:sz w:val="32"/>
          <w:szCs w:val="24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开展检查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不得随意增加</w:t>
      </w:r>
      <w:r>
        <w:rPr>
          <w:rFonts w:hint="eastAsia" w:eastAsia="仿宋_GB2312" w:cs="Times New Roman"/>
          <w:b w:val="0"/>
          <w:bCs w:val="0"/>
          <w:sz w:val="32"/>
          <w:szCs w:val="24"/>
          <w:highlight w:val="none"/>
          <w:lang w:val="en-US" w:eastAsia="zh-Hans"/>
        </w:rPr>
        <w:t>线索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eastAsia="zh-CN"/>
        </w:rPr>
        <w:t>的</w:t>
      </w:r>
      <w:r>
        <w:rPr>
          <w:rFonts w:hint="eastAsia" w:eastAsia="仿宋_GB2312" w:cs="Times New Roman"/>
          <w:b w:val="0"/>
          <w:bCs w:val="0"/>
          <w:sz w:val="32"/>
          <w:szCs w:val="24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检查</w:t>
      </w:r>
      <w:r>
        <w:rPr>
          <w:rFonts w:hint="default" w:eastAsia="仿宋_GB2312" w:cs="Times New Roman"/>
          <w:b w:val="0"/>
          <w:bCs w:val="0"/>
          <w:sz w:val="32"/>
          <w:szCs w:val="24"/>
          <w:highlight w:val="none"/>
        </w:rPr>
        <w:t>，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Hans"/>
        </w:rPr>
        <w:t>如遇到企业停产等特殊原因无法完成核查任务时</w:t>
      </w:r>
      <w:r>
        <w:rPr>
          <w:rFonts w:hint="default" w:eastAsia="仿宋_GB2312" w:cs="Times New Roman"/>
          <w:sz w:val="32"/>
          <w:szCs w:val="24"/>
          <w:highlight w:val="none"/>
          <w:lang w:eastAsia="zh-Hans"/>
        </w:rPr>
        <w:t>，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Hans"/>
        </w:rPr>
        <w:t>与生态环境部沟通后按照其新要求开展核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Hans"/>
        </w:rPr>
        <w:t>查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eastAsia="zh-CN"/>
        </w:rPr>
        <w:t>要严格执行双人持证检查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  <w:t>，备齐执法装备及检测设备；要严格“扫码报到、照单检查”；要落实行政执法全过程记录制度，不得不记录、删改或不按时上传执法记录和音像资料；要如实规范填写执法清单和检查意见并主动告知，不得弄虚作假或隐瞒检查结果；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eastAsia="zh-CN"/>
        </w:rPr>
        <w:t>践行“执法+服务”，精准帮扶指导企业，不得一查了之，一罚了之；要做到“五个严禁”“八个不得”，不得逐利检查、任性检查。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578D7"/>
    <w:multiLevelType w:val="multilevel"/>
    <w:tmpl w:val="383578D7"/>
    <w:lvl w:ilvl="0" w:tentative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14BDC"/>
    <w:rsid w:val="2AF1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883" w:firstLineChars="200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2026-01-16T09:18:00Z</dcterms:created>
  <dc:creator>ZX</dc:creator>
  <cp:lastModifiedBy>ZX</cp:lastModifiedBy>
  <dcterms:modified xsi:type="dcterms:W3CDTF">2026-01-16T09:18:23Z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