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_GB2312"/>
          <w:kern w:val="144"/>
          <w:sz w:val="32"/>
          <w:szCs w:val="32"/>
          <w:lang w:val="en-US" w:eastAsia="zh-CN"/>
        </w:rPr>
      </w:pPr>
      <w:r>
        <w:rPr>
          <w:rFonts w:hint="eastAsia" w:ascii="黑体" w:hAnsi="黑体" w:eastAsia="黑体" w:cs="仿宋_GB2312"/>
          <w:kern w:val="144"/>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lang w:eastAsia="zh-CN"/>
        </w:rPr>
        <w:t>第一轮</w:t>
      </w:r>
      <w:r>
        <w:rPr>
          <w:rFonts w:hint="eastAsia" w:ascii="方正小标宋简体" w:eastAsia="方正小标宋简体" w:cs="方正小标宋简体"/>
          <w:sz w:val="44"/>
          <w:szCs w:val="44"/>
        </w:rPr>
        <w:t>市</w:t>
      </w:r>
      <w:r>
        <w:rPr>
          <w:rFonts w:hint="eastAsia" w:ascii="方正小标宋简体" w:eastAsia="方正小标宋简体" w:cs="方正小标宋简体"/>
          <w:sz w:val="44"/>
          <w:szCs w:val="44"/>
          <w:lang w:eastAsia="zh-CN"/>
        </w:rPr>
        <w:t>级交叉大气</w:t>
      </w:r>
      <w:r>
        <w:rPr>
          <w:rFonts w:hint="eastAsia" w:ascii="方正小标宋简体" w:eastAsia="方正小标宋简体" w:cs="方正小标宋简体"/>
          <w:sz w:val="44"/>
          <w:szCs w:val="44"/>
        </w:rPr>
        <w:t>“点穴式”专项</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Courier New" w:eastAsia="方正小标宋简体"/>
          <w:sz w:val="44"/>
          <w:szCs w:val="44"/>
          <w:lang w:val="en-US" w:eastAsia="zh-CN"/>
        </w:rPr>
      </w:pPr>
      <w:r>
        <w:rPr>
          <w:rFonts w:hint="eastAsia" w:ascii="方正小标宋简体" w:eastAsia="方正小标宋简体" w:cs="方正小标宋简体"/>
          <w:sz w:val="44"/>
          <w:szCs w:val="44"/>
        </w:rPr>
        <w:t>执法检查行动工作方案</w:t>
      </w:r>
    </w:p>
    <w:p>
      <w:pPr>
        <w:keepNext w:val="0"/>
        <w:keepLines w:val="0"/>
        <w:pageBreakBefore w:val="0"/>
        <w:widowControl w:val="0"/>
        <w:kinsoku/>
        <w:overflowPunct/>
        <w:topLinePunct w:val="0"/>
        <w:autoSpaceDE/>
        <w:autoSpaceDN/>
        <w:bidi w:val="0"/>
        <w:adjustRightInd/>
        <w:spacing w:line="560" w:lineRule="exact"/>
        <w:ind w:firstLine="645"/>
        <w:textAlignment w:val="auto"/>
        <w:rPr>
          <w:rFonts w:ascii="仿宋_GB2312" w:eastAsia="仿宋_GB2312" w:cs="仿宋_GB2312"/>
          <w:color w:val="000000"/>
          <w:sz w:val="32"/>
          <w:szCs w:val="32"/>
        </w:rPr>
      </w:pPr>
      <w:r>
        <w:rPr>
          <w:rFonts w:hint="eastAsia" w:ascii="仿宋_GB2312" w:eastAsia="仿宋_GB2312"/>
          <w:sz w:val="32"/>
          <w:szCs w:val="32"/>
        </w:rPr>
        <w:t>为推动本市空气质量持续改善，以非现场驱动现场，精准发现突出大气环境问题，推动市、区执法能力进一步提升，综合执法总队综合近期PM</w:t>
      </w:r>
      <w:r>
        <w:rPr>
          <w:rFonts w:hint="eastAsia" w:ascii="仿宋_GB2312" w:eastAsia="仿宋_GB2312"/>
          <w:sz w:val="32"/>
          <w:szCs w:val="32"/>
          <w:vertAlign w:val="subscript"/>
        </w:rPr>
        <w:t>2.5</w:t>
      </w:r>
      <w:r>
        <w:rPr>
          <w:rFonts w:hint="eastAsia" w:ascii="仿宋_GB2312" w:eastAsia="仿宋_GB2312"/>
          <w:sz w:val="32"/>
          <w:szCs w:val="32"/>
        </w:rPr>
        <w:t>排名情况，结合</w:t>
      </w:r>
      <w:r>
        <w:rPr>
          <w:rFonts w:hint="eastAsia" w:ascii="仿宋_GB2312" w:eastAsia="仿宋_GB2312"/>
          <w:sz w:val="32"/>
          <w:szCs w:val="32"/>
          <w:lang w:eastAsia="zh-CN"/>
        </w:rPr>
        <w:t>季节大气污染特点</w:t>
      </w:r>
      <w:r>
        <w:rPr>
          <w:rFonts w:hint="eastAsia" w:ascii="仿宋_GB2312" w:eastAsia="仿宋_GB2312"/>
          <w:sz w:val="32"/>
          <w:szCs w:val="32"/>
        </w:rPr>
        <w:t>，选取</w:t>
      </w:r>
      <w:r>
        <w:rPr>
          <w:rFonts w:hint="eastAsia" w:ascii="仿宋_GB2312" w:eastAsia="仿宋_GB2312" w:cs="仿宋_GB2312"/>
          <w:color w:val="000000"/>
          <w:sz w:val="32"/>
          <w:szCs w:val="32"/>
          <w:lang w:eastAsia="zh-CN"/>
        </w:rPr>
        <w:t>西城区、门头沟区、通州区、顺义区、大兴区、平谷区、怀柔区、密云区</w:t>
      </w:r>
      <w:r>
        <w:rPr>
          <w:rFonts w:hint="eastAsia" w:ascii="仿宋_GB2312" w:eastAsia="仿宋_GB2312" w:cs="仿宋_GB2312"/>
          <w:color w:val="000000"/>
          <w:sz w:val="32"/>
          <w:szCs w:val="32"/>
        </w:rPr>
        <w:t>开展202</w:t>
      </w:r>
      <w:r>
        <w:rPr>
          <w:rFonts w:hint="eastAsia" w:ascii="仿宋_GB2312" w:eastAsia="仿宋_GB2312" w:cs="仿宋_GB2312"/>
          <w:color w:val="000000"/>
          <w:sz w:val="32"/>
          <w:szCs w:val="32"/>
          <w:lang w:val="en-US" w:eastAsia="zh-CN"/>
        </w:rPr>
        <w:t>6</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第一轮</w:t>
      </w:r>
      <w:r>
        <w:rPr>
          <w:rFonts w:hint="eastAsia" w:ascii="仿宋_GB2312" w:eastAsia="仿宋_GB2312" w:cs="仿宋_GB2312"/>
          <w:color w:val="000000"/>
          <w:sz w:val="32"/>
          <w:szCs w:val="32"/>
        </w:rPr>
        <w:t>市</w:t>
      </w:r>
      <w:r>
        <w:rPr>
          <w:rFonts w:hint="eastAsia" w:ascii="仿宋_GB2312" w:eastAsia="仿宋_GB2312" w:cs="仿宋_GB2312"/>
          <w:color w:val="000000"/>
          <w:sz w:val="32"/>
          <w:szCs w:val="32"/>
          <w:lang w:eastAsia="zh-CN"/>
        </w:rPr>
        <w:t>级交叉大气</w:t>
      </w:r>
      <w:r>
        <w:rPr>
          <w:rFonts w:hint="eastAsia" w:ascii="仿宋_GB2312" w:eastAsia="仿宋_GB2312" w:cs="仿宋_GB2312"/>
          <w:color w:val="000000"/>
          <w:sz w:val="32"/>
          <w:szCs w:val="32"/>
        </w:rPr>
        <w:t>“点穴式”专项执法检查行动</w:t>
      </w:r>
      <w:r>
        <w:rPr>
          <w:rFonts w:hint="eastAsia" w:ascii="仿宋_GB2312" w:eastAsia="仿宋_GB2312"/>
          <w:sz w:val="32"/>
        </w:rPr>
        <w:t>。</w:t>
      </w:r>
      <w:r>
        <w:rPr>
          <w:rFonts w:hint="eastAsia" w:ascii="仿宋_GB2312" w:eastAsia="仿宋_GB2312" w:cs="仿宋_GB2312"/>
          <w:color w:val="000000"/>
          <w:sz w:val="32"/>
          <w:szCs w:val="32"/>
        </w:rPr>
        <w:t>具体工作方案如下：</w:t>
      </w:r>
    </w:p>
    <w:p>
      <w:pPr>
        <w:keepNext w:val="0"/>
        <w:keepLines w:val="0"/>
        <w:pageBreakBefore w:val="0"/>
        <w:widowControl w:val="0"/>
        <w:numPr>
          <w:ilvl w:val="0"/>
          <w:numId w:val="0"/>
        </w:numPr>
        <w:kinsoku/>
        <w:overflowPunct/>
        <w:topLinePunct w:val="0"/>
        <w:autoSpaceDE/>
        <w:autoSpaceDN/>
        <w:bidi w:val="0"/>
        <w:adjustRightInd/>
        <w:spacing w:line="560" w:lineRule="exact"/>
        <w:ind w:left="645" w:firstLine="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一、</w:t>
      </w:r>
      <w:r>
        <w:rPr>
          <w:rFonts w:hint="eastAsia" w:ascii="黑体" w:hAnsi="黑体" w:eastAsia="黑体" w:cs="仿宋_GB2312"/>
          <w:color w:val="000000"/>
          <w:sz w:val="32"/>
          <w:szCs w:val="32"/>
        </w:rPr>
        <w:t>检查方式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eastAsia="仿宋_GB2312"/>
          <w:b w:val="0"/>
          <w:bCs w:val="0"/>
          <w:sz w:val="32"/>
          <w:szCs w:val="32"/>
        </w:rPr>
        <w:t>此次专项执法行动，</w:t>
      </w:r>
      <w:r>
        <w:rPr>
          <w:rFonts w:hint="eastAsia" w:ascii="仿宋_GB2312" w:eastAsia="仿宋_GB2312"/>
          <w:b w:val="0"/>
          <w:bCs w:val="0"/>
          <w:sz w:val="32"/>
          <w:szCs w:val="32"/>
          <w:lang w:eastAsia="zh-CN"/>
        </w:rPr>
        <w:t>借鉴</w:t>
      </w:r>
      <w:r>
        <w:rPr>
          <w:rFonts w:hint="eastAsia" w:ascii="仿宋_GB2312" w:hAnsi="仿宋_GB2312" w:eastAsia="仿宋_GB2312" w:cs="仿宋_GB2312"/>
          <w:b w:val="0"/>
          <w:bCs w:val="0"/>
          <w:sz w:val="32"/>
          <w:szCs w:val="32"/>
          <w:lang w:val="en-US" w:eastAsia="zh-CN"/>
        </w:rPr>
        <w:t>生态环境部监督帮扶形式，组成8个帮扶检查小组，</w:t>
      </w:r>
      <w:r>
        <w:rPr>
          <w:rFonts w:hint="eastAsia" w:ascii="仿宋_GB2312" w:hAnsi="仿宋_GB2312" w:eastAsia="仿宋_GB2312" w:cs="仿宋_GB2312"/>
          <w:b w:val="0"/>
          <w:bCs w:val="0"/>
          <w:sz w:val="32"/>
          <w:szCs w:val="32"/>
          <w:highlight w:val="none"/>
          <w:lang w:val="en-US" w:eastAsia="zh-CN"/>
        </w:rPr>
        <w:t>采取“</w:t>
      </w:r>
      <w:r>
        <w:rPr>
          <w:rFonts w:hint="eastAsia" w:ascii="仿宋_GB2312" w:hAnsi="仿宋_GB2312" w:eastAsia="仿宋_GB2312" w:cs="仿宋_GB2312"/>
          <w:sz w:val="32"/>
          <w:szCs w:val="32"/>
          <w:highlight w:val="none"/>
          <w:lang w:val="en-US" w:eastAsia="zh-CN"/>
        </w:rPr>
        <w:t>非现场+现场</w:t>
      </w:r>
      <w:r>
        <w:rPr>
          <w:rFonts w:hint="eastAsia" w:ascii="仿宋_GB2312" w:hAnsi="仿宋_GB2312" w:eastAsia="仿宋_GB2312" w:cs="仿宋_GB2312"/>
          <w:b w:val="0"/>
          <w:bCs w:val="0"/>
          <w:sz w:val="32"/>
          <w:szCs w:val="32"/>
          <w:highlight w:val="none"/>
          <w:lang w:val="en-US" w:eastAsia="zh-CN"/>
        </w:rPr>
        <w:t>”“规定动作+自选动作”相结合的方式，</w:t>
      </w:r>
      <w:r>
        <w:rPr>
          <w:rFonts w:hint="eastAsia" w:ascii="仿宋_GB2312" w:hAnsi="仿宋_GB2312" w:eastAsia="仿宋_GB2312" w:cs="仿宋_GB2312"/>
          <w:b w:val="0"/>
          <w:bCs w:val="0"/>
          <w:sz w:val="32"/>
          <w:szCs w:val="32"/>
          <w:highlight w:val="none"/>
          <w:lang w:eastAsia="zh-CN"/>
        </w:rPr>
        <w:t>在</w:t>
      </w:r>
      <w:r>
        <w:rPr>
          <w:rFonts w:hint="eastAsia" w:ascii="仿宋_GB2312" w:hAnsi="仿宋_GB2312" w:eastAsia="仿宋_GB2312" w:cs="仿宋_GB2312"/>
          <w:b w:val="0"/>
          <w:bCs w:val="0"/>
          <w:sz w:val="32"/>
          <w:szCs w:val="32"/>
          <w:highlight w:val="none"/>
          <w:lang w:val="en-US" w:eastAsia="zh-CN"/>
        </w:rPr>
        <w:t>8个区开展</w:t>
      </w:r>
      <w:r>
        <w:rPr>
          <w:rFonts w:hint="eastAsia" w:ascii="仿宋_GB2312" w:hAnsi="仿宋_GB2312" w:eastAsia="仿宋_GB2312" w:cs="仿宋_GB2312"/>
          <w:b w:val="0"/>
          <w:bCs w:val="0"/>
          <w:sz w:val="32"/>
          <w:szCs w:val="32"/>
          <w:highlight w:val="none"/>
          <w:lang w:eastAsia="zh-CN"/>
        </w:rPr>
        <w:t>市级交叉大气</w:t>
      </w:r>
      <w:r>
        <w:rPr>
          <w:rFonts w:hint="eastAsia" w:ascii="仿宋_GB2312" w:hAnsi="仿宋_GB2312" w:eastAsia="仿宋_GB2312" w:cs="仿宋_GB2312"/>
          <w:b w:val="0"/>
          <w:bCs w:val="0"/>
          <w:sz w:val="32"/>
          <w:szCs w:val="32"/>
          <w:highlight w:val="none"/>
        </w:rPr>
        <w:t>“点穴式”执法检查</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二、检查时间</w:t>
      </w:r>
    </w:p>
    <w:p>
      <w:pPr>
        <w:keepNext w:val="0"/>
        <w:keepLines w:val="0"/>
        <w:pageBreakBefore w:val="0"/>
        <w:widowControl w:val="0"/>
        <w:kinsoku/>
        <w:overflowPunct/>
        <w:topLinePunct w:val="0"/>
        <w:autoSpaceDE/>
        <w:autoSpaceDN/>
        <w:bidi w:val="0"/>
        <w:adjustRightInd/>
        <w:spacing w:line="560" w:lineRule="exact"/>
        <w:ind w:firstLine="645"/>
        <w:textAlignment w:val="auto"/>
        <w:rPr>
          <w:rFonts w:hint="eastAsia" w:ascii="仿宋_GB2312" w:eastAsia="仿宋_GB2312" w:cs="仿宋_GB2312"/>
          <w:color w:val="000000"/>
          <w:sz w:val="32"/>
          <w:szCs w:val="32"/>
          <w:highlight w:val="none"/>
          <w:lang w:eastAsia="zh-CN"/>
        </w:rPr>
      </w:pP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rPr>
        <w:t>月</w:t>
      </w:r>
      <w:r>
        <w:rPr>
          <w:rFonts w:hint="eastAsia" w:ascii="仿宋_GB2312" w:eastAsia="仿宋_GB2312" w:cs="仿宋_GB2312"/>
          <w:color w:val="000000"/>
          <w:sz w:val="32"/>
          <w:szCs w:val="32"/>
          <w:highlight w:val="none"/>
          <w:lang w:val="en-US" w:eastAsia="zh-CN"/>
        </w:rPr>
        <w:t>13</w:t>
      </w:r>
      <w:r>
        <w:rPr>
          <w:rFonts w:hint="eastAsia" w:ascii="仿宋_GB2312" w:eastAsia="仿宋_GB2312" w:cs="仿宋_GB2312"/>
          <w:color w:val="000000"/>
          <w:sz w:val="32"/>
          <w:szCs w:val="32"/>
          <w:highlight w:val="none"/>
        </w:rPr>
        <w:t>日-</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rPr>
        <w:t>月</w:t>
      </w:r>
      <w:r>
        <w:rPr>
          <w:rFonts w:hint="eastAsia" w:ascii="仿宋_GB2312" w:eastAsia="仿宋_GB2312" w:cs="仿宋_GB2312"/>
          <w:color w:val="000000"/>
          <w:sz w:val="32"/>
          <w:szCs w:val="32"/>
          <w:highlight w:val="none"/>
          <w:lang w:val="en-US" w:eastAsia="zh-CN"/>
        </w:rPr>
        <w:t>24</w:t>
      </w:r>
      <w:r>
        <w:rPr>
          <w:rFonts w:hint="eastAsia" w:ascii="仿宋_GB2312" w:eastAsia="仿宋_GB2312" w:cs="仿宋_GB2312"/>
          <w:color w:val="000000"/>
          <w:sz w:val="32"/>
          <w:szCs w:val="32"/>
          <w:highlight w:val="none"/>
        </w:rPr>
        <w:t>日</w:t>
      </w:r>
      <w:r>
        <w:rPr>
          <w:rFonts w:hint="eastAsia" w:ascii="仿宋_GB2312" w:eastAsia="仿宋_GB2312" w:cs="仿宋_GB2312"/>
          <w:color w:val="000000"/>
          <w:sz w:val="32"/>
          <w:szCs w:val="32"/>
          <w:highlight w:val="none"/>
          <w:lang w:eastAsia="zh-CN"/>
        </w:rPr>
        <w:t>。</w:t>
      </w:r>
    </w:p>
    <w:p>
      <w:pPr>
        <w:keepNext w:val="0"/>
        <w:keepLines w:val="0"/>
        <w:pageBreakBefore w:val="0"/>
        <w:widowControl w:val="0"/>
        <w:kinsoku/>
        <w:overflowPunct/>
        <w:topLinePunct w:val="0"/>
        <w:autoSpaceDE/>
        <w:autoSpaceDN/>
        <w:bidi w:val="0"/>
        <w:adjustRightInd/>
        <w:spacing w:line="560" w:lineRule="exact"/>
        <w:ind w:firstLine="645"/>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三</w:t>
      </w:r>
      <w:r>
        <w:rPr>
          <w:rFonts w:hint="eastAsia" w:ascii="黑体" w:hAnsi="黑体" w:eastAsia="黑体" w:cs="仿宋_GB2312"/>
          <w:color w:val="000000"/>
          <w:sz w:val="32"/>
          <w:szCs w:val="32"/>
        </w:rPr>
        <w:t>、人员组成</w:t>
      </w:r>
    </w:p>
    <w:p>
      <w:pPr>
        <w:keepNext w:val="0"/>
        <w:keepLines w:val="0"/>
        <w:pageBreakBefore w:val="0"/>
        <w:widowControl w:val="0"/>
        <w:kinsoku/>
        <w:overflowPunct/>
        <w:topLinePunct w:val="0"/>
        <w:autoSpaceDE/>
        <w:autoSpaceDN/>
        <w:bidi w:val="0"/>
        <w:adjustRightInd/>
        <w:spacing w:line="560" w:lineRule="exact"/>
        <w:ind w:firstLine="645"/>
        <w:textAlignment w:val="auto"/>
        <w:rPr>
          <w:rFonts w:hint="eastAsia" w:ascii="仿宋_GB2312" w:hAnsi="楷体" w:eastAsia="仿宋_GB2312"/>
          <w:sz w:val="32"/>
          <w:szCs w:val="32"/>
          <w:lang w:eastAsia="zh-CN"/>
        </w:rPr>
      </w:pPr>
      <w:r>
        <w:rPr>
          <w:rFonts w:hint="eastAsia" w:ascii="仿宋_GB2312" w:hAnsi="黑体" w:eastAsia="仿宋_GB2312" w:cs="仿宋_GB2312"/>
          <w:color w:val="000000"/>
          <w:sz w:val="32"/>
          <w:szCs w:val="32"/>
        </w:rPr>
        <w:t>本轮“点穴式”</w:t>
      </w:r>
      <w:r>
        <w:rPr>
          <w:rFonts w:hint="eastAsia" w:ascii="仿宋_GB2312" w:hAnsi="黑体" w:eastAsia="仿宋_GB2312" w:cs="仿宋_GB2312"/>
          <w:color w:val="000000"/>
          <w:sz w:val="32"/>
          <w:szCs w:val="32"/>
          <w:lang w:eastAsia="zh-CN"/>
        </w:rPr>
        <w:t>帮扶检查小组</w:t>
      </w:r>
      <w:r>
        <w:rPr>
          <w:rFonts w:hint="eastAsia" w:ascii="仿宋_GB2312" w:hAnsi="黑体" w:eastAsia="仿宋_GB2312" w:cs="仿宋_GB2312"/>
          <w:color w:val="000000"/>
          <w:sz w:val="32"/>
          <w:szCs w:val="32"/>
        </w:rPr>
        <w:t>由</w:t>
      </w:r>
      <w:r>
        <w:rPr>
          <w:rFonts w:hint="eastAsia" w:ascii="仿宋_GB2312" w:hAnsi="黑体" w:eastAsia="仿宋_GB2312" w:cs="仿宋_GB2312"/>
          <w:color w:val="000000"/>
          <w:sz w:val="32"/>
          <w:szCs w:val="32"/>
          <w:lang w:eastAsia="zh-CN"/>
        </w:rPr>
        <w:t>市生态环境保护综合执法总队</w:t>
      </w:r>
      <w:r>
        <w:rPr>
          <w:rFonts w:hint="eastAsia" w:ascii="仿宋_GB2312" w:hAnsi="黑体" w:eastAsia="仿宋_GB2312" w:cs="仿宋_GB2312"/>
          <w:color w:val="000000"/>
          <w:sz w:val="32"/>
          <w:szCs w:val="32"/>
          <w:lang w:val="en-US" w:eastAsia="zh-CN"/>
        </w:rPr>
        <w:t>2名</w:t>
      </w:r>
      <w:r>
        <w:rPr>
          <w:rFonts w:hint="eastAsia" w:ascii="仿宋_GB2312" w:hAnsi="黑体" w:eastAsia="仿宋_GB2312" w:cs="仿宋_GB2312"/>
          <w:color w:val="000000"/>
          <w:sz w:val="32"/>
          <w:szCs w:val="32"/>
          <w:lang w:eastAsia="zh-CN"/>
        </w:rPr>
        <w:t>联络员和</w:t>
      </w:r>
      <w:r>
        <w:rPr>
          <w:rFonts w:hint="eastAsia" w:ascii="仿宋_GB2312" w:hAnsi="黑体" w:eastAsia="仿宋_GB2312" w:cs="仿宋_GB2312"/>
          <w:color w:val="000000"/>
          <w:sz w:val="32"/>
          <w:szCs w:val="32"/>
          <w:lang w:val="en-US" w:eastAsia="zh-CN"/>
        </w:rPr>
        <w:t>4名抽调的区级执法人员组</w:t>
      </w:r>
      <w:r>
        <w:rPr>
          <w:rFonts w:hint="eastAsia" w:ascii="仿宋_GB2312" w:hAnsi="Calibri" w:eastAsia="仿宋_GB2312" w:cs="仿宋_GB2312"/>
          <w:sz w:val="32"/>
          <w:szCs w:val="32"/>
          <w:lang w:val="en-US" w:eastAsia="zh-CN"/>
        </w:rPr>
        <w:t>成</w:t>
      </w:r>
      <w:r>
        <w:rPr>
          <w:rFonts w:hint="default" w:ascii="仿宋_GB2312" w:eastAsia="仿宋_GB2312" w:cs="仿宋_GB2312"/>
          <w:sz w:val="32"/>
          <w:szCs w:val="32"/>
          <w:lang w:val="en" w:eastAsia="zh-CN"/>
        </w:rPr>
        <w:t>,</w:t>
      </w:r>
      <w:r>
        <w:rPr>
          <w:rFonts w:hint="eastAsia" w:ascii="仿宋_GB2312" w:hAnsi="Calibri" w:eastAsia="仿宋_GB2312" w:cs="仿宋_GB2312"/>
          <w:sz w:val="32"/>
          <w:szCs w:val="32"/>
          <w:lang w:eastAsia="zh-CN"/>
        </w:rPr>
        <w:t>主要负责</w:t>
      </w:r>
      <w:r>
        <w:rPr>
          <w:rFonts w:hint="eastAsia" w:ascii="仿宋_GB2312" w:hAnsi="楷体" w:eastAsia="仿宋_GB2312"/>
          <w:sz w:val="32"/>
          <w:szCs w:val="32"/>
        </w:rPr>
        <w:t>开展</w:t>
      </w:r>
      <w:r>
        <w:rPr>
          <w:rFonts w:hint="eastAsia" w:ascii="仿宋_GB2312" w:hAnsi="楷体" w:eastAsia="仿宋_GB2312"/>
          <w:sz w:val="32"/>
          <w:szCs w:val="32"/>
          <w:lang w:eastAsia="zh-CN"/>
        </w:rPr>
        <w:t>现场和非现场</w:t>
      </w:r>
      <w:r>
        <w:rPr>
          <w:rFonts w:hint="eastAsia" w:ascii="仿宋_GB2312" w:hAnsi="楷体" w:eastAsia="仿宋_GB2312"/>
          <w:sz w:val="32"/>
          <w:szCs w:val="32"/>
        </w:rPr>
        <w:t>执法检查</w:t>
      </w:r>
      <w:r>
        <w:rPr>
          <w:rFonts w:hint="eastAsia" w:ascii="仿宋_GB2312" w:hAnsi="楷体" w:eastAsia="仿宋_GB2312"/>
          <w:sz w:val="32"/>
          <w:szCs w:val="32"/>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四</w:t>
      </w:r>
      <w:r>
        <w:rPr>
          <w:rFonts w:hint="eastAsia" w:ascii="黑体" w:hAnsi="黑体" w:eastAsia="黑体" w:cs="仿宋_GB2312"/>
          <w:color w:val="000000"/>
          <w:sz w:val="32"/>
          <w:szCs w:val="32"/>
        </w:rPr>
        <w:t>、检查内容</w:t>
      </w:r>
    </w:p>
    <w:p>
      <w:pPr>
        <w:pStyle w:val="5"/>
        <w:keepNext w:val="0"/>
        <w:keepLines w:val="0"/>
        <w:pageBreakBefore w:val="0"/>
        <w:widowControl w:val="0"/>
        <w:kinsoku/>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工业</w:t>
      </w:r>
      <w:r>
        <w:rPr>
          <w:rFonts w:hint="eastAsia" w:ascii="仿宋_GB2312" w:hAnsi="仿宋_GB2312" w:eastAsia="仿宋_GB2312" w:cs="仿宋_GB2312"/>
          <w:sz w:val="32"/>
          <w:szCs w:val="32"/>
          <w:lang w:eastAsia="zh-CN"/>
        </w:rPr>
        <w:t>源方面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聚焦</w:t>
      </w:r>
      <w:r>
        <w:rPr>
          <w:rFonts w:hint="eastAsia" w:ascii="仿宋_GB2312" w:hAnsi="仿宋_GB2312" w:eastAsia="仿宋_GB2312" w:cs="仿宋_GB2312"/>
          <w:sz w:val="32"/>
          <w:szCs w:val="32"/>
          <w:lang w:eastAsia="zh-CN"/>
        </w:rPr>
        <w:t>涉</w:t>
      </w:r>
      <w:r>
        <w:rPr>
          <w:rFonts w:hint="eastAsia" w:ascii="仿宋_GB2312" w:hAnsi="仿宋_GB2312" w:eastAsia="仿宋_GB2312" w:cs="仿宋_GB2312"/>
          <w:sz w:val="32"/>
          <w:szCs w:val="32"/>
          <w:lang w:val="en-US" w:eastAsia="zh-CN"/>
        </w:rPr>
        <w:t>VOCs重点</w:t>
      </w:r>
      <w:r>
        <w:rPr>
          <w:rFonts w:hint="eastAsia" w:ascii="仿宋_GB2312" w:hAnsi="仿宋_GB2312" w:eastAsia="仿宋_GB2312" w:cs="仿宋_GB2312"/>
          <w:sz w:val="32"/>
          <w:szCs w:val="32"/>
        </w:rPr>
        <w:t>行业，围绕</w:t>
      </w:r>
      <w:r>
        <w:rPr>
          <w:rFonts w:hint="eastAsia" w:ascii="仿宋_GB2312" w:hAnsi="仿宋_GB2312" w:eastAsia="仿宋_GB2312" w:cs="仿宋_GB2312"/>
          <w:sz w:val="32"/>
          <w:szCs w:val="32"/>
          <w:lang w:eastAsia="zh-CN"/>
        </w:rPr>
        <w:t>无组织</w:t>
      </w:r>
      <w:r>
        <w:rPr>
          <w:rFonts w:hint="eastAsia" w:ascii="仿宋_GB2312" w:hAnsi="仿宋_GB2312" w:eastAsia="仿宋_GB2312" w:cs="仿宋_GB2312"/>
          <w:sz w:val="32"/>
          <w:szCs w:val="32"/>
        </w:rPr>
        <w:t>排放环节，</w:t>
      </w:r>
      <w:r>
        <w:rPr>
          <w:rFonts w:hint="eastAsia" w:ascii="仿宋_GB2312" w:hAnsi="仿宋_GB2312" w:eastAsia="仿宋_GB2312" w:cs="仿宋_GB2312"/>
          <w:sz w:val="32"/>
          <w:szCs w:val="32"/>
          <w:lang w:eastAsia="zh-CN"/>
        </w:rPr>
        <w:t>从源头替代、过程管控和末端治理三方面开展检查。对涉及的使用低效治理设施的企业，要重点检查废气治理设施运行情况和</w:t>
      </w:r>
      <w:r>
        <w:rPr>
          <w:rFonts w:hint="eastAsia" w:ascii="仿宋_GB2312" w:hAnsi="仿宋_GB2312" w:eastAsia="仿宋_GB2312" w:cs="仿宋_GB2312"/>
          <w:sz w:val="32"/>
          <w:szCs w:val="32"/>
          <w:lang w:val="en-US" w:eastAsia="zh-CN"/>
        </w:rPr>
        <w:t>VOCs</w:t>
      </w:r>
      <w:r>
        <w:rPr>
          <w:rFonts w:hint="eastAsia" w:ascii="仿宋_GB2312" w:hAnsi="仿宋_GB2312" w:eastAsia="仿宋_GB2312" w:cs="仿宋_GB2312"/>
          <w:sz w:val="32"/>
          <w:szCs w:val="32"/>
          <w:lang w:eastAsia="zh-CN"/>
        </w:rPr>
        <w:t>去除率。</w:t>
      </w:r>
      <w:r>
        <w:rPr>
          <w:rFonts w:hint="eastAsia" w:ascii="仿宋_GB2312" w:hAnsi="仿宋_GB2312" w:eastAsia="仿宋_GB2312" w:cs="仿宋_GB2312"/>
          <w:sz w:val="32"/>
          <w:szCs w:val="32"/>
          <w:highlight w:val="none"/>
          <w:lang w:eastAsia="zh-CN"/>
        </w:rPr>
        <w:t>对于安装</w:t>
      </w:r>
      <w:r>
        <w:rPr>
          <w:rFonts w:hint="eastAsia" w:ascii="仿宋_GB2312" w:hAnsi="仿宋_GB2312" w:eastAsia="仿宋_GB2312" w:cs="仿宋_GB2312"/>
          <w:sz w:val="32"/>
          <w:szCs w:val="32"/>
          <w:highlight w:val="none"/>
          <w:lang w:val="en-US" w:eastAsia="zh-CN"/>
        </w:rPr>
        <w:t>大气污染物在线监控企业，还应关注自动监控设施运行情况（运行、维护、检修和校准校验），企业生产工况、污染治理设施运行与自动监控数据的相关性，查处不正常运行、在线数据弄虚作假和虚假标记等环境违法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生活源方面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重点对汽车维修</w:t>
      </w:r>
      <w:r>
        <w:rPr>
          <w:rFonts w:hint="eastAsia" w:ascii="仿宋_GB2312" w:hAnsi="仿宋_GB2312" w:eastAsia="仿宋_GB2312" w:cs="仿宋_GB2312"/>
          <w:sz w:val="32"/>
          <w:szCs w:val="32"/>
          <w:highlight w:val="none"/>
        </w:rPr>
        <w:t>企业、加油站</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餐饮</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等大气污染源开展检查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一是督促已执行新标准的辖区汽修</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和全市</w:t>
      </w:r>
      <w:r>
        <w:rPr>
          <w:rFonts w:hint="eastAsia" w:ascii="仿宋_GB2312" w:hAnsi="仿宋_GB2312" w:eastAsia="仿宋_GB2312" w:cs="仿宋_GB2312"/>
          <w:sz w:val="32"/>
          <w:szCs w:val="32"/>
        </w:rPr>
        <w:t>新建</w:t>
      </w:r>
      <w:r>
        <w:rPr>
          <w:rFonts w:hint="eastAsia" w:ascii="仿宋_GB2312" w:hAnsi="仿宋_GB2312" w:eastAsia="仿宋_GB2312" w:cs="仿宋_GB2312"/>
          <w:sz w:val="32"/>
          <w:szCs w:val="32"/>
          <w:lang w:eastAsia="zh-CN"/>
        </w:rPr>
        <w:t>汽修</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落实《汽车维修业大气污染物排放标准》（DB11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1228-2025）</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lang w:eastAsia="zh-CN"/>
        </w:rPr>
        <w:t>要求，重点查处</w:t>
      </w:r>
      <w:r>
        <w:rPr>
          <w:rFonts w:hint="eastAsia" w:ascii="仿宋_GB2312" w:hAnsi="仿宋_GB2312" w:eastAsia="仿宋_GB2312" w:cs="仿宋_GB2312"/>
          <w:sz w:val="32"/>
          <w:szCs w:val="32"/>
        </w:rPr>
        <w:t>超标排放、未</w:t>
      </w:r>
      <w:r>
        <w:rPr>
          <w:rFonts w:hint="eastAsia" w:ascii="仿宋_GB2312" w:hAnsi="仿宋_GB2312" w:eastAsia="仿宋_GB2312" w:cs="仿宋_GB2312"/>
          <w:sz w:val="32"/>
          <w:szCs w:val="32"/>
          <w:lang w:eastAsia="zh-CN"/>
        </w:rPr>
        <w:t>安装</w:t>
      </w:r>
      <w:r>
        <w:rPr>
          <w:rFonts w:hint="eastAsia" w:ascii="仿宋_GB2312" w:hAnsi="仿宋_GB2312" w:eastAsia="仿宋_GB2312" w:cs="仿宋_GB2312"/>
          <w:sz w:val="32"/>
          <w:szCs w:val="32"/>
        </w:rPr>
        <w:t>废气处理装置</w:t>
      </w:r>
      <w:r>
        <w:rPr>
          <w:rFonts w:hint="eastAsia" w:ascii="仿宋_GB2312" w:hAnsi="仿宋_GB2312" w:eastAsia="仿宋_GB2312" w:cs="仿宋_GB2312"/>
          <w:sz w:val="32"/>
          <w:szCs w:val="32"/>
          <w:lang w:eastAsia="zh-CN"/>
        </w:rPr>
        <w:t>或废气</w:t>
      </w:r>
      <w:r>
        <w:rPr>
          <w:rFonts w:hint="eastAsia" w:ascii="仿宋_GB2312" w:hAnsi="仿宋_GB2312" w:eastAsia="仿宋_GB2312" w:cs="仿宋_GB2312"/>
          <w:sz w:val="32"/>
          <w:szCs w:val="32"/>
        </w:rPr>
        <w:t>治理设施不正常运行等违法行为。二是对重点区域餐饮</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油烟净化设施的安装情况、运行情况、维护情况进行检查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重点查处</w:t>
      </w:r>
      <w:r>
        <w:rPr>
          <w:rFonts w:hint="eastAsia" w:ascii="仿宋_GB2312" w:hAnsi="仿宋_GB2312" w:eastAsia="仿宋_GB2312" w:cs="仿宋_GB2312"/>
          <w:sz w:val="32"/>
          <w:szCs w:val="32"/>
          <w:lang w:eastAsia="zh-CN"/>
        </w:rPr>
        <w:t>油烟直排或</w:t>
      </w:r>
      <w:r>
        <w:rPr>
          <w:rFonts w:hint="eastAsia" w:ascii="仿宋_GB2312" w:hAnsi="仿宋_GB2312" w:eastAsia="仿宋_GB2312" w:cs="仿宋_GB2312"/>
          <w:sz w:val="32"/>
          <w:szCs w:val="32"/>
        </w:rPr>
        <w:t>净化设施不正常运行</w:t>
      </w:r>
      <w:r>
        <w:rPr>
          <w:rFonts w:hint="eastAsia" w:ascii="仿宋_GB2312" w:hAnsi="仿宋_GB2312" w:eastAsia="仿宋_GB2312" w:cs="仿宋_GB2312"/>
          <w:sz w:val="32"/>
          <w:szCs w:val="32"/>
          <w:lang w:eastAsia="zh-CN"/>
        </w:rPr>
        <w:t>，导致油烟超标排放的</w:t>
      </w:r>
      <w:r>
        <w:rPr>
          <w:rFonts w:hint="eastAsia" w:ascii="仿宋_GB2312" w:hAnsi="仿宋_GB2312" w:eastAsia="仿宋_GB2312" w:cs="仿宋_GB2312"/>
          <w:sz w:val="32"/>
          <w:szCs w:val="32"/>
        </w:rPr>
        <w:t>违法行为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三是开展油气回收在线监控系统检查，</w:t>
      </w:r>
      <w:r>
        <w:rPr>
          <w:rFonts w:hint="eastAsia" w:ascii="仿宋_GB2312" w:hAnsi="仿宋_GB2312" w:eastAsia="仿宋_GB2312" w:cs="仿宋_GB2312"/>
          <w:sz w:val="32"/>
          <w:szCs w:val="32"/>
          <w:lang w:eastAsia="zh-CN"/>
        </w:rPr>
        <w:t>查处</w:t>
      </w:r>
      <w:r>
        <w:rPr>
          <w:rFonts w:hint="eastAsia" w:ascii="仿宋_GB2312" w:hAnsi="仿宋_GB2312" w:eastAsia="仿宋_GB2312" w:cs="仿宋_GB2312"/>
          <w:sz w:val="32"/>
          <w:szCs w:val="32"/>
        </w:rPr>
        <w:t>油气回收装置相关阀门未正常开启或关闭、油路及相关阀门跑冒滴漏等问题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移动源方面</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_GB2312" w:hAnsi="Calibri" w:eastAsia="仿宋_GB2312" w:cs="仿宋_GB2312"/>
          <w:i w:val="0"/>
          <w:caps w:val="0"/>
          <w:color w:val="000000"/>
          <w:spacing w:val="0"/>
          <w:kern w:val="2"/>
          <w:sz w:val="32"/>
          <w:szCs w:val="32"/>
          <w:highlight w:val="none"/>
          <w:shd w:val="clear" w:color="auto" w:fill="auto"/>
          <w:lang w:val="en-US" w:eastAsia="zh-CN" w:bidi="ar-SA"/>
        </w:rPr>
      </w:pPr>
      <w:r>
        <w:rPr>
          <w:rFonts w:hint="eastAsia" w:ascii="仿宋_GB2312" w:eastAsia="仿宋_GB2312"/>
          <w:sz w:val="32"/>
          <w:szCs w:val="32"/>
          <w:highlight w:val="none"/>
          <w:lang w:eastAsia="zh-CN"/>
        </w:rPr>
        <w:t>聚焦施工工地、物流园、工业园、货物集散地等重点区域，</w:t>
      </w:r>
      <w:r>
        <w:rPr>
          <w:rFonts w:hint="eastAsia" w:ascii="仿宋_GB2312" w:hAnsi="Calibri" w:eastAsia="仿宋_GB2312" w:cs="仿宋_GB2312"/>
          <w:i w:val="0"/>
          <w:caps w:val="0"/>
          <w:color w:val="000000"/>
          <w:spacing w:val="0"/>
          <w:kern w:val="2"/>
          <w:sz w:val="32"/>
          <w:szCs w:val="32"/>
          <w:highlight w:val="none"/>
          <w:shd w:val="clear" w:color="auto" w:fill="auto"/>
          <w:lang w:val="en-US" w:eastAsia="zh-CN" w:bidi="ar-SA"/>
        </w:rPr>
        <w:t>查处重型柴油车</w:t>
      </w:r>
      <w:r>
        <w:rPr>
          <w:rFonts w:hint="eastAsia" w:ascii="仿宋_GB2312" w:eastAsia="仿宋_GB2312" w:cs="仿宋_GB2312"/>
          <w:i w:val="0"/>
          <w:caps w:val="0"/>
          <w:color w:val="000000"/>
          <w:spacing w:val="0"/>
          <w:kern w:val="2"/>
          <w:sz w:val="32"/>
          <w:szCs w:val="32"/>
          <w:highlight w:val="none"/>
          <w:shd w:val="clear" w:color="auto" w:fill="auto"/>
          <w:lang w:val="en-US" w:eastAsia="zh-CN" w:bidi="ar-SA"/>
        </w:rPr>
        <w:t>尾气</w:t>
      </w:r>
      <w:r>
        <w:rPr>
          <w:rFonts w:hint="eastAsia" w:ascii="仿宋_GB2312" w:hAnsi="Calibri" w:eastAsia="仿宋_GB2312" w:cs="仿宋_GB2312"/>
          <w:i w:val="0"/>
          <w:caps w:val="0"/>
          <w:color w:val="000000"/>
          <w:spacing w:val="0"/>
          <w:kern w:val="2"/>
          <w:sz w:val="32"/>
          <w:szCs w:val="32"/>
          <w:highlight w:val="none"/>
          <w:shd w:val="clear" w:color="auto" w:fill="auto"/>
          <w:lang w:val="en-US" w:eastAsia="zh-CN" w:bidi="ar-SA"/>
        </w:rPr>
        <w:t>超标排放以及擅自拆除、闲置、改装污染控制装置等违法行为。落实高排放非道路移动机械的禁止使用区域要求，查处在用非道路移动机械污染控制装置未正常使用和使用高排放机械等违法行为。针对油品使用环节，摸排“黑加油站点、非法流动加油车”违法线索，移交公安部门，减少因油品质量不过关带来的排放超标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4.面源方面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以住房城乡建设、水务、交通、园林绿化等重点行业的施工工地和裸地为重点，检查施工扬尘、道路扬尘、堆场扬尘（非工业企业）等，巡查发现秸秆焚烧、露天烧烤、露天焚烧等影响环境质量的突出问题。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5.非现场执法</w:t>
      </w:r>
    </w:p>
    <w:p>
      <w:pPr>
        <w:pStyle w:val="5"/>
        <w:keepNext w:val="0"/>
        <w:keepLines w:val="0"/>
        <w:pageBreakBefore w:val="0"/>
        <w:widowControl w:val="0"/>
        <w:kinsoku/>
        <w:overflowPunct/>
        <w:topLinePunct w:val="0"/>
        <w:autoSpaceDE/>
        <w:autoSpaceDN/>
        <w:bidi w:val="0"/>
        <w:adjustRightIn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各检查组对推送的非现场问题线索开展现场检查，同时，运用固定源自动监控、企业用电监控、油气回收在线监控、餐饮油烟在线监控等科技执法手段，对所点辖区开展远程排查，深入挖掘问题线索。固定源自动监控方面，核查废气小时均值数据超标，或存在无正常理由的长期数据零值、恒值，传输有效率较低等其它明显数据异常情况。企业用电监控方面，通过比对企业生产设施和治理设施用电情况，核查治理设施未开启、不正常运行等问题。油气回收在线监控方面，核查加油站气液比、罐压、后处理装置等预报警问题线索。餐饮油烟在线监控方面，核查长期数据缺失、电信号异常等情况。还可通过核对车辆排放</w:t>
      </w:r>
      <w:r>
        <w:rPr>
          <w:rFonts w:hint="eastAsia" w:ascii="仿宋_GB2312" w:hAnsi="仿宋_GB2312" w:eastAsia="仿宋_GB2312" w:cs="仿宋_GB2312"/>
          <w:sz w:val="32"/>
          <w:szCs w:val="32"/>
          <w:lang w:val="en-US" w:eastAsia="zh-CN"/>
        </w:rPr>
        <w:t>执法历</w:t>
      </w:r>
      <w:r>
        <w:rPr>
          <w:rFonts w:hint="eastAsia" w:ascii="仿宋_GB2312" w:hAnsi="仿宋_GB2312" w:eastAsia="仿宋_GB2312" w:cs="仿宋_GB2312"/>
          <w:b w:val="0"/>
          <w:bCs w:val="0"/>
          <w:sz w:val="32"/>
          <w:szCs w:val="32"/>
          <w:lang w:val="en-US" w:eastAsia="zh-CN"/>
        </w:rPr>
        <w:t>史记录，筛查二十辆以上用车大户是否存在一个自然年内经排放检验不合格的车辆数量超过注册车辆</w:t>
      </w:r>
      <w:r>
        <w:rPr>
          <w:rFonts w:hint="eastAsia" w:ascii="仿宋_GB2312" w:hAnsi="仿宋_GB2312" w:eastAsia="仿宋_GB2312" w:cs="仿宋_GB2312"/>
          <w:sz w:val="32"/>
          <w:szCs w:val="32"/>
          <w:lang w:val="en-US" w:eastAsia="zh-CN"/>
        </w:rPr>
        <w:t>数量百分之十的违法行为。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B4AC0"/>
    <w:rsid w:val="2EFB4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等线"/>
      <w:sz w:val="24"/>
      <w:szCs w:val="24"/>
    </w:rPr>
  </w:style>
  <w:style w:type="paragraph" w:customStyle="1" w:styleId="5">
    <w:name w:val="列表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2026-04-13T00:48:00Z</dcterms:created>
  <dc:creator>ZX</dc:creator>
  <cp:lastModifiedBy>ZX</cp:lastModifiedBy>
  <dcterms:modified xsi:type="dcterms:W3CDTF">2026-04-13T00:48:48Z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