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AC53E">
      <w:pPr>
        <w:rPr>
          <w:rFonts w:hint="eastAsia" w:ascii="黑体" w:hAnsi="黑体" w:eastAsia="黑体" w:cs="仿宋_GB2312"/>
          <w:kern w:val="144"/>
          <w:sz w:val="32"/>
          <w:szCs w:val="32"/>
          <w:lang w:val="en-US" w:eastAsia="zh-CN"/>
        </w:rPr>
      </w:pPr>
      <w:r>
        <w:rPr>
          <w:rFonts w:hint="eastAsia" w:ascii="黑体" w:hAnsi="黑体" w:eastAsia="黑体" w:cs="仿宋_GB2312"/>
          <w:kern w:val="144"/>
          <w:sz w:val="32"/>
          <w:szCs w:val="32"/>
          <w:lang w:val="en-US" w:eastAsia="zh-CN"/>
        </w:rPr>
        <w:t>附件1</w:t>
      </w:r>
    </w:p>
    <w:p w14:paraId="42EB998F">
      <w:pPr>
        <w:rPr>
          <w:rFonts w:hint="eastAsia" w:ascii="黑体" w:hAnsi="黑体" w:eastAsia="黑体" w:cs="仿宋_GB2312"/>
          <w:kern w:val="144"/>
          <w:sz w:val="32"/>
          <w:szCs w:val="32"/>
          <w:lang w:val="en-US" w:eastAsia="zh-CN"/>
        </w:rPr>
      </w:pPr>
      <w:bookmarkStart w:id="0" w:name="_GoBack"/>
      <w:bookmarkEnd w:id="0"/>
    </w:p>
    <w:p w14:paraId="04319D6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第二轮</w:t>
      </w:r>
      <w:r>
        <w:rPr>
          <w:rFonts w:hint="eastAsia" w:ascii="方正小标宋简体" w:eastAsia="方正小标宋简体" w:cs="方正小标宋简体"/>
          <w:sz w:val="44"/>
          <w:szCs w:val="44"/>
        </w:rPr>
        <w:t>市</w:t>
      </w:r>
      <w:r>
        <w:rPr>
          <w:rFonts w:hint="eastAsia" w:ascii="方正小标宋简体" w:eastAsia="方正小标宋简体" w:cs="方正小标宋简体"/>
          <w:sz w:val="44"/>
          <w:szCs w:val="44"/>
          <w:lang w:eastAsia="zh-CN"/>
        </w:rPr>
        <w:t>级交叉大气</w:t>
      </w:r>
      <w:r>
        <w:rPr>
          <w:rFonts w:hint="eastAsia" w:ascii="方正小标宋简体" w:eastAsia="方正小标宋简体" w:cs="方正小标宋简体"/>
          <w:sz w:val="44"/>
          <w:szCs w:val="44"/>
        </w:rPr>
        <w:t>“点穴式”专项</w:t>
      </w:r>
    </w:p>
    <w:p w14:paraId="0E8BC61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Courier New" w:eastAsia="方正小标宋简体"/>
          <w:sz w:val="44"/>
          <w:szCs w:val="44"/>
          <w:lang w:val="en-US" w:eastAsia="zh-CN"/>
        </w:rPr>
      </w:pPr>
      <w:r>
        <w:rPr>
          <w:rFonts w:hint="eastAsia" w:ascii="方正小标宋简体" w:eastAsia="方正小标宋简体" w:cs="方正小标宋简体"/>
          <w:sz w:val="44"/>
          <w:szCs w:val="44"/>
        </w:rPr>
        <w:t>执法检查行动工作方案</w:t>
      </w:r>
    </w:p>
    <w:p w14:paraId="1D939E13">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eastAsia="仿宋_GB2312"/>
          <w:sz w:val="32"/>
          <w:szCs w:val="32"/>
        </w:rPr>
      </w:pPr>
    </w:p>
    <w:p w14:paraId="0E13F959">
      <w:pPr>
        <w:keepNext w:val="0"/>
        <w:keepLines w:val="0"/>
        <w:pageBreakBefore w:val="0"/>
        <w:widowControl w:val="0"/>
        <w:kinsoku/>
        <w:overflowPunct/>
        <w:topLinePunct w:val="0"/>
        <w:autoSpaceDE/>
        <w:autoSpaceDN/>
        <w:bidi w:val="0"/>
        <w:adjustRightInd/>
        <w:spacing w:line="560" w:lineRule="exact"/>
        <w:ind w:firstLine="645"/>
        <w:textAlignment w:val="auto"/>
        <w:rPr>
          <w:rFonts w:ascii="仿宋_GB2312" w:eastAsia="仿宋_GB2312" w:cs="仿宋_GB2312"/>
          <w:color w:val="000000"/>
          <w:sz w:val="32"/>
          <w:szCs w:val="32"/>
        </w:rPr>
      </w:pPr>
      <w:r>
        <w:rPr>
          <w:rFonts w:hint="eastAsia" w:ascii="仿宋_GB2312" w:eastAsia="仿宋_GB2312"/>
          <w:sz w:val="32"/>
          <w:szCs w:val="32"/>
        </w:rPr>
        <w:t>为推动本市空气质量持续改善，以非现场驱动现场，精准发现突出大气环境问题，推动市、区执法能力进一步提升，综合执法总队综合近期PM</w:t>
      </w:r>
      <w:r>
        <w:rPr>
          <w:rFonts w:hint="eastAsia" w:ascii="仿宋_GB2312" w:eastAsia="仿宋_GB2312"/>
          <w:sz w:val="32"/>
          <w:szCs w:val="32"/>
          <w:vertAlign w:val="subscript"/>
        </w:rPr>
        <w:t>2.5</w:t>
      </w:r>
      <w:r>
        <w:rPr>
          <w:rFonts w:hint="eastAsia" w:ascii="仿宋_GB2312" w:eastAsia="仿宋_GB2312"/>
          <w:sz w:val="32"/>
          <w:szCs w:val="32"/>
        </w:rPr>
        <w:t>排名情况，结合</w:t>
      </w:r>
      <w:r>
        <w:rPr>
          <w:rFonts w:hint="eastAsia" w:ascii="仿宋_GB2312" w:eastAsia="仿宋_GB2312"/>
          <w:sz w:val="32"/>
          <w:szCs w:val="32"/>
          <w:lang w:eastAsia="zh-CN"/>
        </w:rPr>
        <w:t>季节大气污染特点</w:t>
      </w:r>
      <w:r>
        <w:rPr>
          <w:rFonts w:hint="eastAsia" w:ascii="仿宋_GB2312" w:eastAsia="仿宋_GB2312"/>
          <w:sz w:val="32"/>
          <w:szCs w:val="32"/>
        </w:rPr>
        <w:t>，选取</w:t>
      </w:r>
      <w:r>
        <w:rPr>
          <w:rFonts w:hint="eastAsia" w:ascii="仿宋_GB2312" w:eastAsia="仿宋_GB2312" w:cs="仿宋_GB2312"/>
          <w:color w:val="000000"/>
          <w:sz w:val="32"/>
          <w:szCs w:val="32"/>
          <w:lang w:eastAsia="zh-CN"/>
        </w:rPr>
        <w:t>东城区、朝阳区、海淀区、丰台区、石景山区、顺义区、昌平区、延庆区</w:t>
      </w:r>
      <w:r>
        <w:rPr>
          <w:rFonts w:hint="eastAsia" w:ascii="仿宋_GB2312" w:eastAsia="仿宋_GB2312" w:cs="仿宋_GB2312"/>
          <w:color w:val="000000"/>
          <w:sz w:val="32"/>
          <w:szCs w:val="32"/>
        </w:rPr>
        <w:t>开展202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第二轮</w:t>
      </w:r>
      <w:r>
        <w:rPr>
          <w:rFonts w:hint="eastAsia" w:ascii="仿宋_GB2312" w:eastAsia="仿宋_GB2312" w:cs="仿宋_GB2312"/>
          <w:color w:val="000000"/>
          <w:sz w:val="32"/>
          <w:szCs w:val="32"/>
        </w:rPr>
        <w:t>市</w:t>
      </w:r>
      <w:r>
        <w:rPr>
          <w:rFonts w:hint="eastAsia" w:ascii="仿宋_GB2312" w:eastAsia="仿宋_GB2312" w:cs="仿宋_GB2312"/>
          <w:color w:val="000000"/>
          <w:sz w:val="32"/>
          <w:szCs w:val="32"/>
          <w:lang w:eastAsia="zh-CN"/>
        </w:rPr>
        <w:t>级交叉大气</w:t>
      </w:r>
      <w:r>
        <w:rPr>
          <w:rFonts w:hint="eastAsia" w:ascii="仿宋_GB2312" w:eastAsia="仿宋_GB2312" w:cs="仿宋_GB2312"/>
          <w:color w:val="000000"/>
          <w:sz w:val="32"/>
          <w:szCs w:val="32"/>
        </w:rPr>
        <w:t>“点穴式”专项执法检查行动</w:t>
      </w:r>
      <w:r>
        <w:rPr>
          <w:rFonts w:hint="eastAsia" w:ascii="仿宋_GB2312" w:eastAsia="仿宋_GB2312"/>
          <w:sz w:val="32"/>
        </w:rPr>
        <w:t>。</w:t>
      </w:r>
      <w:r>
        <w:rPr>
          <w:rFonts w:hint="eastAsia" w:ascii="仿宋_GB2312" w:eastAsia="仿宋_GB2312" w:cs="仿宋_GB2312"/>
          <w:color w:val="000000"/>
          <w:sz w:val="32"/>
          <w:szCs w:val="32"/>
        </w:rPr>
        <w:t>具体工作方案如下：</w:t>
      </w:r>
    </w:p>
    <w:p w14:paraId="268D495B">
      <w:pPr>
        <w:keepNext w:val="0"/>
        <w:keepLines w:val="0"/>
        <w:pageBreakBefore w:val="0"/>
        <w:widowControl w:val="0"/>
        <w:numPr>
          <w:ilvl w:val="0"/>
          <w:numId w:val="0"/>
        </w:numPr>
        <w:kinsoku/>
        <w:overflowPunct/>
        <w:topLinePunct w:val="0"/>
        <w:autoSpaceDE/>
        <w:autoSpaceDN/>
        <w:bidi w:val="0"/>
        <w:adjustRightInd/>
        <w:spacing w:line="560" w:lineRule="exact"/>
        <w:ind w:left="645" w:firstLine="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检查方式</w:t>
      </w:r>
    </w:p>
    <w:p w14:paraId="5608C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b w:val="0"/>
          <w:bCs w:val="0"/>
          <w:sz w:val="32"/>
          <w:szCs w:val="32"/>
        </w:rPr>
        <w:t>此次专项执法行动，</w:t>
      </w:r>
      <w:r>
        <w:rPr>
          <w:rFonts w:hint="eastAsia" w:ascii="仿宋_GB2312" w:eastAsia="仿宋_GB2312"/>
          <w:b w:val="0"/>
          <w:bCs w:val="0"/>
          <w:sz w:val="32"/>
          <w:szCs w:val="32"/>
          <w:lang w:eastAsia="zh-CN"/>
        </w:rPr>
        <w:t>借鉴</w:t>
      </w:r>
      <w:r>
        <w:rPr>
          <w:rFonts w:hint="eastAsia" w:ascii="仿宋_GB2312" w:hAnsi="仿宋_GB2312" w:eastAsia="仿宋_GB2312" w:cs="仿宋_GB2312"/>
          <w:b w:val="0"/>
          <w:bCs w:val="0"/>
          <w:sz w:val="32"/>
          <w:szCs w:val="32"/>
          <w:lang w:val="en-US" w:eastAsia="zh-CN"/>
        </w:rPr>
        <w:t>生态环境部监督帮扶形式，组成8个帮扶检查小组，</w:t>
      </w:r>
      <w:r>
        <w:rPr>
          <w:rFonts w:hint="eastAsia" w:ascii="仿宋_GB2312" w:hAnsi="仿宋_GB2312" w:eastAsia="仿宋_GB2312" w:cs="仿宋_GB2312"/>
          <w:b w:val="0"/>
          <w:bCs w:val="0"/>
          <w:sz w:val="32"/>
          <w:szCs w:val="32"/>
          <w:highlight w:val="none"/>
          <w:lang w:val="en-US" w:eastAsia="zh-CN"/>
        </w:rPr>
        <w:t>采取“</w:t>
      </w:r>
      <w:r>
        <w:rPr>
          <w:rFonts w:hint="eastAsia" w:ascii="仿宋_GB2312" w:hAnsi="仿宋_GB2312" w:eastAsia="仿宋_GB2312" w:cs="仿宋_GB2312"/>
          <w:sz w:val="32"/>
          <w:szCs w:val="32"/>
          <w:highlight w:val="none"/>
          <w:lang w:val="en-US" w:eastAsia="zh-CN"/>
        </w:rPr>
        <w:t>非现场+现场</w:t>
      </w:r>
      <w:r>
        <w:rPr>
          <w:rFonts w:hint="eastAsia" w:ascii="仿宋_GB2312" w:hAnsi="仿宋_GB2312" w:eastAsia="仿宋_GB2312" w:cs="仿宋_GB2312"/>
          <w:b w:val="0"/>
          <w:bCs w:val="0"/>
          <w:sz w:val="32"/>
          <w:szCs w:val="32"/>
          <w:highlight w:val="none"/>
          <w:lang w:val="en-US" w:eastAsia="zh-CN"/>
        </w:rPr>
        <w:t>”“规定动作+自选动作”相结合的方式，</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lang w:val="en-US" w:eastAsia="zh-CN"/>
        </w:rPr>
        <w:t>8个区开展</w:t>
      </w:r>
      <w:r>
        <w:rPr>
          <w:rFonts w:hint="eastAsia" w:ascii="仿宋_GB2312" w:hAnsi="仿宋_GB2312" w:eastAsia="仿宋_GB2312" w:cs="仿宋_GB2312"/>
          <w:b w:val="0"/>
          <w:bCs w:val="0"/>
          <w:sz w:val="32"/>
          <w:szCs w:val="32"/>
          <w:highlight w:val="none"/>
          <w:lang w:eastAsia="zh-CN"/>
        </w:rPr>
        <w:t>市级交叉大气</w:t>
      </w:r>
      <w:r>
        <w:rPr>
          <w:rFonts w:hint="eastAsia" w:ascii="仿宋_GB2312" w:hAnsi="仿宋_GB2312" w:eastAsia="仿宋_GB2312" w:cs="仿宋_GB2312"/>
          <w:b w:val="0"/>
          <w:bCs w:val="0"/>
          <w:sz w:val="32"/>
          <w:szCs w:val="32"/>
          <w:highlight w:val="none"/>
        </w:rPr>
        <w:t>“点穴式”执法检查</w:t>
      </w:r>
      <w:r>
        <w:rPr>
          <w:rFonts w:hint="eastAsia" w:ascii="仿宋_GB2312" w:hAnsi="仿宋_GB2312" w:eastAsia="仿宋_GB2312" w:cs="仿宋_GB2312"/>
          <w:b w:val="0"/>
          <w:bCs w:val="0"/>
          <w:sz w:val="32"/>
          <w:szCs w:val="32"/>
          <w:highlight w:val="none"/>
          <w:lang w:val="en-US" w:eastAsia="zh-CN"/>
        </w:rPr>
        <w:t>。</w:t>
      </w:r>
    </w:p>
    <w:p w14:paraId="73BC4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二、检查时间</w:t>
      </w:r>
    </w:p>
    <w:p w14:paraId="5C91B40E">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6</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15</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6</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26</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eastAsia="zh-CN"/>
        </w:rPr>
        <w:t>。</w:t>
      </w:r>
    </w:p>
    <w:p w14:paraId="466DF34D">
      <w:pPr>
        <w:keepNext w:val="0"/>
        <w:keepLines w:val="0"/>
        <w:pageBreakBefore w:val="0"/>
        <w:widowControl w:val="0"/>
        <w:kinsoku/>
        <w:overflowPunct/>
        <w:topLinePunct w:val="0"/>
        <w:autoSpaceDE/>
        <w:autoSpaceDN/>
        <w:bidi w:val="0"/>
        <w:adjustRightInd/>
        <w:spacing w:line="560" w:lineRule="exact"/>
        <w:ind w:firstLine="645"/>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、人员组成</w:t>
      </w:r>
    </w:p>
    <w:p w14:paraId="356BEF8C">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hAnsi="楷体" w:eastAsia="仿宋_GB2312"/>
          <w:sz w:val="32"/>
          <w:szCs w:val="32"/>
          <w:lang w:eastAsia="zh-CN"/>
        </w:rPr>
      </w:pPr>
      <w:r>
        <w:rPr>
          <w:rFonts w:hint="eastAsia" w:ascii="仿宋_GB2312" w:hAnsi="黑体" w:eastAsia="仿宋_GB2312" w:cs="仿宋_GB2312"/>
          <w:color w:val="000000"/>
          <w:sz w:val="32"/>
          <w:szCs w:val="32"/>
        </w:rPr>
        <w:t>本轮“点穴式”</w:t>
      </w:r>
      <w:r>
        <w:rPr>
          <w:rFonts w:hint="eastAsia" w:ascii="仿宋_GB2312" w:hAnsi="黑体" w:eastAsia="仿宋_GB2312" w:cs="仿宋_GB2312"/>
          <w:color w:val="000000"/>
          <w:sz w:val="32"/>
          <w:szCs w:val="32"/>
          <w:lang w:eastAsia="zh-CN"/>
        </w:rPr>
        <w:t>帮扶检查小组</w:t>
      </w:r>
      <w:r>
        <w:rPr>
          <w:rFonts w:hint="eastAsia" w:ascii="仿宋_GB2312" w:hAnsi="黑体" w:eastAsia="仿宋_GB2312" w:cs="仿宋_GB2312"/>
          <w:color w:val="000000"/>
          <w:sz w:val="32"/>
          <w:szCs w:val="32"/>
        </w:rPr>
        <w:t>由</w:t>
      </w:r>
      <w:r>
        <w:rPr>
          <w:rFonts w:hint="eastAsia" w:ascii="仿宋_GB2312" w:hAnsi="黑体" w:eastAsia="仿宋_GB2312" w:cs="仿宋_GB2312"/>
          <w:color w:val="000000"/>
          <w:sz w:val="32"/>
          <w:szCs w:val="32"/>
          <w:lang w:eastAsia="zh-CN"/>
        </w:rPr>
        <w:t>市生态环境保护综合执法总队</w:t>
      </w:r>
      <w:r>
        <w:rPr>
          <w:rFonts w:hint="eastAsia" w:ascii="仿宋_GB2312" w:hAnsi="黑体" w:eastAsia="仿宋_GB2312" w:cs="仿宋_GB2312"/>
          <w:color w:val="000000"/>
          <w:sz w:val="32"/>
          <w:szCs w:val="32"/>
          <w:lang w:val="en-US" w:eastAsia="zh-CN"/>
        </w:rPr>
        <w:t>2名</w:t>
      </w:r>
      <w:r>
        <w:rPr>
          <w:rFonts w:hint="eastAsia" w:ascii="仿宋_GB2312" w:hAnsi="黑体" w:eastAsia="仿宋_GB2312" w:cs="仿宋_GB2312"/>
          <w:color w:val="000000"/>
          <w:sz w:val="32"/>
          <w:szCs w:val="32"/>
          <w:lang w:eastAsia="zh-CN"/>
        </w:rPr>
        <w:t>联络员和</w:t>
      </w:r>
      <w:r>
        <w:rPr>
          <w:rFonts w:hint="eastAsia" w:ascii="仿宋_GB2312" w:hAnsi="黑体" w:eastAsia="仿宋_GB2312" w:cs="仿宋_GB2312"/>
          <w:color w:val="000000"/>
          <w:sz w:val="32"/>
          <w:szCs w:val="32"/>
          <w:lang w:val="en-US" w:eastAsia="zh-CN"/>
        </w:rPr>
        <w:t>4名抽调的区级执法人员组</w:t>
      </w:r>
      <w:r>
        <w:rPr>
          <w:rFonts w:hint="eastAsia" w:ascii="仿宋_GB2312" w:hAnsi="Calibri" w:eastAsia="仿宋_GB2312" w:cs="仿宋_GB2312"/>
          <w:sz w:val="32"/>
          <w:szCs w:val="32"/>
          <w:lang w:val="en-US" w:eastAsia="zh-CN"/>
        </w:rPr>
        <w:t>成</w:t>
      </w:r>
      <w:r>
        <w:rPr>
          <w:rFonts w:hint="default" w:ascii="仿宋_GB2312" w:eastAsia="仿宋_GB2312" w:cs="仿宋_GB2312"/>
          <w:sz w:val="32"/>
          <w:szCs w:val="32"/>
          <w:lang w:val="en" w:eastAsia="zh-CN"/>
        </w:rPr>
        <w:t>,</w:t>
      </w:r>
      <w:r>
        <w:rPr>
          <w:rFonts w:hint="eastAsia" w:ascii="仿宋_GB2312" w:hAnsi="Calibri" w:eastAsia="仿宋_GB2312" w:cs="仿宋_GB2312"/>
          <w:sz w:val="32"/>
          <w:szCs w:val="32"/>
          <w:lang w:eastAsia="zh-CN"/>
        </w:rPr>
        <w:t>主要负责</w:t>
      </w:r>
      <w:r>
        <w:rPr>
          <w:rFonts w:hint="eastAsia" w:ascii="仿宋_GB2312" w:hAnsi="楷体" w:eastAsia="仿宋_GB2312"/>
          <w:sz w:val="32"/>
          <w:szCs w:val="32"/>
        </w:rPr>
        <w:t>开展</w:t>
      </w:r>
      <w:r>
        <w:rPr>
          <w:rFonts w:hint="eastAsia" w:ascii="仿宋_GB2312" w:hAnsi="楷体" w:eastAsia="仿宋_GB2312"/>
          <w:sz w:val="32"/>
          <w:szCs w:val="32"/>
          <w:lang w:eastAsia="zh-CN"/>
        </w:rPr>
        <w:t>现场和非现场</w:t>
      </w:r>
      <w:r>
        <w:rPr>
          <w:rFonts w:hint="eastAsia" w:ascii="仿宋_GB2312" w:hAnsi="楷体" w:eastAsia="仿宋_GB2312"/>
          <w:sz w:val="32"/>
          <w:szCs w:val="32"/>
        </w:rPr>
        <w:t>执法检查</w:t>
      </w:r>
      <w:r>
        <w:rPr>
          <w:rFonts w:hint="eastAsia" w:ascii="仿宋_GB2312" w:hAnsi="楷体" w:eastAsia="仿宋_GB2312"/>
          <w:sz w:val="32"/>
          <w:szCs w:val="32"/>
          <w:lang w:eastAsia="zh-CN"/>
        </w:rPr>
        <w:t>。</w:t>
      </w:r>
    </w:p>
    <w:p w14:paraId="3328AAC7">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、检查内容</w:t>
      </w:r>
    </w:p>
    <w:p w14:paraId="3634ADFB">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源方面</w:t>
      </w:r>
    </w:p>
    <w:p w14:paraId="60275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lang w:val="en-US" w:eastAsia="zh-CN"/>
        </w:rPr>
        <w:t>VOCs重点</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无组织</w:t>
      </w:r>
      <w:r>
        <w:rPr>
          <w:rFonts w:hint="eastAsia" w:ascii="仿宋_GB2312" w:hAnsi="仿宋_GB2312" w:eastAsia="仿宋_GB2312" w:cs="仿宋_GB2312"/>
          <w:sz w:val="32"/>
          <w:szCs w:val="32"/>
        </w:rPr>
        <w:t>排放环节，</w:t>
      </w:r>
      <w:r>
        <w:rPr>
          <w:rFonts w:hint="eastAsia" w:ascii="仿宋_GB2312" w:hAnsi="仿宋_GB2312" w:eastAsia="仿宋_GB2312" w:cs="仿宋_GB2312"/>
          <w:sz w:val="32"/>
          <w:szCs w:val="32"/>
          <w:lang w:eastAsia="zh-CN"/>
        </w:rPr>
        <w:t>从源头替代、过程管控和末端治理三方面开展检查。对使用低效治理设施的企业进行抽查，重点检查废气治理设施运行情况和</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去除率，并督促企业立整立改。</w:t>
      </w:r>
      <w:r>
        <w:rPr>
          <w:rFonts w:hint="eastAsia" w:ascii="仿宋_GB2312" w:hAnsi="仿宋_GB2312" w:eastAsia="仿宋_GB2312" w:cs="仿宋_GB2312"/>
          <w:sz w:val="32"/>
          <w:szCs w:val="32"/>
          <w:highlight w:val="none"/>
          <w:lang w:eastAsia="zh-CN"/>
        </w:rPr>
        <w:t>对于安装</w:t>
      </w:r>
      <w:r>
        <w:rPr>
          <w:rFonts w:hint="eastAsia" w:ascii="仿宋_GB2312" w:hAnsi="仿宋_GB2312" w:eastAsia="仿宋_GB2312" w:cs="仿宋_GB2312"/>
          <w:sz w:val="32"/>
          <w:szCs w:val="32"/>
          <w:highlight w:val="none"/>
          <w:lang w:val="en-US" w:eastAsia="zh-CN"/>
        </w:rPr>
        <w:t>大气污染物在线监控企业，还应关注自动监控设施运行情况（运行、维护、检修和校准校验），企业生产工况、污染治理设施运行与自动监控数据的相关性，查处不正常运行、在线数据弄虚作假和虚假标记等环境违法问题。</w:t>
      </w:r>
    </w:p>
    <w:p w14:paraId="287F6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生活源方面</w:t>
      </w:r>
    </w:p>
    <w:p w14:paraId="6A551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重点对汽车维修</w:t>
      </w:r>
      <w:r>
        <w:rPr>
          <w:rFonts w:hint="eastAsia" w:ascii="仿宋_GB2312" w:hAnsi="仿宋_GB2312" w:eastAsia="仿宋_GB2312" w:cs="仿宋_GB2312"/>
          <w:sz w:val="32"/>
          <w:szCs w:val="32"/>
          <w:highlight w:val="none"/>
        </w:rPr>
        <w:t>企业、加油站</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餐饮</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等大气污染源开展检查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一是督促辖区汽修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全面落实《汽车维修业大气污染物排放标准》（DB11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1228-2025）</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要求，重点查处</w:t>
      </w:r>
      <w:r>
        <w:rPr>
          <w:rFonts w:hint="eastAsia" w:ascii="仿宋_GB2312" w:hAnsi="仿宋_GB2312" w:eastAsia="仿宋_GB2312" w:cs="仿宋_GB2312"/>
          <w:sz w:val="32"/>
          <w:szCs w:val="32"/>
        </w:rPr>
        <w:t>超标排放、未</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废气处理装置</w:t>
      </w:r>
      <w:r>
        <w:rPr>
          <w:rFonts w:hint="eastAsia" w:ascii="仿宋_GB2312" w:hAnsi="仿宋_GB2312" w:eastAsia="仿宋_GB2312" w:cs="仿宋_GB2312"/>
          <w:sz w:val="32"/>
          <w:szCs w:val="32"/>
          <w:lang w:eastAsia="zh-CN"/>
        </w:rPr>
        <w:t>或废气</w:t>
      </w:r>
      <w:r>
        <w:rPr>
          <w:rFonts w:hint="eastAsia" w:ascii="仿宋_GB2312" w:hAnsi="仿宋_GB2312" w:eastAsia="仿宋_GB2312" w:cs="仿宋_GB2312"/>
          <w:sz w:val="32"/>
          <w:szCs w:val="32"/>
        </w:rPr>
        <w:t>治理设施不正常运行等违法行为。二是对重点区域餐饮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油烟净化设施的安装情况、运行情况、维护情况进行检查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重点查处</w:t>
      </w:r>
      <w:r>
        <w:rPr>
          <w:rFonts w:hint="eastAsia" w:ascii="仿宋_GB2312" w:hAnsi="仿宋_GB2312" w:eastAsia="仿宋_GB2312" w:cs="仿宋_GB2312"/>
          <w:sz w:val="32"/>
          <w:szCs w:val="32"/>
          <w:lang w:eastAsia="zh-CN"/>
        </w:rPr>
        <w:t>油烟直排或</w:t>
      </w:r>
      <w:r>
        <w:rPr>
          <w:rFonts w:hint="eastAsia" w:ascii="仿宋_GB2312" w:hAnsi="仿宋_GB2312" w:eastAsia="仿宋_GB2312" w:cs="仿宋_GB2312"/>
          <w:sz w:val="32"/>
          <w:szCs w:val="32"/>
        </w:rPr>
        <w:t>净化设施不正常运行</w:t>
      </w:r>
      <w:r>
        <w:rPr>
          <w:rFonts w:hint="eastAsia" w:ascii="仿宋_GB2312" w:hAnsi="仿宋_GB2312" w:eastAsia="仿宋_GB2312" w:cs="仿宋_GB2312"/>
          <w:sz w:val="32"/>
          <w:szCs w:val="32"/>
          <w:lang w:eastAsia="zh-CN"/>
        </w:rPr>
        <w:t>，导致油烟超标排放的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三是开展油气回收在线监控系统检查，</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油气回收装置相关阀门未正常开启或关闭、油路及相关阀门跑冒滴漏等问题</w:t>
      </w:r>
      <w:r>
        <w:rPr>
          <w:rFonts w:hint="eastAsia" w:ascii="仿宋_GB2312" w:hAnsi="仿宋_GB2312" w:eastAsia="仿宋_GB2312" w:cs="仿宋_GB2312"/>
          <w:sz w:val="32"/>
          <w:szCs w:val="32"/>
          <w:lang w:eastAsia="zh-CN"/>
        </w:rPr>
        <w:t>。</w:t>
      </w:r>
    </w:p>
    <w:p w14:paraId="6EAAE1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移动源方面</w:t>
      </w:r>
    </w:p>
    <w:p w14:paraId="612D5EB4">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pPr>
      <w:r>
        <w:rPr>
          <w:rFonts w:hint="eastAsia" w:ascii="仿宋_GB2312" w:eastAsia="仿宋_GB2312"/>
          <w:sz w:val="32"/>
          <w:szCs w:val="32"/>
          <w:highlight w:val="none"/>
          <w:lang w:eastAsia="zh-CN"/>
        </w:rPr>
        <w:t>聚焦施工工地、物流园、工业园、货物集散地等重点区域，</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查处重型柴油车</w:t>
      </w:r>
      <w:r>
        <w:rPr>
          <w:rFonts w:hint="eastAsia" w:ascii="仿宋_GB2312" w:eastAsia="仿宋_GB2312" w:cs="仿宋_GB2312"/>
          <w:i w:val="0"/>
          <w:caps w:val="0"/>
          <w:color w:val="000000"/>
          <w:spacing w:val="0"/>
          <w:kern w:val="2"/>
          <w:sz w:val="32"/>
          <w:szCs w:val="32"/>
          <w:highlight w:val="none"/>
          <w:shd w:val="clear" w:color="auto" w:fill="auto"/>
          <w:lang w:val="en-US" w:eastAsia="zh-CN" w:bidi="ar-SA"/>
        </w:rPr>
        <w:t>尾气</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超标排放以及擅自拆除、闲置、改装污染控制装置等违法行为。落实高排放非道路移动机械的禁止使用区域要求，查处在用非道路移动机械污染控制装置未正常使用和使用高排放机械等违法行为。针对油品使用环节，摸排“黑加油站点、非法流动加油车”违法线索，移交公安部门，减少因油品质量不过关带来的排放超标问题。</w:t>
      </w:r>
    </w:p>
    <w:p w14:paraId="7B452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4.面源方面</w:t>
      </w:r>
    </w:p>
    <w:p w14:paraId="7BAAD92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以</w:t>
      </w:r>
      <w:r>
        <w:rPr>
          <w:rFonts w:hint="eastAsia" w:ascii="仿宋_GB2312" w:hAnsi="仿宋_GB2312" w:eastAsia="仿宋_GB2312" w:cs="仿宋_GB2312"/>
          <w:kern w:val="0"/>
          <w:sz w:val="32"/>
          <w:szCs w:val="32"/>
          <w:highlight w:val="none"/>
        </w:rPr>
        <w:t>住房城乡建设、水务、交通、园林绿化等重点行业的施工工地</w:t>
      </w:r>
      <w:r>
        <w:rPr>
          <w:rFonts w:hint="eastAsia" w:ascii="仿宋_GB2312" w:hAnsi="仿宋_GB2312" w:eastAsia="仿宋_GB2312" w:cs="仿宋_GB2312"/>
          <w:kern w:val="0"/>
          <w:sz w:val="32"/>
          <w:szCs w:val="32"/>
          <w:highlight w:val="none"/>
          <w:lang w:eastAsia="zh-CN"/>
        </w:rPr>
        <w:t>和裸地为重点，检查施工扬尘、道路扬尘、堆场扬尘（非工业企业）等；针对远郊区城乡结合部、农村等重点部位，巡查发现秸秆焚烧、露天烧烤、露天焚烧等影响环境质量的突出问题；对进行建筑和室外构筑物中桥梁及护栏施工作业中使用的</w:t>
      </w:r>
      <w:r>
        <w:rPr>
          <w:rFonts w:hint="eastAsia" w:ascii="仿宋_GB2312" w:hAnsi="仿宋_GB2312" w:eastAsia="仿宋_GB2312" w:cs="仿宋_GB2312"/>
          <w:b w:val="0"/>
          <w:bCs w:val="0"/>
          <w:kern w:val="0"/>
          <w:sz w:val="32"/>
          <w:szCs w:val="32"/>
          <w:highlight w:val="none"/>
          <w:lang w:eastAsia="zh-CN"/>
        </w:rPr>
        <w:t>建筑涂料及胶粘剂开</w:t>
      </w:r>
      <w:r>
        <w:rPr>
          <w:rFonts w:hint="eastAsia" w:ascii="仿宋_GB2312" w:hAnsi="仿宋_GB2312" w:eastAsia="仿宋_GB2312" w:cs="仿宋_GB2312"/>
          <w:kern w:val="0"/>
          <w:sz w:val="32"/>
          <w:szCs w:val="32"/>
          <w:highlight w:val="none"/>
          <w:lang w:eastAsia="zh-CN"/>
        </w:rPr>
        <w:t>展排查，</w:t>
      </w:r>
      <w:r>
        <w:rPr>
          <w:rFonts w:hint="eastAsia" w:ascii="仿宋_GB2312" w:hAnsi="仿宋_GB2312" w:eastAsia="仿宋_GB2312" w:cs="仿宋_GB2312"/>
          <w:sz w:val="32"/>
          <w:szCs w:val="32"/>
          <w:highlight w:val="none"/>
          <w:lang w:val="en-US" w:eastAsia="zh-CN"/>
        </w:rPr>
        <w:t>对不符合标准限值要求的产品督促整改。</w:t>
      </w:r>
    </w:p>
    <w:p w14:paraId="0A0AA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5.非现场执法</w:t>
      </w:r>
    </w:p>
    <w:p w14:paraId="2D131C4A">
      <w:pPr>
        <w:pStyle w:val="5"/>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各检查组对推送的非现场问题线索开展现场检查，同时，运用固定源自动监控、企业用电监控、油气回收在线监控、餐饮油烟在线监控等科技执法手段，对所点辖区开展远程排查，深入挖掘问题线索。固定源自动监控方面，核查废气小时均值数据超标，或存在无正常理由的长期数据零值、恒值，传输有效率较低等其它明显数据异常情况。企业用电监控方面，通过比对企业生产设施和治理设施用电情况，核查治理设施未开启、不正常运行等问题。油气回收在线监控方面，核查加油站气液比、罐压、后处理装置等预报警问题线索。餐饮油烟在线监控方面，核查长期数据缺失、电信号异常等情况。还可通过核对车辆排放</w:t>
      </w:r>
      <w:r>
        <w:rPr>
          <w:rFonts w:hint="eastAsia" w:ascii="仿宋_GB2312" w:hAnsi="仿宋_GB2312" w:eastAsia="仿宋_GB2312" w:cs="仿宋_GB2312"/>
          <w:sz w:val="32"/>
          <w:szCs w:val="32"/>
          <w:lang w:val="en-US" w:eastAsia="zh-CN"/>
        </w:rPr>
        <w:t>执法历</w:t>
      </w:r>
      <w:r>
        <w:rPr>
          <w:rFonts w:hint="eastAsia" w:ascii="仿宋_GB2312" w:hAnsi="仿宋_GB2312" w:eastAsia="仿宋_GB2312" w:cs="仿宋_GB2312"/>
          <w:b w:val="0"/>
          <w:bCs w:val="0"/>
          <w:sz w:val="32"/>
          <w:szCs w:val="32"/>
          <w:lang w:val="en-US" w:eastAsia="zh-CN"/>
        </w:rPr>
        <w:t>史记录，筛查二十辆以上用车大户是否存在一个自然年内经排放检验不合格的车辆数量超过注册车辆</w:t>
      </w:r>
      <w:r>
        <w:rPr>
          <w:rFonts w:hint="eastAsia" w:ascii="仿宋_GB2312" w:hAnsi="仿宋_GB2312" w:eastAsia="仿宋_GB2312" w:cs="仿宋_GB2312"/>
          <w:sz w:val="32"/>
          <w:szCs w:val="32"/>
          <w:lang w:val="en-US" w:eastAsia="zh-CN"/>
        </w:rPr>
        <w:t>数量百分之十的违法行为。</w:t>
      </w:r>
    </w:p>
    <w:p w14:paraId="4AD2EF0C">
      <w:pPr>
        <w:pStyle w:val="5"/>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6.</w:t>
      </w:r>
      <w:r>
        <w:rPr>
          <w:rFonts w:hint="eastAsia" w:ascii="仿宋_GB2312" w:hAnsi="仿宋_GB2312" w:eastAsia="仿宋_GB2312" w:cs="仿宋_GB2312"/>
          <w:sz w:val="32"/>
          <w:szCs w:val="32"/>
          <w:lang w:val="en" w:eastAsia="zh-CN"/>
        </w:rPr>
        <w:t>执法监测</w:t>
      </w:r>
    </w:p>
    <w:p w14:paraId="613D6C29">
      <w:pPr>
        <w:pStyle w:val="5"/>
        <w:keepNext w:val="0"/>
        <w:keepLines w:val="0"/>
        <w:pageBreakBefore w:val="0"/>
        <w:widowControl w:val="0"/>
        <w:kinsoku/>
        <w:overflowPunct/>
        <w:topLinePunct w:val="0"/>
        <w:autoSpaceDE/>
        <w:autoSpaceDN/>
        <w:bidi w:val="0"/>
        <w:adjustRightInd/>
        <w:spacing w:line="560" w:lineRule="exact"/>
        <w:ind w:firstLine="64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各</w:t>
      </w:r>
      <w:r>
        <w:rPr>
          <w:rFonts w:hint="eastAsia" w:ascii="仿宋_GB2312" w:hAnsi="仿宋_GB2312" w:eastAsia="仿宋_GB2312" w:cs="仿宋_GB2312"/>
          <w:sz w:val="32"/>
          <w:szCs w:val="32"/>
          <w:lang w:val="en" w:eastAsia="zh-CN"/>
        </w:rPr>
        <w:t>检查</w:t>
      </w:r>
      <w:r>
        <w:rPr>
          <w:rFonts w:hint="default" w:ascii="仿宋_GB2312" w:hAnsi="仿宋_GB2312" w:eastAsia="仿宋_GB2312" w:cs="仿宋_GB2312"/>
          <w:sz w:val="32"/>
          <w:szCs w:val="32"/>
          <w:lang w:val="en" w:eastAsia="zh-CN"/>
        </w:rPr>
        <w:t>组会同市监测中心完成2家重点企业VOCs排放监测</w:t>
      </w:r>
      <w:r>
        <w:rPr>
          <w:rFonts w:hint="eastAsia" w:ascii="仿宋_GB2312" w:hAnsi="仿宋_GB2312" w:eastAsia="仿宋_GB2312" w:cs="仿宋_GB2312"/>
          <w:sz w:val="32"/>
          <w:szCs w:val="32"/>
          <w:lang w:val="en" w:eastAsia="zh-CN"/>
        </w:rPr>
        <w:t>，与第三方检测机构同步开展原辅料VOCs含量抽测，每家企业选取原辅料和产品2个样品</w:t>
      </w:r>
      <w:r>
        <w:rPr>
          <w:rFonts w:hint="default" w:ascii="仿宋_GB2312" w:hAnsi="仿宋_GB2312" w:eastAsia="仿宋_GB2312" w:cs="仿宋_GB2312"/>
          <w:sz w:val="32"/>
          <w:szCs w:val="32"/>
          <w:lang w:val="en" w:eastAsia="zh-CN"/>
        </w:rPr>
        <w:t>。结合加油站台账和油气在线平台异常数据</w:t>
      </w:r>
      <w:r>
        <w:rPr>
          <w:rFonts w:hint="eastAsia" w:ascii="仿宋_GB2312" w:hAnsi="仿宋_GB2312" w:eastAsia="仿宋_GB2312" w:cs="仿宋_GB2312"/>
          <w:sz w:val="32"/>
          <w:szCs w:val="32"/>
          <w:lang w:val="en" w:eastAsia="zh-CN"/>
        </w:rPr>
        <w:t>问题线索</w:t>
      </w:r>
      <w:r>
        <w:rPr>
          <w:rFonts w:hint="default" w:ascii="仿宋_GB2312" w:hAnsi="仿宋_GB2312" w:eastAsia="仿宋_GB2312" w:cs="仿宋_GB2312"/>
          <w:sz w:val="32"/>
          <w:szCs w:val="32"/>
          <w:lang w:val="en" w:eastAsia="zh-CN"/>
        </w:rPr>
        <w:t>，会同第三方检测机构完成2座加油站监督性监测</w:t>
      </w:r>
      <w:r>
        <w:rPr>
          <w:rFonts w:hint="eastAsia" w:ascii="仿宋_GB2312" w:hAnsi="仿宋_GB2312" w:eastAsia="仿宋_GB2312" w:cs="仿宋_GB2312"/>
          <w:sz w:val="32"/>
          <w:szCs w:val="32"/>
          <w:lang w:val="en" w:eastAsia="zh-CN"/>
        </w:rPr>
        <w:t>，每座加油站检测内容不少于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项</w:t>
      </w:r>
      <w:r>
        <w:rPr>
          <w:rFonts w:hint="default" w:ascii="仿宋_GB2312" w:hAnsi="仿宋_GB2312" w:eastAsia="仿宋_GB2312" w:cs="仿宋_GB2312"/>
          <w:sz w:val="32"/>
          <w:szCs w:val="32"/>
          <w:lang w:val="en" w:eastAsia="zh-CN"/>
        </w:rPr>
        <w:t>。</w:t>
      </w:r>
    </w:p>
    <w:p w14:paraId="7D7F7B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D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等线"/>
      <w:sz w:val="24"/>
      <w:szCs w:val="24"/>
    </w:rPr>
  </w:style>
  <w:style w:type="paragraph" w:customStyle="1" w:styleId="5">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2026-06-15T05:52:05Z</dcterms:created>
  <dc:creator>darren</dc:creator>
  <cp:lastModifiedBy>时间语录</cp:lastModifiedBy>
  <dcterms:modified xsi:type="dcterms:W3CDTF">2026-06-15T05:52:34Z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eyJoZGlkIjoiMDdjY2JhZDE0Y2NlZDlhMWI3ODJhNjRhM2Y0NDdhNDIiLCJ1c2VySWQiOiI2ODIxODQ1NDMifQ==</vt:lpwstr>
  </property>
  <property fmtid="{D5CDD505-2E9C-101B-9397-08002B2CF9AE}" pid="4" name="ICV">
    <vt:lpwstr>658F369DDDC74D43972A75C1A59D2D11_12</vt:lpwstr>
  </property>
</Properties>
</file>