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10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b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年度第十九批达国</w:t>
      </w:r>
      <w:r>
        <w:rPr>
          <w:rFonts w:hint="eastAsia" w:ascii="宋体" w:hAnsi="宋体"/>
          <w:b/>
          <w:color w:val="auto"/>
          <w:sz w:val="36"/>
        </w:rPr>
        <w:t>Ⅴ</w:t>
      </w:r>
      <w:r>
        <w:rPr>
          <w:rFonts w:hint="eastAsia" w:ascii="STSongStd-Light" w:hAnsi="STSongStd-Light"/>
          <w:b/>
          <w:color w:val="auto"/>
          <w:sz w:val="36"/>
        </w:rPr>
        <w:t>排放标准的重型柴油发动机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b/>
          <w:color w:val="auto"/>
          <w:sz w:val="36"/>
        </w:rPr>
        <w:t xml:space="preserve"> </w:t>
      </w: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610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、北汽福田汽车股份有限公司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4J28TC5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4J28TC5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CB18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CRI1.4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JP48 (</w:t>
      </w:r>
      <w:r>
        <w:rPr>
          <w:rFonts w:hint="eastAsia" w:ascii="STSongStd-Light" w:hAnsi="STSongStd-Light"/>
          <w:sz w:val="24"/>
        </w:rPr>
        <w:t>宁波威孚天力增压技术有限公司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EGS-NX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5A101DC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5A101SR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5UD101W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OBD2+NOX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611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、上汽菲亚特红岩动力总成有限公司</w:t>
      </w:r>
      <w:bookmarkEnd w:id="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F2CCE611A*L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F2CCE611C*L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F2CCE611B*L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F2CCE611D*L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F2CCE611D*L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CR/CP3S3/L110/30-789S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HX40W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5WK97101 (</w:t>
      </w:r>
      <w:r>
        <w:rPr>
          <w:rFonts w:hint="eastAsia" w:ascii="STSongStd-Light" w:hAnsi="STSongStd-Light"/>
          <w:sz w:val="24"/>
        </w:rPr>
        <w:t>大陆汽车电子（长春）有限公司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 xml:space="preserve">CX-SFH-01-A ( 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KL-OBD-02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F2CCE611B*L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CR/CP3S3/L110/30-789S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HX40W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5WK97101 (</w:t>
      </w:r>
      <w:r>
        <w:rPr>
          <w:rFonts w:hint="eastAsia" w:ascii="STSongStd-Light" w:hAnsi="STSongStd-Light"/>
          <w:sz w:val="24"/>
        </w:rPr>
        <w:t>大陆汽车电子（长春）有限公司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CX-SFH-01-A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KL-OBD-02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F2CCE611A*L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CR/CP3S3/L110/30-789S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HX52W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5WK97101 (</w:t>
      </w:r>
      <w:r>
        <w:rPr>
          <w:rFonts w:hint="eastAsia" w:ascii="STSongStd-Light" w:hAnsi="STSongStd-Light"/>
          <w:sz w:val="24"/>
        </w:rPr>
        <w:t>大陆汽车电子（长春）有限公司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CX-SFH-01-A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KL-OBD-02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F2CCE611C*L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CR/CP3S3/L110/30-789S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HX40W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5WK97101 (</w:t>
      </w:r>
      <w:r>
        <w:rPr>
          <w:rFonts w:hint="eastAsia" w:ascii="STSongStd-Light" w:hAnsi="STSongStd-Light"/>
          <w:sz w:val="24"/>
        </w:rPr>
        <w:t>大陆汽车电子（长春）有限公司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CX-SFH-01-A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KL-OBD-02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F3HCE611A*L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F3HCE611C*L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F3HCE611B*L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F3HCE611B*L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SFHCPN2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SFHCRIN2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HE500WG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5WK97101 (</w:t>
      </w:r>
      <w:r>
        <w:rPr>
          <w:rFonts w:hint="eastAsia" w:ascii="STSongStd-Light" w:hAnsi="STSongStd-Light"/>
          <w:sz w:val="24"/>
        </w:rPr>
        <w:t>大陆汽车电子（长春）有限公司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CX-SFH-02-A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KL-OBD-02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F3HCE611C*L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SFHCPN2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SFHCRIN2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HE500WG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5WK97101 (</w:t>
      </w:r>
      <w:r>
        <w:rPr>
          <w:rFonts w:hint="eastAsia" w:ascii="STSongStd-Light" w:hAnsi="STSongStd-Light"/>
          <w:sz w:val="24"/>
        </w:rPr>
        <w:t>大陆汽车电子（长春）有限公司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CX-SFH-02-A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KL-OBD-02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F3HCE611A*L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SFHCPN2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SFHCRIN2 (</w:t>
      </w:r>
      <w:r>
        <w:rPr>
          <w:rFonts w:hint="eastAsia" w:ascii="STSongStd-Light" w:hAnsi="STSongStd-Light"/>
          <w:sz w:val="24"/>
        </w:rPr>
        <w:t>博世汽车柴油系统有限公司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HE500WG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5WK97101 (</w:t>
      </w:r>
      <w:r>
        <w:rPr>
          <w:rFonts w:hint="eastAsia" w:ascii="STSongStd-Light" w:hAnsi="STSongStd-Light"/>
          <w:sz w:val="24"/>
        </w:rPr>
        <w:t>大陆汽车电子（长春）有限公司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CX-SFH-02-A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KL-JP-01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KL-OBD-02 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02DA61A1"/>
    <w:rsid w:val="1B7E758D"/>
    <w:rsid w:val="2F1E7A2D"/>
    <w:rsid w:val="35B234F9"/>
    <w:rsid w:val="4E442B88"/>
    <w:rsid w:val="50CA33FC"/>
    <w:rsid w:val="64281C78"/>
    <w:rsid w:val="64C916DB"/>
    <w:rsid w:val="75FB6910"/>
    <w:rsid w:val="7C910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