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4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年度第四批达第六阶段排放标准重型柴油车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、</w:t>
      </w:r>
      <w:r>
        <w:rPr>
          <w:rFonts w:hint="default" w:ascii="STSongStd-Light" w:hAnsi="STSongStd-Light"/>
          <w:b/>
          <w:color w:val="auto"/>
          <w:sz w:val="36"/>
        </w:rPr>
        <w:t>DPF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45483577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、北汽福田汽车股份有限公司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BJ5082ZYSE5-H1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压缩式垃圾车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ISF3.8E6154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26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SCRVO25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DPF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DPFPO15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DOCP010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Emitec Gen 3 Dosing System (Emitec)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C5102"/>
    <w:rsid w:val="08BE627B"/>
    <w:rsid w:val="123E5A94"/>
    <w:rsid w:val="21EC5102"/>
    <w:rsid w:val="7A8B14D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2016-03-15T05:17:00Z</dcterms:created>
  <dc:creator>Administrator</dc:creator>
  <cp:lastModifiedBy>Administrator</cp:lastModifiedBy>
  <dcterms:modified xsi:type="dcterms:W3CDTF">2016-03-15T05:28:03Z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2052-10.1.0.5554</vt:lpwstr>
  </property>
</Properties>
</file>