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 w:line="600" w:lineRule="atLeast"/>
        <w:jc w:val="both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7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b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更改、补充以前发布车型目录</w:t>
      </w: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一、更改补充</w:t>
      </w:r>
      <w:r>
        <w:rPr>
          <w:rFonts w:hint="default" w:ascii="STSongStd-Light" w:hAnsi="STSongStd-Light"/>
          <w:b/>
          <w:color w:val="auto"/>
          <w:sz w:val="28"/>
        </w:rPr>
        <w:t>2014</w:t>
      </w:r>
      <w:r>
        <w:rPr>
          <w:rFonts w:hint="eastAsia" w:ascii="STSongStd-Light" w:hAnsi="STSongStd-Light"/>
          <w:b/>
          <w:color w:val="auto"/>
          <w:sz w:val="28"/>
        </w:rPr>
        <w:t>年度第十五批车型目录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9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84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0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BJ6650EVCA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类型</w:t>
      </w:r>
      <w:r>
        <w:rPr>
          <w:rFonts w:hint="default" w:ascii="STSongStd-Light" w:hAnsi="STSongStd-Light"/>
          <w:sz w:val="24"/>
        </w:rPr>
        <w:t>:1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电动机型号</w:t>
      </w:r>
      <w:r>
        <w:rPr>
          <w:rFonts w:hint="default" w:ascii="STSongStd-Light" w:hAnsi="STSongStd-Light"/>
          <w:sz w:val="24"/>
        </w:rPr>
        <w:t>:TM5009,FTTB115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电池型号</w:t>
      </w:r>
      <w:r>
        <w:rPr>
          <w:rFonts w:hint="default" w:ascii="STSongStd-Light" w:hAnsi="STSongStd-Light"/>
          <w:sz w:val="24"/>
        </w:rPr>
        <w:t>:MV06203127NPP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hAnsi="STSongStd-Light"/>
          <w:b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二、更改补充</w:t>
      </w:r>
      <w:r>
        <w:rPr>
          <w:rFonts w:hint="default" w:ascii="STSongStd-Light" w:hAnsi="STSongStd-Light"/>
          <w:b/>
          <w:color w:val="auto"/>
          <w:sz w:val="28"/>
        </w:rPr>
        <w:t>2014</w:t>
      </w:r>
      <w:r>
        <w:rPr>
          <w:rFonts w:hint="eastAsia" w:ascii="STSongStd-Light" w:hAnsi="STSongStd-Light"/>
          <w:b/>
          <w:color w:val="auto"/>
          <w:sz w:val="28"/>
        </w:rPr>
        <w:t>年度第十六批车型目录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5483585"/>
      <w:r>
        <w:rPr>
          <w:rFonts w:hint="default" w:ascii="Times New Roman" w:hAnsi="Times New Roman"/>
          <w:sz w:val="24"/>
        </w:rPr>
        <w:t>43</w:t>
      </w:r>
      <w:r>
        <w:rPr>
          <w:rFonts w:hint="eastAsia" w:ascii="Times New Roman" w:hAnsi="Times New Roman"/>
          <w:sz w:val="24"/>
        </w:rPr>
        <w:t>、华晨汽车集团控股有限公司</w:t>
      </w:r>
      <w:bookmarkEnd w:id="1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SY7150E4SBAC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HCADF1501F(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HCADF1501R(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QXTZ80(</w:t>
      </w:r>
      <w:r>
        <w:rPr>
          <w:rFonts w:hint="eastAsia" w:ascii="STSongStd-Light" w:hAnsi="STSongStd-Light"/>
          <w:sz w:val="24"/>
        </w:rPr>
        <w:t>南京宏铮机电有限公司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SY7150E4SBAD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 xml:space="preserve"> 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QXTZ80(</w:t>
      </w:r>
      <w:r>
        <w:rPr>
          <w:rFonts w:hint="eastAsia" w:ascii="STSongStd-Light" w:hAnsi="STSongStd-Light"/>
          <w:sz w:val="24"/>
        </w:rPr>
        <w:t>南京宏铮机电有限公司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QXTZ80(</w:t>
      </w:r>
      <w:r>
        <w:rPr>
          <w:rFonts w:hint="eastAsia" w:ascii="STSongStd-Light" w:hAnsi="STSongStd-Light"/>
          <w:sz w:val="24"/>
        </w:rPr>
        <w:t>南京宏铮机电有限公司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 xml:space="preserve"> 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,GL-I(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HCADF1501F(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HCADF1501R(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SY7150E4ZBAC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HCADF1501R(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HCADF1501F(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SY7150E4ZBAD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 xml:space="preserve"> 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,GL-I(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 xml:space="preserve"> 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QXTZ80(</w:t>
      </w:r>
      <w:r>
        <w:rPr>
          <w:rFonts w:hint="eastAsia" w:ascii="STSongStd-Light" w:hAnsi="STSongStd-Light"/>
          <w:sz w:val="24"/>
        </w:rPr>
        <w:t>南京宏铮机电有限公司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HC2L12005(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HC2L12006(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QXTZ80(</w:t>
      </w:r>
      <w:r>
        <w:rPr>
          <w:rFonts w:hint="eastAsia" w:ascii="STSongStd-Light" w:hAnsi="STSongStd-Light"/>
          <w:sz w:val="24"/>
        </w:rPr>
        <w:t>南京宏铮机电有限公司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BM15TB (</w:t>
      </w:r>
      <w:r>
        <w:rPr>
          <w:rFonts w:hint="eastAsia" w:ascii="STSongStd-Light" w:hAnsi="STSongStd-Light"/>
          <w:sz w:val="24"/>
        </w:rPr>
        <w:t>沈阳华晨金杯汽车有限公司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HCADF1501R(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HCADF1501F(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Times New Roman" w:hAnsi="Times New Roman"/>
          <w:color w:val="auto"/>
          <w:sz w:val="28"/>
        </w:rPr>
        <w:t>三、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年度第六批车型目录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6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5483586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、川崎重工摩托车（泰国）制造有限公司</w:t>
      </w:r>
      <w:bookmarkEnd w:id="2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ER250D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widowControl/>
        <w:autoSpaceDE/>
        <w:autoSpaceDN/>
        <w:adjustRightInd/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ECU(</w:t>
      </w:r>
      <w:r>
        <w:rPr>
          <w:rFonts w:hint="eastAsia" w:ascii="STSongStd-Light" w:hAnsi="STSongStd-Light"/>
          <w:color w:val="auto"/>
          <w:sz w:val="24"/>
        </w:rPr>
        <w:t>生产厂</w:t>
      </w:r>
      <w:r>
        <w:rPr>
          <w:rFonts w:hint="default" w:ascii="STSongStd-Light" w:hAnsi="STSongStd-Light"/>
          <w:color w:val="auto"/>
          <w:sz w:val="24"/>
        </w:rPr>
        <w:t>)</w:t>
      </w:r>
      <w:r>
        <w:rPr>
          <w:rFonts w:hint="eastAsia" w:ascii="STSongStd-Light" w:hAnsi="STSongStd-Light"/>
          <w:color w:val="auto"/>
          <w:sz w:val="24"/>
        </w:rPr>
        <w:t>原发布为：</w:t>
      </w:r>
      <w:r>
        <w:rPr>
          <w:rFonts w:hint="default" w:ascii="STSongStd-Light" w:hAnsi="STSongStd-Light"/>
          <w:color w:val="auto"/>
          <w:sz w:val="24"/>
        </w:rPr>
        <w:t>DENSO (MALAYSIA)SDN.BHD.</w:t>
      </w:r>
    </w:p>
    <w:p>
      <w:pPr>
        <w:widowControl/>
        <w:autoSpaceDE/>
        <w:autoSpaceDN/>
        <w:adjustRightInd/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ECU(</w:t>
      </w:r>
      <w:r>
        <w:rPr>
          <w:rFonts w:hint="eastAsia" w:ascii="STSongStd-Light" w:hAnsi="STSongStd-Light"/>
          <w:color w:val="auto"/>
          <w:sz w:val="24"/>
        </w:rPr>
        <w:t>生产厂</w:t>
      </w:r>
      <w:r>
        <w:rPr>
          <w:rFonts w:hint="default" w:ascii="STSongStd-Light" w:hAnsi="STSongStd-Light"/>
          <w:color w:val="auto"/>
          <w:sz w:val="24"/>
        </w:rPr>
        <w:t>)</w:t>
      </w:r>
      <w:r>
        <w:rPr>
          <w:rFonts w:hint="eastAsia" w:ascii="STSongStd-Light" w:hAnsi="STSongStd-Light"/>
          <w:color w:val="auto"/>
          <w:sz w:val="24"/>
        </w:rPr>
        <w:t>现更改为：</w:t>
      </w:r>
      <w:r>
        <w:rPr>
          <w:rFonts w:hint="default" w:ascii="STSongStd-Light" w:hAnsi="STSongStd-Light"/>
          <w:color w:val="auto"/>
          <w:sz w:val="24"/>
        </w:rPr>
        <w:t>PT.DENSO INDONESIA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hAnsi="STSongStd-Light"/>
          <w:b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四、更改补充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年度第十批车型目录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Times New Roman" w:hAnsi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附件</w:t>
      </w:r>
      <w:r>
        <w:rPr>
          <w:rFonts w:hint="default" w:ascii="Times New Roman" w:hAnsi="Times New Roman"/>
          <w:color w:val="auto"/>
          <w:sz w:val="24"/>
        </w:rPr>
        <w:t>2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Times New Roman" w:hAnsi="Times New Roman"/>
          <w:color w:val="auto"/>
          <w:sz w:val="24"/>
        </w:rPr>
        <w:t>10</w:t>
      </w:r>
      <w:r>
        <w:rPr>
          <w:rFonts w:hint="eastAsia" w:ascii="Times New Roman" w:hAnsi="Times New Roman"/>
          <w:color w:val="auto"/>
          <w:sz w:val="24"/>
        </w:rPr>
        <w:t>、</w:t>
      </w:r>
      <w:r>
        <w:rPr>
          <w:rFonts w:hint="default" w:ascii="Times New Roman" w:hAnsi="Times New Roman"/>
          <w:color w:val="auto"/>
          <w:sz w:val="24"/>
        </w:rPr>
        <w:t xml:space="preserve"> </w:t>
      </w:r>
      <w:r>
        <w:rPr>
          <w:rFonts w:hint="default" w:ascii="STSongStd-Light" w:hAnsi="STSongStd-Light"/>
          <w:color w:val="auto"/>
          <w:sz w:val="24"/>
        </w:rPr>
        <w:t>BJ6113U8MHB-3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YC6L280-58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Sensor(Continental)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3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3" w:name="_Toc445483587"/>
      <w:r>
        <w:rPr>
          <w:rFonts w:hint="default" w:ascii="Times New Roman" w:hAnsi="Times New Roman"/>
          <w:color w:val="auto"/>
          <w:sz w:val="24"/>
        </w:rPr>
        <w:t>3</w:t>
      </w:r>
      <w:r>
        <w:rPr>
          <w:rFonts w:hint="eastAsia" w:ascii="Times New Roman" w:hAnsi="Times New Roman"/>
          <w:color w:val="auto"/>
          <w:sz w:val="24"/>
        </w:rPr>
        <w:t>、北汽福田汽车股份有限公司</w:t>
      </w:r>
      <w:bookmarkEnd w:id="3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BJ6120U8BHB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发动机：</w:t>
      </w:r>
      <w:r>
        <w:rPr>
          <w:rFonts w:hint="default" w:ascii="STSongStd-Light" w:hAnsi="STSongStd-Light"/>
          <w:color w:val="auto"/>
          <w:sz w:val="24"/>
        </w:rPr>
        <w:t>WP7.300E55 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喷油泵型号：</w:t>
      </w:r>
      <w:r>
        <w:rPr>
          <w:rFonts w:hint="default" w:ascii="STSongStd-Light" w:hAnsi="STSongStd-Light"/>
          <w:color w:val="auto"/>
          <w:sz w:val="24"/>
        </w:rPr>
        <w:t>WPCPN2(BOSCH)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喷油器型号：</w:t>
      </w:r>
      <w:r>
        <w:rPr>
          <w:rFonts w:hint="default" w:ascii="STSongStd-Light" w:hAnsi="STSongStd-Light"/>
          <w:color w:val="auto"/>
          <w:sz w:val="24"/>
        </w:rPr>
        <w:t>WPCRIN2(BOSCH)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增压器型号：</w:t>
      </w:r>
      <w:r>
        <w:rPr>
          <w:rFonts w:hint="default" w:ascii="STSongStd-Light" w:hAnsi="STSongStd-Light"/>
          <w:color w:val="auto"/>
          <w:sz w:val="24"/>
        </w:rPr>
        <w:t>GT35 (</w:t>
      </w:r>
      <w:r>
        <w:rPr>
          <w:rFonts w:hint="eastAsia" w:ascii="STSongStd-Light" w:hAnsi="STSongStd-Light"/>
          <w:color w:val="auto"/>
          <w:sz w:val="24"/>
        </w:rPr>
        <w:t>霍尼韦尔汽车零部件服务</w:t>
      </w: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上海</w:t>
      </w:r>
      <w:r>
        <w:rPr>
          <w:rFonts w:hint="default" w:ascii="STSongStd-Light" w:hAnsi="STSongStd-Light"/>
          <w:color w:val="auto"/>
          <w:sz w:val="24"/>
        </w:rPr>
        <w:t>)</w:t>
      </w:r>
      <w:r>
        <w:rPr>
          <w:rFonts w:hint="eastAsia" w:ascii="STSongStd-Light" w:hAnsi="STSongStd-Light"/>
          <w:color w:val="auto"/>
          <w:sz w:val="24"/>
        </w:rPr>
        <w:t>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OBD</w:t>
      </w:r>
      <w:r>
        <w:rPr>
          <w:rFonts w:hint="eastAsia" w:ascii="STSongStd-Light" w:hAnsi="STSongStd-Light"/>
          <w:color w:val="auto"/>
          <w:sz w:val="24"/>
        </w:rPr>
        <w:t>型号：</w:t>
      </w:r>
      <w:r>
        <w:rPr>
          <w:rFonts w:hint="default" w:ascii="STSongStd-Light" w:hAnsi="STSongStd-Light"/>
          <w:color w:val="auto"/>
          <w:sz w:val="24"/>
        </w:rPr>
        <w:t>WPOBD2.0(BOSCH)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DOC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系统尿素计量泵型号：</w:t>
      </w:r>
      <w:r>
        <w:rPr>
          <w:rFonts w:hint="default" w:ascii="STSongStd-Light" w:hAnsi="STSongStd-Light"/>
          <w:color w:val="auto"/>
          <w:sz w:val="24"/>
        </w:rPr>
        <w:t>WPSM-001(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NOX</w:t>
      </w:r>
      <w:r>
        <w:rPr>
          <w:rFonts w:hint="eastAsia" w:ascii="STSongStd-Light" w:hAnsi="STSongStd-Light"/>
          <w:color w:val="auto"/>
          <w:sz w:val="24"/>
        </w:rPr>
        <w:t>传感器型号：</w:t>
      </w:r>
      <w:r>
        <w:rPr>
          <w:rFonts w:hint="default" w:ascii="STSongStd-Light" w:hAnsi="STSongStd-Light"/>
          <w:color w:val="auto"/>
          <w:sz w:val="24"/>
        </w:rPr>
        <w:t>UNINOx Sensor (CONTINENTAL)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发动机：</w:t>
      </w:r>
      <w:r>
        <w:rPr>
          <w:rFonts w:hint="default" w:ascii="STSongStd-Light" w:hAnsi="STSongStd-Light"/>
          <w:color w:val="auto"/>
          <w:sz w:val="24"/>
        </w:rPr>
        <w:t>WP7.300E55 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喷油泵型号：</w:t>
      </w:r>
      <w:r>
        <w:rPr>
          <w:rFonts w:hint="default" w:ascii="STSongStd-Light" w:hAnsi="STSongStd-Light"/>
          <w:color w:val="auto"/>
          <w:sz w:val="24"/>
        </w:rPr>
        <w:t>WPCPN2(BOSCH)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喷油器型号：</w:t>
      </w:r>
      <w:r>
        <w:rPr>
          <w:rFonts w:hint="default" w:ascii="STSongStd-Light" w:hAnsi="STSongStd-Light"/>
          <w:color w:val="auto"/>
          <w:sz w:val="24"/>
        </w:rPr>
        <w:t>WPCRIN2(BOSCH)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增压器型号：</w:t>
      </w:r>
      <w:r>
        <w:rPr>
          <w:rFonts w:hint="default" w:ascii="STSongStd-Light" w:hAnsi="STSongStd-Light"/>
          <w:color w:val="auto"/>
          <w:sz w:val="24"/>
        </w:rPr>
        <w:t>GT35 (</w:t>
      </w:r>
      <w:r>
        <w:rPr>
          <w:rFonts w:hint="eastAsia" w:ascii="STSongStd-Light" w:hAnsi="STSongStd-Light"/>
          <w:color w:val="auto"/>
          <w:sz w:val="24"/>
        </w:rPr>
        <w:t>霍尼韦尔汽车零部件服务</w:t>
      </w: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上海</w:t>
      </w:r>
      <w:r>
        <w:rPr>
          <w:rFonts w:hint="default" w:ascii="STSongStd-Light" w:hAnsi="STSongStd-Light"/>
          <w:color w:val="auto"/>
          <w:sz w:val="24"/>
        </w:rPr>
        <w:t>)</w:t>
      </w:r>
      <w:r>
        <w:rPr>
          <w:rFonts w:hint="eastAsia" w:ascii="STSongStd-Light" w:hAnsi="STSongStd-Light"/>
          <w:color w:val="auto"/>
          <w:sz w:val="24"/>
        </w:rPr>
        <w:t>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OBD</w:t>
      </w:r>
      <w:r>
        <w:rPr>
          <w:rFonts w:hint="eastAsia" w:ascii="STSongStd-Light" w:hAnsi="STSongStd-Light"/>
          <w:color w:val="auto"/>
          <w:sz w:val="24"/>
        </w:rPr>
        <w:t>型号：</w:t>
      </w:r>
      <w:r>
        <w:rPr>
          <w:rFonts w:hint="default" w:ascii="STSongStd-Light" w:hAnsi="STSongStd-Light"/>
          <w:color w:val="auto"/>
          <w:sz w:val="24"/>
        </w:rPr>
        <w:t>WPOBD2.0(BOSCH)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DPF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DOC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系统尿素计量泵型号：</w:t>
      </w:r>
      <w:r>
        <w:rPr>
          <w:rFonts w:hint="default" w:ascii="STSongStd-Light" w:hAnsi="STSongStd-Light"/>
          <w:color w:val="auto"/>
          <w:sz w:val="24"/>
        </w:rPr>
        <w:t>WPSM-001(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NOX</w:t>
      </w:r>
      <w:r>
        <w:rPr>
          <w:rFonts w:hint="eastAsia" w:ascii="STSongStd-Light" w:hAnsi="STSongStd-Light"/>
          <w:color w:val="auto"/>
          <w:sz w:val="24"/>
        </w:rPr>
        <w:t>传感器型号：</w:t>
      </w:r>
      <w:r>
        <w:rPr>
          <w:rFonts w:hint="default" w:ascii="STSongStd-Light" w:hAnsi="STSongStd-Light"/>
          <w:color w:val="auto"/>
          <w:sz w:val="24"/>
        </w:rPr>
        <w:t>UNINOx Sensor (CONTINENTAL)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发动机：</w:t>
      </w:r>
      <w:r>
        <w:rPr>
          <w:rFonts w:hint="default" w:ascii="STSongStd-Light" w:hAnsi="STSongStd-Light"/>
          <w:color w:val="auto"/>
          <w:sz w:val="24"/>
        </w:rPr>
        <w:t>WP7.300E55 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喷油泵型号：</w:t>
      </w:r>
      <w:r>
        <w:rPr>
          <w:rFonts w:hint="default" w:ascii="STSongStd-Light" w:hAnsi="STSongStd-Light"/>
          <w:color w:val="auto"/>
          <w:sz w:val="24"/>
        </w:rPr>
        <w:t>WPCPN2(BOSCH)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喷油器型号：</w:t>
      </w:r>
      <w:r>
        <w:rPr>
          <w:rFonts w:hint="default" w:ascii="STSongStd-Light" w:hAnsi="STSongStd-Light"/>
          <w:color w:val="auto"/>
          <w:sz w:val="24"/>
        </w:rPr>
        <w:t>WPCRIN2(BOSCH)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增压器型号：</w:t>
      </w:r>
      <w:r>
        <w:rPr>
          <w:rFonts w:hint="default" w:ascii="STSongStd-Light" w:hAnsi="STSongStd-Light"/>
          <w:color w:val="auto"/>
          <w:sz w:val="24"/>
        </w:rPr>
        <w:t>HX40W(</w:t>
      </w:r>
      <w:r>
        <w:rPr>
          <w:rFonts w:hint="eastAsia" w:ascii="STSongStd-Light" w:hAnsi="STSongStd-Light"/>
          <w:color w:val="auto"/>
          <w:sz w:val="24"/>
        </w:rPr>
        <w:t>无锡康明斯涡轮增压技术有限公司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OBD</w:t>
      </w:r>
      <w:r>
        <w:rPr>
          <w:rFonts w:hint="eastAsia" w:ascii="STSongStd-Light" w:hAnsi="STSongStd-Light"/>
          <w:color w:val="auto"/>
          <w:sz w:val="24"/>
        </w:rPr>
        <w:t>型号：</w:t>
      </w:r>
      <w:r>
        <w:rPr>
          <w:rFonts w:hint="default" w:ascii="STSongStd-Light" w:hAnsi="STSongStd-Light"/>
          <w:color w:val="auto"/>
          <w:sz w:val="24"/>
        </w:rPr>
        <w:t>WPOBD2.0(BOSCH)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DOC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系统尿素计量泵型号：</w:t>
      </w:r>
      <w:r>
        <w:rPr>
          <w:rFonts w:hint="default" w:ascii="STSongStd-Light" w:hAnsi="STSongStd-Light"/>
          <w:color w:val="auto"/>
          <w:sz w:val="24"/>
        </w:rPr>
        <w:t>WPSM-001(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NOX</w:t>
      </w:r>
      <w:r>
        <w:rPr>
          <w:rFonts w:hint="eastAsia" w:ascii="STSongStd-Light" w:hAnsi="STSongStd-Light"/>
          <w:color w:val="auto"/>
          <w:sz w:val="24"/>
        </w:rPr>
        <w:t>传感器型号：</w:t>
      </w:r>
      <w:r>
        <w:rPr>
          <w:rFonts w:hint="default" w:ascii="STSongStd-Light" w:hAnsi="STSongStd-Light"/>
          <w:color w:val="auto"/>
          <w:sz w:val="24"/>
        </w:rPr>
        <w:t>UNINOx Sensor (CONTINENTAL)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发动机：</w:t>
      </w:r>
      <w:r>
        <w:rPr>
          <w:rFonts w:hint="default" w:ascii="STSongStd-Light" w:hAnsi="STSongStd-Light"/>
          <w:color w:val="auto"/>
          <w:sz w:val="24"/>
        </w:rPr>
        <w:t>WP7.300E55 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喷油泵型号：</w:t>
      </w:r>
      <w:r>
        <w:rPr>
          <w:rFonts w:hint="default" w:ascii="STSongStd-Light" w:hAnsi="STSongStd-Light"/>
          <w:color w:val="auto"/>
          <w:sz w:val="24"/>
        </w:rPr>
        <w:t>WPCPN2(BOSCH)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喷油器型号：</w:t>
      </w:r>
      <w:r>
        <w:rPr>
          <w:rFonts w:hint="default" w:ascii="STSongStd-Light" w:hAnsi="STSongStd-Light"/>
          <w:color w:val="auto"/>
          <w:sz w:val="24"/>
        </w:rPr>
        <w:t>WPCRIN2(BOSCH)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增压器型号：</w:t>
      </w:r>
      <w:r>
        <w:rPr>
          <w:rFonts w:hint="default" w:ascii="STSongStd-Light" w:hAnsi="STSongStd-Light"/>
          <w:color w:val="auto"/>
          <w:sz w:val="24"/>
        </w:rPr>
        <w:t>HX40W(</w:t>
      </w:r>
      <w:r>
        <w:rPr>
          <w:rFonts w:hint="eastAsia" w:ascii="STSongStd-Light" w:hAnsi="STSongStd-Light"/>
          <w:color w:val="auto"/>
          <w:sz w:val="24"/>
        </w:rPr>
        <w:t>无锡康明斯涡轮增压技术有限公司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OBD</w:t>
      </w:r>
      <w:r>
        <w:rPr>
          <w:rFonts w:hint="eastAsia" w:ascii="STSongStd-Light" w:hAnsi="STSongStd-Light"/>
          <w:color w:val="auto"/>
          <w:sz w:val="24"/>
        </w:rPr>
        <w:t>型号：</w:t>
      </w:r>
      <w:r>
        <w:rPr>
          <w:rFonts w:hint="default" w:ascii="STSongStd-Light" w:hAnsi="STSongStd-Light"/>
          <w:color w:val="auto"/>
          <w:sz w:val="24"/>
        </w:rPr>
        <w:t>WPOBD2.0(BOSCH)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DPF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DOC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WPSCR-002(</w:t>
      </w:r>
      <w:r>
        <w:rPr>
          <w:rFonts w:hint="eastAsia" w:ascii="STSongStd-Light" w:hAnsi="STSongStd-Light"/>
          <w:color w:val="auto"/>
          <w:sz w:val="24"/>
        </w:rPr>
        <w:t>潍柴动力空气净化科技有限公司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系统尿素计量泵型号：</w:t>
      </w:r>
      <w:r>
        <w:rPr>
          <w:rFonts w:hint="default" w:ascii="STSongStd-Light" w:hAnsi="STSongStd-Light"/>
          <w:color w:val="auto"/>
          <w:sz w:val="24"/>
        </w:rPr>
        <w:t>WPSM-001(</w:t>
      </w:r>
      <w:r>
        <w:rPr>
          <w:rFonts w:hint="eastAsia" w:ascii="STSongStd-Light" w:hAnsi="STSongStd-Light"/>
          <w:color w:val="auto"/>
          <w:sz w:val="24"/>
        </w:rPr>
        <w:t>潍柴动力股份有限公司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NOX</w:t>
      </w:r>
      <w:r>
        <w:rPr>
          <w:rFonts w:hint="eastAsia" w:ascii="STSongStd-Light" w:hAnsi="STSongStd-Light"/>
          <w:color w:val="auto"/>
          <w:sz w:val="24"/>
        </w:rPr>
        <w:t>传感器型号：</w:t>
      </w:r>
      <w:r>
        <w:rPr>
          <w:rFonts w:hint="default" w:ascii="STSongStd-Light" w:hAnsi="STSongStd-Light"/>
          <w:color w:val="auto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28"/>
        </w:rPr>
      </w:pPr>
      <w:r>
        <w:rPr>
          <w:rFonts w:hint="eastAsia" w:ascii="Times New Roman" w:hAnsi="Times New Roman"/>
          <w:color w:val="auto"/>
          <w:sz w:val="28"/>
        </w:rPr>
        <w:t>五、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年度第十一批车型目录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5483588"/>
      <w:r>
        <w:rPr>
          <w:rFonts w:hint="default" w:ascii="Times New Roman" w:hAnsi="Times New Roman"/>
          <w:sz w:val="24"/>
        </w:rPr>
        <w:t>27</w:t>
      </w:r>
      <w:r>
        <w:rPr>
          <w:rFonts w:hint="eastAsia" w:ascii="Times New Roman" w:hAnsi="Times New Roman"/>
          <w:sz w:val="24"/>
        </w:rPr>
        <w:t>、长安福特汽车有限公司</w:t>
      </w:r>
      <w:bookmarkEnd w:id="4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CAF7202A52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E1GA-9Y460-G*(ROBERT BOSCH/)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DS7A-9G444-C*(ROBERT BOSCH)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E1GA-9Y460-G*(ROBERT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DS7A-9G444-C*(ROBERT 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E1GA-9Y460-G*(ROBERT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HS7A-9G444-A*(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CAF7202A51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E1GA-9Y460-G*(ROBERT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HS7A-9G444-A*(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Times New Roman" w:hAnsi="Times New Roman"/>
          <w:color w:val="auto"/>
          <w:sz w:val="28"/>
        </w:rPr>
        <w:t>六、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2016</w:t>
      </w:r>
      <w:r>
        <w:rPr>
          <w:rFonts w:hint="eastAsia" w:ascii="STSongStd-Light" w:hAnsi="STSongStd-Light"/>
          <w:b/>
          <w:color w:val="auto"/>
          <w:sz w:val="28"/>
        </w:rPr>
        <w:t>年度第三批车型目录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5483589"/>
      <w:r>
        <w:rPr>
          <w:rFonts w:hint="default" w:ascii="Times New Roman" w:hAnsi="Times New Roman"/>
          <w:sz w:val="24"/>
        </w:rPr>
        <w:t>20</w:t>
      </w:r>
      <w:r>
        <w:rPr>
          <w:rFonts w:hint="eastAsia" w:ascii="Times New Roman" w:hAnsi="Times New Roman"/>
          <w:sz w:val="24"/>
        </w:rPr>
        <w:t>、长城汽车股份有限公司</w:t>
      </w:r>
      <w:bookmarkEnd w:id="5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CC6450UM09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V-AAAEICHZH-03(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V-AAAEICHZH-04(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V-AAAEICHZH-03(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V-AAAEICHZH-04(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b/>
          <w:color w:val="auto"/>
          <w:sz w:val="28"/>
        </w:rPr>
      </w:pPr>
      <w:r>
        <w:rPr>
          <w:rFonts w:hint="eastAsia" w:ascii="Times New Roman" w:hAnsi="Times New Roman"/>
          <w:b/>
          <w:color w:val="auto"/>
          <w:sz w:val="28"/>
        </w:rPr>
        <w:t>七、</w:t>
      </w:r>
      <w:r>
        <w:rPr>
          <w:rFonts w:hint="eastAsia" w:ascii="STSongStd-Light" w:hAnsi="STSongStd-Light"/>
          <w:b/>
          <w:color w:val="auto"/>
          <w:sz w:val="28"/>
        </w:rPr>
        <w:t>企业更名</w:t>
      </w:r>
    </w:p>
    <w:p>
      <w:pPr>
        <w:numPr>
          <w:ilvl w:val="0"/>
          <w:numId w:val="1"/>
        </w:numPr>
        <w:tabs>
          <w:tab w:val="left" w:pos="360"/>
        </w:tabs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原名为：潍坊潍柴道依茨柴油机有限公司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 xml:space="preserve">   </w:t>
      </w:r>
      <w:r>
        <w:rPr>
          <w:rFonts w:hint="eastAsia" w:ascii="STSongStd-Light" w:hAnsi="STSongStd-Light"/>
          <w:sz w:val="24"/>
        </w:rPr>
        <w:t>更名为：潍柴（潍坊）中型柴油机有限公司</w:t>
      </w:r>
    </w:p>
    <w:p>
      <w:pPr>
        <w:spacing w:beforeLines="0" w:afterLines="0" w:line="600" w:lineRule="atLeast"/>
        <w:jc w:val="both"/>
        <w:rPr>
          <w:rFonts w:hint="default" w:ascii="Times New Roman" w:eastAsia="Times New Roman"/>
          <w:b/>
          <w:color w:val="auto"/>
          <w:sz w:val="28"/>
        </w:rPr>
      </w:pPr>
      <w:r>
        <w:rPr>
          <w:rFonts w:hint="eastAsia" w:ascii="Times New Roman" w:hAnsi="Times New Roman"/>
          <w:b/>
          <w:color w:val="auto"/>
          <w:sz w:val="28"/>
        </w:rPr>
        <w:t>八、车型代号批量变更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1.</w:t>
      </w:r>
      <w:r>
        <w:rPr>
          <w:rFonts w:hint="eastAsia" w:ascii="STSongStd-Light" w:hAnsi="STSongStd-Light"/>
          <w:sz w:val="24"/>
        </w:rPr>
        <w:t>浙江天本车业有限公司</w:t>
      </w:r>
      <w:r>
        <w:rPr>
          <w:rFonts w:hint="default" w:ascii="STSongStd-Light" w:hAnsi="STSongStd-Light"/>
          <w:sz w:val="24"/>
        </w:rPr>
        <w:t xml:space="preserve"> </w:t>
      </w:r>
      <w:r>
        <w:rPr>
          <w:rFonts w:hint="eastAsia" w:ascii="STSongStd-Light" w:hAnsi="STSongStd-Light"/>
          <w:sz w:val="24"/>
        </w:rPr>
        <w:t>申请将车型代号：</w:t>
      </w:r>
      <w:r>
        <w:rPr>
          <w:rFonts w:hint="default" w:ascii="STSongStd-Light" w:hAnsi="STSongStd-Light"/>
          <w:sz w:val="24"/>
        </w:rPr>
        <w:t>GB</w:t>
      </w:r>
      <w:r>
        <w:rPr>
          <w:rFonts w:hint="eastAsia" w:ascii="STSongStd-Light" w:hAnsi="STSongStd-Light"/>
          <w:sz w:val="24"/>
        </w:rPr>
        <w:t>变更为：</w:t>
      </w:r>
      <w:r>
        <w:rPr>
          <w:rFonts w:hint="default" w:ascii="STSongStd-Light" w:hAnsi="STSongStd-Light"/>
          <w:sz w:val="24"/>
        </w:rPr>
        <w:t>BTL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default" w:ascii="Times New Roman" w:eastAsia="Times New Roman"/>
          <w:color w:val="auto"/>
          <w:sz w:val="24"/>
        </w:rPr>
        <w:tab/>
      </w:r>
      <w:r>
        <w:rPr>
          <w:rFonts w:hint="default" w:ascii="Times New Roman" w:hAnsi="Times New Roman"/>
          <w:color w:val="auto"/>
          <w:sz w:val="24"/>
        </w:rPr>
        <w:t xml:space="preserve">          </w:t>
      </w:r>
      <w:r>
        <w:rPr>
          <w:rFonts w:hint="eastAsia" w:ascii="Times New Roman" w:hAnsi="Times New Roman"/>
          <w:color w:val="auto"/>
          <w:sz w:val="24"/>
        </w:rPr>
        <w:t>变更的车型代号列表为：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tbl>
      <w:tblPr>
        <w:tblStyle w:val="4"/>
        <w:tblW w:w="942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55"/>
        <w:gridCol w:w="2355"/>
        <w:gridCol w:w="2355"/>
        <w:gridCol w:w="235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车型代号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车型名称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生产厂家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申报企业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GB100T-6C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GB100T-C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GB125T-2C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浙江弘州摩托车有限公司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浙江弘州摩托车有限公司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GB125T-2C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浙江弘州摩托车有限公司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浙江弘州摩托车有限公司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GB125T-3C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GB125T-4C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GB125T-5C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GB150T-9C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</w:tbl>
    <w:p>
      <w:pPr>
        <w:spacing w:beforeLines="0" w:afterLines="0"/>
        <w:rPr>
          <w:rFonts w:hint="default" w:ascii="STSongStd-Light" w:eastAsia="STSongStd-Light"/>
          <w:sz w:val="24"/>
        </w:rPr>
      </w:pP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2.</w:t>
      </w:r>
      <w:r>
        <w:rPr>
          <w:rFonts w:hint="eastAsia" w:ascii="STSongStd-Light" w:hAnsi="STSongStd-Light"/>
          <w:sz w:val="24"/>
        </w:rPr>
        <w:t>浙江天本车业有限公司</w:t>
      </w:r>
      <w:r>
        <w:rPr>
          <w:rFonts w:hint="default" w:ascii="STSongStd-Light" w:hAnsi="STSongStd-Light"/>
          <w:sz w:val="24"/>
        </w:rPr>
        <w:t xml:space="preserve"> </w:t>
      </w:r>
      <w:r>
        <w:rPr>
          <w:rFonts w:hint="eastAsia" w:ascii="STSongStd-Light" w:hAnsi="STSongStd-Light"/>
          <w:sz w:val="24"/>
        </w:rPr>
        <w:t>申请将车型代号：</w:t>
      </w:r>
      <w:r>
        <w:rPr>
          <w:rFonts w:hint="default" w:ascii="STSongStd-Light" w:hAnsi="STSongStd-Light"/>
          <w:sz w:val="24"/>
        </w:rPr>
        <w:t>TY</w:t>
      </w:r>
      <w:r>
        <w:rPr>
          <w:rFonts w:hint="eastAsia" w:ascii="STSongStd-Light" w:hAnsi="STSongStd-Light"/>
          <w:sz w:val="24"/>
        </w:rPr>
        <w:t>变更为：</w:t>
      </w:r>
      <w:r>
        <w:rPr>
          <w:rFonts w:hint="default" w:ascii="STSongStd-Light" w:hAnsi="STSongStd-Light"/>
          <w:sz w:val="24"/>
        </w:rPr>
        <w:t>TH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default" w:ascii="Times New Roman" w:eastAsia="Times New Roman"/>
          <w:color w:val="auto"/>
          <w:sz w:val="24"/>
        </w:rPr>
        <w:tab/>
      </w:r>
      <w:r>
        <w:rPr>
          <w:rFonts w:hint="default" w:ascii="Times New Roman" w:hAnsi="Times New Roman"/>
          <w:color w:val="auto"/>
          <w:sz w:val="24"/>
        </w:rPr>
        <w:t xml:space="preserve">          </w:t>
      </w:r>
      <w:r>
        <w:rPr>
          <w:rFonts w:hint="eastAsia" w:ascii="Times New Roman" w:hAnsi="Times New Roman"/>
          <w:color w:val="auto"/>
          <w:sz w:val="24"/>
        </w:rPr>
        <w:t>变更的车型代号列表为：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tbl>
      <w:tblPr>
        <w:tblStyle w:val="4"/>
        <w:tblW w:w="942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55"/>
        <w:gridCol w:w="2355"/>
        <w:gridCol w:w="2355"/>
        <w:gridCol w:w="235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车型代号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车型名称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生产厂家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申报企业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TY125T-5C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TY150T-9C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两轮摩托车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浙江天本车业有限公司</w:t>
            </w:r>
          </w:p>
        </w:tc>
      </w:tr>
    </w:tbl>
    <w:p>
      <w:pPr>
        <w:spacing w:beforeLines="0" w:afterLines="0"/>
        <w:rPr>
          <w:rFonts w:hint="default"/>
          <w:sz w:val="24"/>
        </w:rPr>
      </w:pPr>
    </w:p>
    <w:p>
      <w:pPr>
        <w:spacing w:beforeLines="0" w:afterLines="0"/>
        <w:rPr>
          <w:rFonts w:hint="default"/>
          <w:sz w:val="24"/>
        </w:rPr>
      </w:pPr>
    </w:p>
    <w:p>
      <w:pPr/>
      <w:bookmarkStart w:id="6" w:name="_GoBack"/>
      <w:bookmarkEnd w:id="6"/>
    </w:p>
    <w:sectPr>
      <w:footerReference r:id="rId3" w:type="default"/>
      <w:pgSz w:w="11907" w:h="16840"/>
      <w:pgMar w:top="2098" w:right="1304" w:bottom="1418" w:left="147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Lines="0" w:afterLines="0" w:line="320" w:lineRule="atLeast"/>
      <w:jc w:val="center"/>
      <w:rPr>
        <w:rFonts w:hint="default" w:ascii="Times New Roman" w:eastAsia="Times New Roman"/>
        <w:color w:val="auto"/>
        <w:sz w:val="24"/>
      </w:rPr>
    </w:pPr>
    <w:r>
      <w:rPr>
        <w:rFonts w:hint="default" w:ascii="Times New Roman" w:hAnsi="Times New Roman"/>
        <w:color w:val="auto"/>
        <w:sz w:val="24"/>
      </w:rPr>
      <w:fldChar w:fldCharType="begin"/>
    </w:r>
    <w:r>
      <w:rPr>
        <w:rFonts w:hint="default" w:ascii="Times New Roman" w:hAnsi="Times New Roman"/>
        <w:color w:val="auto"/>
        <w:sz w:val="24"/>
      </w:rPr>
      <w:instrText xml:space="preserve">PAGE</w:instrText>
    </w:r>
    <w:r>
      <w:rPr>
        <w:rFonts w:hint="default" w:ascii="Times New Roman" w:hAnsi="Times New Roman"/>
        <w:color w:val="auto"/>
        <w:sz w:val="24"/>
      </w:rPr>
      <w:fldChar w:fldCharType="separate"/>
    </w:r>
    <w:r>
      <w:rPr>
        <w:rFonts w:hint="default" w:ascii="Times New Roman" w:hAnsi="Times New Roman"/>
        <w:color w:val="auto"/>
        <w:sz w:val="24"/>
        <w:lang w:val="zh-CN" w:eastAsia="zh-CN"/>
      </w:rPr>
      <w:t>7</w:t>
    </w:r>
    <w:r>
      <w:rPr>
        <w:rFonts w:hint="default" w:ascii="Times New Roman" w:hAnsi="Times New Roman"/>
        <w:color w:val="auto"/>
        <w:sz w:val="24"/>
        <w:lang w:val="zh-CN" w:eastAsia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255986427">
    <w:nsid w:val="0F420AFB"/>
    <w:multiLevelType w:val="multilevel"/>
    <w:tmpl w:val="0F420AFB"/>
    <w:lvl w:ilvl="0" w:tentative="1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  <w:u w:val="none" w:color="auto"/>
      </w:rPr>
    </w:lvl>
    <w:lvl w:ilvl="1" w:tentative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  <w:u w:val="none" w:color="auto"/>
      </w:rPr>
    </w:lvl>
    <w:lvl w:ilvl="2" w:tentative="1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/>
        <w:u w:val="none" w:color="auto"/>
      </w:r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  <w:u w:val="none" w:color="auto"/>
      </w:r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 w:color="auto"/>
      </w:r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 w:color="auto"/>
      </w:r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 w:color="auto"/>
      </w:r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 w:color="auto"/>
      </w:r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 w:color="auto"/>
      </w:rPr>
    </w:lvl>
  </w:abstractNum>
  <w:num w:numId="1">
    <w:abstractNumId w:val="2559864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08BE627B"/>
    <w:rsid w:val="123E5A94"/>
    <w:rsid w:val="21EC5102"/>
    <w:rsid w:val="278D5299"/>
    <w:rsid w:val="3EF32291"/>
    <w:rsid w:val="5C3D2416"/>
    <w:rsid w:val="7A8B14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2016-03-15T05:29:30Z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