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both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(下文出现的“*”代表随机变动实号，“（*）”代表随机变动实号或虚号)  </w:t>
      </w:r>
    </w:p>
    <w:p>
      <w:pPr>
        <w:spacing w:line="400" w:lineRule="atLeast"/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</w:pPr>
    </w:p>
    <w:p>
      <w:pPr>
        <w:spacing w:line="400" w:lineRule="atLeast"/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一、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4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年度第十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五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批车型目录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98520287"/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、上海通用东岳汽车有限公司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SGM6475DAX2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发动机：LTG (上海通用汽车有限公司)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机外净化器：前：GM313(佛吉亚排气控制技术(上海)有限公司)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后：U43872(佛吉亚排气控制技术(上海)有限公司)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燃油蒸发控制装置：4XA26(德尔福(上海)动力推进系统有限公司)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氧传感器：前：U21(NTK)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后：YAT(NTK)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发动机：LTG (上汽通用汽车有限公司)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机外净化器：前：GM313(佛吉亚排气控制技术(上海)有限公司)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后：U43872(佛吉亚排气控制技术(上海)有限公司)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燃油蒸发控制装置：4XA26(德尔福(上海)动力推进系统有限公司)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氧传感器：前：U21(NTK)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后：YAT(NTK)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发动机：LTG (上汽通用汽车有限公司)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机外净化器：CH2587(克康(上海)排气控制系统有限公司)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燃油蒸发控制装置：4XA26(德尔福(上海)动力推进系统有限公司)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氧传感器：前：U21(NTK)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后：YAT(NTK)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98520288"/>
      <w:r>
        <w:rPr>
          <w:rFonts w:hint="eastAsia" w:ascii="Times New Roman" w:hAnsi="Times New Roman"/>
        </w:rPr>
        <w:t>9</w:t>
      </w:r>
      <w:r>
        <w:rPr>
          <w:rFonts w:ascii="Times New Roman" w:hAnsi="Times New Roman"/>
        </w:rPr>
        <w:t>、奇瑞汽车股份有限公司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SQR7161T111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更改补充2014年度第十七批车型目录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98520289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、奇瑞汽车股份有限公司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SQR6451T215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发动机：SQR484F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机外净化器：前：FAM2100C(优美科汽车催化剂(苏州)有限公司)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后：FAM2100C(优美科汽车催化剂(苏州)有限公司)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三、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更改补充2014年度第十八批车型目录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98520290"/>
      <w:r>
        <w:rPr>
          <w:rFonts w:hint="eastAsia" w:ascii="Times New Roman" w:hAnsi="Times New Roman"/>
        </w:rPr>
        <w:t>30</w:t>
      </w:r>
      <w:r>
        <w:rPr>
          <w:rFonts w:ascii="Times New Roman" w:hAnsi="Times New Roman"/>
        </w:rPr>
        <w:t>、一汽-大众汽车有限公司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FV7146BBDBG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发动机：CST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机外净化器：前：180 166 **(天纳克汽车工业（广州）有限公司)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**(天纳克汽车工业（广州）有限公司)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后：LP15(常熟特殊陶业有限公司)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FV7146BCDBG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机外净化器：前：180 166 **(天纳克汽车工业（广州）有限公司)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**(天纳克汽车工业（广州）有限公司)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后：LP15(常熟特殊陶业有限公司)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四、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更改补充2014年度第十九批车型目录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498520291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>、一汽-大众汽车有限公司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FV7146BBMBG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发动机：CST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机外净化器：前：180 166 **(天纳克汽车工业（广州）有限公司)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后：5QD 178 **(天纳克汽车工业（广州）有限公司)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氧传感器：前：LP15(常熟特殊陶业有限公司)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后：LP15(常熟特殊陶业有限公司)</w:t>
      </w:r>
    </w:p>
    <w:p>
      <w:pPr>
        <w:spacing w:line="400" w:lineRule="atLeast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</w:p>
    <w:p>
      <w:pPr>
        <w:spacing w:line="400" w:lineRule="atLeast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五、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更改补充2015年度第一批车型目录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498520292"/>
      <w:r>
        <w:rPr>
          <w:rFonts w:hint="eastAsia" w:ascii="Times New Roman" w:hAnsi="Times New Roman"/>
        </w:rPr>
        <w:t>9</w:t>
      </w:r>
      <w:r>
        <w:rPr>
          <w:rFonts w:ascii="Times New Roman" w:hAnsi="Times New Roman"/>
        </w:rPr>
        <w:t>、奇瑞汽车股份有限公司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SQR6451T212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六、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更改补充2015年度第十六批车型目录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498520293"/>
      <w:r>
        <w:rPr>
          <w:rFonts w:ascii="Times New Roman" w:hAnsi="Times New Roman"/>
        </w:rPr>
        <w:t>1、北京汽车股份有限公司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BJ2030U8VA1B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BJ2030U8VAB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发动机：276821 (梅赛德斯-奔驰)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机外净化器：右：A1664904836(EBERSPACHER)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左：A1664904736(EBERSPACHER)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0024(Kayser)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 0007(BOSCH)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 0005(NTK)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BJ2031U8VAB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发动机：278912 (梅赛德斯-奔驰)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机外净化器：右：A1664906136(EBERSPACHER)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左：A1664906136(EBERSPACHER)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0024(Kayser)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 0007(BOSCH)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 0005(NTK)</w:t>
      </w:r>
    </w:p>
    <w:p>
      <w:pPr>
        <w:spacing w:line="4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七、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更改补充2016年度第三批车型目录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498520294"/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>、奇瑞汽车股份有限公司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SQR6452T212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发动机：SQR484F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机外净化器：前：FAM2100C(优美科汽车催化剂(苏州)有限公司)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后：FAM2100C(优美科汽车催化剂(苏州)有限公司)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SQR6452T21T2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发动机：SQR484F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八、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更改补充2016年度第五批车型目录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498520295"/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、奇瑞汽车股份有限公司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SQR6451T21T2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燃油蒸发控制装置：MWVA1X00CC(武汉神龙汽车塑胶件制造有限公司)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九、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更改补充2016年度第六批车型目录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498520296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0</w:t>
      </w:r>
      <w:r>
        <w:rPr>
          <w:rFonts w:ascii="Times New Roman" w:hAnsi="Times New Roman"/>
        </w:rPr>
        <w:t>、奇瑞汽车股份有限公司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SQR7160F022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燃油蒸发控制装置：MWVA1X00CC(武汉神龙汽车塑胶件制造有限公司)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SQR7161F02T5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 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更改补充2016年度第七批车型目录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498520297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、上汽通用东岳汽车有限公司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SGM6475DAX3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发动机：LTG (上汽通用汽车有限公司)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机外净化器：CH2587(克康(上海)排气控制系统有限公司)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燃油蒸发控制装置：4XA26(德尔福(上海)动力推进系统有限公司)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氧传感器：前：U21(NTK)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后：YAT(NTK)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十一、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更改补充2016年度第十批车型目录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hint="eastAsia" w:ascii="Times New Roman" w:hAnsi="Times New Roman"/>
        </w:rPr>
      </w:pPr>
      <w:bookmarkStart w:id="11" w:name="_Toc498520298"/>
      <w:r>
        <w:rPr>
          <w:rFonts w:hint="eastAsia" w:ascii="Times New Roman" w:hAnsi="Times New Roman"/>
        </w:rPr>
        <w:t>5、</w:t>
      </w:r>
      <w:r>
        <w:rPr>
          <w:rFonts w:ascii="Times New Roman" w:hAnsi="Times New Roman"/>
        </w:rPr>
        <w:t>奇瑞汽车股份有限公司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SQR6450T152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hint="eastAsia" w:ascii="STSongStd-Light" w:hAnsi="STSongStd-Light" w:cs="STSongStd-Light"/>
          <w:b/>
          <w:color w:val="auto"/>
        </w:rPr>
      </w:pPr>
    </w:p>
    <w:p>
      <w:pPr>
        <w:spacing w:line="4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十二、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更改补充2016年度第十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498520299"/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>、奇瑞汽车股份有限公司</w:t>
      </w:r>
      <w:bookmarkEnd w:id="1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SQR7150J692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发动机：SQRD4G15B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氧传感器：前：681(日本特殊陶业株式会社)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后：681(日本特殊陶业株式会社)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十三、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更改补充2016年度第十五批车型目录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498520300"/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、北京北重汽车改装有限公司</w:t>
      </w:r>
      <w:bookmarkEnd w:id="1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BZD5100JGK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十四、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更改补充2017年度第六批车型目录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498520301"/>
      <w:r>
        <w:rPr>
          <w:rFonts w:hint="eastAsia" w:ascii="Times New Roman" w:hAnsi="Times New Roman"/>
        </w:rPr>
        <w:t>11</w:t>
      </w:r>
      <w:r>
        <w:rPr>
          <w:rFonts w:ascii="Times New Roman" w:hAnsi="Times New Roman"/>
        </w:rPr>
        <w:t>、重庆力帆汽车有限公司</w:t>
      </w:r>
      <w:bookmarkEnd w:id="1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LF6470B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发动机：LF483Q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机外净化器：前：CAD1205-I(无锡威孚环保催化剂有限公司)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后：CAD1205-II(无锡威孚环保催化剂有限公司)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燃油蒸发控制装置：C1130(南京宏铮机电制造有限公司)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氧传感器：前：VA21104(华夏龙晖（北京）汽车电子科技股份有限公司)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后：VA21104(常州联德电子有限公司)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十五、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更改补充2017年度第八批车型目录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498520302"/>
      <w:r>
        <w:rPr>
          <w:rFonts w:ascii="Times New Roman" w:hAnsi="Times New Roman"/>
        </w:rPr>
        <w:t>1、长城汽车股份有限公司</w:t>
      </w:r>
      <w:bookmarkEnd w:id="1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CC7202UM03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CC7203UM02A轿车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十六、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企业更名</w:t>
      </w:r>
    </w:p>
    <w:p>
      <w:pPr>
        <w:pStyle w:val="2"/>
        <w:rPr>
          <w:rFonts w:ascii="STSongStd-Light" w:hAnsi="STSongStd-Light" w:cs="STSongStd-Light"/>
        </w:rPr>
      </w:pPr>
      <w:bookmarkStart w:id="16" w:name="_Toc498520303"/>
      <w:r>
        <w:rPr>
          <w:rFonts w:ascii="Times New Roman" w:hAnsi="Times New Roman"/>
        </w:rPr>
        <w:t>1、北京载通视音频广播技术有限公司</w:t>
      </w:r>
      <w:bookmarkEnd w:id="16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更名为：北京星光陆通视音频广播技术技术有限公司</w:t>
      </w:r>
    </w:p>
    <w:p>
      <w:pPr>
        <w:pStyle w:val="2"/>
        <w:rPr>
          <w:rFonts w:ascii="STSongStd-Light" w:hAnsi="STSongStd-Light" w:cs="STSongStd-Light"/>
        </w:rPr>
      </w:pPr>
      <w:bookmarkStart w:id="17" w:name="_Toc498520304"/>
      <w:r>
        <w:rPr>
          <w:rFonts w:ascii="Times New Roman" w:hAnsi="Times New Roman"/>
        </w:rPr>
        <w:t>2、大连暠诚房车制造有限公司</w:t>
      </w:r>
      <w:bookmarkEnd w:id="17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更名为：大连暠霸旅行车制造有限公司</w:t>
      </w:r>
    </w:p>
    <w:p>
      <w:pPr>
        <w:pStyle w:val="2"/>
        <w:rPr>
          <w:rFonts w:ascii="Times New Roman" w:hAnsi="Times New Roman"/>
        </w:rPr>
      </w:pPr>
      <w:bookmarkStart w:id="18" w:name="_Toc498520305"/>
      <w:r>
        <w:rPr>
          <w:rFonts w:ascii="Times New Roman" w:hAnsi="Times New Roman"/>
        </w:rPr>
        <w:t>3、南京客车制造厂</w:t>
      </w:r>
      <w:bookmarkEnd w:id="18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更名为：南京客车制造厂有限责任公司</w:t>
      </w:r>
    </w:p>
    <w:p>
      <w:pPr>
        <w:pStyle w:val="2"/>
        <w:rPr>
          <w:rFonts w:ascii="Times New Roman" w:hAnsi="Times New Roman"/>
        </w:rPr>
      </w:pPr>
      <w:bookmarkStart w:id="19" w:name="_Toc498520306"/>
      <w:r>
        <w:rPr>
          <w:rFonts w:ascii="Times New Roman" w:hAnsi="Times New Roman"/>
        </w:rPr>
        <w:t>4、湖南南车时代电动汽车股份有限公司</w:t>
      </w:r>
      <w:bookmarkEnd w:id="19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更名为：湖南中车时代电动汽车股份有限公司</w:t>
      </w:r>
    </w:p>
    <w:p>
      <w:pPr>
        <w:jc w:val="center"/>
      </w:pPr>
    </w:p>
    <w:p>
      <w:bookmarkStart w:id="20" w:name="_GoBack"/>
      <w:bookmarkEnd w:id="20"/>
    </w:p>
    <w:sectPr>
      <w:footerReference r:id="rId3" w:type="default"/>
      <w:pgSz w:w="11907" w:h="16840"/>
      <w:pgMar w:top="2098" w:right="1134" w:bottom="1247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6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2A5B"/>
    <w:rsid w:val="090F3A77"/>
    <w:rsid w:val="0977009D"/>
    <w:rsid w:val="1F9E7A3B"/>
    <w:rsid w:val="23FA2A5B"/>
    <w:rsid w:val="509D7AE4"/>
    <w:rsid w:val="59583837"/>
    <w:rsid w:val="76041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2017-11-16T01:10:00Z</dcterms:created>
  <dc:creator>白钰</dc:creator>
  <cp:lastModifiedBy>白钰</cp:lastModifiedBy>
  <dcterms:modified xsi:type="dcterms:W3CDTF">2017-11-16T01:14:02Z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