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1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北京市2017年度污染地块名录</w:t>
      </w:r>
    </w:p>
    <w:tbl>
      <w:tblPr>
        <w:tblStyle w:val="5"/>
        <w:tblW w:w="14580" w:type="dxa"/>
        <w:tblInd w:w="-8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040"/>
        <w:gridCol w:w="1740"/>
        <w:gridCol w:w="1440"/>
        <w:gridCol w:w="3400"/>
        <w:gridCol w:w="3580"/>
        <w:gridCol w:w="27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333333"/>
                <w:sz w:val="24"/>
              </w:rPr>
            </w:pPr>
            <w:r>
              <w:rPr>
                <w:rFonts w:hint="eastAsia" w:ascii="黑体" w:hAnsi="宋体" w:eastAsia="黑体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333333"/>
                <w:sz w:val="24"/>
              </w:rPr>
            </w:pPr>
            <w:r>
              <w:rPr>
                <w:rFonts w:hint="eastAsia" w:ascii="黑体" w:hAnsi="宋体" w:eastAsia="黑体"/>
                <w:color w:val="333333"/>
                <w:kern w:val="0"/>
                <w:sz w:val="24"/>
              </w:rPr>
              <w:t>所在区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333333"/>
                <w:sz w:val="24"/>
              </w:rPr>
            </w:pPr>
            <w:r>
              <w:rPr>
                <w:rFonts w:hint="eastAsia" w:ascii="黑体" w:hAnsi="宋体" w:eastAsia="黑体"/>
                <w:color w:val="333333"/>
                <w:kern w:val="0"/>
                <w:sz w:val="24"/>
              </w:rPr>
              <w:t>地块名称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333333"/>
                <w:sz w:val="24"/>
              </w:rPr>
            </w:pPr>
            <w:r>
              <w:rPr>
                <w:rFonts w:hint="eastAsia" w:ascii="黑体" w:hAnsi="宋体" w:eastAsia="黑体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333333"/>
                <w:sz w:val="24"/>
              </w:rPr>
            </w:pPr>
            <w:r>
              <w:rPr>
                <w:rFonts w:hint="eastAsia" w:ascii="黑体" w:hAnsi="宋体" w:eastAsia="黑体"/>
                <w:color w:val="333333"/>
                <w:kern w:val="0"/>
                <w:sz w:val="24"/>
              </w:rPr>
              <w:t>四至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333333"/>
                <w:sz w:val="24"/>
              </w:rPr>
            </w:pPr>
            <w:r>
              <w:rPr>
                <w:rFonts w:hint="eastAsia" w:ascii="黑体" w:hAnsi="宋体" w:eastAsia="黑体"/>
                <w:color w:val="333333"/>
                <w:sz w:val="24"/>
              </w:rPr>
              <w:t>风险</w:t>
            </w:r>
            <w:r>
              <w:rPr>
                <w:rFonts w:ascii="黑体" w:hAnsi="宋体" w:eastAsia="黑体"/>
                <w:color w:val="333333"/>
                <w:sz w:val="24"/>
              </w:rPr>
              <w:t>管控要求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333333"/>
                <w:sz w:val="24"/>
              </w:rPr>
            </w:pPr>
            <w:r>
              <w:rPr>
                <w:rFonts w:hint="eastAsia" w:ascii="黑体" w:hAnsi="宋体" w:eastAsia="黑体"/>
                <w:color w:val="333333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朝阳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北京市朝阳区双桥电镀厂原址场地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朝阳区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双桥镇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南邻北京市禁毒教育基地、庄子服装厂；东至北京市第二监狱和建工集团混凝土搅拌站；西部和北部与兴达汽车广场相邻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经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治理修复后，方可用于居住、商业、学校、医疗养老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机构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、公园、城市绿地和游乐场等建设。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土地使用权人污染地块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信息公示网址：www.guo-huan.com。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丰台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高立庄油库项目场地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丰台区高立庄村403号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东至樊羊路，南至高立庄一号路，西至羊坊二号路，北边为绿地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经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治理修复后，方可用于居住、商业、学校、医疗养老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机构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、公园、城市绿地和游乐场等建设。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土地使用权人污染地块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信息公示网址：</w:t>
            </w:r>
            <w:r>
              <w:rPr>
                <w:rFonts w:ascii="仿宋_GB2312" w:hAnsi="宋体" w:eastAsia="仿宋_GB2312"/>
                <w:color w:val="333333"/>
                <w:sz w:val="24"/>
              </w:rPr>
              <w:t>www.bjoil.com/html/ggxx/1513908170085.html</w:t>
            </w:r>
            <w:r>
              <w:rPr>
                <w:rFonts w:hint="eastAsia" w:ascii="仿宋_GB2312" w:hAnsi="宋体" w:eastAsia="仿宋_GB2312"/>
                <w:color w:val="333333"/>
                <w:sz w:val="24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石景山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首钢园区脱硫车间及周边道路场地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首钢石景山主厂区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东至规划焦化厂路，南至长安街西延线，西至晾水池东路，北至群明湖南路东延。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经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治理修复后，方可用于居住、商业、学校、医疗养老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机构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、公园、城市绿地和游乐场等建设。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土地使用权人污染地块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信息公示网址：</w:t>
            </w:r>
            <w:r>
              <w:rPr>
                <w:rFonts w:ascii="仿宋_GB2312" w:hAnsi="宋体" w:eastAsia="仿宋_GB2312"/>
                <w:color w:val="333333"/>
                <w:sz w:val="24"/>
              </w:rPr>
              <w:t>www.bjsgjt.com</w:t>
            </w:r>
            <w:r>
              <w:rPr>
                <w:rFonts w:hint="eastAsia" w:ascii="仿宋_GB2312" w:hAnsi="宋体" w:eastAsia="仿宋_GB2312"/>
                <w:color w:val="333333"/>
                <w:sz w:val="24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4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石景山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世界侨商创新中心一期项目及周边道路场地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首钢石景山主厂区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东至二炼钢南路，南至三炼钢东路，西至规划路，北至长安街西延线。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经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治理修复后，方可用于居住、商业、学校、医疗养老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机构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、公园、城市绿地和游乐场等建设。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土地使用权人污染地块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信息公示网址：</w:t>
            </w:r>
            <w:r>
              <w:rPr>
                <w:rFonts w:ascii="仿宋_GB2312" w:hAnsi="宋体" w:eastAsia="仿宋_GB2312"/>
                <w:color w:val="333333"/>
                <w:sz w:val="24"/>
              </w:rPr>
              <w:t>www.bjsgjt.com</w:t>
            </w:r>
            <w:r>
              <w:rPr>
                <w:rFonts w:hint="eastAsia" w:ascii="仿宋_GB2312" w:hAnsi="宋体" w:eastAsia="仿宋_GB2312"/>
                <w:color w:val="333333"/>
                <w:sz w:val="24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5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石景山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首钢园区冬季奥运会冰上项目训练中心场地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首钢石景山主厂区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东临电厂东路，南至群名湖北路及四高炉</w:t>
            </w:r>
            <w:r>
              <w:rPr>
                <w:rFonts w:hint="eastAsia" w:ascii="仿宋_GB2312" w:hAnsi="宋体" w:eastAsia="仿宋_GB2312"/>
                <w:color w:val="333333"/>
                <w:spacing w:val="-6"/>
                <w:kern w:val="0"/>
                <w:sz w:val="24"/>
              </w:rPr>
              <w:t>南路西延，西至西环厂路，北至五一剧场街。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经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治理修复后，方可用于居住、商业、学校、医疗养老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机构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、公园、城市绿地和游乐场等建设。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土地使用权人污染地块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信息公示网址：</w:t>
            </w:r>
            <w:r>
              <w:rPr>
                <w:rFonts w:ascii="仿宋_GB2312" w:hAnsi="宋体" w:eastAsia="仿宋_GB2312"/>
                <w:color w:val="333333"/>
                <w:sz w:val="24"/>
              </w:rPr>
              <w:t>www.bjsgjt.com</w:t>
            </w:r>
            <w:r>
              <w:rPr>
                <w:rFonts w:hint="eastAsia" w:ascii="仿宋_GB2312" w:hAnsi="宋体" w:eastAsia="仿宋_GB2312"/>
                <w:color w:val="333333"/>
                <w:sz w:val="24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sz w:val="24"/>
              </w:rPr>
              <w:t>6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石景山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首钢园区五一剧场（制粉车间）改造项目地块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首钢石景山主厂区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东至晾水池东路，西至规划群明湖西路，南至规划群明湖北路，北至规划秀池南街。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经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治理修复后，方可用于居住、商业、学校、医疗养老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机构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、公园、城市绿地和游乐场等建设。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土地使用权人污染地块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信息公示网址：</w:t>
            </w:r>
            <w:r>
              <w:rPr>
                <w:rFonts w:ascii="仿宋_GB2312" w:hAnsi="宋体" w:eastAsia="仿宋_GB2312"/>
                <w:color w:val="333333"/>
                <w:sz w:val="24"/>
              </w:rPr>
              <w:t>www.bjsgjt.com</w:t>
            </w:r>
            <w:r>
              <w:rPr>
                <w:rFonts w:hint="eastAsia" w:ascii="仿宋_GB2312" w:hAnsi="宋体" w:eastAsia="仿宋_GB2312"/>
                <w:color w:val="333333"/>
                <w:sz w:val="24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7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门头沟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北京大峪化工厂原址地块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北京市门头沟区新桥南大街67号</w:t>
            </w:r>
          </w:p>
        </w:tc>
        <w:tc>
          <w:tcPr>
            <w:tcW w:w="3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东至新桥南大街；西至现状保留桃园小区；南至草帽山北坡；北至高家园路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经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治理修复后，方可用于居住、商业、学校、医疗养老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机构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、公园、城市绿地和游乐场等建设。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土地使用权人污染地块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信息公示网址：</w:t>
            </w:r>
            <w:r>
              <w:rPr>
                <w:rFonts w:ascii="仿宋_GB2312" w:hAnsi="宋体" w:eastAsia="仿宋_GB2312"/>
                <w:color w:val="333333"/>
                <w:kern w:val="0"/>
                <w:sz w:val="24"/>
              </w:rPr>
              <w:t>www.egchina.cn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－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15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E3A6A"/>
    <w:rsid w:val="4F1560F6"/>
    <w:rsid w:val="627E4C44"/>
    <w:rsid w:val="777E3A6A"/>
    <w:rsid w:val="7F182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2017-12-27T02:45:00Z</dcterms:created>
  <dc:creator>白钰</dc:creator>
  <cp:lastModifiedBy>白钰</cp:lastModifiedBy>
  <dcterms:modified xsi:type="dcterms:W3CDTF">2017-12-27T07:08:43Z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