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更改补充2014年度第十六批车型目录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600" w:lineRule="atLeast"/>
        <w:jc w:val="both"/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504494141"/>
      <w:r>
        <w:rPr>
          <w:rFonts w:hint="eastAsia" w:ascii="Times New Roman" w:hAnsi="Times New Roman"/>
        </w:rPr>
        <w:t>27</w:t>
      </w:r>
      <w:r>
        <w:rPr>
          <w:rFonts w:ascii="Times New Roman" w:hAnsi="Times New Roman"/>
        </w:rPr>
        <w:t>、一汽海马汽车有限公司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HMC7168E5S0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机外净化器：前：BF20A(无锡威孚力达催化净化器有限责任公司)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后：BF20B(天津卡达克汽车高新技术公司)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机外净化器：前：BF20A(无锡威孚力达催化净化器有限责任公司)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后：BF20B(天津卡达克汽车高新技术有限公司)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机外净化器：前：BF20A(无锡威孚力达催化净化器有限责任公司)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后：BF20B(天津卡达克汽车高新技术公司)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机外净化器：前：BF20A(无锡威孚力达催化净化器有限责任公司)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后：BF20B(天津卡达克汽车高新技术有限公司)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更改补充2014年度第十九批车型目录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504494142"/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、奇瑞汽车股份有限公司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SQR6440K081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SQR6440K08T2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SQR7150K081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SQR7150K08T2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后：QGC08(奇瑞汽车股份有限公司)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更改补充2015年度第十一批车型目录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504494143"/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1、四川野马汽车股份有限公司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SQJ6460B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发动机：JLC-4G18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机外净化器：前：JL(庄信万丰（上海）化工有限公司)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后：B60X(庄信万丰（上海）化工有限公司)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>更改补充2015年度第十五批车型目录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504494144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、四川野马汽车股份有限公司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>更改补充2016年度第六批车型目录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504494145"/>
      <w:r>
        <w:rPr>
          <w:rFonts w:hint="eastAsia" w:ascii="Times New Roman" w:hAnsi="Times New Roman"/>
        </w:rPr>
        <w:t>28</w:t>
      </w:r>
      <w:r>
        <w:rPr>
          <w:rFonts w:ascii="Times New Roman" w:hAnsi="Times New Roman"/>
        </w:rPr>
        <w:t>、四川野马汽车股份有限公司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>更改补充2016年度第九批车型目录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50449414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、沈阳华晨金杯汽车有限公司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SY6450K1SBW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发动机：DLCG14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机外净化器：HCXY-B03(华晨鑫源重庆汽车有限公司)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燃油蒸发控制装置：SY6390(重庆欧标实业有限公司)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氧传感器：前：AY083(苏州奥易克斯汽车电子有限公司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后：AY083(苏州奥易克斯汽车电子有限公司 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>更改补充2016年度第十八批车型目录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50449414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、四川野马汽车股份有限公司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机外净化器：前：X1203004(福建朝日环保科技开发有限公司)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后：X1203005(福建朝日环保科技开发有限公司)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更改补充2017年度第二批车型目录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504494148"/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、荣成华泰汽车有限公司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SDH7000BEVYL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952  更改为  1010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EVA41Y  更改为  EVA41W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>更改补充2017年度第八批车型目录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504494149"/>
      <w:r>
        <w:rPr>
          <w:rFonts w:ascii="Times New Roman" w:hAnsi="Times New Roman"/>
        </w:rPr>
        <w:t>1、四川野马汽车股份有限公司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SQJ6468B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机外净化器：前：X1203008(昆明贵研催化剂有限责任公司)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后：X1203009(昆明贵研催化剂有限责任公司)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>更改补充2017年度第十批车型目录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504494150"/>
      <w:r>
        <w:rPr>
          <w:rFonts w:hint="eastAsia" w:ascii="Times New Roman" w:hAnsi="Times New Roman"/>
        </w:rPr>
        <w:t>44</w:t>
      </w:r>
      <w:r>
        <w:rPr>
          <w:rFonts w:ascii="Times New Roman" w:hAnsi="Times New Roman"/>
        </w:rPr>
        <w:t>、奇瑞商用车（安徽）有限公司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SQR6450K082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机外净化器：前：1205AA1(无锡威孚环保催化剂有限公司)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后：1205AA1(无锡威孚环保催化剂有限公司)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SQR6451K082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机外净化器：前：1205AA1(无锡威孚环保催化剂有限公司)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后：1205AA1(无锡威孚环保催化剂有限公司)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pStyle w:val="2"/>
        <w:rPr>
          <w:rFonts w:ascii="Times New Roman" w:hAnsi="Times New Roman"/>
        </w:rPr>
      </w:pPr>
      <w:bookmarkStart w:id="10" w:name="_Toc504494151"/>
      <w:r>
        <w:rPr>
          <w:rFonts w:ascii="Times New Roman" w:hAnsi="Times New Roman"/>
        </w:rPr>
        <w:t>1、安徽江淮汽车股份有限公司</w:t>
      </w:r>
      <w:bookmarkEnd w:id="10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更名为：安徽江淮汽车集团股份有限公司</w:t>
      </w:r>
    </w:p>
    <w:p>
      <w:pPr>
        <w:pStyle w:val="2"/>
        <w:rPr>
          <w:rFonts w:ascii="Times New Roman" w:hAnsi="Times New Roman"/>
        </w:rPr>
      </w:pPr>
      <w:bookmarkStart w:id="11" w:name="_Toc504494152"/>
      <w:r>
        <w:rPr>
          <w:rFonts w:ascii="Times New Roman" w:hAnsi="Times New Roman"/>
        </w:rPr>
        <w:t>2、中交郴州筑路机械厂</w:t>
      </w:r>
      <w:bookmarkEnd w:id="11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更名为：中交郴州筑路机械有限公司</w:t>
      </w:r>
    </w:p>
    <w:p>
      <w:pPr>
        <w:pStyle w:val="2"/>
        <w:rPr>
          <w:rFonts w:ascii="Times New Roman" w:hAnsi="Times New Roman"/>
        </w:rPr>
      </w:pPr>
      <w:bookmarkStart w:id="12" w:name="_Toc504494153"/>
      <w:r>
        <w:rPr>
          <w:rFonts w:ascii="Times New Roman" w:hAnsi="Times New Roman"/>
        </w:rPr>
        <w:t>3、上海汽车商用车有限公司</w:t>
      </w:r>
      <w:bookmarkEnd w:id="12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更名为：上汽大通汽车有限公司</w:t>
      </w:r>
    </w:p>
    <w:p>
      <w:pPr>
        <w:pStyle w:val="2"/>
        <w:rPr>
          <w:rFonts w:hint="eastAsia"/>
        </w:rPr>
      </w:pPr>
    </w:p>
    <w:p>
      <w:bookmarkStart w:id="13" w:name="_GoBack"/>
      <w:bookmarkEnd w:id="13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5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7180"/>
    <w:rsid w:val="0093216A"/>
    <w:rsid w:val="031845D0"/>
    <w:rsid w:val="11B51CC3"/>
    <w:rsid w:val="2A181C7A"/>
    <w:rsid w:val="5C322430"/>
    <w:rsid w:val="73E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2018-01-24T01:15:00Z</dcterms:created>
  <dc:creator>白钰</dc:creator>
  <cp:lastModifiedBy>白钰</cp:lastModifiedBy>
  <dcterms:modified xsi:type="dcterms:W3CDTF">2018-01-24T01:17:36Z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