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2018年度第十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五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批达北京市第四阶段排放标准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的非道路机械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4629039"/>
      <w:r>
        <w:rPr>
          <w:rFonts w:ascii="Times New Roman" w:hAnsi="Times New Roman" w:cs="Times New Roman"/>
          <w:b/>
          <w:bCs/>
        </w:rPr>
        <w:t>1、三一重机有限公司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SY55C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发动机：4TNV94L-BVLYC (YANMAR ENGINE(SHANGDONG) CO.,LTD)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CO.,LTD)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发动机：4TNV94L-BVLYC (YANMAR ENGINE(SHANGDONG) CO.,LTD)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CO.,LTD)</w:t>
      </w:r>
    </w:p>
    <w:p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1D47"/>
    <w:rsid w:val="05FF20CF"/>
    <w:rsid w:val="0ED41D47"/>
    <w:rsid w:val="4E432F9A"/>
    <w:rsid w:val="6D535020"/>
    <w:rsid w:val="7591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2018-09-14T07:11:00Z</dcterms:created>
  <dc:creator>白钰</dc:creator>
  <cp:lastModifiedBy>白钰</cp:lastModifiedBy>
  <dcterms:modified xsi:type="dcterms:W3CDTF">2018-09-14T07:12:43Z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