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1" w:name="_GoBack"/>
      <w:bookmarkEnd w:id="1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2019年度第五批达国Ⅴ排放标准的重型柴油车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（满足新PEMS和新OBD法）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33"/>
      <w:r>
        <w:rPr>
          <w:rFonts w:ascii="Times New Roman" w:hAnsi="Times New Roman" w:cs="Times New Roman"/>
          <w:b/>
          <w:bCs/>
        </w:rPr>
        <w:t>1、徐州海伦哲专用车辆股份有限公司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XHZ5071JGKQ5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XHZ5061JGKQ5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XHZ5061JGKQ51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XHZ5062JGKQ5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XHZ5065JGKQ51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XHZ5065JGKQ52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XHZ5066JGKQ5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XHZ5068JGKQ51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XHZ5067JGKQ51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发动机：4KH1CN5HS (庆铃五十铃（重庆）发动机有限公司)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在线监控车载终端：AE64-FD (厦门雅迅网络股份有限公司)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30CD4E20"/>
    <w:rsid w:val="7A0F0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559</Characters>
  <Lines>0</Lines>
  <Paragraphs>0</Paragraphs>
  <TotalTime>0</TotalTime>
  <ScaleCrop>false</ScaleCrop>
  <LinksUpToDate>false</LinksUpToDate>
  <CharactersWithSpaces>584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