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2" w:name="_GoBack"/>
      <w:bookmarkEnd w:id="2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2019年度第五批达北京市第四阶段排放标准的非道路机械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45"/>
      <w:r>
        <w:rPr>
          <w:rFonts w:ascii="Times New Roman" w:hAnsi="Times New Roman" w:cs="Times New Roman"/>
          <w:b/>
          <w:bCs/>
        </w:rPr>
        <w:t>1、青岛昂马机械有限公司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CPC型3.5t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平衡重式叉车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发动机：4C2-50C41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喷油泵型号：3408521810000 (博士汽车柴油系统有限公司)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喷油器型号：2409002510019 (博士汽车柴油系统有限公司)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34946"/>
      <w:r>
        <w:rPr>
          <w:rFonts w:ascii="Times New Roman" w:hAnsi="Times New Roman" w:cs="Times New Roman"/>
          <w:b/>
          <w:bCs/>
        </w:rPr>
        <w:t>2、戴纳派克（中国）压实摊铺设备有限公司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CC5200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压路机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发动机：QSB4.5(FR93461) (康明斯公司)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增压器型号：TD04 (MITSUBISHI)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EGR型号：K5T74973 (MITSUBISHI)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 Inc.)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1F3E4A60"/>
    <w:rsid w:val="21087642"/>
    <w:rsid w:val="30CD4E20"/>
    <w:rsid w:val="48070ADE"/>
    <w:rsid w:val="480B7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369</Characters>
  <Lines>0</Lines>
  <Paragraphs>0</Paragraphs>
  <TotalTime>0</TotalTime>
  <ScaleCrop>false</ScaleCrop>
  <LinksUpToDate>false</LinksUpToDate>
  <CharactersWithSpaces>389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