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2019年度第六批达国Ⅴ排放标准的重型柴油车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（满足新PEMS法和OBD法，带DPF）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6478200"/>
      <w:r>
        <w:rPr>
          <w:rFonts w:ascii="Times New Roman" w:hAnsi="Times New Roman" w:cs="Times New Roman"/>
          <w:b/>
          <w:bCs/>
        </w:rPr>
        <w:t>1、郑州宇通客车股份有限公司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ZK5180XZH5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系统集成车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发动机：YC6L330-58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6478201"/>
      <w:r>
        <w:rPr>
          <w:rFonts w:ascii="Times New Roman" w:hAnsi="Times New Roman" w:cs="Times New Roman"/>
          <w:b/>
          <w:bCs/>
        </w:rPr>
        <w:t>2、南京汽车集团有限公司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NJ6605ECM2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DPF排气处理器型号：5801424200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DOC排气处理器型号：前催:5801352155,后催:5801424200 (前催:马瑞利汽车零部件(长沙)有限公司,后催:马瑞利汽车零部件(长沙)有限公司)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NJ6715LCA1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DPF排气处理器型号：5801424200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DOC排气处理器型号：前催:5801352155,后催:5801424200 (前催:马瑞利汽车零部件(长沙)有限公司,后催:马瑞利汽车零部件(长沙)有限公司)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6478202"/>
      <w:r>
        <w:rPr>
          <w:rFonts w:ascii="Times New Roman" w:hAnsi="Times New Roman" w:cs="Times New Roman"/>
          <w:b/>
          <w:bCs/>
        </w:rPr>
        <w:t>3、北京事必达汽车有限责任公司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BSP5080GPS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绿化喷洒车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6478203"/>
      <w:r>
        <w:rPr>
          <w:rFonts w:ascii="Times New Roman" w:hAnsi="Times New Roman" w:cs="Times New Roman"/>
          <w:b/>
          <w:bCs/>
        </w:rPr>
        <w:t>4、张家港市沙洲车辆有限公司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ZTP5047XLJ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DPF排气处理器型号：5801424200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DOC排气处理器型号：前催:5801352155,后催:5801424200 (前催:马瑞利汽车零部件(长沙)有限公司,后催:马瑞利汽车零部件(长沙)有限公司)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(中汽研汽车检验中心(天津)有限公司)</w:t>
      </w:r>
    </w:p>
    <w:p>
      <w:bookmarkStart w:id="4" w:name="_GoBack"/>
      <w:bookmarkEnd w:id="4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0AF4"/>
    <w:rsid w:val="020553DE"/>
    <w:rsid w:val="07B923D8"/>
    <w:rsid w:val="14E91008"/>
    <w:rsid w:val="19B2370E"/>
    <w:rsid w:val="19B673AA"/>
    <w:rsid w:val="1B401792"/>
    <w:rsid w:val="32090AF4"/>
    <w:rsid w:val="40CF18BC"/>
    <w:rsid w:val="5F512784"/>
    <w:rsid w:val="632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2019-05-15T07:06:00Z</dcterms:created>
  <dc:creator>86159</dc:creator>
  <cp:lastModifiedBy>86159</cp:lastModifiedBy>
  <dcterms:modified xsi:type="dcterms:W3CDTF">2019-05-15T07:15:51Z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