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48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2019年度第十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国Ⅵ排放标准6b阶段</w:t>
      </w:r>
    </w:p>
    <w:p>
      <w:pPr>
        <w:spacing w:line="48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的重型燃气发动机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20677848"/>
      <w:r>
        <w:rPr>
          <w:rFonts w:ascii="Times New Roman" w:hAnsi="Times New Roman" w:cs="Times New Roman"/>
          <w:b/>
          <w:bCs/>
        </w:rPr>
        <w:t>1、广西玉柴机器股份有限公司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YCA07260N-60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YCA07260N-62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YCA07220N-60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YCA07245N-60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YCA07190N-60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YCA07190N-62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YCA07245N-62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YCA07220N-62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发动机：YCA07260N-60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压力调节器：HFR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机外净化器：YC-TWCAT（三元）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GO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混合装置：EFMA (摩菲伊肯控制技术(杭州 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发动机：YCA07260N-60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压力调节器：HFR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机外净化器：YC-TWCAT（三元）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GO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混合装置：EFMA (摩菲伊肯控制技术(杭州 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YCS04160N-60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YCS04160N-60A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YCS04140N-60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YCS04120N-60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压力调节器：HFR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机外净化器：YC-TWCAT（三元）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GO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发动机：YCS04160N-60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压力调节器：HFR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机外净化器：YC-TWCAT（三元）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GO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混合装置：YC-M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3D58"/>
    <w:rsid w:val="23820800"/>
    <w:rsid w:val="38430AF3"/>
    <w:rsid w:val="4E2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2019-09-30T03:07:00Z</dcterms:created>
  <dc:creator>86159</dc:creator>
  <cp:lastModifiedBy>86159</cp:lastModifiedBy>
  <dcterms:modified xsi:type="dcterms:W3CDTF">2019-09-30T03:08:09Z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